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897F8" w14:textId="76032C42" w:rsidR="000D1388" w:rsidRDefault="006E5BC0" w:rsidP="006E5BC0">
      <w:pPr>
        <w:pStyle w:val="Pagedecouverture"/>
        <w:rPr>
          <w:noProof/>
        </w:rPr>
      </w:pPr>
      <w:bookmarkStart w:id="0" w:name="LW_BM_COVERPAGE"/>
      <w:r>
        <w:rPr>
          <w:noProof/>
        </w:rPr>
        <w:pict w14:anchorId="208B62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18DB343-960E-43E0-8E50-EF8D64E29E08" style="width:455.25pt;height:372.75pt">
            <v:imagedata r:id="rId11" o:title=""/>
          </v:shape>
        </w:pict>
      </w:r>
    </w:p>
    <w:bookmarkEnd w:id="0"/>
    <w:p w14:paraId="65C61FB0" w14:textId="77777777" w:rsidR="00862696" w:rsidRDefault="00862696" w:rsidP="00862696">
      <w:pPr>
        <w:rPr>
          <w:noProof/>
        </w:rPr>
        <w:sectPr w:rsidR="00862696" w:rsidSect="006E5BC0">
          <w:headerReference w:type="even" r:id="rId12"/>
          <w:headerReference w:type="default" r:id="rId13"/>
          <w:footerReference w:type="even" r:id="rId14"/>
          <w:footerReference w:type="default" r:id="rId15"/>
          <w:headerReference w:type="first" r:id="rId16"/>
          <w:footerReference w:type="first" r:id="rId17"/>
          <w:pgSz w:w="11907" w:h="16840" w:code="9"/>
          <w:pgMar w:top="1134" w:right="1417" w:bottom="1134" w:left="1417" w:header="709" w:footer="709" w:gutter="0"/>
          <w:pgNumType w:start="1"/>
          <w:cols w:space="720"/>
          <w:docGrid w:linePitch="360"/>
        </w:sectPr>
      </w:pPr>
    </w:p>
    <w:p w14:paraId="518E4776" w14:textId="77777777" w:rsidR="000D1388" w:rsidRPr="009D65D8" w:rsidRDefault="00E71057" w:rsidP="00862696">
      <w:pPr>
        <w:pStyle w:val="Annex"/>
        <w:jc w:val="center"/>
        <w:rPr>
          <w:noProof/>
        </w:rPr>
      </w:pPr>
      <w:bookmarkStart w:id="1" w:name="_Hlk228398419"/>
      <w:bookmarkStart w:id="2" w:name="_Hlk228398314"/>
      <w:bookmarkStart w:id="3" w:name="_Hlk228398140"/>
      <w:bookmarkStart w:id="4" w:name="_Hlk228398634"/>
      <w:bookmarkStart w:id="5" w:name="_GoBack"/>
      <w:bookmarkEnd w:id="5"/>
      <w:r>
        <w:rPr>
          <w:noProof/>
        </w:rPr>
        <w:lastRenderedPageBreak/>
        <w:t>ANNEXE</w:t>
      </w:r>
    </w:p>
    <w:p w14:paraId="5A5858A6" w14:textId="77777777" w:rsidR="000D1388" w:rsidRPr="00746A1A" w:rsidRDefault="000D1388">
      <w:pPr>
        <w:spacing w:before="120" w:after="120" w:line="240" w:lineRule="auto"/>
        <w:ind w:left="850"/>
        <w:jc w:val="both"/>
        <w:rPr>
          <w:rFonts w:ascii="Times New Roman" w:eastAsia="Calibri" w:hAnsi="Times New Roman" w:cs="Times New Roman"/>
          <w:noProof/>
          <w:sz w:val="24"/>
          <w:lang w:val="fr-BE"/>
        </w:rPr>
      </w:pPr>
    </w:p>
    <w:p w14:paraId="0A4DCFE5" w14:textId="77777777" w:rsidR="000D1388" w:rsidRPr="009D65D8" w:rsidRDefault="00E71057">
      <w:pPr>
        <w:keepNext/>
        <w:spacing w:before="120" w:after="120" w:line="240" w:lineRule="auto"/>
        <w:jc w:val="both"/>
        <w:outlineLvl w:val="0"/>
        <w:rPr>
          <w:rFonts w:ascii="Times New Roman" w:eastAsia="Yu Gothic Light" w:hAnsi="Times New Roman" w:cs="Times New Roman"/>
          <w:bCs/>
          <w:smallCaps/>
          <w:noProof/>
          <w:sz w:val="24"/>
          <w:szCs w:val="28"/>
        </w:rPr>
      </w:pPr>
      <w:r>
        <w:rPr>
          <w:rFonts w:ascii="Times New Roman" w:hAnsi="Times New Roman"/>
          <w:b/>
          <w:smallCaps/>
          <w:noProof/>
          <w:sz w:val="24"/>
        </w:rPr>
        <w:t>PARTIE 1: RÉFORMES ET INVESTISSEMENTS AU TITRE DU PLAN POUR LA REPRISE ET LA RÉSILIENCE</w:t>
      </w:r>
    </w:p>
    <w:p w14:paraId="662D33C5" w14:textId="56647878" w:rsidR="000D1388" w:rsidRPr="008509A1" w:rsidRDefault="00E71057" w:rsidP="008509A1">
      <w:pPr>
        <w:pStyle w:val="ListParagraph"/>
        <w:keepNext/>
        <w:numPr>
          <w:ilvl w:val="0"/>
          <w:numId w:val="74"/>
        </w:numPr>
        <w:spacing w:before="360" w:after="120" w:line="240" w:lineRule="auto"/>
        <w:jc w:val="both"/>
        <w:outlineLvl w:val="0"/>
        <w:rPr>
          <w:rFonts w:ascii="Times New Roman" w:eastAsia="Yu Gothic Light" w:hAnsi="Times New Roman" w:cs="Times New Roman"/>
          <w:b/>
          <w:bCs/>
          <w:smallCaps/>
          <w:noProof/>
          <w:szCs w:val="28"/>
        </w:rPr>
      </w:pPr>
      <w:r>
        <w:rPr>
          <w:rFonts w:ascii="Times New Roman" w:hAnsi="Times New Roman"/>
          <w:b/>
          <w:smallCaps/>
          <w:noProof/>
        </w:rPr>
        <w:t>Description des réformes et des investissements</w:t>
      </w:r>
    </w:p>
    <w:p w14:paraId="6F27F384" w14:textId="77777777" w:rsidR="000D1388" w:rsidRPr="009D65D8" w:rsidRDefault="00E71057">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A. COMPOSANTE 1.1: Rénovation</w:t>
      </w:r>
    </w:p>
    <w:p w14:paraId="6AB5FED2" w14:textId="77777777" w:rsidR="000D1388" w:rsidRPr="009D65D8" w:rsidRDefault="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Cette composante du plan pour la reprise et la résilience de la Belgique est axée sur la rénovation des bâtiments privés et publics. L’objectif principal est de rénover le parc immobilier existant et de le rendre plus économe en énergie et en ressources. Sont en particulier concernés les bâtiments publics, les infrastructures sociales et les logements résidentiels, et plus généralement les bâtiments les moins performants en termes d’efficacité énergétique. Dès lors, cette composante contribue à la réduction des émissions de gaz à effet de serre, à la hausse des offres d’emploi et à la croissance dans le domaine de la construction durable, ainsi qu’à la résilience sociale grâce à la réduction des factures d’énergie. </w:t>
      </w:r>
    </w:p>
    <w:p w14:paraId="62FD9F78" w14:textId="77777777" w:rsidR="000D1388" w:rsidRPr="009D65D8" w:rsidRDefault="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Elle contribue à répondre à la recommandation par pays nº 3 de 2019, appelant la Belgique à axer la politique économique liée aux investissements, notamment sur la transition énergétique et vers une économie à faible intensité de carbone.</w:t>
      </w:r>
    </w:p>
    <w:p w14:paraId="36DBAEFD" w14:textId="77777777" w:rsidR="000D1388" w:rsidRPr="009D65D8" w:rsidRDefault="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24D4E512" w14:textId="77777777" w:rsidR="000D1388" w:rsidRPr="009D65D8" w:rsidRDefault="00E71057">
      <w:pPr>
        <w:spacing w:before="120" w:after="120"/>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A.1.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1664B01E" w14:textId="77777777" w:rsidR="000D1388" w:rsidRPr="009D65D8" w:rsidRDefault="00E71057">
      <w:pPr>
        <w:tabs>
          <w:tab w:val="left" w:pos="6525"/>
        </w:tabs>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R-1.01: «Régime amélioré de subventions énergétiques» de la Région flamande</w:t>
      </w:r>
    </w:p>
    <w:p w14:paraId="2FC53ACD" w14:textId="77777777" w:rsidR="000D1388" w:rsidRPr="009D65D8" w:rsidRDefault="00E71057">
      <w:pPr>
        <w:tabs>
          <w:tab w:val="left" w:pos="6525"/>
        </w:tabs>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themeColor="text1"/>
          <w:sz w:val="24"/>
        </w:rPr>
        <w:t>La mesure se compose de trois sous-réformes et de trois sous-investissements dont l’objectif global est de proposer des incitations à la rénovation plus efficaces et d’accélérer les investissements privés en matière d’efficacité énergétique en Flandre. La sous-réforme i) prévoit la création d’un guichet unique, un mécanisme régional unique permettant l’octroi de subventions pour les rénovations résidentielles et privés en faveur de l’efficacité énergétique et des énergies renouvelables réalisées par des entrepreneurs de bâtiments à partir de juillet 2022. La sous-réforme ii) couvre la révision du système d’octroi du label énergétique afin de soutenir les travaux de rénovation énergétique. La sous-réforme iii) comprend la révision du système d’aide à la rénovation pour les batteries domestiques et les appareils de contrôle intelligent des pompes à chaleur, des chaudières électriques et du chauffage par accumulation. Ces trois sous-réformes devraient entrer en vigueur au plus tard le 1</w:t>
      </w:r>
      <w:r>
        <w:rPr>
          <w:rFonts w:ascii="Times New Roman" w:hAnsi="Times New Roman"/>
          <w:noProof/>
          <w:color w:val="000000" w:themeColor="text1"/>
          <w:sz w:val="24"/>
          <w:vertAlign w:val="superscript"/>
        </w:rPr>
        <w:t>er</w:t>
      </w:r>
      <w:r>
        <w:rPr>
          <w:rFonts w:ascii="Times New Roman" w:hAnsi="Times New Roman"/>
          <w:noProof/>
          <w:color w:val="000000" w:themeColor="text1"/>
          <w:sz w:val="24"/>
        </w:rPr>
        <w:t> avril 2022. La réforme s’accompagne de trois sous-investissements dans le cadre de l’investissement 1A: i) subventions en faveur de l’efficacité énergétique et de l’énergie renouvelable ainsi que subventions par groupes cibles pour les logements privés, accompagnant la sous-réforme i); ii) soutien, au moyen du système d’octroi de label énergétique, aux travaux de rénovation énergétique des logements privés, accompagnant la sous-réforme ii); iii) subventions en faveur des batteries domestiques pour les logements privés, accompagnant la sous-réforme iii).</w:t>
      </w:r>
    </w:p>
    <w:p w14:paraId="3C6DA463" w14:textId="77777777" w:rsidR="000D1388" w:rsidRPr="009D65D8" w:rsidRDefault="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R-1.02: «Régime amélioré de subventions énergétiques» de la Région de Bruxelles-Capitale,</w:t>
      </w:r>
    </w:p>
    <w:p w14:paraId="5548429B" w14:textId="77777777" w:rsidR="000D1388" w:rsidRPr="009D65D8" w:rsidRDefault="00E71057">
      <w:pPr>
        <w:widowControl w:val="0"/>
        <w:spacing w:before="120" w:after="120" w:line="240" w:lineRule="auto"/>
        <w:jc w:val="both"/>
        <w:rPr>
          <w:rFonts w:ascii="Times New Roman" w:eastAsia="Arial" w:hAnsi="Times New Roman" w:cs="Times New Roman"/>
          <w:noProof/>
          <w:sz w:val="24"/>
          <w:szCs w:val="24"/>
        </w:rPr>
      </w:pPr>
      <w:r>
        <w:rPr>
          <w:rFonts w:ascii="Times New Roman" w:hAnsi="Times New Roman"/>
          <w:noProof/>
          <w:color w:val="000000"/>
          <w:sz w:val="24"/>
        </w:rPr>
        <w:t>Cette réforme consiste à réformer les bonus primes énergie et les primes à la rénovation de logement et à les fusionner en un mécanisme régional unique pour les particuliers dès 2022. Grâce au système unifié, les citoyens auront une vue plus claire du montant auquel ils peuvent prétendre pour leurs travaux de rénovation et bénéficieront d’une simplification des démarches administratives à effectuer pour obtenir un soutien financier via les primes régionales. Un seul portail régional web renseignera les demandeurs sur les primes disponibles et il n’existera plus qu’une procédure numérisée pour le citoyen. Un investissement d’accompagnement dans le cadre de l’investissement 1A soutient les travaux de rénovation énergétique. Le règlement réformant les régimes de subventions énergétiques pour les rénovations résidentielles et privées dans la Région de Bruxelles-Capitale devrait entrer en vigueur au plus tard le 31 mars 2022.</w:t>
      </w:r>
    </w:p>
    <w:p w14:paraId="50300994" w14:textId="77777777" w:rsidR="000D1388" w:rsidRPr="009D65D8" w:rsidRDefault="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R-1.03: «Régime amélioré de subventions énergétiques» de la Communauté germanophone</w:t>
      </w:r>
    </w:p>
    <w:p w14:paraId="5DEC415D" w14:textId="77777777" w:rsidR="000D1388" w:rsidRPr="009D65D8" w:rsidRDefault="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La mesure introduira un nouveau système de primes énergétiques en Communauté germanophone à partir de juillet 2021.</w:t>
      </w:r>
      <w:r>
        <w:rPr>
          <w:rFonts w:ascii="Times New Roman" w:hAnsi="Times New Roman"/>
          <w:noProof/>
          <w:sz w:val="24"/>
        </w:rPr>
        <w:t xml:space="preserve"> Le projet de primes </w:t>
      </w:r>
      <w:r>
        <w:rPr>
          <w:rFonts w:ascii="Times New Roman" w:hAnsi="Times New Roman"/>
          <w:noProof/>
          <w:color w:val="000000"/>
          <w:sz w:val="24"/>
        </w:rPr>
        <w:t xml:space="preserve">vise notamment à créer des incitants à la mise en œuvre de mesures d’économie d’énergie et de réduction des émissions de dioxyde de carbone pour les immeubles d’habitation existants en Communauté germanophone. </w:t>
      </w:r>
      <w:r>
        <w:rPr>
          <w:rFonts w:ascii="Times New Roman" w:hAnsi="Times New Roman"/>
          <w:noProof/>
          <w:sz w:val="24"/>
        </w:rPr>
        <w:t xml:space="preserve">La réforme vise la distinction entre les petits travaux, permettant un accès simplifié aux primes, et les grands travaux, qui, eux, demanderont des démarches administratives plus détaillées. </w:t>
      </w:r>
      <w:r>
        <w:rPr>
          <w:rFonts w:ascii="Times New Roman" w:hAnsi="Times New Roman"/>
          <w:noProof/>
          <w:color w:val="000000"/>
          <w:sz w:val="24"/>
        </w:rPr>
        <w:t>Le règlement réformant les régimes de subventions énergétiques pour les rénovations résidentielles et privées en Communauté germanophone entre en vigueur au plus tard le 31 mars 2022.</w:t>
      </w:r>
    </w:p>
    <w:p w14:paraId="4B947B61" w14:textId="77777777" w:rsidR="000D1388" w:rsidRPr="009D65D8" w:rsidRDefault="00E71057">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1A dans la «Rénovation de logements privés» (I-1A)</w:t>
      </w:r>
    </w:p>
    <w:p w14:paraId="1A4E15FA" w14:textId="77777777" w:rsidR="000D1388" w:rsidRPr="009D65D8" w:rsidRDefault="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 xml:space="preserve">L’investissement vise à stimuler les travaux de rénovation énergétique des logements privés et sociaux. </w:t>
      </w:r>
    </w:p>
    <w:p w14:paraId="40ADD436"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I-1.01: «Rénovation des logements sociaux» de la Région flamande,</w:t>
      </w:r>
    </w:p>
    <w:p w14:paraId="67B304E4" w14:textId="77777777" w:rsidR="000D1388" w:rsidRPr="009D65D8" w:rsidRDefault="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Cette mesure vise à stimuler et à accélérer la rénovation énergétique des logements sociaux en Région flamande. Elle consiste en une montée en charge des aides au logement social.</w:t>
      </w:r>
    </w:p>
    <w:p w14:paraId="59CF8089"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I-1.02: «Rénovation des logements sociaux» de la Région de Bruxelles-Capitale,</w:t>
      </w:r>
    </w:p>
    <w:p w14:paraId="0882DC38"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themeColor="text1"/>
          <w:sz w:val="24"/>
        </w:rPr>
        <w:t>Cette mesure vise à accélérer la rénovation énergétique des logements sociaux de la Région de Bruxelles-Capitale. Elle porte sur la rénovation de logements sociaux dans la Région de Bruxelles-Capitale.</w:t>
      </w:r>
    </w:p>
    <w:p w14:paraId="1F46F8A8"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I-1.03: «Rénovation des logements sociaux» de la Communauté germanophone</w:t>
      </w:r>
    </w:p>
    <w:p w14:paraId="00BE143C" w14:textId="77777777" w:rsidR="000D1388" w:rsidRPr="009D65D8" w:rsidRDefault="00E71057">
      <w:pPr>
        <w:tabs>
          <w:tab w:val="left" w:pos="6525"/>
        </w:tabs>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Cette mesure vise à accélérer la rénovation énergétique des logements sociaux de la Communauté germanophone. Elle consiste en des aides à la rénovation des logements sociaux de la Communauté germanophone.</w:t>
      </w:r>
    </w:p>
    <w:p w14:paraId="171AF50D" w14:textId="0C31FA88" w:rsidR="000D1388" w:rsidRPr="009D65D8" w:rsidRDefault="00E71057">
      <w:pPr>
        <w:tabs>
          <w:tab w:val="left" w:pos="6525"/>
        </w:tabs>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1B: «Rénovation de bâtiments» (I-1B)</w:t>
      </w:r>
    </w:p>
    <w:p w14:paraId="0037B07F"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themeColor="text1"/>
          <w:sz w:val="24"/>
        </w:rPr>
        <w:t xml:space="preserve">Cette mesure vise à rénover et à améliorer l’efficacité énergétique de bâtiments. Elle porte sur la rénovation de bâtiments. </w:t>
      </w:r>
    </w:p>
    <w:p w14:paraId="737A9CA9" w14:textId="77777777" w:rsidR="000D1388" w:rsidRPr="009D65D8" w:rsidRDefault="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I-1.04: «Rénovation des bâtiments publics» de l’État fédéral</w:t>
      </w:r>
    </w:p>
    <w:p w14:paraId="41D90182" w14:textId="77777777" w:rsidR="000D1388" w:rsidRPr="009D65D8" w:rsidRDefault="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La mesure d’investissement prévoit la rénovation énergétique du bâtiment du Palais de la Bourse de Bruxelles. Cette rénovation peut également être soutenue par d’autres fonds de l’UE. Les travaux de rénovation énergétique soutenus par la FRR et spécifiés dans le bon de commande devraient réduire en moyenne d’au moins 30 % la consommation d’énergie primaire, conformément à la recommandation (UE) 2019/786 de la Commission sur la rénovation des bâtiments. La mise en œuvre de la mesure devrait être achevée au plus tard le 30 juin 2024.</w:t>
      </w:r>
    </w:p>
    <w:p w14:paraId="3D1BBD75"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I-1.05: «Rénovation de bâtiments» en Région flamande</w:t>
      </w:r>
    </w:p>
    <w:p w14:paraId="6C3FF430"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color w:val="000000" w:themeColor="text1"/>
          <w:sz w:val="24"/>
        </w:rPr>
        <w:t>Cette mesure vise à</w:t>
      </w:r>
      <w:r>
        <w:rPr>
          <w:rFonts w:ascii="Times New Roman" w:hAnsi="Times New Roman"/>
          <w:noProof/>
          <w:sz w:val="24"/>
        </w:rPr>
        <w:t xml:space="preserve"> accélérer la rénovation énergétique de bâtiments. Elle consiste à rénover des bâtiments en Région flamande. </w:t>
      </w:r>
    </w:p>
    <w:p w14:paraId="6C87C89A" w14:textId="40A97053" w:rsidR="000D1388" w:rsidRPr="009D65D8" w:rsidRDefault="2D25A962"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u w:val="single"/>
        </w:rPr>
        <w:t>Investissement I-1.07: «Rénovation de bâtiments» (Région wallonne)</w:t>
      </w:r>
    </w:p>
    <w:p w14:paraId="30279CD4" w14:textId="244904B6" w:rsidR="000D1388" w:rsidRPr="009D65D8" w:rsidRDefault="2D25A962"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Cette mesure vise à améliorer la performance énergétique de bâtiments en Région wallonne. Elle porte sur la rénovation de bâtiments.</w:t>
      </w:r>
    </w:p>
    <w:p w14:paraId="7AB8459B" w14:textId="3F470049" w:rsidR="000D1388" w:rsidRPr="009D65D8" w:rsidRDefault="2D25A962" w:rsidP="00E71057">
      <w:pPr>
        <w:spacing w:before="120" w:after="120" w:line="240" w:lineRule="auto"/>
        <w:jc w:val="both"/>
        <w:rPr>
          <w:noProof/>
        </w:rPr>
      </w:pPr>
      <w:r>
        <w:rPr>
          <w:rFonts w:ascii="Times New Roman" w:hAnsi="Times New Roman"/>
          <w:noProof/>
          <w:color w:val="000000" w:themeColor="text1"/>
          <w:sz w:val="24"/>
          <w:u w:val="single"/>
        </w:rPr>
        <w:t>Investissement I-1.08: «Rénovation de bâtiments» (Région de Bruxelles-Capitale)</w:t>
      </w:r>
    </w:p>
    <w:p w14:paraId="0A534E49" w14:textId="5266D80F" w:rsidR="000D1388" w:rsidRPr="009D65D8" w:rsidRDefault="2D25A962" w:rsidP="00E71057">
      <w:pPr>
        <w:spacing w:before="120" w:after="120" w:line="240" w:lineRule="auto"/>
        <w:jc w:val="both"/>
        <w:rPr>
          <w:rFonts w:ascii="Times New Roman" w:eastAsia="Times New Roman" w:hAnsi="Times New Roman" w:cs="Times New Roman"/>
          <w:noProof/>
          <w:sz w:val="24"/>
          <w:szCs w:val="24"/>
        </w:rPr>
      </w:pPr>
      <w:bookmarkStart w:id="6" w:name="_Hlk228398577"/>
      <w:r>
        <w:rPr>
          <w:rFonts w:ascii="Times New Roman" w:hAnsi="Times New Roman"/>
          <w:noProof/>
          <w:sz w:val="24"/>
        </w:rPr>
        <w:t xml:space="preserve">Cette mesure vise à accélérer la rénovation énergétique de bâtiments dans la Région de Bruxelles-Capitale. Elle </w:t>
      </w:r>
      <w:r>
        <w:rPr>
          <w:rFonts w:ascii="Times New Roman" w:hAnsi="Times New Roman"/>
          <w:noProof/>
          <w:color w:val="000000" w:themeColor="text1"/>
          <w:sz w:val="24"/>
        </w:rPr>
        <w:t>porte sur la rénovation de bâtiments.</w:t>
      </w:r>
    </w:p>
    <w:p w14:paraId="38EF0D7A" w14:textId="5BFFDEBD" w:rsidR="000D1388" w:rsidRPr="009D65D8" w:rsidRDefault="2D25A962" w:rsidP="715659F5">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u w:val="single"/>
        </w:rPr>
        <w:t xml:space="preserve">Investissement I-1.09: </w:t>
      </w:r>
      <w:r>
        <w:rPr>
          <w:rStyle w:val="normaltextrun"/>
          <w:rFonts w:ascii="Times New Roman" w:hAnsi="Times New Roman"/>
          <w:noProof/>
          <w:color w:val="000000" w:themeColor="text1"/>
          <w:sz w:val="24"/>
          <w:u w:val="single"/>
        </w:rPr>
        <w:t>«Rénovation de bâtiments (Communauté française)</w:t>
      </w:r>
      <w:bookmarkEnd w:id="1"/>
    </w:p>
    <w:p w14:paraId="27CF3FB6" w14:textId="774608FF" w:rsidR="1309E42E" w:rsidRPr="00557A3B" w:rsidRDefault="1309E42E" w:rsidP="00EB7B3E">
      <w:pPr>
        <w:pStyle w:val="paragraph"/>
        <w:spacing w:before="0" w:beforeAutospacing="0" w:after="0" w:afterAutospacing="0"/>
        <w:jc w:val="both"/>
        <w:textAlignment w:val="baseline"/>
        <w:rPr>
          <w:rStyle w:val="normaltextrun"/>
          <w:rFonts w:eastAsiaTheme="majorEastAsia"/>
          <w:noProof/>
          <w:color w:val="000000" w:themeColor="text1"/>
        </w:rPr>
      </w:pPr>
      <w:r>
        <w:rPr>
          <w:rStyle w:val="normaltextrun"/>
          <w:noProof/>
          <w:color w:val="000000" w:themeColor="text1"/>
        </w:rPr>
        <w:t>Cette mesure vise à améliorer la performance énergétique de différents bâtiments dans les domaines de l’éducation, du sport, de la jeunesse et de la culture. Elle porte sur la rénovation ou la construction de bâtiments.</w:t>
      </w:r>
    </w:p>
    <w:p w14:paraId="3616EA6A" w14:textId="0B43ABCD" w:rsidR="715659F5" w:rsidRPr="00557A3B" w:rsidRDefault="715659F5" w:rsidP="715659F5">
      <w:pPr>
        <w:spacing w:before="120" w:after="120" w:line="240" w:lineRule="auto"/>
        <w:jc w:val="both"/>
        <w:rPr>
          <w:rFonts w:ascii="Times New Roman" w:eastAsia="Aptos" w:hAnsi="Times New Roman" w:cs="Times New Roman"/>
          <w:noProof/>
          <w:color w:val="000000" w:themeColor="text1"/>
          <w:sz w:val="24"/>
          <w:szCs w:val="24"/>
          <w:highlight w:val="yellow"/>
        </w:rPr>
        <w:sectPr w:rsidR="715659F5" w:rsidRPr="00557A3B" w:rsidSect="00862696">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pgNumType w:start="1"/>
          <w:cols w:space="720"/>
          <w:docGrid w:linePitch="360"/>
        </w:sectPr>
      </w:pPr>
    </w:p>
    <w:p w14:paraId="77CCA4A8" w14:textId="77777777" w:rsidR="000D1388" w:rsidRDefault="00E71057">
      <w:pPr>
        <w:spacing w:before="120" w:after="120" w:line="240" w:lineRule="auto"/>
        <w:jc w:val="both"/>
        <w:rPr>
          <w:rFonts w:ascii="Times New Roman" w:eastAsia="Calibri" w:hAnsi="Times New Roman" w:cs="Times New Roman"/>
          <w:b/>
          <w:noProof/>
          <w:sz w:val="24"/>
          <w:u w:val="single"/>
        </w:rPr>
      </w:pPr>
      <w:bookmarkStart w:id="7" w:name="_Hlk228398481"/>
      <w:bookmarkEnd w:id="2"/>
      <w:r>
        <w:rPr>
          <w:rFonts w:ascii="Times New Roman" w:hAnsi="Times New Roman"/>
          <w:b/>
          <w:noProof/>
          <w:sz w:val="24"/>
          <w:u w:val="single"/>
        </w:rPr>
        <w:t xml:space="preserve">A.2.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275"/>
        <w:gridCol w:w="1560"/>
        <w:gridCol w:w="1417"/>
        <w:gridCol w:w="1276"/>
        <w:gridCol w:w="1134"/>
        <w:gridCol w:w="992"/>
        <w:gridCol w:w="1134"/>
        <w:gridCol w:w="851"/>
        <w:gridCol w:w="3479"/>
      </w:tblGrid>
      <w:tr w:rsidR="00D471F7" w:rsidRPr="00244E9F" w14:paraId="31EA1285" w14:textId="77777777" w:rsidTr="00102E7A">
        <w:trPr>
          <w:trHeight w:val="927"/>
          <w:tblHeader/>
          <w:jc w:val="center"/>
        </w:trPr>
        <w:tc>
          <w:tcPr>
            <w:tcW w:w="1129" w:type="dxa"/>
            <w:vMerge w:val="restart"/>
            <w:shd w:val="clear" w:color="auto" w:fill="BDD7EE"/>
            <w:vAlign w:val="center"/>
            <w:hideMark/>
          </w:tcPr>
          <w:p w14:paraId="00D5CA4E"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24BEBCD3"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275" w:type="dxa"/>
            <w:vMerge w:val="restart"/>
            <w:shd w:val="clear" w:color="auto" w:fill="BDD7EE"/>
            <w:vAlign w:val="center"/>
            <w:hideMark/>
          </w:tcPr>
          <w:p w14:paraId="445E9DC1"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60" w:type="dxa"/>
            <w:vMerge w:val="restart"/>
            <w:shd w:val="clear" w:color="auto" w:fill="BDD7EE"/>
            <w:vAlign w:val="center"/>
            <w:hideMark/>
          </w:tcPr>
          <w:p w14:paraId="7CD6D5CE"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417" w:type="dxa"/>
            <w:vMerge w:val="restart"/>
            <w:shd w:val="clear" w:color="auto" w:fill="BDD7EE"/>
            <w:vAlign w:val="center"/>
            <w:hideMark/>
          </w:tcPr>
          <w:p w14:paraId="58D53C84"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qualitatifs</w:t>
            </w:r>
            <w:r>
              <w:rPr>
                <w:rFonts w:ascii="Times New Roman" w:hAnsi="Times New Roman"/>
                <w:noProof/>
                <w:sz w:val="20"/>
              </w:rPr>
              <w:br/>
            </w:r>
            <w:r>
              <w:rPr>
                <w:rFonts w:ascii="Times New Roman" w:hAnsi="Times New Roman"/>
                <w:b/>
                <w:noProof/>
                <w:sz w:val="20"/>
              </w:rPr>
              <w:t>(pour les jalons)</w:t>
            </w:r>
          </w:p>
        </w:tc>
        <w:tc>
          <w:tcPr>
            <w:tcW w:w="3402" w:type="dxa"/>
            <w:gridSpan w:val="3"/>
            <w:shd w:val="clear" w:color="auto" w:fill="BDD7EE"/>
            <w:vAlign w:val="center"/>
            <w:hideMark/>
          </w:tcPr>
          <w:p w14:paraId="077F7763"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quantitatifs</w:t>
            </w:r>
            <w:r>
              <w:rPr>
                <w:rFonts w:ascii="Times New Roman" w:hAnsi="Times New Roman"/>
                <w:noProof/>
                <w:sz w:val="20"/>
              </w:rPr>
              <w:br/>
            </w:r>
            <w:r>
              <w:rPr>
                <w:rFonts w:ascii="Times New Roman" w:hAnsi="Times New Roman"/>
                <w:b/>
                <w:noProof/>
                <w:sz w:val="20"/>
              </w:rPr>
              <w:t>(pour les cibles)</w:t>
            </w:r>
          </w:p>
        </w:tc>
        <w:tc>
          <w:tcPr>
            <w:tcW w:w="1985" w:type="dxa"/>
            <w:gridSpan w:val="2"/>
            <w:shd w:val="clear" w:color="auto" w:fill="BDD7EE"/>
            <w:vAlign w:val="center"/>
            <w:hideMark/>
          </w:tcPr>
          <w:p w14:paraId="4013C5DD"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479" w:type="dxa"/>
            <w:vMerge w:val="restart"/>
            <w:shd w:val="clear" w:color="auto" w:fill="BDD7EE"/>
            <w:vAlign w:val="center"/>
            <w:hideMark/>
          </w:tcPr>
          <w:p w14:paraId="519A9244"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E71057" w:rsidRPr="00244E9F" w14:paraId="78DFB50B" w14:textId="77777777" w:rsidTr="00102E7A">
        <w:trPr>
          <w:trHeight w:val="1013"/>
          <w:jc w:val="center"/>
        </w:trPr>
        <w:tc>
          <w:tcPr>
            <w:tcW w:w="1129" w:type="dxa"/>
            <w:vMerge/>
            <w:vAlign w:val="center"/>
            <w:hideMark/>
          </w:tcPr>
          <w:p w14:paraId="7BD54DA8" w14:textId="77777777" w:rsidR="000D1388" w:rsidRPr="00746A1A" w:rsidRDefault="000D1388">
            <w:pPr>
              <w:spacing w:after="0"/>
              <w:jc w:val="center"/>
              <w:rPr>
                <w:rFonts w:ascii="Times New Roman" w:eastAsia="Times New Roman" w:hAnsi="Times New Roman" w:cs="Times New Roman"/>
                <w:b/>
                <w:bCs/>
                <w:noProof/>
                <w:sz w:val="20"/>
                <w:szCs w:val="20"/>
                <w:lang w:val="fr-BE" w:eastAsia="en-GB"/>
              </w:rPr>
            </w:pPr>
          </w:p>
        </w:tc>
        <w:tc>
          <w:tcPr>
            <w:tcW w:w="1560" w:type="dxa"/>
            <w:vMerge/>
            <w:vAlign w:val="center"/>
            <w:hideMark/>
          </w:tcPr>
          <w:p w14:paraId="411121F7"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275" w:type="dxa"/>
            <w:vMerge/>
            <w:vAlign w:val="center"/>
            <w:hideMark/>
          </w:tcPr>
          <w:p w14:paraId="4950C4FD"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3AA209F5"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417" w:type="dxa"/>
            <w:vMerge/>
            <w:vAlign w:val="center"/>
            <w:hideMark/>
          </w:tcPr>
          <w:p w14:paraId="7564D2FE"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276" w:type="dxa"/>
            <w:shd w:val="clear" w:color="auto" w:fill="BDD7EE"/>
            <w:vAlign w:val="center"/>
            <w:hideMark/>
          </w:tcPr>
          <w:p w14:paraId="37FF560E"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34" w:type="dxa"/>
            <w:shd w:val="clear" w:color="auto" w:fill="BDD7EE"/>
            <w:vAlign w:val="center"/>
            <w:hideMark/>
          </w:tcPr>
          <w:p w14:paraId="5995339F"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2" w:type="dxa"/>
            <w:shd w:val="clear" w:color="auto" w:fill="BDD7EE"/>
            <w:vAlign w:val="center"/>
            <w:hideMark/>
          </w:tcPr>
          <w:p w14:paraId="4BEA411D"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shd w:val="clear" w:color="auto" w:fill="BDD7EE"/>
            <w:vAlign w:val="center"/>
            <w:hideMark/>
          </w:tcPr>
          <w:p w14:paraId="74D0D404"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tcPr>
          <w:p w14:paraId="0A629F88"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479" w:type="dxa"/>
            <w:vMerge/>
            <w:vAlign w:val="center"/>
          </w:tcPr>
          <w:p w14:paraId="048EE479" w14:textId="77777777" w:rsidR="000D1388" w:rsidRPr="00244E9F" w:rsidRDefault="000D1388">
            <w:pPr>
              <w:spacing w:after="0"/>
              <w:rPr>
                <w:rFonts w:ascii="Times New Roman" w:eastAsia="Times New Roman" w:hAnsi="Times New Roman" w:cs="Times New Roman"/>
                <w:b/>
                <w:bCs/>
                <w:noProof/>
                <w:sz w:val="20"/>
                <w:szCs w:val="20"/>
                <w:lang w:val="en-GB" w:eastAsia="en-GB"/>
              </w:rPr>
            </w:pPr>
          </w:p>
        </w:tc>
      </w:tr>
      <w:tr w:rsidR="00D471F7" w:rsidRPr="00244E9F" w14:paraId="6EF7A4A4" w14:textId="77777777" w:rsidTr="00102E7A">
        <w:trPr>
          <w:trHeight w:val="309"/>
          <w:jc w:val="center"/>
        </w:trPr>
        <w:tc>
          <w:tcPr>
            <w:tcW w:w="1129" w:type="dxa"/>
            <w:shd w:val="clear" w:color="auto" w:fill="C6EFCE"/>
            <w:noWrap/>
            <w:vAlign w:val="center"/>
          </w:tcPr>
          <w:p w14:paraId="393164F4" w14:textId="77777777" w:rsidR="000D1388" w:rsidRPr="00E5698E" w:rsidRDefault="00E71057">
            <w:pPr>
              <w:spacing w:after="0"/>
              <w:jc w:val="center"/>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1</w:t>
            </w:r>
          </w:p>
        </w:tc>
        <w:tc>
          <w:tcPr>
            <w:tcW w:w="1560" w:type="dxa"/>
            <w:shd w:val="clear" w:color="auto" w:fill="C6EFCE"/>
            <w:noWrap/>
            <w:vAlign w:val="center"/>
          </w:tcPr>
          <w:p w14:paraId="36FAA528"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Régime amélioré de subventions énergétiques de la Région flamande (R-1.01)</w:t>
            </w:r>
          </w:p>
        </w:tc>
        <w:tc>
          <w:tcPr>
            <w:tcW w:w="1275" w:type="dxa"/>
            <w:shd w:val="clear" w:color="auto" w:fill="C6EFCE"/>
            <w:noWrap/>
            <w:vAlign w:val="center"/>
          </w:tcPr>
          <w:p w14:paraId="489EB211"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J</w:t>
            </w:r>
          </w:p>
        </w:tc>
        <w:tc>
          <w:tcPr>
            <w:tcW w:w="1560" w:type="dxa"/>
            <w:shd w:val="clear" w:color="auto" w:fill="C6EFCE"/>
            <w:noWrap/>
            <w:vAlign w:val="center"/>
          </w:tcPr>
          <w:p w14:paraId="0B221B68"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Régimes améliorés de subventions énergétiques en Flandre</w:t>
            </w:r>
          </w:p>
        </w:tc>
        <w:tc>
          <w:tcPr>
            <w:tcW w:w="1417" w:type="dxa"/>
            <w:shd w:val="clear" w:color="auto" w:fill="C6EFCE"/>
            <w:noWrap/>
            <w:vAlign w:val="center"/>
          </w:tcPr>
          <w:p w14:paraId="36822778"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Publication au Moniteur belge</w:t>
            </w:r>
          </w:p>
        </w:tc>
        <w:tc>
          <w:tcPr>
            <w:tcW w:w="1276" w:type="dxa"/>
            <w:shd w:val="clear" w:color="auto" w:fill="C6EFCE"/>
            <w:noWrap/>
            <w:vAlign w:val="center"/>
          </w:tcPr>
          <w:p w14:paraId="3A30F365"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w:t>
            </w:r>
          </w:p>
        </w:tc>
        <w:tc>
          <w:tcPr>
            <w:tcW w:w="1134" w:type="dxa"/>
            <w:shd w:val="clear" w:color="auto" w:fill="C6EFCE"/>
            <w:noWrap/>
            <w:vAlign w:val="center"/>
          </w:tcPr>
          <w:p w14:paraId="02F64A81" w14:textId="77777777" w:rsidR="000D1388" w:rsidRPr="00E5698E" w:rsidRDefault="00E71057" w:rsidP="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w:t>
            </w:r>
          </w:p>
        </w:tc>
        <w:tc>
          <w:tcPr>
            <w:tcW w:w="992" w:type="dxa"/>
            <w:shd w:val="clear" w:color="auto" w:fill="C6EFCE"/>
            <w:noWrap/>
            <w:vAlign w:val="center"/>
          </w:tcPr>
          <w:p w14:paraId="3D94DE0D" w14:textId="77777777" w:rsidR="000D1388" w:rsidRPr="00E5698E" w:rsidRDefault="00E71057" w:rsidP="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w:t>
            </w:r>
          </w:p>
        </w:tc>
        <w:tc>
          <w:tcPr>
            <w:tcW w:w="1134" w:type="dxa"/>
            <w:shd w:val="clear" w:color="auto" w:fill="C6EFCE"/>
            <w:noWrap/>
            <w:vAlign w:val="center"/>
          </w:tcPr>
          <w:p w14:paraId="1317727E"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T1</w:t>
            </w:r>
          </w:p>
        </w:tc>
        <w:tc>
          <w:tcPr>
            <w:tcW w:w="851" w:type="dxa"/>
            <w:shd w:val="clear" w:color="auto" w:fill="C6EFCE"/>
            <w:noWrap/>
            <w:vAlign w:val="center"/>
          </w:tcPr>
          <w:p w14:paraId="0590071F"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2022</w:t>
            </w:r>
          </w:p>
        </w:tc>
        <w:tc>
          <w:tcPr>
            <w:tcW w:w="3479" w:type="dxa"/>
            <w:shd w:val="clear" w:color="auto" w:fill="C6EFCE"/>
            <w:noWrap/>
            <w:vAlign w:val="center"/>
          </w:tcPr>
          <w:p w14:paraId="016DDE59"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Adoption par le gouvernement/Parlement flamand du nouveau règlement proposant des incitations plus efficaces pour accélérer les investissements privés en matière d’efficacité énergétique: i) création d’un guichet unique pour les rénovations résidentielles et privées en faveur de l’efficacité énergétique et des énergies renouvelables réalisées par des entrepreneurs de bâtiments, sous la forme d’un mécanisme régional unique, ii) révision du système d’octroi du label énergétique et iii) introduction du régime pour les batteries domestiques et les appareils de contrôle intelligent.</w:t>
            </w:r>
          </w:p>
        </w:tc>
      </w:tr>
      <w:tr w:rsidR="00D471F7" w:rsidRPr="00244E9F" w14:paraId="0D3DEE66" w14:textId="77777777" w:rsidTr="00102E7A">
        <w:trPr>
          <w:trHeight w:val="309"/>
          <w:jc w:val="center"/>
        </w:trPr>
        <w:tc>
          <w:tcPr>
            <w:tcW w:w="1129" w:type="dxa"/>
            <w:shd w:val="clear" w:color="auto" w:fill="C6EFCE"/>
            <w:noWrap/>
            <w:vAlign w:val="center"/>
          </w:tcPr>
          <w:p w14:paraId="2D741D25" w14:textId="77777777" w:rsidR="000D1388" w:rsidRPr="00E5698E" w:rsidRDefault="00E71057">
            <w:pPr>
              <w:spacing w:after="0"/>
              <w:jc w:val="center"/>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2</w:t>
            </w:r>
          </w:p>
        </w:tc>
        <w:tc>
          <w:tcPr>
            <w:tcW w:w="1560" w:type="dxa"/>
            <w:shd w:val="clear" w:color="auto" w:fill="C6EFCE"/>
            <w:noWrap/>
            <w:vAlign w:val="center"/>
          </w:tcPr>
          <w:p w14:paraId="5A8ED34E"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Régime amélioré de subventions énergétiques de la Région de Bruxelles-Capitale (R-1.02)</w:t>
            </w:r>
          </w:p>
        </w:tc>
        <w:tc>
          <w:tcPr>
            <w:tcW w:w="1275" w:type="dxa"/>
            <w:shd w:val="clear" w:color="auto" w:fill="C6EFCE"/>
            <w:noWrap/>
            <w:vAlign w:val="center"/>
          </w:tcPr>
          <w:p w14:paraId="344D4063"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J</w:t>
            </w:r>
          </w:p>
        </w:tc>
        <w:tc>
          <w:tcPr>
            <w:tcW w:w="1560" w:type="dxa"/>
            <w:shd w:val="clear" w:color="auto" w:fill="C6EFCE"/>
            <w:noWrap/>
            <w:vAlign w:val="center"/>
          </w:tcPr>
          <w:p w14:paraId="12ABE2C5"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Entrée en vigueur du nouveau règlement sur les régimes de subventions énergétiques à Bruxelles</w:t>
            </w:r>
          </w:p>
        </w:tc>
        <w:tc>
          <w:tcPr>
            <w:tcW w:w="1417" w:type="dxa"/>
            <w:shd w:val="clear" w:color="auto" w:fill="C6EFCE"/>
            <w:noWrap/>
            <w:vAlign w:val="center"/>
          </w:tcPr>
          <w:p w14:paraId="67275A02"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Disposition dans la législation indiquant l’entrée en vigueur du nouveau règlement</w:t>
            </w:r>
          </w:p>
        </w:tc>
        <w:tc>
          <w:tcPr>
            <w:tcW w:w="1276" w:type="dxa"/>
            <w:shd w:val="clear" w:color="auto" w:fill="C6EFCE"/>
            <w:noWrap/>
            <w:vAlign w:val="center"/>
          </w:tcPr>
          <w:p w14:paraId="6BB4F2A3"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w:t>
            </w:r>
          </w:p>
        </w:tc>
        <w:tc>
          <w:tcPr>
            <w:tcW w:w="1134" w:type="dxa"/>
            <w:shd w:val="clear" w:color="auto" w:fill="C6EFCE"/>
            <w:noWrap/>
            <w:vAlign w:val="center"/>
          </w:tcPr>
          <w:p w14:paraId="17CD5758" w14:textId="77777777" w:rsidR="000D1388" w:rsidRPr="00E5698E" w:rsidRDefault="00E71057" w:rsidP="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w:t>
            </w:r>
          </w:p>
        </w:tc>
        <w:tc>
          <w:tcPr>
            <w:tcW w:w="992" w:type="dxa"/>
            <w:shd w:val="clear" w:color="auto" w:fill="C6EFCE"/>
            <w:noWrap/>
            <w:vAlign w:val="center"/>
          </w:tcPr>
          <w:p w14:paraId="3B9C95D3" w14:textId="77777777" w:rsidR="000D1388" w:rsidRPr="00E5698E" w:rsidRDefault="00E71057" w:rsidP="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w:t>
            </w:r>
          </w:p>
        </w:tc>
        <w:tc>
          <w:tcPr>
            <w:tcW w:w="1134" w:type="dxa"/>
            <w:shd w:val="clear" w:color="auto" w:fill="C6EFCE"/>
            <w:noWrap/>
            <w:vAlign w:val="center"/>
          </w:tcPr>
          <w:p w14:paraId="012C84BE"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T1</w:t>
            </w:r>
          </w:p>
        </w:tc>
        <w:tc>
          <w:tcPr>
            <w:tcW w:w="851" w:type="dxa"/>
            <w:shd w:val="clear" w:color="auto" w:fill="C6EFCE"/>
            <w:noWrap/>
            <w:vAlign w:val="center"/>
          </w:tcPr>
          <w:p w14:paraId="23ED0C45"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2022</w:t>
            </w:r>
          </w:p>
        </w:tc>
        <w:tc>
          <w:tcPr>
            <w:tcW w:w="3479" w:type="dxa"/>
            <w:shd w:val="clear" w:color="auto" w:fill="C6EFCE"/>
            <w:noWrap/>
            <w:vAlign w:val="center"/>
          </w:tcPr>
          <w:p w14:paraId="57FC8317"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 xml:space="preserve">Entrée en vigueur du règlement réformant les régimes de subventions énergétiques pour les rénovations résidentielles et privées dans la Région de Bruxelles-Capitale </w:t>
            </w:r>
          </w:p>
        </w:tc>
      </w:tr>
      <w:tr w:rsidR="00D471F7" w:rsidRPr="00244E9F" w14:paraId="5E5206C3" w14:textId="77777777" w:rsidTr="00102E7A">
        <w:trPr>
          <w:trHeight w:val="309"/>
          <w:jc w:val="center"/>
        </w:trPr>
        <w:tc>
          <w:tcPr>
            <w:tcW w:w="1129" w:type="dxa"/>
            <w:shd w:val="clear" w:color="auto" w:fill="C6EFCE"/>
            <w:noWrap/>
            <w:vAlign w:val="center"/>
          </w:tcPr>
          <w:p w14:paraId="1BEF838B" w14:textId="77777777" w:rsidR="000D1388" w:rsidRPr="00E5698E" w:rsidRDefault="00E71057">
            <w:pPr>
              <w:spacing w:after="0"/>
              <w:jc w:val="center"/>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3</w:t>
            </w:r>
          </w:p>
        </w:tc>
        <w:tc>
          <w:tcPr>
            <w:tcW w:w="1560" w:type="dxa"/>
            <w:shd w:val="clear" w:color="auto" w:fill="C6EFCE"/>
            <w:noWrap/>
            <w:vAlign w:val="center"/>
          </w:tcPr>
          <w:p w14:paraId="4E961FB8" w14:textId="77777777" w:rsidR="000D1388" w:rsidRPr="00E5698E" w:rsidRDefault="00E71057">
            <w:pPr>
              <w:spacing w:after="0"/>
              <w:rPr>
                <w:rFonts w:ascii="Times New Roman" w:eastAsia="Calibri" w:hAnsi="Times New Roman" w:cs="Times New Roman"/>
                <w:noProof/>
                <w:color w:val="006100"/>
                <w:sz w:val="18"/>
                <w:szCs w:val="18"/>
              </w:rPr>
            </w:pPr>
            <w:r w:rsidRPr="00E5698E">
              <w:rPr>
                <w:rFonts w:ascii="Times New Roman" w:hAnsi="Times New Roman"/>
                <w:noProof/>
                <w:color w:val="006100"/>
                <w:sz w:val="18"/>
                <w:szCs w:val="18"/>
              </w:rPr>
              <w:t>Régime amélioré de subventions énergétiques de la Communauté germanophone (R-1.03)</w:t>
            </w:r>
          </w:p>
        </w:tc>
        <w:tc>
          <w:tcPr>
            <w:tcW w:w="1275" w:type="dxa"/>
            <w:shd w:val="clear" w:color="auto" w:fill="C6EFCE"/>
            <w:noWrap/>
            <w:vAlign w:val="center"/>
          </w:tcPr>
          <w:p w14:paraId="704BC6D5"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J</w:t>
            </w:r>
          </w:p>
        </w:tc>
        <w:tc>
          <w:tcPr>
            <w:tcW w:w="1560" w:type="dxa"/>
            <w:shd w:val="clear" w:color="auto" w:fill="C6EFCE"/>
            <w:noWrap/>
            <w:vAlign w:val="center"/>
          </w:tcPr>
          <w:p w14:paraId="2617D649"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Entrée en vigueur du nouveau règlement sur les régimes de subventions énergétiques en Communauté germanophone</w:t>
            </w:r>
          </w:p>
        </w:tc>
        <w:tc>
          <w:tcPr>
            <w:tcW w:w="1417" w:type="dxa"/>
            <w:shd w:val="clear" w:color="auto" w:fill="C6EFCE"/>
            <w:noWrap/>
            <w:vAlign w:val="center"/>
          </w:tcPr>
          <w:p w14:paraId="7B848090"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Disposition dans la législation indiquant l’entrée en vigueur du nouveau règlement</w:t>
            </w:r>
          </w:p>
        </w:tc>
        <w:tc>
          <w:tcPr>
            <w:tcW w:w="1276" w:type="dxa"/>
            <w:shd w:val="clear" w:color="auto" w:fill="C6EFCE"/>
            <w:noWrap/>
            <w:vAlign w:val="center"/>
          </w:tcPr>
          <w:p w14:paraId="2545108C"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w:t>
            </w:r>
          </w:p>
        </w:tc>
        <w:tc>
          <w:tcPr>
            <w:tcW w:w="1134" w:type="dxa"/>
            <w:shd w:val="clear" w:color="auto" w:fill="C6EFCE"/>
            <w:noWrap/>
            <w:vAlign w:val="center"/>
          </w:tcPr>
          <w:p w14:paraId="659884A1" w14:textId="77777777" w:rsidR="000D1388" w:rsidRPr="00E5698E" w:rsidRDefault="00E71057" w:rsidP="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w:t>
            </w:r>
          </w:p>
        </w:tc>
        <w:tc>
          <w:tcPr>
            <w:tcW w:w="992" w:type="dxa"/>
            <w:shd w:val="clear" w:color="auto" w:fill="C6EFCE"/>
            <w:noWrap/>
            <w:vAlign w:val="center"/>
          </w:tcPr>
          <w:p w14:paraId="2724F00D" w14:textId="77777777" w:rsidR="000D1388" w:rsidRPr="00E5698E" w:rsidRDefault="00E71057" w:rsidP="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w:t>
            </w:r>
          </w:p>
        </w:tc>
        <w:tc>
          <w:tcPr>
            <w:tcW w:w="1134" w:type="dxa"/>
            <w:shd w:val="clear" w:color="auto" w:fill="C6EFCE"/>
            <w:noWrap/>
            <w:vAlign w:val="center"/>
          </w:tcPr>
          <w:p w14:paraId="4F19FB36"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T1</w:t>
            </w:r>
          </w:p>
        </w:tc>
        <w:tc>
          <w:tcPr>
            <w:tcW w:w="851" w:type="dxa"/>
            <w:shd w:val="clear" w:color="auto" w:fill="C6EFCE"/>
            <w:noWrap/>
            <w:vAlign w:val="center"/>
          </w:tcPr>
          <w:p w14:paraId="32C73450"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2022</w:t>
            </w:r>
          </w:p>
        </w:tc>
        <w:tc>
          <w:tcPr>
            <w:tcW w:w="3479" w:type="dxa"/>
            <w:shd w:val="clear" w:color="auto" w:fill="C6EFCE"/>
            <w:noWrap/>
            <w:vAlign w:val="center"/>
          </w:tcPr>
          <w:p w14:paraId="1F2EB7E8" w14:textId="77777777" w:rsidR="000D1388" w:rsidRPr="00E5698E" w:rsidRDefault="00E71057">
            <w:pPr>
              <w:spacing w:after="0"/>
              <w:rPr>
                <w:rFonts w:ascii="Times New Roman" w:eastAsia="Times New Roman" w:hAnsi="Times New Roman" w:cs="Times New Roman"/>
                <w:noProof/>
                <w:color w:val="006100"/>
                <w:sz w:val="18"/>
                <w:szCs w:val="18"/>
              </w:rPr>
            </w:pPr>
            <w:r w:rsidRPr="00E5698E">
              <w:rPr>
                <w:rFonts w:ascii="Times New Roman" w:hAnsi="Times New Roman"/>
                <w:noProof/>
                <w:color w:val="006100"/>
                <w:sz w:val="18"/>
                <w:szCs w:val="18"/>
              </w:rPr>
              <w:t>Entrée en vigueur du règlement réformant les régimes de subventions énergétiques pour les rénovations résidentielles et privées en Communauté germanophone.</w:t>
            </w:r>
          </w:p>
        </w:tc>
      </w:tr>
      <w:tr w:rsidR="00D471F7" w:rsidRPr="00244E9F" w14:paraId="15FB793C" w14:textId="77777777" w:rsidTr="00102E7A">
        <w:trPr>
          <w:trHeight w:val="1550"/>
          <w:jc w:val="center"/>
        </w:trPr>
        <w:tc>
          <w:tcPr>
            <w:tcW w:w="1129" w:type="dxa"/>
            <w:shd w:val="clear" w:color="auto" w:fill="C6EFCE"/>
            <w:noWrap/>
            <w:vAlign w:val="center"/>
          </w:tcPr>
          <w:p w14:paraId="0BDA4B9F"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w:t>
            </w:r>
          </w:p>
        </w:tc>
        <w:tc>
          <w:tcPr>
            <w:tcW w:w="1560" w:type="dxa"/>
            <w:shd w:val="clear" w:color="auto" w:fill="C6EFCE"/>
            <w:noWrap/>
            <w:vAlign w:val="center"/>
          </w:tcPr>
          <w:p w14:paraId="5093D200"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 et sociaux (I-1A)</w:t>
            </w:r>
          </w:p>
        </w:tc>
        <w:tc>
          <w:tcPr>
            <w:tcW w:w="1275" w:type="dxa"/>
            <w:shd w:val="clear" w:color="auto" w:fill="C6EFCE"/>
            <w:noWrap/>
            <w:vAlign w:val="center"/>
          </w:tcPr>
          <w:p w14:paraId="51EC2F87"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60" w:type="dxa"/>
            <w:shd w:val="clear" w:color="auto" w:fill="C6EFCE"/>
            <w:noWrap/>
            <w:vAlign w:val="center"/>
          </w:tcPr>
          <w:p w14:paraId="6CE82C9A"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Rénovation de logements résidentiels privés et de logements sociaux</w:t>
            </w:r>
          </w:p>
          <w:p w14:paraId="2203F2A1"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(step1)</w:t>
            </w:r>
          </w:p>
        </w:tc>
        <w:tc>
          <w:tcPr>
            <w:tcW w:w="1417" w:type="dxa"/>
            <w:shd w:val="clear" w:color="auto" w:fill="C6EFCE"/>
            <w:noWrap/>
            <w:vAlign w:val="center"/>
          </w:tcPr>
          <w:p w14:paraId="0C7FC682"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76" w:type="dxa"/>
            <w:shd w:val="clear" w:color="auto" w:fill="C6EFCE"/>
            <w:noWrap/>
            <w:vAlign w:val="center"/>
          </w:tcPr>
          <w:p w14:paraId="1CEF2FA9"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Logements</w:t>
            </w:r>
          </w:p>
        </w:tc>
        <w:tc>
          <w:tcPr>
            <w:tcW w:w="1134" w:type="dxa"/>
            <w:shd w:val="clear" w:color="auto" w:fill="C6EFCE"/>
            <w:noWrap/>
            <w:vAlign w:val="center"/>
          </w:tcPr>
          <w:p w14:paraId="1F043658"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7FA5A089"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64 112</w:t>
            </w:r>
          </w:p>
        </w:tc>
        <w:tc>
          <w:tcPr>
            <w:tcW w:w="1134" w:type="dxa"/>
            <w:shd w:val="clear" w:color="auto" w:fill="C6EFCE"/>
            <w:noWrap/>
            <w:vAlign w:val="center"/>
          </w:tcPr>
          <w:p w14:paraId="100CAE6B"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518C0215"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479" w:type="dxa"/>
            <w:shd w:val="clear" w:color="auto" w:fill="C6EFCE"/>
            <w:noWrap/>
            <w:vAlign w:val="center"/>
          </w:tcPr>
          <w:p w14:paraId="0338B6D9" w14:textId="77777777" w:rsidR="000D1388" w:rsidRPr="00244E9F" w:rsidRDefault="00E71057">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 xml:space="preserve">Rénovation de 64 112 logements résidentiels (privés et sociaux) </w:t>
            </w:r>
          </w:p>
          <w:p w14:paraId="31CB66CB" w14:textId="77777777" w:rsidR="000D1388" w:rsidRPr="00244E9F" w:rsidRDefault="00E71057">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Cette cible est ventilée à titre indicatif en sous-cibles suivantes, qui ne doivent pas nécessairement être atteintes individuellement pour autant que les niveaux de rénovation susmentionnés soient atteints:</w:t>
            </w:r>
          </w:p>
          <w:p w14:paraId="633349EB"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u w:val="single"/>
              </w:rPr>
              <w:t>logements privés</w:t>
            </w:r>
            <w:r>
              <w:rPr>
                <w:rFonts w:ascii="Times New Roman" w:hAnsi="Times New Roman"/>
                <w:noProof/>
                <w:color w:val="006100"/>
                <w:sz w:val="20"/>
              </w:rPr>
              <w:t>:</w:t>
            </w:r>
          </w:p>
          <w:p w14:paraId="41A7BADA"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 Région flamande (R-1.01, subventions pour l’efficacité énergétique et l’énergie renouvelable): 50 870 logements</w:t>
            </w:r>
          </w:p>
          <w:p w14:paraId="5AB8080C"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ii) Région flamande (R-1.01, régime de subventions énergétiques aux travaux de rénovation énergétique): 7 560 logements</w:t>
            </w:r>
          </w:p>
          <w:p w14:paraId="61199FCE" w14:textId="77777777" w:rsidR="000D1388" w:rsidRPr="00244E9F" w:rsidRDefault="00E71057">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iii) Région de Bruxelles-Capitale (R-1.02): 2 343 logements</w:t>
            </w:r>
          </w:p>
          <w:p w14:paraId="2F148DCF"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u w:val="single"/>
              </w:rPr>
              <w:t>logements sociaux</w:t>
            </w:r>
            <w:r>
              <w:rPr>
                <w:rFonts w:ascii="Times New Roman" w:hAnsi="Times New Roman"/>
                <w:noProof/>
                <w:color w:val="006100"/>
                <w:sz w:val="20"/>
              </w:rPr>
              <w:t>:</w:t>
            </w:r>
          </w:p>
          <w:p w14:paraId="42910E39"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 Région flamande (I-1.01): 2 640 logements sociaux</w:t>
            </w:r>
          </w:p>
          <w:p w14:paraId="51DB7A3F"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ii) Région de Bruxelles-Capitale (I-1.02): 699 logements sociaux</w:t>
            </w:r>
          </w:p>
          <w:p w14:paraId="6BED9F0C"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rénovation de 3 339 logements sociaux devrait réduire en moyenne d’au moins 30 % la consommation d’énergie primaire, conformément à la recommandation (UE) 2019/786 de la Commission sur la rénovation des bâtiments</w:t>
            </w:r>
          </w:p>
        </w:tc>
      </w:tr>
      <w:tr w:rsidR="00D471F7" w:rsidRPr="00244E9F" w14:paraId="33CFDA06" w14:textId="77777777" w:rsidTr="00102E7A">
        <w:trPr>
          <w:trHeight w:val="309"/>
          <w:jc w:val="center"/>
        </w:trPr>
        <w:tc>
          <w:tcPr>
            <w:tcW w:w="1129" w:type="dxa"/>
            <w:shd w:val="clear" w:color="auto" w:fill="C6EFCE"/>
            <w:noWrap/>
            <w:vAlign w:val="center"/>
          </w:tcPr>
          <w:p w14:paraId="6B66BF99" w14:textId="77777777" w:rsidR="000D1388" w:rsidRPr="00102E7A" w:rsidRDefault="00E71057">
            <w:pPr>
              <w:spacing w:after="0"/>
              <w:jc w:val="center"/>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7</w:t>
            </w:r>
          </w:p>
        </w:tc>
        <w:tc>
          <w:tcPr>
            <w:tcW w:w="1560" w:type="dxa"/>
            <w:shd w:val="clear" w:color="auto" w:fill="C6EFCE"/>
            <w:noWrap/>
            <w:vAlign w:val="center"/>
          </w:tcPr>
          <w:p w14:paraId="5FD13163" w14:textId="77777777" w:rsidR="000D1388" w:rsidRPr="00102E7A" w:rsidRDefault="00E71057" w:rsidP="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Rénovation de logements privés et sociaux (I-1A)</w:t>
            </w:r>
          </w:p>
        </w:tc>
        <w:tc>
          <w:tcPr>
            <w:tcW w:w="1275" w:type="dxa"/>
            <w:shd w:val="clear" w:color="auto" w:fill="C6EFCE"/>
            <w:noWrap/>
            <w:vAlign w:val="center"/>
          </w:tcPr>
          <w:p w14:paraId="776096E0" w14:textId="77777777" w:rsidR="000D1388" w:rsidRPr="00102E7A" w:rsidRDefault="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C</w:t>
            </w:r>
          </w:p>
        </w:tc>
        <w:tc>
          <w:tcPr>
            <w:tcW w:w="1560" w:type="dxa"/>
            <w:shd w:val="clear" w:color="auto" w:fill="C6EFCE"/>
            <w:noWrap/>
            <w:vAlign w:val="center"/>
          </w:tcPr>
          <w:p w14:paraId="4F890F80" w14:textId="77777777" w:rsidR="000D1388" w:rsidRPr="00102E7A" w:rsidRDefault="00E71057" w:rsidP="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Rénovation de logements privés et de logements sociaux</w:t>
            </w:r>
          </w:p>
        </w:tc>
        <w:tc>
          <w:tcPr>
            <w:tcW w:w="1417" w:type="dxa"/>
            <w:shd w:val="clear" w:color="auto" w:fill="C6EFCE"/>
            <w:noWrap/>
            <w:vAlign w:val="center"/>
          </w:tcPr>
          <w:p w14:paraId="582492B7" w14:textId="77777777" w:rsidR="000D1388" w:rsidRPr="00102E7A" w:rsidRDefault="000D1388">
            <w:pPr>
              <w:spacing w:after="0"/>
              <w:rPr>
                <w:rFonts w:ascii="Times New Roman" w:eastAsia="Times New Roman" w:hAnsi="Times New Roman" w:cs="Times New Roman"/>
                <w:noProof/>
                <w:color w:val="006100"/>
                <w:sz w:val="18"/>
                <w:szCs w:val="18"/>
              </w:rPr>
            </w:pPr>
          </w:p>
        </w:tc>
        <w:tc>
          <w:tcPr>
            <w:tcW w:w="1276" w:type="dxa"/>
            <w:shd w:val="clear" w:color="auto" w:fill="C6EFCE"/>
            <w:noWrap/>
            <w:vAlign w:val="center"/>
          </w:tcPr>
          <w:p w14:paraId="0E1D61EE" w14:textId="77777777" w:rsidR="000D1388" w:rsidRPr="00102E7A" w:rsidRDefault="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Logements</w:t>
            </w:r>
          </w:p>
        </w:tc>
        <w:tc>
          <w:tcPr>
            <w:tcW w:w="1134" w:type="dxa"/>
            <w:shd w:val="clear" w:color="auto" w:fill="C6EFCE"/>
            <w:noWrap/>
            <w:vAlign w:val="center"/>
          </w:tcPr>
          <w:p w14:paraId="1842AD12" w14:textId="77777777" w:rsidR="000D1388" w:rsidRPr="00102E7A" w:rsidRDefault="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64</w:t>
            </w:r>
            <w:r w:rsidRPr="00102E7A">
              <w:rPr>
                <w:rFonts w:ascii="Times New Roman" w:hAnsi="Times New Roman"/>
                <w:noProof/>
                <w:color w:val="000000"/>
                <w:sz w:val="18"/>
                <w:szCs w:val="18"/>
              </w:rPr>
              <w:t> </w:t>
            </w:r>
            <w:r w:rsidRPr="00102E7A">
              <w:rPr>
                <w:rFonts w:ascii="Times New Roman" w:hAnsi="Times New Roman"/>
                <w:noProof/>
                <w:color w:val="006100"/>
                <w:sz w:val="18"/>
                <w:szCs w:val="18"/>
              </w:rPr>
              <w:t>112</w:t>
            </w:r>
          </w:p>
        </w:tc>
        <w:tc>
          <w:tcPr>
            <w:tcW w:w="992" w:type="dxa"/>
            <w:shd w:val="clear" w:color="auto" w:fill="C6EFCE"/>
            <w:noWrap/>
            <w:vAlign w:val="center"/>
          </w:tcPr>
          <w:p w14:paraId="50F65B90" w14:textId="77777777" w:rsidR="000D1388" w:rsidRPr="00102E7A" w:rsidRDefault="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201</w:t>
            </w:r>
            <w:r w:rsidRPr="00102E7A">
              <w:rPr>
                <w:rFonts w:ascii="Times New Roman" w:hAnsi="Times New Roman"/>
                <w:noProof/>
                <w:color w:val="000000"/>
                <w:sz w:val="18"/>
                <w:szCs w:val="18"/>
              </w:rPr>
              <w:t> </w:t>
            </w:r>
            <w:r w:rsidRPr="00102E7A">
              <w:rPr>
                <w:rFonts w:ascii="Times New Roman" w:hAnsi="Times New Roman"/>
                <w:noProof/>
                <w:color w:val="006100"/>
                <w:sz w:val="18"/>
                <w:szCs w:val="18"/>
              </w:rPr>
              <w:t>625</w:t>
            </w:r>
          </w:p>
        </w:tc>
        <w:tc>
          <w:tcPr>
            <w:tcW w:w="1134" w:type="dxa"/>
            <w:shd w:val="clear" w:color="auto" w:fill="C6EFCE"/>
            <w:noWrap/>
            <w:vAlign w:val="center"/>
          </w:tcPr>
          <w:p w14:paraId="16237CDB" w14:textId="77777777" w:rsidR="000D1388" w:rsidRPr="00102E7A" w:rsidRDefault="00E71057">
            <w:pPr>
              <w:spacing w:after="0"/>
              <w:jc w:val="center"/>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T2</w:t>
            </w:r>
          </w:p>
        </w:tc>
        <w:tc>
          <w:tcPr>
            <w:tcW w:w="851" w:type="dxa"/>
            <w:shd w:val="clear" w:color="auto" w:fill="C6EFCE"/>
            <w:noWrap/>
            <w:vAlign w:val="center"/>
          </w:tcPr>
          <w:p w14:paraId="6A79935B" w14:textId="77777777" w:rsidR="000D1388" w:rsidRPr="00102E7A" w:rsidRDefault="00E71057">
            <w:pPr>
              <w:spacing w:after="0"/>
              <w:jc w:val="center"/>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2025</w:t>
            </w:r>
          </w:p>
        </w:tc>
        <w:tc>
          <w:tcPr>
            <w:tcW w:w="3479" w:type="dxa"/>
            <w:shd w:val="clear" w:color="auto" w:fill="C6EFCE"/>
            <w:noWrap/>
            <w:vAlign w:val="center"/>
          </w:tcPr>
          <w:p w14:paraId="5516F3EE" w14:textId="77777777" w:rsidR="000D1388" w:rsidRPr="00102E7A" w:rsidRDefault="00E71057">
            <w:pPr>
              <w:spacing w:after="120"/>
              <w:rPr>
                <w:rFonts w:ascii="Times New Roman" w:eastAsia="Calibri" w:hAnsi="Times New Roman" w:cs="Times New Roman"/>
                <w:noProof/>
                <w:color w:val="006100"/>
                <w:sz w:val="18"/>
                <w:szCs w:val="18"/>
              </w:rPr>
            </w:pPr>
            <w:r w:rsidRPr="00102E7A">
              <w:rPr>
                <w:rFonts w:ascii="Times New Roman" w:hAnsi="Times New Roman"/>
                <w:noProof/>
                <w:color w:val="006100"/>
                <w:sz w:val="18"/>
                <w:szCs w:val="18"/>
              </w:rPr>
              <w:t xml:space="preserve">Rénovation de 137 513 logements (privés et sociaux). </w:t>
            </w:r>
          </w:p>
          <w:p w14:paraId="6C98E48C" w14:textId="77777777" w:rsidR="000D1388" w:rsidRPr="00102E7A" w:rsidRDefault="00E71057">
            <w:pPr>
              <w:spacing w:after="120"/>
              <w:rPr>
                <w:rFonts w:ascii="Times New Roman" w:eastAsia="Calibri" w:hAnsi="Times New Roman" w:cs="Times New Roman"/>
                <w:noProof/>
                <w:color w:val="006100"/>
                <w:sz w:val="18"/>
                <w:szCs w:val="18"/>
              </w:rPr>
            </w:pPr>
            <w:r w:rsidRPr="00102E7A">
              <w:rPr>
                <w:rFonts w:ascii="Times New Roman" w:hAnsi="Times New Roman"/>
                <w:noProof/>
                <w:color w:val="006100"/>
                <w:sz w:val="18"/>
                <w:szCs w:val="18"/>
              </w:rPr>
              <w:t>Cette cible est ventilée à titre indicatif en sous-cibles suivantes, qui ne doivent pas nécessairement être atteintes individuellement pour autant que les niveaux de rénovation susmentionnés soient atteints:</w:t>
            </w:r>
          </w:p>
          <w:p w14:paraId="4084CF10" w14:textId="77777777" w:rsidR="000D1388" w:rsidRPr="00102E7A" w:rsidRDefault="00E71057">
            <w:pPr>
              <w:spacing w:after="0"/>
              <w:rPr>
                <w:rFonts w:ascii="Times New Roman" w:eastAsia="Calibri" w:hAnsi="Times New Roman" w:cs="Times New Roman"/>
                <w:noProof/>
                <w:color w:val="006100"/>
                <w:sz w:val="18"/>
                <w:szCs w:val="18"/>
              </w:rPr>
            </w:pPr>
            <w:r w:rsidRPr="00102E7A">
              <w:rPr>
                <w:rFonts w:ascii="Times New Roman" w:hAnsi="Times New Roman"/>
                <w:noProof/>
                <w:color w:val="006100"/>
                <w:sz w:val="18"/>
                <w:szCs w:val="18"/>
                <w:u w:val="single"/>
              </w:rPr>
              <w:t>logements privés</w:t>
            </w:r>
            <w:r w:rsidRPr="00102E7A">
              <w:rPr>
                <w:rFonts w:ascii="Times New Roman" w:hAnsi="Times New Roman"/>
                <w:noProof/>
                <w:color w:val="006100"/>
                <w:sz w:val="18"/>
                <w:szCs w:val="18"/>
              </w:rPr>
              <w:t>:</w:t>
            </w:r>
          </w:p>
          <w:p w14:paraId="42086A8F" w14:textId="77777777" w:rsidR="000D1388" w:rsidRPr="00102E7A" w:rsidRDefault="00E71057">
            <w:pPr>
              <w:spacing w:after="120"/>
              <w:rPr>
                <w:rFonts w:ascii="Times New Roman" w:eastAsia="Calibri" w:hAnsi="Times New Roman" w:cs="Times New Roman"/>
                <w:noProof/>
                <w:color w:val="006100"/>
                <w:sz w:val="18"/>
                <w:szCs w:val="18"/>
              </w:rPr>
            </w:pPr>
            <w:r w:rsidRPr="00102E7A">
              <w:rPr>
                <w:rFonts w:ascii="Times New Roman" w:hAnsi="Times New Roman"/>
                <w:noProof/>
                <w:color w:val="006100"/>
                <w:sz w:val="18"/>
                <w:szCs w:val="18"/>
              </w:rPr>
              <w:t>i) Région flamande (R-1.01, subventions pour l’efficacité énergétique et l’énergie renouvelable): 136 059 logements.</w:t>
            </w:r>
          </w:p>
          <w:p w14:paraId="57ECD04E" w14:textId="77777777" w:rsidR="000D1388" w:rsidRPr="00102E7A" w:rsidRDefault="00E71057">
            <w:pPr>
              <w:spacing w:after="0"/>
              <w:rPr>
                <w:rFonts w:ascii="Times New Roman" w:eastAsia="Calibri" w:hAnsi="Times New Roman" w:cs="Times New Roman"/>
                <w:noProof/>
                <w:color w:val="006100"/>
                <w:sz w:val="18"/>
                <w:szCs w:val="18"/>
              </w:rPr>
            </w:pPr>
            <w:r w:rsidRPr="00102E7A">
              <w:rPr>
                <w:rFonts w:ascii="Times New Roman" w:hAnsi="Times New Roman"/>
                <w:noProof/>
                <w:color w:val="006100"/>
                <w:sz w:val="18"/>
                <w:szCs w:val="18"/>
                <w:u w:val="single"/>
              </w:rPr>
              <w:t>logements sociaux</w:t>
            </w:r>
            <w:r w:rsidRPr="00102E7A">
              <w:rPr>
                <w:rFonts w:ascii="Times New Roman" w:hAnsi="Times New Roman"/>
                <w:noProof/>
                <w:color w:val="006100"/>
                <w:sz w:val="18"/>
                <w:szCs w:val="18"/>
              </w:rPr>
              <w:t>:</w:t>
            </w:r>
          </w:p>
          <w:p w14:paraId="330030CE" w14:textId="77777777" w:rsidR="000D1388" w:rsidRPr="00102E7A" w:rsidRDefault="00E71057" w:rsidP="00E71057">
            <w:pPr>
              <w:spacing w:after="0"/>
              <w:rPr>
                <w:rFonts w:ascii="Times New Roman" w:eastAsia="Calibri" w:hAnsi="Times New Roman" w:cs="Times New Roman"/>
                <w:noProof/>
                <w:color w:val="006100"/>
                <w:sz w:val="18"/>
                <w:szCs w:val="18"/>
              </w:rPr>
            </w:pPr>
            <w:r w:rsidRPr="00102E7A">
              <w:rPr>
                <w:rFonts w:ascii="Times New Roman" w:hAnsi="Times New Roman"/>
                <w:noProof/>
                <w:color w:val="006100"/>
                <w:sz w:val="18"/>
                <w:szCs w:val="18"/>
              </w:rPr>
              <w:t>i) Région de Bruxelles-Capitale (I-1.02): 626 logements sociaux</w:t>
            </w:r>
          </w:p>
          <w:p w14:paraId="295D1AF7" w14:textId="77777777" w:rsidR="000D1388" w:rsidRPr="00102E7A" w:rsidRDefault="00E71057" w:rsidP="00E71057">
            <w:pPr>
              <w:spacing w:after="0"/>
              <w:rPr>
                <w:rFonts w:ascii="Times New Roman" w:eastAsia="Calibri" w:hAnsi="Times New Roman" w:cs="Times New Roman"/>
                <w:noProof/>
                <w:color w:val="006100"/>
                <w:sz w:val="18"/>
                <w:szCs w:val="18"/>
              </w:rPr>
            </w:pPr>
            <w:r w:rsidRPr="00102E7A">
              <w:rPr>
                <w:rFonts w:ascii="Times New Roman" w:hAnsi="Times New Roman"/>
                <w:noProof/>
                <w:color w:val="006100"/>
                <w:sz w:val="18"/>
                <w:szCs w:val="18"/>
              </w:rPr>
              <w:t>ii) Communauté germanophone (I-1.03): 68 logements sociaux</w:t>
            </w:r>
          </w:p>
          <w:p w14:paraId="73E03E2F" w14:textId="77777777" w:rsidR="000D1388" w:rsidRPr="00102E7A" w:rsidRDefault="00E71057">
            <w:pPr>
              <w:spacing w:after="0"/>
              <w:rPr>
                <w:rFonts w:ascii="Times New Roman" w:eastAsia="Calibri" w:hAnsi="Times New Roman" w:cs="Times New Roman"/>
                <w:noProof/>
                <w:color w:val="006100"/>
                <w:sz w:val="18"/>
                <w:szCs w:val="18"/>
              </w:rPr>
            </w:pPr>
            <w:r w:rsidRPr="00102E7A">
              <w:rPr>
                <w:rFonts w:ascii="Times New Roman" w:hAnsi="Times New Roman"/>
                <w:noProof/>
                <w:color w:val="006100"/>
                <w:sz w:val="18"/>
                <w:szCs w:val="18"/>
              </w:rPr>
              <w:t xml:space="preserve">iii) Région flamande (I-1.01): 760 logements sociaux. </w:t>
            </w:r>
          </w:p>
          <w:p w14:paraId="7CBE83B6" w14:textId="77777777" w:rsidR="000D1388" w:rsidRPr="00102E7A" w:rsidRDefault="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La rénovation de 1 454 logements sociaux réduira en moyenne au moins 30 % de la consommation d’énergie primaire.</w:t>
            </w:r>
          </w:p>
        </w:tc>
      </w:tr>
      <w:tr w:rsidR="00D471F7" w:rsidRPr="00244E9F" w14:paraId="2EF6943C" w14:textId="77777777" w:rsidTr="00102E7A">
        <w:trPr>
          <w:trHeight w:val="309"/>
          <w:jc w:val="center"/>
        </w:trPr>
        <w:tc>
          <w:tcPr>
            <w:tcW w:w="1129" w:type="dxa"/>
            <w:shd w:val="clear" w:color="auto" w:fill="C6EFCE"/>
            <w:noWrap/>
            <w:vAlign w:val="center"/>
          </w:tcPr>
          <w:p w14:paraId="47EBEA3A" w14:textId="77777777" w:rsidR="000D1388" w:rsidRPr="00102E7A" w:rsidRDefault="00E71057">
            <w:pPr>
              <w:spacing w:after="0"/>
              <w:jc w:val="center"/>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9</w:t>
            </w:r>
          </w:p>
        </w:tc>
        <w:tc>
          <w:tcPr>
            <w:tcW w:w="1560" w:type="dxa"/>
            <w:shd w:val="clear" w:color="auto" w:fill="C6EFCE"/>
            <w:noWrap/>
            <w:vAlign w:val="center"/>
          </w:tcPr>
          <w:p w14:paraId="408588F0" w14:textId="77777777" w:rsidR="000D1388" w:rsidRPr="00102E7A" w:rsidRDefault="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Rénovation de logements privés et sociaux [R-1.01(iii)]</w:t>
            </w:r>
          </w:p>
        </w:tc>
        <w:tc>
          <w:tcPr>
            <w:tcW w:w="1275" w:type="dxa"/>
            <w:shd w:val="clear" w:color="auto" w:fill="C6EFCE"/>
            <w:noWrap/>
            <w:vAlign w:val="center"/>
          </w:tcPr>
          <w:p w14:paraId="5DE33F2B" w14:textId="77777777" w:rsidR="000D1388" w:rsidRPr="00102E7A" w:rsidRDefault="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C</w:t>
            </w:r>
          </w:p>
        </w:tc>
        <w:tc>
          <w:tcPr>
            <w:tcW w:w="1560" w:type="dxa"/>
            <w:shd w:val="clear" w:color="auto" w:fill="C6EFCE"/>
            <w:noWrap/>
            <w:vAlign w:val="center"/>
          </w:tcPr>
          <w:p w14:paraId="71FB489B" w14:textId="77777777" w:rsidR="000D1388" w:rsidRPr="00102E7A" w:rsidRDefault="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Octroi de subventions en faveur des batteries domestiques et des appareils de contrôle intelligent en Flandre</w:t>
            </w:r>
          </w:p>
        </w:tc>
        <w:tc>
          <w:tcPr>
            <w:tcW w:w="1417" w:type="dxa"/>
            <w:shd w:val="clear" w:color="auto" w:fill="C6EFCE"/>
            <w:noWrap/>
            <w:vAlign w:val="center"/>
          </w:tcPr>
          <w:p w14:paraId="501D6967" w14:textId="77777777" w:rsidR="000D1388" w:rsidRPr="00102E7A" w:rsidRDefault="000D1388">
            <w:pPr>
              <w:spacing w:after="0"/>
              <w:rPr>
                <w:rFonts w:ascii="Times New Roman" w:eastAsia="Times New Roman" w:hAnsi="Times New Roman" w:cs="Times New Roman"/>
                <w:noProof/>
                <w:color w:val="006100"/>
                <w:sz w:val="18"/>
                <w:szCs w:val="18"/>
                <w:lang w:val="fr-BE"/>
              </w:rPr>
            </w:pPr>
          </w:p>
        </w:tc>
        <w:tc>
          <w:tcPr>
            <w:tcW w:w="1276" w:type="dxa"/>
            <w:shd w:val="clear" w:color="auto" w:fill="C6EFCE"/>
            <w:noWrap/>
            <w:vAlign w:val="center"/>
          </w:tcPr>
          <w:p w14:paraId="13618171" w14:textId="77777777" w:rsidR="000D1388" w:rsidRPr="00102E7A" w:rsidRDefault="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Subventions octroyées</w:t>
            </w:r>
          </w:p>
        </w:tc>
        <w:tc>
          <w:tcPr>
            <w:tcW w:w="1134" w:type="dxa"/>
            <w:shd w:val="clear" w:color="auto" w:fill="C6EFCE"/>
            <w:noWrap/>
            <w:vAlign w:val="center"/>
          </w:tcPr>
          <w:p w14:paraId="1EAF8A8B" w14:textId="77777777" w:rsidR="000D1388" w:rsidRPr="00102E7A" w:rsidRDefault="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0</w:t>
            </w:r>
          </w:p>
        </w:tc>
        <w:tc>
          <w:tcPr>
            <w:tcW w:w="992" w:type="dxa"/>
            <w:shd w:val="clear" w:color="auto" w:fill="C6EFCE"/>
            <w:noWrap/>
            <w:vAlign w:val="center"/>
          </w:tcPr>
          <w:p w14:paraId="4F62BCB4" w14:textId="77777777" w:rsidR="000D1388" w:rsidRPr="00102E7A" w:rsidRDefault="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8 460</w:t>
            </w:r>
          </w:p>
        </w:tc>
        <w:tc>
          <w:tcPr>
            <w:tcW w:w="1134" w:type="dxa"/>
            <w:shd w:val="clear" w:color="auto" w:fill="C6EFCE"/>
            <w:noWrap/>
            <w:vAlign w:val="center"/>
          </w:tcPr>
          <w:p w14:paraId="19EE26CD" w14:textId="77777777" w:rsidR="000D1388" w:rsidRPr="00102E7A" w:rsidRDefault="00E71057">
            <w:pPr>
              <w:spacing w:after="0"/>
              <w:jc w:val="center"/>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T2</w:t>
            </w:r>
          </w:p>
        </w:tc>
        <w:tc>
          <w:tcPr>
            <w:tcW w:w="851" w:type="dxa"/>
            <w:shd w:val="clear" w:color="auto" w:fill="C6EFCE"/>
            <w:noWrap/>
            <w:vAlign w:val="center"/>
          </w:tcPr>
          <w:p w14:paraId="60533F0B" w14:textId="77777777" w:rsidR="000D1388" w:rsidRPr="00102E7A" w:rsidRDefault="00E71057">
            <w:pPr>
              <w:spacing w:after="0"/>
              <w:jc w:val="center"/>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2023</w:t>
            </w:r>
          </w:p>
        </w:tc>
        <w:tc>
          <w:tcPr>
            <w:tcW w:w="3479" w:type="dxa"/>
            <w:shd w:val="clear" w:color="auto" w:fill="C6EFCE"/>
            <w:noWrap/>
            <w:vAlign w:val="center"/>
          </w:tcPr>
          <w:p w14:paraId="74A66827" w14:textId="77777777" w:rsidR="000D1388" w:rsidRPr="00102E7A" w:rsidRDefault="00E71057">
            <w:pPr>
              <w:spacing w:after="0"/>
              <w:rPr>
                <w:rFonts w:ascii="Times New Roman" w:eastAsia="Times New Roman" w:hAnsi="Times New Roman" w:cs="Times New Roman"/>
                <w:noProof/>
                <w:color w:val="006100"/>
                <w:sz w:val="18"/>
                <w:szCs w:val="18"/>
              </w:rPr>
            </w:pPr>
            <w:r w:rsidRPr="00102E7A">
              <w:rPr>
                <w:rFonts w:ascii="Times New Roman" w:hAnsi="Times New Roman"/>
                <w:noProof/>
                <w:color w:val="006100"/>
                <w:sz w:val="18"/>
                <w:szCs w:val="18"/>
              </w:rPr>
              <w:t>Subventions octroyées en faveur des batteries domestiques pour les logements privés en Flandre depuis le deuxième trimestre de 2021</w:t>
            </w:r>
          </w:p>
        </w:tc>
      </w:tr>
      <w:tr w:rsidR="00D471F7" w:rsidRPr="00244E9F" w14:paraId="3DF0DD13" w14:textId="77777777" w:rsidTr="00102E7A">
        <w:trPr>
          <w:trHeight w:val="309"/>
          <w:jc w:val="center"/>
        </w:trPr>
        <w:tc>
          <w:tcPr>
            <w:tcW w:w="1129" w:type="dxa"/>
            <w:shd w:val="clear" w:color="auto" w:fill="C6EFCE"/>
            <w:noWrap/>
            <w:vAlign w:val="center"/>
          </w:tcPr>
          <w:p w14:paraId="44A18336"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w:t>
            </w:r>
          </w:p>
        </w:tc>
        <w:tc>
          <w:tcPr>
            <w:tcW w:w="1560" w:type="dxa"/>
            <w:shd w:val="clear" w:color="auto" w:fill="C6EFCE"/>
            <w:noWrap/>
            <w:vAlign w:val="center"/>
          </w:tcPr>
          <w:p w14:paraId="0333780D"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des bâtiments publics (I-1.08)</w:t>
            </w:r>
          </w:p>
        </w:tc>
        <w:tc>
          <w:tcPr>
            <w:tcW w:w="1275" w:type="dxa"/>
            <w:shd w:val="clear" w:color="auto" w:fill="C6EFCE"/>
            <w:noWrap/>
            <w:vAlign w:val="center"/>
          </w:tcPr>
          <w:p w14:paraId="68913E7F"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27177BB0"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Adaptation de l’Ordonnance électricité afin d’introduire un guichet unique pour les rénovations</w:t>
            </w:r>
          </w:p>
        </w:tc>
        <w:tc>
          <w:tcPr>
            <w:tcW w:w="1417" w:type="dxa"/>
            <w:shd w:val="clear" w:color="auto" w:fill="C6EFCE"/>
            <w:noWrap/>
            <w:vAlign w:val="center"/>
          </w:tcPr>
          <w:p w14:paraId="4AF0C87B"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 de l’Ordonnance électricité</w:t>
            </w:r>
          </w:p>
        </w:tc>
        <w:tc>
          <w:tcPr>
            <w:tcW w:w="1276" w:type="dxa"/>
            <w:shd w:val="clear" w:color="auto" w:fill="C6EFCE"/>
            <w:noWrap/>
            <w:vAlign w:val="center"/>
          </w:tcPr>
          <w:p w14:paraId="124803B5"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FC2F53E"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25473819"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383FD234"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1" w:type="dxa"/>
            <w:shd w:val="clear" w:color="auto" w:fill="C6EFCE"/>
            <w:noWrap/>
            <w:vAlign w:val="center"/>
          </w:tcPr>
          <w:p w14:paraId="036FD46F"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479" w:type="dxa"/>
            <w:shd w:val="clear" w:color="auto" w:fill="C6EFCE"/>
            <w:noWrap/>
            <w:vAlign w:val="center"/>
          </w:tcPr>
          <w:p w14:paraId="74355AFF"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l’Ordonnance électricité définissant la mission de service public de Sibelga, notamment le fonctionnement du guichet unique pour les rénovations publiques à Bruxelles.</w:t>
            </w:r>
          </w:p>
        </w:tc>
      </w:tr>
      <w:tr w:rsidR="00D471F7" w:rsidRPr="00244E9F" w14:paraId="26BBECB0" w14:textId="77777777" w:rsidTr="00102E7A">
        <w:trPr>
          <w:trHeight w:val="309"/>
          <w:jc w:val="center"/>
        </w:trPr>
        <w:tc>
          <w:tcPr>
            <w:tcW w:w="1129" w:type="dxa"/>
            <w:shd w:val="clear" w:color="auto" w:fill="C6EFCE"/>
            <w:noWrap/>
            <w:vAlign w:val="center"/>
          </w:tcPr>
          <w:p w14:paraId="5C5E063B"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w:t>
            </w:r>
          </w:p>
        </w:tc>
        <w:tc>
          <w:tcPr>
            <w:tcW w:w="1560" w:type="dxa"/>
            <w:shd w:val="clear" w:color="auto" w:fill="C6EFCE"/>
            <w:noWrap/>
            <w:vAlign w:val="center"/>
          </w:tcPr>
          <w:p w14:paraId="1E21E798"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Rénovation de bâtiments</w:t>
            </w:r>
          </w:p>
          <w:p w14:paraId="15BE63C0"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(I-1B)</w:t>
            </w:r>
          </w:p>
        </w:tc>
        <w:tc>
          <w:tcPr>
            <w:tcW w:w="1275" w:type="dxa"/>
            <w:shd w:val="clear" w:color="auto" w:fill="C6EFCE"/>
            <w:noWrap/>
            <w:vAlign w:val="center"/>
          </w:tcPr>
          <w:p w14:paraId="440572B3"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60" w:type="dxa"/>
            <w:shd w:val="clear" w:color="auto" w:fill="C6EFCE"/>
            <w:noWrap/>
            <w:vAlign w:val="center"/>
          </w:tcPr>
          <w:p w14:paraId="200E0E7A"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des bâtiments publics (étape 1)</w:t>
            </w:r>
          </w:p>
        </w:tc>
        <w:tc>
          <w:tcPr>
            <w:tcW w:w="1417" w:type="dxa"/>
            <w:shd w:val="clear" w:color="auto" w:fill="C6EFCE"/>
            <w:noWrap/>
            <w:vAlign w:val="center"/>
          </w:tcPr>
          <w:p w14:paraId="564E22CE"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1276" w:type="dxa"/>
            <w:shd w:val="clear" w:color="auto" w:fill="C6EFCE"/>
            <w:noWrap/>
            <w:vAlign w:val="center"/>
          </w:tcPr>
          <w:p w14:paraId="0E9A136D"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m²</w:t>
            </w:r>
          </w:p>
        </w:tc>
        <w:tc>
          <w:tcPr>
            <w:tcW w:w="1134" w:type="dxa"/>
            <w:shd w:val="clear" w:color="auto" w:fill="C6EFCE"/>
            <w:noWrap/>
            <w:vAlign w:val="center"/>
          </w:tcPr>
          <w:p w14:paraId="47E8073A"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2B6A129D"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10 800 </w:t>
            </w:r>
          </w:p>
        </w:tc>
        <w:tc>
          <w:tcPr>
            <w:tcW w:w="1134" w:type="dxa"/>
            <w:shd w:val="clear" w:color="auto" w:fill="C6EFCE"/>
            <w:noWrap/>
            <w:vAlign w:val="center"/>
          </w:tcPr>
          <w:p w14:paraId="1F58E302"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300992A1"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479" w:type="dxa"/>
            <w:shd w:val="clear" w:color="auto" w:fill="C6EFCE"/>
            <w:noWrap/>
            <w:vAlign w:val="center"/>
          </w:tcPr>
          <w:p w14:paraId="7A4AE83A" w14:textId="77777777" w:rsidR="000D1388" w:rsidRPr="00244E9F" w:rsidRDefault="00E71057" w:rsidP="00E71057">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État fédéral (I-1.04): rénovation de 10 800 m² de bâtiments publics, dont des rénovations de 6 264 m² devant réduire en moyenne d’au moins 30 % la consommation d’énergie primaire, conformément à la recommandation (UE) 2019/786 de la Commission sur la rénovation des bâtiments.</w:t>
            </w:r>
          </w:p>
        </w:tc>
      </w:tr>
      <w:tr w:rsidR="00D471F7" w:rsidRPr="00244E9F" w14:paraId="0FCBC6E6" w14:textId="77777777" w:rsidTr="00102E7A">
        <w:trPr>
          <w:trHeight w:val="309"/>
          <w:jc w:val="center"/>
        </w:trPr>
        <w:tc>
          <w:tcPr>
            <w:tcW w:w="1129" w:type="dxa"/>
            <w:shd w:val="clear" w:color="auto" w:fill="C6EFCE"/>
            <w:noWrap/>
            <w:vAlign w:val="center"/>
          </w:tcPr>
          <w:p w14:paraId="1273D9E8"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w:t>
            </w:r>
          </w:p>
        </w:tc>
        <w:tc>
          <w:tcPr>
            <w:tcW w:w="1560" w:type="dxa"/>
            <w:shd w:val="clear" w:color="auto" w:fill="C6EFCE"/>
            <w:noWrap/>
            <w:vAlign w:val="center"/>
          </w:tcPr>
          <w:p w14:paraId="017B5514"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Rénovation de bâtiments</w:t>
            </w:r>
          </w:p>
          <w:p w14:paraId="737B91CA"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(I-1B)</w:t>
            </w:r>
          </w:p>
        </w:tc>
        <w:tc>
          <w:tcPr>
            <w:tcW w:w="1275" w:type="dxa"/>
            <w:shd w:val="clear" w:color="auto" w:fill="C6EFCE"/>
            <w:noWrap/>
            <w:vAlign w:val="center"/>
          </w:tcPr>
          <w:p w14:paraId="6694F50F"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60" w:type="dxa"/>
            <w:shd w:val="clear" w:color="auto" w:fill="C6EFCE"/>
            <w:noWrap/>
            <w:vAlign w:val="center"/>
          </w:tcPr>
          <w:p w14:paraId="7B8A1D6F"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(étape 2)</w:t>
            </w:r>
          </w:p>
        </w:tc>
        <w:tc>
          <w:tcPr>
            <w:tcW w:w="1417" w:type="dxa"/>
            <w:shd w:val="clear" w:color="auto" w:fill="C6EFCE"/>
            <w:noWrap/>
            <w:vAlign w:val="center"/>
          </w:tcPr>
          <w:p w14:paraId="7C98151F"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76" w:type="dxa"/>
            <w:shd w:val="clear" w:color="auto" w:fill="C6EFCE"/>
            <w:noWrap/>
            <w:vAlign w:val="center"/>
          </w:tcPr>
          <w:p w14:paraId="716F3261" w14:textId="77777777" w:rsidR="000D1388" w:rsidRPr="00244E9F"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bâtiments</w:t>
            </w:r>
          </w:p>
        </w:tc>
        <w:tc>
          <w:tcPr>
            <w:tcW w:w="1134" w:type="dxa"/>
            <w:shd w:val="clear" w:color="auto" w:fill="C6EFCE"/>
            <w:noWrap/>
            <w:vAlign w:val="center"/>
          </w:tcPr>
          <w:p w14:paraId="51ECB7A3"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014DC08F"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138</w:t>
            </w:r>
          </w:p>
        </w:tc>
        <w:tc>
          <w:tcPr>
            <w:tcW w:w="1134" w:type="dxa"/>
            <w:shd w:val="clear" w:color="auto" w:fill="C6EFCE"/>
            <w:noWrap/>
            <w:vAlign w:val="center"/>
          </w:tcPr>
          <w:p w14:paraId="1EE0E759"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3517FA0E"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479" w:type="dxa"/>
            <w:shd w:val="clear" w:color="auto" w:fill="C6EFCE"/>
            <w:noWrap/>
            <w:vAlign w:val="center"/>
          </w:tcPr>
          <w:p w14:paraId="73E0BD51"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138 bâtiments seront rénovés en Région flamande (I-1.05).</w:t>
            </w:r>
          </w:p>
        </w:tc>
      </w:tr>
      <w:tr w:rsidR="00D471F7" w:rsidRPr="00244E9F" w14:paraId="3D32014A" w14:textId="77777777" w:rsidTr="00102E7A">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9A282B" w14:textId="77777777" w:rsidR="000D1388" w:rsidRPr="00244E9F" w:rsidRDefault="2D25A9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3BF75" w14:textId="77777777" w:rsidR="000D1388" w:rsidRPr="00244E9F" w:rsidRDefault="2D25A962">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Rénovation de bâtiments</w:t>
            </w:r>
          </w:p>
          <w:p w14:paraId="7AD4AA11" w14:textId="77777777" w:rsidR="000D1388" w:rsidRPr="00244E9F" w:rsidRDefault="2D25A9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(I-1B)</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D41B7" w14:textId="77777777" w:rsidR="000D1388" w:rsidRPr="00244E9F" w:rsidRDefault="2D25A9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1EE6EC" w14:textId="77777777" w:rsidR="000D1388" w:rsidRPr="00244E9F" w:rsidRDefault="2D25A9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(étape 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8D8C42"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4A6D03" w14:textId="77777777" w:rsidR="000D1388" w:rsidRPr="00244E9F" w:rsidRDefault="2D25A9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m²</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4C5EF" w14:textId="77777777" w:rsidR="000D1388" w:rsidRPr="00244E9F" w:rsidRDefault="2D25A9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6A445B" w14:textId="77777777" w:rsidR="000D1388" w:rsidRPr="00244E9F" w:rsidRDefault="2D25A9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233 555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CD2B6E" w14:textId="77777777" w:rsidR="000D1388" w:rsidRPr="00244E9F" w:rsidRDefault="2D25A962" w:rsidP="715659F5">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07E2AB" w14:textId="77777777" w:rsidR="000D1388" w:rsidRPr="00244E9F" w:rsidRDefault="2D25A962" w:rsidP="715659F5">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347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8F8D71" w14:textId="3331E27D" w:rsidR="000D1388" w:rsidRPr="007619A7" w:rsidRDefault="00833588" w:rsidP="715659F5">
            <w:pPr>
              <w:spacing w:after="0" w:line="240" w:lineRule="auto"/>
              <w:rPr>
                <w:rFonts w:ascii="Times New Roman" w:eastAsia="Times New Roman" w:hAnsi="Times New Roman" w:cs="Times New Roman"/>
                <w:noProof/>
                <w:sz w:val="20"/>
                <w:szCs w:val="20"/>
              </w:rPr>
            </w:pPr>
            <w:r>
              <w:rPr>
                <w:rFonts w:ascii="Times New Roman" w:hAnsi="Times New Roman"/>
                <w:noProof/>
                <w:color w:val="006100"/>
                <w:sz w:val="20"/>
              </w:rPr>
              <w:t xml:space="preserve">233 555 m² de bâtiments publics seront rénovés en Région flamande (I-1.09). </w:t>
            </w:r>
          </w:p>
        </w:tc>
      </w:tr>
      <w:tr w:rsidR="00D471F7" w:rsidRPr="00244E9F" w14:paraId="35CC81FB" w14:textId="77777777" w:rsidTr="00102E7A">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2685A89" w14:textId="77777777" w:rsidR="000D1388" w:rsidRPr="00244E9F" w:rsidRDefault="2D25A9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B6A0B"/>
                <w:sz w:val="20"/>
              </w:rPr>
              <w:t>14 </w:t>
            </w:r>
            <w:r>
              <w:rPr>
                <w:rFonts w:ascii="Times New Roman" w:hAnsi="Times New Roman"/>
                <w:i/>
                <w:iCs/>
                <w:noProof/>
                <w:color w:val="0B6A0B"/>
                <w:sz w:val="20"/>
              </w:rPr>
              <w:t>bis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BA95B1B" w14:textId="13624410" w:rsidR="001F5AF2" w:rsidRDefault="0085243C" w:rsidP="001F5AF2">
            <w:pPr>
              <w:spacing w:after="0" w:line="240" w:lineRule="auto"/>
              <w:rPr>
                <w:rFonts w:ascii="Segoe UI" w:eastAsia="Times New Roman" w:hAnsi="Segoe UI" w:cs="Segoe UI"/>
                <w:noProof/>
                <w:sz w:val="18"/>
                <w:szCs w:val="18"/>
              </w:rPr>
            </w:pPr>
            <w:r>
              <w:rPr>
                <w:rFonts w:ascii="Times New Roman" w:hAnsi="Times New Roman"/>
                <w:noProof/>
                <w:color w:val="006100"/>
                <w:sz w:val="20"/>
              </w:rPr>
              <w:t>Rénovation de bâtiments </w:t>
            </w:r>
          </w:p>
          <w:p w14:paraId="3E2AE36E" w14:textId="73CC36F7" w:rsidR="000D1388" w:rsidRPr="00244E9F" w:rsidRDefault="2D25A9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(I-1B)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0E63DAE4" w14:textId="77777777" w:rsidR="000D1388" w:rsidRPr="00244E9F" w:rsidRDefault="2D25A962">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C</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7D10DD5" w14:textId="30A4DF07" w:rsidR="000D1388" w:rsidRPr="00244E9F" w:rsidRDefault="0085243C">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(étape 4)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A0C7647"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6B2249B9" w14:textId="77777777" w:rsidR="000D1388" w:rsidRPr="00244E9F" w:rsidRDefault="2D25A962">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m²</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D73266F" w14:textId="77777777" w:rsidR="000D1388" w:rsidRPr="00244E9F" w:rsidRDefault="2D25A962">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963D46" w14:textId="77777777" w:rsidR="000D1388" w:rsidRPr="00244E9F" w:rsidRDefault="2D25A962">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214</w:t>
            </w:r>
            <w:r>
              <w:rPr>
                <w:rFonts w:ascii="Times New Roman" w:hAnsi="Times New Roman"/>
                <w:noProof/>
                <w:color w:val="006100"/>
                <w:sz w:val="20"/>
              </w:rPr>
              <w:t> </w:t>
            </w:r>
            <w:r>
              <w:rPr>
                <w:rFonts w:ascii="Times New Roman" w:hAnsi="Times New Roman"/>
                <w:noProof/>
                <w:color w:val="0B6A0B"/>
                <w:sz w:val="20"/>
              </w:rPr>
              <w:t>830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FB9952C" w14:textId="77777777" w:rsidR="000D1388" w:rsidRPr="00244E9F" w:rsidRDefault="2D25A9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B6A0B"/>
                <w:sz w:val="20"/>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D9CA4A9" w14:textId="77777777" w:rsidR="000D1388" w:rsidRPr="00244E9F" w:rsidRDefault="2D25A962">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2026</w:t>
            </w:r>
          </w:p>
        </w:tc>
        <w:tc>
          <w:tcPr>
            <w:tcW w:w="3479" w:type="dxa"/>
            <w:tcBorders>
              <w:top w:val="single" w:sz="4" w:space="0" w:color="auto"/>
              <w:left w:val="single" w:sz="4" w:space="0" w:color="auto"/>
              <w:bottom w:val="single" w:sz="4" w:space="0" w:color="auto"/>
              <w:right w:val="single" w:sz="4" w:space="0" w:color="auto"/>
            </w:tcBorders>
            <w:shd w:val="clear" w:color="auto" w:fill="C6EFCE"/>
            <w:noWrap/>
          </w:tcPr>
          <w:p w14:paraId="2E410F6B" w14:textId="0E33297F" w:rsidR="00087465" w:rsidRDefault="00087465" w:rsidP="00087465">
            <w:pPr>
              <w:spacing w:after="120"/>
              <w:rPr>
                <w:rFonts w:ascii="Times New Roman" w:eastAsia="Times New Roman" w:hAnsi="Times New Roman" w:cs="Times New Roman"/>
                <w:noProof/>
                <w:color w:val="0B6A0B"/>
                <w:sz w:val="20"/>
                <w:szCs w:val="20"/>
              </w:rPr>
            </w:pPr>
            <w:r>
              <w:rPr>
                <w:rFonts w:ascii="Times New Roman" w:hAnsi="Times New Roman"/>
                <w:noProof/>
                <w:color w:val="0B6A0B"/>
                <w:sz w:val="20"/>
              </w:rPr>
              <w:t>187</w:t>
            </w:r>
            <w:r>
              <w:rPr>
                <w:rFonts w:ascii="Times New Roman" w:hAnsi="Times New Roman"/>
                <w:noProof/>
                <w:color w:val="006100"/>
                <w:sz w:val="20"/>
              </w:rPr>
              <w:t> </w:t>
            </w:r>
            <w:r>
              <w:rPr>
                <w:rFonts w:ascii="Times New Roman" w:hAnsi="Times New Roman"/>
                <w:noProof/>
                <w:color w:val="0B6A0B"/>
                <w:sz w:val="20"/>
              </w:rPr>
              <w:t>106 m</w:t>
            </w:r>
            <w:r>
              <w:rPr>
                <w:rFonts w:ascii="Times New Roman" w:hAnsi="Times New Roman"/>
                <w:noProof/>
                <w:color w:val="006100"/>
                <w:sz w:val="20"/>
              </w:rPr>
              <w:t>²</w:t>
            </w:r>
            <w:r>
              <w:rPr>
                <w:rFonts w:ascii="Times New Roman" w:hAnsi="Times New Roman"/>
                <w:noProof/>
                <w:color w:val="0B6A0B"/>
                <w:sz w:val="20"/>
              </w:rPr>
              <w:t xml:space="preserve"> de bâtiments publics seront rénovés en Région flamande (I-1.07)</w:t>
            </w:r>
          </w:p>
          <w:p w14:paraId="5E0D0D85" w14:textId="400CCEC8" w:rsidR="000D1388" w:rsidRPr="00244E9F" w:rsidRDefault="00087465">
            <w:pPr>
              <w:spacing w:after="120"/>
              <w:rPr>
                <w:rFonts w:ascii="Times New Roman" w:eastAsia="Times New Roman" w:hAnsi="Times New Roman" w:cs="Times New Roman"/>
                <w:noProof/>
                <w:color w:val="0B6A0B"/>
                <w:sz w:val="20"/>
                <w:szCs w:val="20"/>
              </w:rPr>
            </w:pPr>
            <w:r>
              <w:rPr>
                <w:rFonts w:ascii="Times New Roman" w:hAnsi="Times New Roman"/>
                <w:noProof/>
                <w:color w:val="0B6A0B"/>
                <w:sz w:val="20"/>
              </w:rPr>
              <w:t>Rapport de liquidation de prime pour la rénovation visant à améliorer l’efficacité énergétique de 27 724 m</w:t>
            </w:r>
            <w:r>
              <w:rPr>
                <w:rFonts w:ascii="Times New Roman" w:hAnsi="Times New Roman"/>
                <w:noProof/>
                <w:color w:val="0B6A0B"/>
                <w:sz w:val="20"/>
                <w:vertAlign w:val="superscript"/>
              </w:rPr>
              <w:t>2</w:t>
            </w:r>
            <w:r>
              <w:rPr>
                <w:rFonts w:ascii="Times New Roman" w:hAnsi="Times New Roman"/>
                <w:noProof/>
                <w:color w:val="0B6A0B"/>
                <w:sz w:val="20"/>
              </w:rPr>
              <w:t xml:space="preserve"> de bâtiments (I-1.08).</w:t>
            </w:r>
          </w:p>
        </w:tc>
      </w:tr>
      <w:tr w:rsidR="00D471F7" w:rsidRPr="00244E9F" w14:paraId="346072FC" w14:textId="77777777" w:rsidTr="00102E7A">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01A34BC9" w14:textId="77777777" w:rsidR="000D1388" w:rsidRPr="00244E9F" w:rsidRDefault="00E71057">
            <w:pPr>
              <w:spacing w:after="0"/>
              <w:jc w:val="center"/>
              <w:rPr>
                <w:rFonts w:ascii="Times New Roman" w:eastAsia="Times New Roman" w:hAnsi="Times New Roman" w:cs="Times New Roman"/>
                <w:noProof/>
                <w:color w:val="0B6A0B"/>
                <w:sz w:val="20"/>
                <w:szCs w:val="20"/>
              </w:rPr>
            </w:pPr>
            <w:r>
              <w:rPr>
                <w:rFonts w:ascii="Times New Roman" w:hAnsi="Times New Roman"/>
                <w:noProof/>
                <w:color w:val="0B6A0B"/>
                <w:sz w:val="20"/>
              </w:rPr>
              <w:t>262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09F0A13" w14:textId="59F0CF8C" w:rsidR="000D1388" w:rsidRPr="00244E9F" w:rsidRDefault="00E71057" w:rsidP="00E71057">
            <w:pPr>
              <w:spacing w:after="120" w:line="240" w:lineRule="auto"/>
              <w:rPr>
                <w:rFonts w:ascii="Times New Roman" w:eastAsia="Times New Roman" w:hAnsi="Times New Roman" w:cs="Times New Roman"/>
                <w:noProof/>
                <w:color w:val="0B6A0B"/>
                <w:sz w:val="20"/>
                <w:szCs w:val="20"/>
              </w:rPr>
            </w:pPr>
            <w:r>
              <w:rPr>
                <w:rFonts w:ascii="Times New Roman" w:hAnsi="Times New Roman"/>
                <w:noProof/>
                <w:color w:val="0B6A0B"/>
                <w:sz w:val="20"/>
              </w:rPr>
              <w:t>Rénovation de logements sociaux (I-1.02)</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2052739E" w14:textId="77777777" w:rsidR="000D1388" w:rsidRPr="00244E9F" w:rsidRDefault="00E71057">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C</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62A2508" w14:textId="77777777" w:rsidR="000D1388" w:rsidRPr="00244E9F" w:rsidRDefault="00E71057">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Rénovation de logements sociaux</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69DB52F6"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E0A83E8" w14:textId="77777777" w:rsidR="000D1388" w:rsidRPr="00244E9F" w:rsidRDefault="00E71057">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Logements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4731B46" w14:textId="77777777" w:rsidR="000D1388" w:rsidRPr="00244E9F" w:rsidRDefault="00E71057">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201</w:t>
            </w:r>
            <w:r>
              <w:rPr>
                <w:rFonts w:ascii="Times New Roman" w:hAnsi="Times New Roman"/>
                <w:noProof/>
                <w:color w:val="000000"/>
                <w:sz w:val="20"/>
              </w:rPr>
              <w:t> </w:t>
            </w:r>
            <w:r>
              <w:rPr>
                <w:rFonts w:ascii="Times New Roman" w:hAnsi="Times New Roman"/>
                <w:noProof/>
                <w:color w:val="0B6A0B"/>
                <w:sz w:val="20"/>
              </w:rPr>
              <w:t>625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EEA048E" w14:textId="77777777" w:rsidR="000D1388" w:rsidRPr="00244E9F" w:rsidRDefault="00E71057">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201</w:t>
            </w:r>
            <w:r>
              <w:rPr>
                <w:rFonts w:ascii="Times New Roman" w:hAnsi="Times New Roman"/>
                <w:noProof/>
                <w:color w:val="000000"/>
                <w:sz w:val="20"/>
              </w:rPr>
              <w:t> </w:t>
            </w:r>
            <w:r>
              <w:rPr>
                <w:rFonts w:ascii="Times New Roman" w:hAnsi="Times New Roman"/>
                <w:noProof/>
                <w:color w:val="0B6A0B"/>
                <w:sz w:val="20"/>
              </w:rPr>
              <w:t>825</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2BD70F0" w14:textId="77777777" w:rsidR="000D1388" w:rsidRPr="00244E9F" w:rsidRDefault="00E71057">
            <w:pPr>
              <w:spacing w:after="0"/>
              <w:jc w:val="center"/>
              <w:rPr>
                <w:rFonts w:ascii="Times New Roman" w:eastAsia="Times New Roman" w:hAnsi="Times New Roman" w:cs="Times New Roman"/>
                <w:noProof/>
                <w:color w:val="0B6A0B"/>
                <w:sz w:val="20"/>
                <w:szCs w:val="20"/>
              </w:rPr>
            </w:pPr>
            <w:r>
              <w:rPr>
                <w:rFonts w:ascii="Times New Roman" w:hAnsi="Times New Roman"/>
                <w:noProof/>
                <w:color w:val="0B6A0B"/>
                <w:sz w:val="20"/>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8A26741" w14:textId="77777777" w:rsidR="000D1388" w:rsidRPr="00244E9F" w:rsidRDefault="00E71057">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2026</w:t>
            </w:r>
          </w:p>
        </w:tc>
        <w:tc>
          <w:tcPr>
            <w:tcW w:w="3479" w:type="dxa"/>
            <w:tcBorders>
              <w:top w:val="single" w:sz="4" w:space="0" w:color="auto"/>
              <w:left w:val="single" w:sz="4" w:space="0" w:color="auto"/>
              <w:bottom w:val="single" w:sz="4" w:space="0" w:color="auto"/>
              <w:right w:val="single" w:sz="4" w:space="0" w:color="auto"/>
            </w:tcBorders>
            <w:shd w:val="clear" w:color="auto" w:fill="C6EFCE"/>
            <w:noWrap/>
          </w:tcPr>
          <w:p w14:paraId="595FE7B4" w14:textId="1A37D846" w:rsidR="000D1388" w:rsidRPr="00244E9F" w:rsidRDefault="00E71057">
            <w:pPr>
              <w:spacing w:after="120"/>
              <w:rPr>
                <w:rFonts w:ascii="Times New Roman" w:eastAsia="Times New Roman" w:hAnsi="Times New Roman" w:cs="Times New Roman"/>
                <w:noProof/>
                <w:color w:val="0B6A0B"/>
                <w:sz w:val="20"/>
                <w:szCs w:val="20"/>
              </w:rPr>
            </w:pPr>
            <w:r>
              <w:rPr>
                <w:rFonts w:ascii="Times New Roman" w:hAnsi="Times New Roman"/>
                <w:noProof/>
                <w:color w:val="0B6A0B"/>
                <w:sz w:val="20"/>
              </w:rPr>
              <w:t xml:space="preserve">200 logements sociaux seront rénovés. </w:t>
            </w:r>
          </w:p>
          <w:p w14:paraId="4F48BBFB" w14:textId="77777777" w:rsidR="000D1388" w:rsidRPr="00244E9F" w:rsidRDefault="00E71057">
            <w:pPr>
              <w:spacing w:after="120"/>
              <w:rPr>
                <w:rFonts w:ascii="Times New Roman" w:eastAsia="Times New Roman" w:hAnsi="Times New Roman" w:cs="Times New Roman"/>
                <w:noProof/>
                <w:color w:val="0B6A0B"/>
                <w:sz w:val="20"/>
                <w:szCs w:val="20"/>
              </w:rPr>
            </w:pPr>
            <w:r>
              <w:rPr>
                <w:rFonts w:ascii="Times New Roman" w:hAnsi="Times New Roman"/>
                <w:noProof/>
                <w:color w:val="0B6A0B"/>
                <w:sz w:val="20"/>
              </w:rPr>
              <w:t>La rénovation de 200 logements sociaux réduira en moyenne au moins 30 % de la consommation d’énergie primaire.</w:t>
            </w:r>
          </w:p>
        </w:tc>
      </w:tr>
      <w:bookmarkEnd w:id="3"/>
    </w:tbl>
    <w:p w14:paraId="73280F7A" w14:textId="77777777" w:rsidR="000D1388" w:rsidRPr="00746A1A" w:rsidRDefault="000D1388" w:rsidP="00E71057">
      <w:pPr>
        <w:spacing w:before="120" w:after="120" w:line="240" w:lineRule="auto"/>
        <w:jc w:val="both"/>
        <w:rPr>
          <w:rFonts w:ascii="Times New Roman" w:eastAsia="Calibri" w:hAnsi="Times New Roman" w:cs="Times New Roman"/>
          <w:b/>
          <w:noProof/>
          <w:sz w:val="24"/>
          <w:u w:val="single"/>
          <w:lang w:val="fr-BE"/>
        </w:rPr>
      </w:pPr>
    </w:p>
    <w:p w14:paraId="62E6A4AB" w14:textId="77777777" w:rsidR="000D1388" w:rsidRPr="00746A1A" w:rsidRDefault="000D1388" w:rsidP="00E71057">
      <w:pPr>
        <w:spacing w:before="120" w:after="120" w:line="240" w:lineRule="auto"/>
        <w:jc w:val="both"/>
        <w:rPr>
          <w:rFonts w:ascii="Times New Roman" w:eastAsia="Calibri" w:hAnsi="Times New Roman" w:cs="Times New Roman"/>
          <w:b/>
          <w:noProof/>
          <w:sz w:val="24"/>
          <w:u w:val="single"/>
          <w:lang w:val="fr-BE"/>
        </w:rPr>
      </w:pPr>
    </w:p>
    <w:bookmarkEnd w:id="7"/>
    <w:p w14:paraId="45481CF2" w14:textId="77777777" w:rsidR="000D1388" w:rsidRPr="00746A1A" w:rsidRDefault="000D1388" w:rsidP="00E71057">
      <w:pPr>
        <w:ind w:left="709"/>
        <w:rPr>
          <w:rFonts w:ascii="Times New Roman" w:eastAsia="Calibri" w:hAnsi="Times New Roman" w:cs="Times New Roman"/>
          <w:noProof/>
          <w:lang w:val="fr-BE"/>
        </w:rPr>
        <w:sectPr w:rsidR="000D1388" w:rsidRPr="00746A1A" w:rsidSect="00E71057">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7A8B4E2C"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B. COMPOSANTE 1.2: Technologies énergétiques émergentes</w:t>
      </w:r>
    </w:p>
    <w:p w14:paraId="4D42DB2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vise à donner une forte impulsion aux développements technologiques au soutien de la transition énergétique pour réduire davantage les émissions de CO</w:t>
      </w:r>
      <w:r>
        <w:rPr>
          <w:rFonts w:ascii="Times New Roman" w:hAnsi="Times New Roman"/>
          <w:noProof/>
          <w:sz w:val="24"/>
          <w:vertAlign w:val="subscript"/>
        </w:rPr>
        <w:t>2</w:t>
      </w:r>
      <w:r>
        <w:rPr>
          <w:rFonts w:ascii="Times New Roman" w:hAnsi="Times New Roman"/>
          <w:noProof/>
          <w:sz w:val="24"/>
        </w:rPr>
        <w:t>, en mettant l’accent sur l’intégration des systèmes et la décarbonation industrielle.</w:t>
      </w:r>
    </w:p>
    <w:bookmarkEnd w:id="6"/>
    <w:p w14:paraId="18DE5A09"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Elle contribue à répondre à la recommandation par pays nº 3 de 2019, appelant la Belgique à axer la politique économique liée aux investissements, notamment sur la transition énergétique et vers une économie à faible intensité de carbone, ainsi que sur la recherche et l’innovation, et à la recommandation par pays nº 3 de 2020 appelant à lancer les projets aboutis d’investissement public.</w:t>
      </w:r>
    </w:p>
    <w:p w14:paraId="2530D035"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5CB038ED" w14:textId="77777777" w:rsidR="000D1388" w:rsidRPr="009D65D8" w:rsidRDefault="00E71057" w:rsidP="00E71057">
      <w:pPr>
        <w:spacing w:before="120" w:after="120" w:line="240" w:lineRule="auto"/>
        <w:jc w:val="both"/>
        <w:rPr>
          <w:rFonts w:ascii="Times New Roman" w:eastAsia="Calibri" w:hAnsi="Times New Roman" w:cs="Times New Roman"/>
          <w:b/>
          <w:i/>
          <w:noProof/>
          <w:sz w:val="24"/>
          <w:szCs w:val="24"/>
        </w:rPr>
      </w:pPr>
      <w:r>
        <w:rPr>
          <w:rFonts w:ascii="Times New Roman" w:hAnsi="Times New Roman"/>
          <w:b/>
          <w:noProof/>
          <w:sz w:val="24"/>
          <w:u w:val="single"/>
        </w:rPr>
        <w:t xml:space="preserve">B.1. </w:t>
      </w:r>
      <w:r>
        <w:rPr>
          <w:rFonts w:ascii="Times New Roman" w:hAnsi="Times New Roman"/>
          <w:noProof/>
          <w:sz w:val="24"/>
        </w:rPr>
        <w:tab/>
      </w:r>
      <w:r>
        <w:rPr>
          <w:rFonts w:ascii="Times New Roman" w:hAnsi="Times New Roman"/>
          <w:b/>
          <w:noProof/>
          <w:sz w:val="24"/>
          <w:u w:val="single"/>
        </w:rPr>
        <w:t>Description des réformes et des investissements en vue du soutien financier non remboursable</w:t>
      </w:r>
    </w:p>
    <w:p w14:paraId="6F84B45C"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R-1.04: «Cadre réglementaire pour le marché du H</w:t>
      </w:r>
      <w:r>
        <w:rPr>
          <w:rFonts w:ascii="Times New Roman" w:hAnsi="Times New Roman"/>
          <w:noProof/>
          <w:sz w:val="24"/>
          <w:u w:val="single"/>
          <w:vertAlign w:val="subscript"/>
        </w:rPr>
        <w:t>2</w:t>
      </w:r>
      <w:r>
        <w:rPr>
          <w:rFonts w:ascii="Times New Roman" w:hAnsi="Times New Roman"/>
          <w:noProof/>
          <w:sz w:val="24"/>
          <w:u w:val="single"/>
        </w:rPr>
        <w:t>»</w:t>
      </w:r>
    </w:p>
    <w:p w14:paraId="51082C93"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La réforme se compose des mesures nécessaires à la réalisation de révisions législatives en vue de mettre en place un cadre réglementaire plus détaillé pour le fonctionnement du marché du H</w:t>
      </w:r>
      <w:r>
        <w:rPr>
          <w:rFonts w:ascii="Times New Roman" w:hAnsi="Times New Roman"/>
          <w:noProof/>
          <w:sz w:val="24"/>
          <w:vertAlign w:val="subscript"/>
        </w:rPr>
        <w:t>2</w:t>
      </w:r>
      <w:r>
        <w:rPr>
          <w:rFonts w:ascii="Times New Roman" w:hAnsi="Times New Roman"/>
          <w:noProof/>
          <w:sz w:val="24"/>
        </w:rPr>
        <w:t>, couvrant des sujets tels que le contrôle, l’accès non discriminatoire aux réseaux de transport et la fixation de redevances d’accès au réseau. En ce qui concerne le transport du H</w:t>
      </w:r>
      <w:r>
        <w:rPr>
          <w:rFonts w:ascii="Times New Roman" w:hAnsi="Times New Roman"/>
          <w:noProof/>
          <w:sz w:val="24"/>
          <w:vertAlign w:val="subscript"/>
        </w:rPr>
        <w:t>2</w:t>
      </w:r>
      <w:r>
        <w:rPr>
          <w:rFonts w:ascii="Times New Roman" w:hAnsi="Times New Roman"/>
          <w:noProof/>
          <w:sz w:val="24"/>
        </w:rPr>
        <w:t>, les nouvelles dispositions juridiques adoptées par le ou les gouvernements devraient entrer en vigueur au plus tard le 1</w:t>
      </w:r>
      <w:r>
        <w:rPr>
          <w:rFonts w:ascii="Times New Roman" w:hAnsi="Times New Roman"/>
          <w:noProof/>
          <w:sz w:val="24"/>
          <w:vertAlign w:val="superscript"/>
        </w:rPr>
        <w:t>er</w:t>
      </w:r>
      <w:r>
        <w:rPr>
          <w:rFonts w:ascii="Times New Roman" w:hAnsi="Times New Roman"/>
          <w:noProof/>
          <w:sz w:val="24"/>
        </w:rPr>
        <w:t> janvier 2024.</w:t>
      </w:r>
    </w:p>
    <w:p w14:paraId="41A2E6AF"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R-1.05: «Cadre réglementaire pour le transport de dioxyde de carbone par canalisations en Région flamande» de la Région flamande</w:t>
      </w:r>
    </w:p>
    <w:p w14:paraId="217894E7"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szCs w:val="24"/>
        </w:rPr>
      </w:pPr>
      <w:r>
        <w:rPr>
          <w:rFonts w:ascii="Times New Roman" w:hAnsi="Times New Roman"/>
          <w:noProof/>
          <w:sz w:val="24"/>
        </w:rPr>
        <w:t xml:space="preserve">La réforme se compose des mesures nécessaires à la réalisation de révisions législatives en vue de mettre en place un cadre réglementaire plus détaillé pour le transport de dioxyde de carbone par canalisations, couvrant des sujets tels que le contrôle, l’accès non discriminatoire aux réseaux de transport et la fixation de redevances d’accès au réseau. </w:t>
      </w:r>
    </w:p>
    <w:p w14:paraId="29F526C7" w14:textId="48C06424" w:rsidR="000D1388" w:rsidRPr="00DD67A6"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R-1.06: «Cadre réglementaire pour le marché du CO</w:t>
      </w:r>
      <w:r>
        <w:rPr>
          <w:rFonts w:ascii="Times New Roman" w:hAnsi="Times New Roman"/>
          <w:noProof/>
          <w:sz w:val="24"/>
          <w:u w:val="single"/>
          <w:vertAlign w:val="subscript"/>
        </w:rPr>
        <w:t>2</w:t>
      </w:r>
      <w:r>
        <w:rPr>
          <w:rFonts w:ascii="Times New Roman" w:hAnsi="Times New Roman"/>
          <w:noProof/>
          <w:sz w:val="24"/>
          <w:u w:val="single"/>
        </w:rPr>
        <w:t xml:space="preserve"> en Wallonie» de la Région wallonne</w:t>
      </w:r>
    </w:p>
    <w:p w14:paraId="3CDD775C"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La réforme vise à stimuler le développement du marché du CO</w:t>
      </w:r>
      <w:r>
        <w:rPr>
          <w:rFonts w:ascii="Times New Roman" w:hAnsi="Times New Roman"/>
          <w:noProof/>
          <w:sz w:val="24"/>
          <w:vertAlign w:val="subscript"/>
        </w:rPr>
        <w:t>2</w:t>
      </w:r>
      <w:r>
        <w:rPr>
          <w:rFonts w:ascii="Times New Roman" w:hAnsi="Times New Roman"/>
          <w:noProof/>
          <w:sz w:val="24"/>
        </w:rPr>
        <w:t xml:space="preserve"> en Wallonie. Cette mesure consiste en des révisions législatives visant à établir un cadre réglementaire plus détaillé pour le fonctionnement des marchés du CO</w:t>
      </w:r>
      <w:r>
        <w:rPr>
          <w:rFonts w:ascii="Times New Roman" w:hAnsi="Times New Roman"/>
          <w:noProof/>
          <w:sz w:val="24"/>
          <w:vertAlign w:val="subscript"/>
        </w:rPr>
        <w:t>2</w:t>
      </w:r>
      <w:r>
        <w:rPr>
          <w:rFonts w:ascii="Times New Roman" w:hAnsi="Times New Roman"/>
          <w:noProof/>
          <w:sz w:val="24"/>
        </w:rPr>
        <w:t>.</w:t>
      </w:r>
    </w:p>
    <w:p w14:paraId="1738E0D0"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I-1.15: «Une chaîne de valeur industrielle pour la transition vers l’hydrogène» de l’État fédéral</w:t>
      </w:r>
    </w:p>
    <w:p w14:paraId="7C153D9C"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Cette mesure vise à stimuler des projets d’innovation ayant un fort potentiel pour accélérer la transition énergétique, afin qu’ils soient plus rapidement matures et puissent être développés à plus grande échelle en vue d’une utilisation commerciale. Cette mesure a vocation à encourager divers projets de démonstration liés à la production et à l’utilisation de l’hydrogène relevant de la compétence du gouvernement fédéral. </w:t>
      </w:r>
    </w:p>
    <w:p w14:paraId="55E996C3" w14:textId="165CDB49" w:rsidR="000D1388" w:rsidRPr="00DD67A6"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I-1.16: «Une chaîne de valeur industrielle pour la transition vers l’hydrogène» de la Région flamande</w:t>
      </w:r>
    </w:p>
    <w:p w14:paraId="7D4991E0"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vise à soutenir la transition vers une industrie de l’hydrogène durable en Flandre par des investissements et le financement de projets. Cette mesure vise à soutenir un portefeuille de projets destinés à contribuer au développement d’une chaîne de valeur industrielle en vue de la production et de l’utilisation de l’hydrogène dans les procédés industriels.</w:t>
      </w:r>
    </w:p>
    <w:p w14:paraId="0A6E32D1" w14:textId="5D15120E" w:rsidR="000D1388" w:rsidRPr="00DD67A6"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I-1.17: «Une chaîne de valeur industrielle pour la transition vers l’hydrogène» de la Région wallonne</w:t>
      </w:r>
    </w:p>
    <w:p w14:paraId="40A039E4" w14:textId="3A005A87" w:rsidR="000D1388" w:rsidRPr="00DD67A6" w:rsidRDefault="00E71057" w:rsidP="715659F5">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Cette mesure vise à réduire l’empreinte carbone des secteurs de l’industrie, des transports et de la construction par le financement de projets et d’investissements. </w:t>
      </w:r>
      <w:r>
        <w:rPr>
          <w:rFonts w:ascii="Times New Roman" w:hAnsi="Times New Roman"/>
          <w:noProof/>
          <w:color w:val="000000" w:themeColor="text1"/>
          <w:sz w:val="24"/>
        </w:rPr>
        <w:t>Il s’agit de projets à tous les stades de la chaîne de valeur de la production d’hydrogène vert.</w:t>
      </w:r>
    </w:p>
    <w:p w14:paraId="5DD9C1FC" w14:textId="3A9DC5D5" w:rsidR="000D1388" w:rsidRPr="00DD67A6"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I-1.18: «Développer l’industrie à faible émission de carbone» de la Région wallonne</w:t>
      </w:r>
    </w:p>
    <w:p w14:paraId="05F3B871" w14:textId="77777777" w:rsidR="000D1388" w:rsidRPr="00DD67A6" w:rsidRDefault="00E71057" w:rsidP="00E71057">
      <w:pPr>
        <w:spacing w:before="120" w:after="120" w:line="240" w:lineRule="auto"/>
        <w:jc w:val="both"/>
        <w:rPr>
          <w:rFonts w:ascii="Times New Roman" w:eastAsia="Calibri" w:hAnsi="Times New Roman" w:cs="Times New Roman"/>
          <w:noProof/>
          <w:sz w:val="24"/>
        </w:rPr>
        <w:sectPr w:rsidR="000D1388" w:rsidRPr="00DD67A6" w:rsidSect="00E71057">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r>
        <w:rPr>
          <w:rFonts w:ascii="Times New Roman" w:hAnsi="Times New Roman"/>
          <w:noProof/>
          <w:sz w:val="24"/>
        </w:rPr>
        <w:t>La mesure vise à promouvoir de multiples projets destinés à réduire les émissions de CO</w:t>
      </w:r>
      <w:r>
        <w:rPr>
          <w:rFonts w:ascii="Times New Roman" w:hAnsi="Times New Roman"/>
          <w:noProof/>
          <w:sz w:val="24"/>
          <w:vertAlign w:val="subscript"/>
        </w:rPr>
        <w:t>2</w:t>
      </w:r>
      <w:r>
        <w:rPr>
          <w:rFonts w:ascii="Times New Roman" w:hAnsi="Times New Roman"/>
          <w:noProof/>
          <w:sz w:val="24"/>
        </w:rPr>
        <w:t xml:space="preserve"> découlant de la consommation d’énergie et des émissions relatives aux procédés industriels. Elle consiste en un appel à projets de partenariat de R&amp;D visant à amener les technologies au stade de la démonstration à l’échelle (pré)industrielle ou à un stade pilote dans les domaines suivants: électrification des procédés industriels, production d’hydrogène par électrolyse, utilisation directe de l’hydrogène dans les applications industrielles, capture et concentration des émissions de CO</w:t>
      </w:r>
      <w:r>
        <w:rPr>
          <w:rFonts w:ascii="Times New Roman" w:hAnsi="Times New Roman"/>
          <w:noProof/>
          <w:sz w:val="24"/>
          <w:vertAlign w:val="subscript"/>
        </w:rPr>
        <w:t>2</w:t>
      </w:r>
      <w:r>
        <w:rPr>
          <w:rFonts w:ascii="Times New Roman" w:hAnsi="Times New Roman"/>
          <w:noProof/>
          <w:sz w:val="24"/>
        </w:rPr>
        <w:t xml:space="preserve"> et décarbonation des procédés de production de l’ammoniac.</w:t>
      </w:r>
    </w:p>
    <w:p w14:paraId="71F77CFF"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B.2.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139"/>
        <w:gridCol w:w="1559"/>
        <w:gridCol w:w="1701"/>
        <w:gridCol w:w="1039"/>
        <w:gridCol w:w="1087"/>
        <w:gridCol w:w="987"/>
        <w:gridCol w:w="1134"/>
        <w:gridCol w:w="851"/>
        <w:gridCol w:w="3621"/>
      </w:tblGrid>
      <w:tr w:rsidR="005003AB" w:rsidRPr="00244E9F" w14:paraId="672764AB" w14:textId="77777777" w:rsidTr="009A2DD9">
        <w:trPr>
          <w:trHeight w:val="927"/>
          <w:tblHeader/>
          <w:jc w:val="center"/>
        </w:trPr>
        <w:tc>
          <w:tcPr>
            <w:tcW w:w="1129" w:type="dxa"/>
            <w:vMerge w:val="restart"/>
            <w:shd w:val="clear" w:color="auto" w:fill="BDD7EE"/>
            <w:vAlign w:val="center"/>
            <w:hideMark/>
          </w:tcPr>
          <w:p w14:paraId="3E833A73"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4B661256"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139" w:type="dxa"/>
            <w:vMerge w:val="restart"/>
            <w:shd w:val="clear" w:color="auto" w:fill="BDD7EE"/>
            <w:vAlign w:val="center"/>
            <w:hideMark/>
          </w:tcPr>
          <w:p w14:paraId="25DA4ECD"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59" w:type="dxa"/>
            <w:vMerge w:val="restart"/>
            <w:shd w:val="clear" w:color="auto" w:fill="BDD7EE"/>
            <w:vAlign w:val="center"/>
            <w:hideMark/>
          </w:tcPr>
          <w:p w14:paraId="430DD4FB"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701" w:type="dxa"/>
            <w:vMerge w:val="restart"/>
            <w:shd w:val="clear" w:color="auto" w:fill="BDD7EE"/>
            <w:vAlign w:val="center"/>
            <w:hideMark/>
          </w:tcPr>
          <w:p w14:paraId="04B0781B"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qualitatifs</w:t>
            </w:r>
            <w:r>
              <w:rPr>
                <w:rFonts w:ascii="Times New Roman" w:hAnsi="Times New Roman"/>
                <w:noProof/>
                <w:sz w:val="20"/>
              </w:rPr>
              <w:br/>
            </w:r>
            <w:r>
              <w:rPr>
                <w:rFonts w:ascii="Times New Roman" w:hAnsi="Times New Roman"/>
                <w:b/>
                <w:noProof/>
                <w:sz w:val="20"/>
              </w:rPr>
              <w:t>(pour les jalons)</w:t>
            </w:r>
          </w:p>
        </w:tc>
        <w:tc>
          <w:tcPr>
            <w:tcW w:w="3113" w:type="dxa"/>
            <w:gridSpan w:val="3"/>
            <w:shd w:val="clear" w:color="auto" w:fill="BDD7EE"/>
            <w:vAlign w:val="center"/>
            <w:hideMark/>
          </w:tcPr>
          <w:p w14:paraId="00FC4BE6"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quantitatifs</w:t>
            </w:r>
            <w:r>
              <w:rPr>
                <w:rFonts w:ascii="Times New Roman" w:hAnsi="Times New Roman"/>
                <w:noProof/>
                <w:sz w:val="20"/>
              </w:rPr>
              <w:br/>
            </w:r>
            <w:r>
              <w:rPr>
                <w:rFonts w:ascii="Times New Roman" w:hAnsi="Times New Roman"/>
                <w:b/>
                <w:noProof/>
                <w:sz w:val="20"/>
              </w:rPr>
              <w:t>(pour les cibles)</w:t>
            </w:r>
          </w:p>
        </w:tc>
        <w:tc>
          <w:tcPr>
            <w:tcW w:w="1985" w:type="dxa"/>
            <w:gridSpan w:val="2"/>
            <w:shd w:val="clear" w:color="auto" w:fill="BDD7EE"/>
            <w:vAlign w:val="center"/>
            <w:hideMark/>
          </w:tcPr>
          <w:p w14:paraId="69F870D9"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621" w:type="dxa"/>
            <w:vMerge w:val="restart"/>
            <w:shd w:val="clear" w:color="auto" w:fill="BDD7EE"/>
            <w:vAlign w:val="center"/>
            <w:hideMark/>
          </w:tcPr>
          <w:p w14:paraId="7B0E1ACF"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F76C04" w:rsidRPr="00244E9F" w14:paraId="429BC7B4" w14:textId="77777777" w:rsidTr="009A2DD9">
        <w:trPr>
          <w:trHeight w:val="1013"/>
          <w:jc w:val="center"/>
        </w:trPr>
        <w:tc>
          <w:tcPr>
            <w:tcW w:w="1129" w:type="dxa"/>
            <w:vMerge/>
            <w:vAlign w:val="center"/>
            <w:hideMark/>
          </w:tcPr>
          <w:p w14:paraId="6D4DDC7E" w14:textId="77777777" w:rsidR="000D1388" w:rsidRPr="00746A1A" w:rsidRDefault="000D1388">
            <w:pPr>
              <w:spacing w:after="0"/>
              <w:jc w:val="center"/>
              <w:rPr>
                <w:rFonts w:ascii="Times New Roman" w:eastAsia="Times New Roman" w:hAnsi="Times New Roman" w:cs="Times New Roman"/>
                <w:b/>
                <w:bCs/>
                <w:noProof/>
                <w:sz w:val="20"/>
                <w:szCs w:val="20"/>
                <w:lang w:val="fr-BE" w:eastAsia="en-GB"/>
              </w:rPr>
            </w:pPr>
          </w:p>
        </w:tc>
        <w:tc>
          <w:tcPr>
            <w:tcW w:w="1560" w:type="dxa"/>
            <w:vMerge/>
            <w:vAlign w:val="center"/>
            <w:hideMark/>
          </w:tcPr>
          <w:p w14:paraId="5F10CEF3"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139" w:type="dxa"/>
            <w:vMerge/>
            <w:vAlign w:val="center"/>
            <w:hideMark/>
          </w:tcPr>
          <w:p w14:paraId="22E01FD0"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59" w:type="dxa"/>
            <w:vMerge/>
            <w:vAlign w:val="center"/>
            <w:hideMark/>
          </w:tcPr>
          <w:p w14:paraId="0B3138BF"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701" w:type="dxa"/>
            <w:vMerge/>
            <w:vAlign w:val="center"/>
            <w:hideMark/>
          </w:tcPr>
          <w:p w14:paraId="7A5AA41E"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039" w:type="dxa"/>
            <w:shd w:val="clear" w:color="auto" w:fill="BDD7EE"/>
            <w:vAlign w:val="center"/>
            <w:hideMark/>
          </w:tcPr>
          <w:p w14:paraId="0256FD9A"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87" w:type="dxa"/>
            <w:shd w:val="clear" w:color="auto" w:fill="BDD7EE"/>
            <w:vAlign w:val="center"/>
            <w:hideMark/>
          </w:tcPr>
          <w:p w14:paraId="5E4BA33B"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87" w:type="dxa"/>
            <w:shd w:val="clear" w:color="auto" w:fill="BDD7EE"/>
            <w:vAlign w:val="center"/>
            <w:hideMark/>
          </w:tcPr>
          <w:p w14:paraId="16C207AC"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shd w:val="clear" w:color="auto" w:fill="BDD7EE"/>
            <w:vAlign w:val="center"/>
            <w:hideMark/>
          </w:tcPr>
          <w:p w14:paraId="2CAD17EB"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hideMark/>
          </w:tcPr>
          <w:p w14:paraId="077B6253" w14:textId="77777777" w:rsidR="000D1388" w:rsidRPr="00244E9F"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621" w:type="dxa"/>
            <w:vMerge/>
            <w:vAlign w:val="center"/>
            <w:hideMark/>
          </w:tcPr>
          <w:p w14:paraId="2377B65D" w14:textId="77777777" w:rsidR="000D1388" w:rsidRPr="00244E9F" w:rsidRDefault="000D1388">
            <w:pPr>
              <w:spacing w:after="0"/>
              <w:rPr>
                <w:rFonts w:ascii="Times New Roman" w:eastAsia="Times New Roman" w:hAnsi="Times New Roman" w:cs="Times New Roman"/>
                <w:b/>
                <w:bCs/>
                <w:noProof/>
                <w:sz w:val="20"/>
                <w:szCs w:val="20"/>
                <w:lang w:val="en-GB" w:eastAsia="en-GB"/>
              </w:rPr>
            </w:pPr>
          </w:p>
        </w:tc>
      </w:tr>
      <w:tr w:rsidR="00F76C04" w:rsidRPr="00244E9F" w14:paraId="48D7A273" w14:textId="77777777" w:rsidTr="009A2DD9">
        <w:trPr>
          <w:trHeight w:val="309"/>
          <w:jc w:val="center"/>
        </w:trPr>
        <w:tc>
          <w:tcPr>
            <w:tcW w:w="1129" w:type="dxa"/>
            <w:shd w:val="clear" w:color="auto" w:fill="C6EFCE"/>
            <w:noWrap/>
            <w:vAlign w:val="center"/>
            <w:hideMark/>
          </w:tcPr>
          <w:p w14:paraId="6D492DE3" w14:textId="77777777" w:rsidR="000D1388" w:rsidRPr="009A2DD9" w:rsidRDefault="00E71057">
            <w:pPr>
              <w:spacing w:after="0"/>
              <w:jc w:val="center"/>
              <w:rPr>
                <w:rFonts w:ascii="Times New Roman" w:eastAsia="Times New Roman" w:hAnsi="Times New Roman" w:cs="Times New Roman"/>
                <w:noProof/>
                <w:color w:val="006100"/>
                <w:sz w:val="18"/>
                <w:szCs w:val="18"/>
              </w:rPr>
            </w:pPr>
            <w:bookmarkStart w:id="8" w:name="_1683304835"/>
            <w:bookmarkEnd w:id="8"/>
            <w:r w:rsidRPr="009A2DD9">
              <w:rPr>
                <w:rFonts w:ascii="Times New Roman" w:hAnsi="Times New Roman"/>
                <w:noProof/>
                <w:color w:val="006100"/>
                <w:sz w:val="18"/>
                <w:szCs w:val="18"/>
              </w:rPr>
              <w:t>15</w:t>
            </w:r>
          </w:p>
        </w:tc>
        <w:tc>
          <w:tcPr>
            <w:tcW w:w="1560" w:type="dxa"/>
            <w:shd w:val="clear" w:color="auto" w:fill="C6EFCE"/>
            <w:noWrap/>
            <w:vAlign w:val="center"/>
            <w:hideMark/>
          </w:tcPr>
          <w:p w14:paraId="2B725414"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Cadre réglementaire pour le marché du H</w:t>
            </w:r>
            <w:r w:rsidRPr="009A2DD9">
              <w:rPr>
                <w:rFonts w:ascii="Times New Roman" w:hAnsi="Times New Roman"/>
                <w:noProof/>
                <w:color w:val="006100"/>
                <w:sz w:val="18"/>
                <w:szCs w:val="18"/>
                <w:vertAlign w:val="subscript"/>
              </w:rPr>
              <w:t>2</w:t>
            </w:r>
            <w:r w:rsidRPr="009A2DD9">
              <w:rPr>
                <w:rFonts w:ascii="Times New Roman" w:hAnsi="Times New Roman"/>
                <w:noProof/>
                <w:color w:val="006100"/>
                <w:sz w:val="18"/>
                <w:szCs w:val="18"/>
              </w:rPr>
              <w:t xml:space="preserve"> (R-1.04)</w:t>
            </w:r>
          </w:p>
        </w:tc>
        <w:tc>
          <w:tcPr>
            <w:tcW w:w="1139" w:type="dxa"/>
            <w:shd w:val="clear" w:color="auto" w:fill="C6EFCE"/>
            <w:noWrap/>
            <w:vAlign w:val="center"/>
            <w:hideMark/>
          </w:tcPr>
          <w:p w14:paraId="5C104B6C"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J</w:t>
            </w:r>
          </w:p>
        </w:tc>
        <w:tc>
          <w:tcPr>
            <w:tcW w:w="1559" w:type="dxa"/>
            <w:shd w:val="clear" w:color="auto" w:fill="C6EFCE"/>
            <w:noWrap/>
            <w:vAlign w:val="center"/>
            <w:hideMark/>
          </w:tcPr>
          <w:p w14:paraId="782A4500"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Entrée en vigueur des nouvelles lois/des lois modifiées et des règlements connexes pour permettre le développement du marché du H</w:t>
            </w:r>
            <w:r w:rsidRPr="009A2DD9">
              <w:rPr>
                <w:rFonts w:ascii="Times New Roman" w:hAnsi="Times New Roman"/>
                <w:noProof/>
                <w:color w:val="006100"/>
                <w:sz w:val="18"/>
                <w:szCs w:val="18"/>
                <w:vertAlign w:val="subscript"/>
              </w:rPr>
              <w:t>2</w:t>
            </w:r>
            <w:r w:rsidRPr="009A2DD9">
              <w:rPr>
                <w:rFonts w:ascii="Times New Roman" w:hAnsi="Times New Roman"/>
                <w:noProof/>
                <w:color w:val="006100"/>
                <w:sz w:val="18"/>
                <w:szCs w:val="18"/>
              </w:rPr>
              <w:t>.</w:t>
            </w:r>
          </w:p>
        </w:tc>
        <w:tc>
          <w:tcPr>
            <w:tcW w:w="1701" w:type="dxa"/>
            <w:shd w:val="clear" w:color="auto" w:fill="C6EFCE"/>
            <w:noWrap/>
            <w:vAlign w:val="center"/>
            <w:hideMark/>
          </w:tcPr>
          <w:p w14:paraId="08A5F7E1"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Publication des nouvelles lois/des lois modifiées et des règlements connexes (Moniteur belge)</w:t>
            </w:r>
          </w:p>
        </w:tc>
        <w:tc>
          <w:tcPr>
            <w:tcW w:w="1039" w:type="dxa"/>
            <w:shd w:val="clear" w:color="auto" w:fill="C6EFCE"/>
            <w:noWrap/>
            <w:vAlign w:val="center"/>
          </w:tcPr>
          <w:p w14:paraId="62233559" w14:textId="77777777" w:rsidR="000D1388" w:rsidRPr="009A2DD9" w:rsidRDefault="000D1388">
            <w:pPr>
              <w:spacing w:after="0"/>
              <w:rPr>
                <w:rFonts w:ascii="Times New Roman" w:eastAsia="Times New Roman" w:hAnsi="Times New Roman" w:cs="Times New Roman"/>
                <w:noProof/>
                <w:color w:val="006100"/>
                <w:sz w:val="18"/>
                <w:szCs w:val="18"/>
                <w:lang w:val="fr-BE" w:eastAsia="en-GB"/>
              </w:rPr>
            </w:pPr>
          </w:p>
        </w:tc>
        <w:tc>
          <w:tcPr>
            <w:tcW w:w="1087" w:type="dxa"/>
            <w:shd w:val="clear" w:color="auto" w:fill="C6EFCE"/>
            <w:noWrap/>
            <w:vAlign w:val="center"/>
          </w:tcPr>
          <w:p w14:paraId="7BC28386" w14:textId="77777777" w:rsidR="000D1388" w:rsidRPr="009A2DD9" w:rsidRDefault="000D1388">
            <w:pPr>
              <w:spacing w:after="0"/>
              <w:jc w:val="right"/>
              <w:rPr>
                <w:rFonts w:ascii="Times New Roman" w:eastAsia="Times New Roman" w:hAnsi="Times New Roman" w:cs="Times New Roman"/>
                <w:noProof/>
                <w:color w:val="006100"/>
                <w:sz w:val="18"/>
                <w:szCs w:val="18"/>
                <w:lang w:val="fr-BE" w:eastAsia="en-GB"/>
              </w:rPr>
            </w:pPr>
          </w:p>
        </w:tc>
        <w:tc>
          <w:tcPr>
            <w:tcW w:w="987" w:type="dxa"/>
            <w:shd w:val="clear" w:color="auto" w:fill="C6EFCE"/>
            <w:noWrap/>
            <w:vAlign w:val="center"/>
          </w:tcPr>
          <w:p w14:paraId="703CB6F8" w14:textId="77777777" w:rsidR="000D1388" w:rsidRPr="009A2DD9" w:rsidRDefault="000D1388">
            <w:pPr>
              <w:spacing w:after="0"/>
              <w:jc w:val="right"/>
              <w:rPr>
                <w:rFonts w:ascii="Times New Roman" w:eastAsia="Times New Roman" w:hAnsi="Times New Roman" w:cs="Times New Roman"/>
                <w:noProof/>
                <w:color w:val="006100"/>
                <w:sz w:val="18"/>
                <w:szCs w:val="18"/>
                <w:lang w:val="fr-BE" w:eastAsia="en-GB"/>
              </w:rPr>
            </w:pPr>
          </w:p>
        </w:tc>
        <w:tc>
          <w:tcPr>
            <w:tcW w:w="1134" w:type="dxa"/>
            <w:shd w:val="clear" w:color="auto" w:fill="C6EFCE"/>
            <w:noWrap/>
            <w:vAlign w:val="center"/>
            <w:hideMark/>
          </w:tcPr>
          <w:p w14:paraId="64443BB5"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T1</w:t>
            </w:r>
          </w:p>
        </w:tc>
        <w:tc>
          <w:tcPr>
            <w:tcW w:w="851" w:type="dxa"/>
            <w:shd w:val="clear" w:color="auto" w:fill="C6EFCE"/>
            <w:noWrap/>
            <w:vAlign w:val="center"/>
            <w:hideMark/>
          </w:tcPr>
          <w:p w14:paraId="28B37316"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2024</w:t>
            </w:r>
          </w:p>
        </w:tc>
        <w:tc>
          <w:tcPr>
            <w:tcW w:w="3621" w:type="dxa"/>
            <w:shd w:val="clear" w:color="auto" w:fill="C6EFCE"/>
            <w:noWrap/>
            <w:vAlign w:val="center"/>
            <w:hideMark/>
          </w:tcPr>
          <w:p w14:paraId="0752CECA"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Entrée en vigueur des nouvelles lois/des lois modifiées pour:</w:t>
            </w:r>
          </w:p>
          <w:p w14:paraId="0ED3CCEA" w14:textId="77777777" w:rsidR="000D1388" w:rsidRPr="009A2DD9" w:rsidRDefault="00E71057" w:rsidP="00F70F65">
            <w:pPr>
              <w:numPr>
                <w:ilvl w:val="0"/>
                <w:numId w:val="27"/>
              </w:numPr>
              <w:spacing w:after="0"/>
              <w:contextualSpacing/>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permettre le développement du marché du H</w:t>
            </w:r>
            <w:r w:rsidRPr="009A2DD9">
              <w:rPr>
                <w:rFonts w:ascii="Times New Roman" w:hAnsi="Times New Roman"/>
                <w:noProof/>
                <w:color w:val="006100"/>
                <w:sz w:val="18"/>
                <w:szCs w:val="18"/>
                <w:vertAlign w:val="subscript"/>
              </w:rPr>
              <w:t>2</w:t>
            </w:r>
            <w:r w:rsidRPr="009A2DD9">
              <w:rPr>
                <w:rFonts w:ascii="Times New Roman" w:hAnsi="Times New Roman"/>
                <w:noProof/>
                <w:color w:val="006100"/>
                <w:sz w:val="18"/>
                <w:szCs w:val="18"/>
              </w:rPr>
              <w:t>,</w:t>
            </w:r>
          </w:p>
          <w:p w14:paraId="6E68E2F4" w14:textId="77777777" w:rsidR="000D1388" w:rsidRPr="009A2DD9" w:rsidRDefault="00E71057" w:rsidP="00F70F65">
            <w:pPr>
              <w:numPr>
                <w:ilvl w:val="0"/>
                <w:numId w:val="27"/>
              </w:numPr>
              <w:spacing w:after="0"/>
              <w:contextualSpacing/>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couvrir des sujets tels que le contrôle, l’accès non discriminatoire et les tarifs.</w:t>
            </w:r>
          </w:p>
        </w:tc>
      </w:tr>
      <w:tr w:rsidR="00F76C04" w:rsidRPr="00244E9F" w14:paraId="16C3AF81" w14:textId="77777777" w:rsidTr="009A2DD9">
        <w:trPr>
          <w:trHeight w:val="309"/>
          <w:jc w:val="center"/>
        </w:trPr>
        <w:tc>
          <w:tcPr>
            <w:tcW w:w="1129" w:type="dxa"/>
            <w:shd w:val="clear" w:color="auto" w:fill="C6EFCE"/>
            <w:noWrap/>
            <w:vAlign w:val="center"/>
          </w:tcPr>
          <w:p w14:paraId="138000B4" w14:textId="77777777" w:rsidR="000D1388" w:rsidRPr="009A2DD9" w:rsidRDefault="00E71057">
            <w:pPr>
              <w:spacing w:after="0"/>
              <w:jc w:val="center"/>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15 </w:t>
            </w:r>
            <w:r w:rsidRPr="009A2DD9">
              <w:rPr>
                <w:rFonts w:ascii="Times New Roman" w:hAnsi="Times New Roman"/>
                <w:i/>
                <w:iCs/>
                <w:noProof/>
                <w:color w:val="006100"/>
                <w:sz w:val="18"/>
                <w:szCs w:val="18"/>
              </w:rPr>
              <w:t>bis</w:t>
            </w:r>
          </w:p>
        </w:tc>
        <w:tc>
          <w:tcPr>
            <w:tcW w:w="1560" w:type="dxa"/>
            <w:shd w:val="clear" w:color="auto" w:fill="C6EFCE"/>
            <w:noWrap/>
            <w:vAlign w:val="center"/>
          </w:tcPr>
          <w:p w14:paraId="30A7B496"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Cadre réglementaire pour le transport de dioxyde de carbone par canalisations en Flandre (R-1.05)</w:t>
            </w:r>
          </w:p>
        </w:tc>
        <w:tc>
          <w:tcPr>
            <w:tcW w:w="1139" w:type="dxa"/>
            <w:shd w:val="clear" w:color="auto" w:fill="C6EFCE"/>
            <w:noWrap/>
            <w:vAlign w:val="center"/>
          </w:tcPr>
          <w:p w14:paraId="2CC7A500"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J</w:t>
            </w:r>
          </w:p>
        </w:tc>
        <w:tc>
          <w:tcPr>
            <w:tcW w:w="1559" w:type="dxa"/>
            <w:shd w:val="clear" w:color="auto" w:fill="C6EFCE"/>
            <w:noWrap/>
            <w:vAlign w:val="center"/>
          </w:tcPr>
          <w:p w14:paraId="0211C7EC"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Entrée en vigueur des nouveaux décrets/des décrets modifiés et des règlements connexes pour permettre le transport de dioxyde de carbone par canalisations en Flandre.</w:t>
            </w:r>
          </w:p>
        </w:tc>
        <w:tc>
          <w:tcPr>
            <w:tcW w:w="1701" w:type="dxa"/>
            <w:shd w:val="clear" w:color="auto" w:fill="C6EFCE"/>
            <w:noWrap/>
            <w:vAlign w:val="center"/>
          </w:tcPr>
          <w:p w14:paraId="7F2F50D1"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Publication des nouvelles lois/des lois modifiées et des règlements connexes (Moniteur belge)</w:t>
            </w:r>
          </w:p>
        </w:tc>
        <w:tc>
          <w:tcPr>
            <w:tcW w:w="1039" w:type="dxa"/>
            <w:shd w:val="clear" w:color="auto" w:fill="C6EFCE"/>
            <w:noWrap/>
            <w:vAlign w:val="center"/>
          </w:tcPr>
          <w:p w14:paraId="553C68F3" w14:textId="77777777" w:rsidR="000D1388" w:rsidRPr="009A2DD9" w:rsidRDefault="000D1388">
            <w:pPr>
              <w:spacing w:after="0"/>
              <w:rPr>
                <w:rFonts w:ascii="Times New Roman" w:eastAsia="Times New Roman" w:hAnsi="Times New Roman" w:cs="Times New Roman"/>
                <w:noProof/>
                <w:color w:val="006100"/>
                <w:sz w:val="18"/>
                <w:szCs w:val="18"/>
                <w:lang w:val="fr-BE" w:eastAsia="en-GB"/>
              </w:rPr>
            </w:pPr>
          </w:p>
        </w:tc>
        <w:tc>
          <w:tcPr>
            <w:tcW w:w="1087" w:type="dxa"/>
            <w:shd w:val="clear" w:color="auto" w:fill="C6EFCE"/>
            <w:noWrap/>
            <w:vAlign w:val="center"/>
          </w:tcPr>
          <w:p w14:paraId="099308F9" w14:textId="77777777" w:rsidR="000D1388" w:rsidRPr="009A2DD9" w:rsidRDefault="000D1388">
            <w:pPr>
              <w:spacing w:after="0"/>
              <w:jc w:val="right"/>
              <w:rPr>
                <w:rFonts w:ascii="Times New Roman" w:eastAsia="Times New Roman" w:hAnsi="Times New Roman" w:cs="Times New Roman"/>
                <w:noProof/>
                <w:color w:val="006100"/>
                <w:sz w:val="18"/>
                <w:szCs w:val="18"/>
                <w:lang w:val="fr-BE" w:eastAsia="en-GB"/>
              </w:rPr>
            </w:pPr>
          </w:p>
        </w:tc>
        <w:tc>
          <w:tcPr>
            <w:tcW w:w="987" w:type="dxa"/>
            <w:shd w:val="clear" w:color="auto" w:fill="C6EFCE"/>
            <w:noWrap/>
            <w:vAlign w:val="center"/>
          </w:tcPr>
          <w:p w14:paraId="68CBF200" w14:textId="77777777" w:rsidR="000D1388" w:rsidRPr="009A2DD9" w:rsidRDefault="000D1388">
            <w:pPr>
              <w:spacing w:after="0"/>
              <w:jc w:val="right"/>
              <w:rPr>
                <w:rFonts w:ascii="Times New Roman" w:eastAsia="Times New Roman" w:hAnsi="Times New Roman" w:cs="Times New Roman"/>
                <w:noProof/>
                <w:color w:val="006100"/>
                <w:sz w:val="18"/>
                <w:szCs w:val="18"/>
                <w:lang w:val="fr-BE" w:eastAsia="en-GB"/>
              </w:rPr>
            </w:pPr>
          </w:p>
        </w:tc>
        <w:tc>
          <w:tcPr>
            <w:tcW w:w="1134" w:type="dxa"/>
            <w:shd w:val="clear" w:color="auto" w:fill="C6EFCE"/>
            <w:noWrap/>
            <w:vAlign w:val="center"/>
          </w:tcPr>
          <w:p w14:paraId="730FD705"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T1</w:t>
            </w:r>
          </w:p>
        </w:tc>
        <w:tc>
          <w:tcPr>
            <w:tcW w:w="851" w:type="dxa"/>
            <w:shd w:val="clear" w:color="auto" w:fill="C6EFCE"/>
            <w:noWrap/>
            <w:vAlign w:val="center"/>
          </w:tcPr>
          <w:p w14:paraId="41B8BFAC"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2024</w:t>
            </w:r>
          </w:p>
        </w:tc>
        <w:tc>
          <w:tcPr>
            <w:tcW w:w="3621" w:type="dxa"/>
            <w:shd w:val="clear" w:color="auto" w:fill="C6EFCE"/>
            <w:noWrap/>
            <w:vAlign w:val="center"/>
          </w:tcPr>
          <w:p w14:paraId="679DEFD7"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Entrée en vigueur des dispositions juridiques au niveau flamand pour:</w:t>
            </w:r>
          </w:p>
          <w:p w14:paraId="3106FA73" w14:textId="77777777" w:rsidR="000D1388" w:rsidRPr="009A2DD9" w:rsidRDefault="00E71057" w:rsidP="00F70F65">
            <w:pPr>
              <w:numPr>
                <w:ilvl w:val="0"/>
                <w:numId w:val="28"/>
              </w:numPr>
              <w:spacing w:after="0"/>
              <w:contextualSpacing/>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permettre le transport de CO</w:t>
            </w:r>
            <w:r w:rsidRPr="009A2DD9">
              <w:rPr>
                <w:rFonts w:ascii="Times New Roman" w:hAnsi="Times New Roman"/>
                <w:noProof/>
                <w:color w:val="006100"/>
                <w:sz w:val="18"/>
                <w:szCs w:val="18"/>
                <w:vertAlign w:val="subscript"/>
              </w:rPr>
              <w:t>2</w:t>
            </w:r>
            <w:r w:rsidRPr="009A2DD9">
              <w:rPr>
                <w:rFonts w:ascii="Times New Roman" w:hAnsi="Times New Roman"/>
                <w:noProof/>
                <w:color w:val="006100"/>
                <w:sz w:val="18"/>
                <w:szCs w:val="18"/>
              </w:rPr>
              <w:t xml:space="preserve"> par canalisations,</w:t>
            </w:r>
          </w:p>
          <w:p w14:paraId="73C2E477" w14:textId="77777777" w:rsidR="000D1388" w:rsidRPr="009A2DD9" w:rsidRDefault="00E71057" w:rsidP="00F70F65">
            <w:pPr>
              <w:numPr>
                <w:ilvl w:val="0"/>
                <w:numId w:val="28"/>
              </w:numPr>
              <w:spacing w:after="0"/>
              <w:contextualSpacing/>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couvrir des sujets tels que le contrôle, l’accès non discriminatoire et les tarifs.</w:t>
            </w:r>
          </w:p>
        </w:tc>
      </w:tr>
      <w:tr w:rsidR="00F76C04" w:rsidRPr="00244E9F" w14:paraId="5A08F9E0" w14:textId="77777777" w:rsidTr="009A2DD9">
        <w:trPr>
          <w:trHeight w:val="309"/>
          <w:jc w:val="center"/>
        </w:trPr>
        <w:tc>
          <w:tcPr>
            <w:tcW w:w="1129" w:type="dxa"/>
            <w:shd w:val="clear" w:color="auto" w:fill="C6EFCE"/>
            <w:noWrap/>
            <w:vAlign w:val="center"/>
          </w:tcPr>
          <w:p w14:paraId="6C30AE85" w14:textId="77777777" w:rsidR="000D1388" w:rsidRPr="009A2DD9" w:rsidRDefault="00E71057">
            <w:pPr>
              <w:spacing w:after="0"/>
              <w:jc w:val="center"/>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15 </w:t>
            </w:r>
            <w:r w:rsidRPr="009A2DD9">
              <w:rPr>
                <w:rFonts w:ascii="Times New Roman" w:hAnsi="Times New Roman"/>
                <w:i/>
                <w:iCs/>
                <w:noProof/>
                <w:color w:val="006100"/>
                <w:sz w:val="18"/>
                <w:szCs w:val="18"/>
              </w:rPr>
              <w:t>ter</w:t>
            </w:r>
          </w:p>
        </w:tc>
        <w:tc>
          <w:tcPr>
            <w:tcW w:w="1560" w:type="dxa"/>
            <w:shd w:val="clear" w:color="auto" w:fill="C6EFCE"/>
            <w:noWrap/>
            <w:vAlign w:val="center"/>
          </w:tcPr>
          <w:p w14:paraId="22A4092C"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Cadre réglementaire pour le marché du CO</w:t>
            </w:r>
            <w:r w:rsidRPr="009A2DD9">
              <w:rPr>
                <w:rFonts w:ascii="Times New Roman" w:hAnsi="Times New Roman"/>
                <w:noProof/>
                <w:color w:val="006100"/>
                <w:sz w:val="18"/>
                <w:szCs w:val="18"/>
                <w:vertAlign w:val="subscript"/>
              </w:rPr>
              <w:t>2</w:t>
            </w:r>
            <w:r w:rsidRPr="009A2DD9">
              <w:rPr>
                <w:rFonts w:ascii="Times New Roman" w:hAnsi="Times New Roman"/>
                <w:noProof/>
                <w:color w:val="006100"/>
                <w:sz w:val="18"/>
                <w:szCs w:val="18"/>
              </w:rPr>
              <w:t xml:space="preserve"> en Wallonie (R-1.06)</w:t>
            </w:r>
          </w:p>
        </w:tc>
        <w:tc>
          <w:tcPr>
            <w:tcW w:w="1139" w:type="dxa"/>
            <w:shd w:val="clear" w:color="auto" w:fill="C6EFCE"/>
            <w:noWrap/>
            <w:vAlign w:val="center"/>
          </w:tcPr>
          <w:p w14:paraId="0A00A358"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J</w:t>
            </w:r>
          </w:p>
        </w:tc>
        <w:tc>
          <w:tcPr>
            <w:tcW w:w="1559" w:type="dxa"/>
            <w:shd w:val="clear" w:color="auto" w:fill="C6EFCE"/>
            <w:noWrap/>
            <w:vAlign w:val="center"/>
          </w:tcPr>
          <w:p w14:paraId="55872FF3"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Entrée en vigueur d’un décret pour permettre le développement du marché du CO</w:t>
            </w:r>
            <w:r w:rsidRPr="009A2DD9">
              <w:rPr>
                <w:rFonts w:ascii="Times New Roman" w:hAnsi="Times New Roman"/>
                <w:noProof/>
                <w:color w:val="006100"/>
                <w:sz w:val="18"/>
                <w:szCs w:val="18"/>
                <w:vertAlign w:val="subscript"/>
              </w:rPr>
              <w:t>2</w:t>
            </w:r>
            <w:r w:rsidRPr="009A2DD9">
              <w:rPr>
                <w:rFonts w:ascii="Times New Roman" w:hAnsi="Times New Roman"/>
                <w:noProof/>
                <w:color w:val="006100"/>
                <w:sz w:val="18"/>
                <w:szCs w:val="18"/>
              </w:rPr>
              <w:t xml:space="preserve"> en Wallonie</w:t>
            </w:r>
          </w:p>
        </w:tc>
        <w:tc>
          <w:tcPr>
            <w:tcW w:w="1701" w:type="dxa"/>
            <w:shd w:val="clear" w:color="auto" w:fill="C6EFCE"/>
            <w:noWrap/>
            <w:vAlign w:val="center"/>
          </w:tcPr>
          <w:p w14:paraId="3E4753F8"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 xml:space="preserve">Publication d’un décret </w:t>
            </w:r>
          </w:p>
        </w:tc>
        <w:tc>
          <w:tcPr>
            <w:tcW w:w="1039" w:type="dxa"/>
            <w:shd w:val="clear" w:color="auto" w:fill="C6EFCE"/>
            <w:noWrap/>
            <w:vAlign w:val="center"/>
          </w:tcPr>
          <w:p w14:paraId="516D3100" w14:textId="77777777" w:rsidR="000D1388" w:rsidRPr="009A2DD9" w:rsidRDefault="000D1388">
            <w:pPr>
              <w:spacing w:after="0"/>
              <w:rPr>
                <w:rFonts w:ascii="Times New Roman" w:eastAsia="Times New Roman" w:hAnsi="Times New Roman" w:cs="Times New Roman"/>
                <w:noProof/>
                <w:color w:val="006100"/>
                <w:sz w:val="18"/>
                <w:szCs w:val="18"/>
                <w:lang w:val="en-GB" w:eastAsia="en-GB"/>
              </w:rPr>
            </w:pPr>
          </w:p>
        </w:tc>
        <w:tc>
          <w:tcPr>
            <w:tcW w:w="1087" w:type="dxa"/>
            <w:shd w:val="clear" w:color="auto" w:fill="C6EFCE"/>
            <w:noWrap/>
            <w:vAlign w:val="center"/>
          </w:tcPr>
          <w:p w14:paraId="64FDBA05" w14:textId="77777777" w:rsidR="000D1388" w:rsidRPr="009A2DD9" w:rsidRDefault="000D1388">
            <w:pPr>
              <w:spacing w:after="0"/>
              <w:jc w:val="right"/>
              <w:rPr>
                <w:rFonts w:ascii="Times New Roman" w:eastAsia="Times New Roman" w:hAnsi="Times New Roman" w:cs="Times New Roman"/>
                <w:noProof/>
                <w:color w:val="006100"/>
                <w:sz w:val="18"/>
                <w:szCs w:val="18"/>
                <w:lang w:val="en-GB" w:eastAsia="en-GB"/>
              </w:rPr>
            </w:pPr>
          </w:p>
        </w:tc>
        <w:tc>
          <w:tcPr>
            <w:tcW w:w="987" w:type="dxa"/>
            <w:shd w:val="clear" w:color="auto" w:fill="C6EFCE"/>
            <w:noWrap/>
            <w:vAlign w:val="center"/>
          </w:tcPr>
          <w:p w14:paraId="74D636AB" w14:textId="77777777" w:rsidR="000D1388" w:rsidRPr="009A2DD9" w:rsidRDefault="000D1388">
            <w:pPr>
              <w:spacing w:after="0"/>
              <w:jc w:val="right"/>
              <w:rPr>
                <w:rFonts w:ascii="Times New Roman" w:eastAsia="Times New Roman" w:hAnsi="Times New Roman" w:cs="Times New Roman"/>
                <w:noProof/>
                <w:color w:val="006100"/>
                <w:sz w:val="18"/>
                <w:szCs w:val="18"/>
                <w:lang w:val="en-GB" w:eastAsia="en-GB"/>
              </w:rPr>
            </w:pPr>
          </w:p>
        </w:tc>
        <w:tc>
          <w:tcPr>
            <w:tcW w:w="1134" w:type="dxa"/>
            <w:shd w:val="clear" w:color="auto" w:fill="C6EFCE"/>
            <w:noWrap/>
            <w:vAlign w:val="center"/>
          </w:tcPr>
          <w:p w14:paraId="58FC2AB1"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T1</w:t>
            </w:r>
          </w:p>
        </w:tc>
        <w:tc>
          <w:tcPr>
            <w:tcW w:w="851" w:type="dxa"/>
            <w:shd w:val="clear" w:color="auto" w:fill="C6EFCE"/>
            <w:noWrap/>
            <w:vAlign w:val="center"/>
          </w:tcPr>
          <w:p w14:paraId="5CFEA9C8"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2024</w:t>
            </w:r>
          </w:p>
        </w:tc>
        <w:tc>
          <w:tcPr>
            <w:tcW w:w="3621" w:type="dxa"/>
            <w:shd w:val="clear" w:color="auto" w:fill="C6EFCE"/>
            <w:noWrap/>
            <w:vAlign w:val="center"/>
          </w:tcPr>
          <w:p w14:paraId="30C4438F"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Entrée en vigueur d’un décret au niveau wallon pour:</w:t>
            </w:r>
          </w:p>
          <w:p w14:paraId="74609FFC" w14:textId="77777777" w:rsidR="000D1388" w:rsidRPr="009A2DD9" w:rsidRDefault="00E71057" w:rsidP="00F70F65">
            <w:pPr>
              <w:numPr>
                <w:ilvl w:val="0"/>
                <w:numId w:val="28"/>
              </w:numPr>
              <w:spacing w:after="0"/>
              <w:contextualSpacing/>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permettre le développement du marché du CO</w:t>
            </w:r>
            <w:r w:rsidRPr="009A2DD9">
              <w:rPr>
                <w:rFonts w:ascii="Times New Roman" w:hAnsi="Times New Roman"/>
                <w:noProof/>
                <w:color w:val="006100"/>
                <w:sz w:val="18"/>
                <w:szCs w:val="18"/>
                <w:vertAlign w:val="subscript"/>
              </w:rPr>
              <w:t>2</w:t>
            </w:r>
            <w:r w:rsidRPr="009A2DD9">
              <w:rPr>
                <w:rFonts w:ascii="Times New Roman" w:hAnsi="Times New Roman"/>
                <w:noProof/>
                <w:color w:val="006100"/>
                <w:sz w:val="18"/>
                <w:szCs w:val="18"/>
              </w:rPr>
              <w:t>,</w:t>
            </w:r>
          </w:p>
          <w:p w14:paraId="39E67AFC" w14:textId="77777777" w:rsidR="000D1388" w:rsidRPr="009A2DD9" w:rsidRDefault="00E71057" w:rsidP="00F70F65">
            <w:pPr>
              <w:numPr>
                <w:ilvl w:val="0"/>
                <w:numId w:val="28"/>
              </w:numPr>
              <w:spacing w:after="0"/>
              <w:contextualSpacing/>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couvrir des sujets tels que le contrôle, l’accès non discriminatoire et les tarifs.</w:t>
            </w:r>
          </w:p>
        </w:tc>
      </w:tr>
      <w:tr w:rsidR="00F76C04" w:rsidRPr="00244E9F" w14:paraId="3A90EAD8" w14:textId="77777777" w:rsidTr="009A2DD9">
        <w:trPr>
          <w:trHeight w:val="309"/>
          <w:jc w:val="center"/>
        </w:trPr>
        <w:tc>
          <w:tcPr>
            <w:tcW w:w="1129" w:type="dxa"/>
            <w:shd w:val="clear" w:color="auto" w:fill="C6EFCE"/>
            <w:noWrap/>
            <w:vAlign w:val="center"/>
            <w:hideMark/>
          </w:tcPr>
          <w:p w14:paraId="2566E888" w14:textId="77777777" w:rsidR="000D1388" w:rsidRPr="009A2DD9" w:rsidRDefault="00E71057">
            <w:pPr>
              <w:spacing w:after="0"/>
              <w:jc w:val="center"/>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18</w:t>
            </w:r>
          </w:p>
        </w:tc>
        <w:tc>
          <w:tcPr>
            <w:tcW w:w="1560" w:type="dxa"/>
            <w:shd w:val="clear" w:color="auto" w:fill="C6EFCE"/>
            <w:noWrap/>
            <w:vAlign w:val="center"/>
            <w:hideMark/>
          </w:tcPr>
          <w:p w14:paraId="77F3814B" w14:textId="77777777" w:rsidR="000D1388" w:rsidRPr="009A2DD9" w:rsidRDefault="00E71057">
            <w:pPr>
              <w:spacing w:after="0"/>
              <w:rPr>
                <w:rFonts w:ascii="Times New Roman" w:eastAsia="Calibri" w:hAnsi="Times New Roman" w:cs="Times New Roman"/>
                <w:noProof/>
                <w:color w:val="006100"/>
                <w:sz w:val="18"/>
                <w:szCs w:val="18"/>
              </w:rPr>
            </w:pPr>
            <w:r w:rsidRPr="009A2DD9">
              <w:rPr>
                <w:rFonts w:ascii="Times New Roman" w:hAnsi="Times New Roman"/>
                <w:noProof/>
                <w:color w:val="006100"/>
                <w:sz w:val="18"/>
                <w:szCs w:val="18"/>
              </w:rPr>
              <w:t>Une chaîne de valeur industrielle pour la transition vers l’hydrogène (I-1.15)</w:t>
            </w:r>
          </w:p>
        </w:tc>
        <w:tc>
          <w:tcPr>
            <w:tcW w:w="1139" w:type="dxa"/>
            <w:shd w:val="clear" w:color="auto" w:fill="C6EFCE"/>
            <w:noWrap/>
            <w:vAlign w:val="center"/>
            <w:hideMark/>
          </w:tcPr>
          <w:p w14:paraId="53B41CEC"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J</w:t>
            </w:r>
          </w:p>
        </w:tc>
        <w:tc>
          <w:tcPr>
            <w:tcW w:w="1559" w:type="dxa"/>
            <w:shd w:val="clear" w:color="auto" w:fill="C6EFCE"/>
            <w:noWrap/>
            <w:vAlign w:val="center"/>
            <w:hideMark/>
          </w:tcPr>
          <w:p w14:paraId="3FC65B2F"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Attribution de marchés dans le cadre de l’appel à projets</w:t>
            </w:r>
          </w:p>
        </w:tc>
        <w:tc>
          <w:tcPr>
            <w:tcW w:w="1701" w:type="dxa"/>
            <w:shd w:val="clear" w:color="auto" w:fill="C6EFCE"/>
            <w:noWrap/>
            <w:vAlign w:val="center"/>
            <w:hideMark/>
          </w:tcPr>
          <w:p w14:paraId="37A4DE8F"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Notification écrite des attributions de marchés aux candidats retenus</w:t>
            </w:r>
          </w:p>
        </w:tc>
        <w:tc>
          <w:tcPr>
            <w:tcW w:w="1039" w:type="dxa"/>
            <w:shd w:val="clear" w:color="auto" w:fill="C6EFCE"/>
            <w:noWrap/>
            <w:vAlign w:val="center"/>
            <w:hideMark/>
          </w:tcPr>
          <w:p w14:paraId="4AFAEE8A"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 xml:space="preserve"> </w:t>
            </w:r>
          </w:p>
        </w:tc>
        <w:tc>
          <w:tcPr>
            <w:tcW w:w="1087" w:type="dxa"/>
            <w:shd w:val="clear" w:color="auto" w:fill="C6EFCE"/>
            <w:noWrap/>
            <w:vAlign w:val="center"/>
            <w:hideMark/>
          </w:tcPr>
          <w:p w14:paraId="179DEEC4"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 xml:space="preserve"> </w:t>
            </w:r>
          </w:p>
        </w:tc>
        <w:tc>
          <w:tcPr>
            <w:tcW w:w="987" w:type="dxa"/>
            <w:shd w:val="clear" w:color="auto" w:fill="C6EFCE"/>
            <w:noWrap/>
            <w:vAlign w:val="center"/>
            <w:hideMark/>
          </w:tcPr>
          <w:p w14:paraId="20DD8562"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 xml:space="preserve"> </w:t>
            </w:r>
          </w:p>
        </w:tc>
        <w:tc>
          <w:tcPr>
            <w:tcW w:w="1134" w:type="dxa"/>
            <w:shd w:val="clear" w:color="auto" w:fill="C6EFCE"/>
            <w:noWrap/>
            <w:vAlign w:val="center"/>
            <w:hideMark/>
          </w:tcPr>
          <w:p w14:paraId="6D52D292"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T2</w:t>
            </w:r>
          </w:p>
        </w:tc>
        <w:tc>
          <w:tcPr>
            <w:tcW w:w="851" w:type="dxa"/>
            <w:shd w:val="clear" w:color="auto" w:fill="C6EFCE"/>
            <w:noWrap/>
            <w:vAlign w:val="center"/>
            <w:hideMark/>
          </w:tcPr>
          <w:p w14:paraId="1D65204E"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2022</w:t>
            </w:r>
          </w:p>
        </w:tc>
        <w:tc>
          <w:tcPr>
            <w:tcW w:w="3621" w:type="dxa"/>
            <w:shd w:val="clear" w:color="auto" w:fill="C6EFCE"/>
            <w:noWrap/>
            <w:vAlign w:val="center"/>
            <w:hideMark/>
          </w:tcPr>
          <w:p w14:paraId="4B950E27"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Notification de l’attribution de marchés pour une valeur totale d’au moins 27 000 000 EUR aux candidats retenus à l’issue de l’appel à projets «Une chaîne de valeur industrielle pour la transition vers l’hydrogène» (niveau fédéral). Les projets seront sélectionnés au moyen d’un appel à projets, qui couvrira des usines de démonstration pour la production propre d’hydrogène ainsi que l’utilisation de l’hydrogène, par exemple dans les navires, dans la mesure où les projets relèvent de la compétence du gouvernement fédéral. En ce qui concerne les usines de démonstration pour la production propre d’hydrogène, l’appel sera ouvert à toutes les technologies à zéro émission de procédé, telles que l’électrolyse utilisant l’électricité renouvelable ou la pyrolyse.</w:t>
            </w:r>
          </w:p>
          <w:p w14:paraId="304CC263" w14:textId="77777777" w:rsidR="000D1388" w:rsidRPr="009A2DD9" w:rsidRDefault="000D1388">
            <w:pPr>
              <w:spacing w:after="0"/>
              <w:rPr>
                <w:rFonts w:ascii="Times New Roman" w:eastAsia="Times New Roman" w:hAnsi="Times New Roman" w:cs="Times New Roman"/>
                <w:noProof/>
                <w:color w:val="006100"/>
                <w:sz w:val="18"/>
                <w:szCs w:val="18"/>
                <w:lang w:val="fr-BE" w:eastAsia="en-GB"/>
              </w:rPr>
            </w:pPr>
          </w:p>
          <w:p w14:paraId="0BCA301A"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 xml:space="preserve">L’appel à projets de recherche et d’innovation (R&amp;I) doit respecter les conditions suivantes: </w:t>
            </w:r>
          </w:p>
          <w:p w14:paraId="66A40AA4"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 la R&amp;I est axée exclusivement ou principalement sur les options à faible incidence (par exemple, production d’hydrogène renouvelable ou autres innovations environnementales à zéro émission)</w:t>
            </w:r>
          </w:p>
          <w:p w14:paraId="3E39346F"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 la R&amp;I est destinée à renforcer la «meilleure» technologie [telles que les technologies ayant l’incidence la plus limitée (mais pas une incidence nulle/faible) parmi celles actuellement disponibles], et des mesures d’accompagnement sont en place pour prévenir les effets de verrouillage (mesures permettant l’adoption de technologies ayant une faible incidence, ou leur développement); ou</w:t>
            </w:r>
          </w:p>
          <w:p w14:paraId="339D4DA8"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 les résultats du processus de R&amp;I sont technologiquement neutres au niveau de leur application (c’est-à-dire qu’ils peuvent être appliqués à toutes les technologies disponibles);</w:t>
            </w:r>
          </w:p>
          <w:p w14:paraId="34B8FCE0"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 toute l’électricité utilisée dans les projets est d’origine verte (E-SER, par exemple) ou basée sur des accords d’achat d’énergie (AAE) verts</w:t>
            </w:r>
          </w:p>
          <w:p w14:paraId="37C9E4DB" w14:textId="77777777" w:rsidR="000D1388" w:rsidRPr="009A2DD9" w:rsidRDefault="000D1388">
            <w:pPr>
              <w:spacing w:after="0"/>
              <w:rPr>
                <w:rFonts w:ascii="Times New Roman" w:eastAsia="Times New Roman" w:hAnsi="Times New Roman" w:cs="Times New Roman"/>
                <w:noProof/>
                <w:color w:val="006100"/>
                <w:sz w:val="18"/>
                <w:szCs w:val="18"/>
                <w:lang w:val="fr-BE" w:eastAsia="en-GB"/>
              </w:rPr>
            </w:pPr>
          </w:p>
          <w:p w14:paraId="575D8A56" w14:textId="77777777" w:rsidR="000D1388" w:rsidRPr="009A2DD9" w:rsidRDefault="00E71057">
            <w:pPr>
              <w:spacing w:after="0"/>
              <w:rPr>
                <w:rFonts w:ascii="Times New Roman" w:eastAsia="Times New Roman" w:hAnsi="Times New Roman" w:cs="Times New Roman"/>
                <w:noProof/>
                <w:color w:val="006100"/>
                <w:sz w:val="18"/>
                <w:szCs w:val="18"/>
              </w:rPr>
            </w:pPr>
            <w:r w:rsidRPr="009A2DD9">
              <w:rPr>
                <w:rFonts w:ascii="Times New Roman" w:hAnsi="Times New Roman"/>
                <w:noProof/>
                <w:color w:val="006100"/>
                <w:sz w:val="18"/>
                <w:szCs w:val="18"/>
              </w:rPr>
              <w:t>Les montants fournis au titre d’autres programmes ou instruments de l’Union ne sont pas pris en considération dans ce montant.</w:t>
            </w:r>
          </w:p>
        </w:tc>
      </w:tr>
      <w:tr w:rsidR="00F76C04" w:rsidRPr="00244E9F" w14:paraId="4EAABB43" w14:textId="77777777" w:rsidTr="009A2DD9">
        <w:trPr>
          <w:trHeight w:val="309"/>
          <w:jc w:val="center"/>
        </w:trPr>
        <w:tc>
          <w:tcPr>
            <w:tcW w:w="1129" w:type="dxa"/>
            <w:shd w:val="clear" w:color="auto" w:fill="C6EFCE"/>
            <w:noWrap/>
            <w:vAlign w:val="center"/>
          </w:tcPr>
          <w:p w14:paraId="648E45FF"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w:t>
            </w:r>
          </w:p>
        </w:tc>
        <w:tc>
          <w:tcPr>
            <w:tcW w:w="1560" w:type="dxa"/>
            <w:shd w:val="clear" w:color="auto" w:fill="C6EFCE"/>
            <w:noWrap/>
            <w:vAlign w:val="center"/>
          </w:tcPr>
          <w:p w14:paraId="41202632"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(I-1.15)</w:t>
            </w:r>
          </w:p>
        </w:tc>
        <w:tc>
          <w:tcPr>
            <w:tcW w:w="1139" w:type="dxa"/>
            <w:shd w:val="clear" w:color="auto" w:fill="C6EFCE"/>
            <w:noWrap/>
            <w:vAlign w:val="center"/>
          </w:tcPr>
          <w:p w14:paraId="09662ED9"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301FF6C7"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achevés</w:t>
            </w:r>
          </w:p>
        </w:tc>
        <w:tc>
          <w:tcPr>
            <w:tcW w:w="1701" w:type="dxa"/>
            <w:shd w:val="clear" w:color="auto" w:fill="C6EFCE"/>
            <w:noWrap/>
            <w:vAlign w:val="center"/>
          </w:tcPr>
          <w:p w14:paraId="554AEFC2" w14:textId="77777777" w:rsidR="000D1388" w:rsidRPr="00244E9F" w:rsidRDefault="000D1388">
            <w:pPr>
              <w:spacing w:after="0"/>
              <w:rPr>
                <w:rFonts w:ascii="Times New Roman" w:eastAsia="Times New Roman" w:hAnsi="Times New Roman" w:cs="Times New Roman"/>
                <w:noProof/>
                <w:color w:val="006100"/>
                <w:sz w:val="20"/>
                <w:szCs w:val="20"/>
                <w:lang w:val="en-GB"/>
              </w:rPr>
            </w:pPr>
          </w:p>
        </w:tc>
        <w:tc>
          <w:tcPr>
            <w:tcW w:w="1039" w:type="dxa"/>
            <w:shd w:val="clear" w:color="auto" w:fill="C6EFCE"/>
            <w:noWrap/>
            <w:vAlign w:val="center"/>
          </w:tcPr>
          <w:p w14:paraId="36DCB98C"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087" w:type="dxa"/>
            <w:shd w:val="clear" w:color="auto" w:fill="C6EFCE"/>
            <w:noWrap/>
            <w:vAlign w:val="center"/>
          </w:tcPr>
          <w:p w14:paraId="4CC7020E"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87" w:type="dxa"/>
            <w:shd w:val="clear" w:color="auto" w:fill="C6EFCE"/>
            <w:noWrap/>
            <w:vAlign w:val="center"/>
          </w:tcPr>
          <w:p w14:paraId="09A6B6E5"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4</w:t>
            </w:r>
          </w:p>
        </w:tc>
        <w:tc>
          <w:tcPr>
            <w:tcW w:w="1134" w:type="dxa"/>
            <w:shd w:val="clear" w:color="auto" w:fill="C6EFCE"/>
            <w:noWrap/>
            <w:vAlign w:val="center"/>
          </w:tcPr>
          <w:p w14:paraId="5BC32091"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67C54F69"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621" w:type="dxa"/>
            <w:shd w:val="clear" w:color="auto" w:fill="C6EFCE"/>
            <w:noWrap/>
            <w:vAlign w:val="center"/>
          </w:tcPr>
          <w:p w14:paraId="17846F33"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Les quatre projets NextH2Gen, Comforthybel, GrHynE and H2PY Seraing sont achevés. </w:t>
            </w:r>
          </w:p>
        </w:tc>
      </w:tr>
      <w:tr w:rsidR="00F76C04" w:rsidRPr="00244E9F" w14:paraId="76546C1D" w14:textId="77777777" w:rsidTr="009A2DD9">
        <w:trPr>
          <w:trHeight w:val="309"/>
          <w:jc w:val="center"/>
        </w:trPr>
        <w:tc>
          <w:tcPr>
            <w:tcW w:w="1129" w:type="dxa"/>
            <w:shd w:val="clear" w:color="auto" w:fill="C6EFCE"/>
            <w:noWrap/>
            <w:vAlign w:val="center"/>
          </w:tcPr>
          <w:p w14:paraId="06DEDAFA"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w:t>
            </w:r>
          </w:p>
        </w:tc>
        <w:tc>
          <w:tcPr>
            <w:tcW w:w="1560" w:type="dxa"/>
            <w:shd w:val="clear" w:color="auto" w:fill="C6EFCE"/>
            <w:noWrap/>
            <w:vAlign w:val="center"/>
          </w:tcPr>
          <w:p w14:paraId="2E834FEF"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(I-1.16)</w:t>
            </w:r>
          </w:p>
        </w:tc>
        <w:tc>
          <w:tcPr>
            <w:tcW w:w="1139" w:type="dxa"/>
            <w:shd w:val="clear" w:color="auto" w:fill="C6EFCE"/>
            <w:noWrap/>
            <w:vAlign w:val="center"/>
          </w:tcPr>
          <w:p w14:paraId="7E9E569E"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1B6DE097"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Attribution de marchés pour des PIIEC sur l’hydrogène </w:t>
            </w:r>
          </w:p>
        </w:tc>
        <w:tc>
          <w:tcPr>
            <w:tcW w:w="1701" w:type="dxa"/>
            <w:shd w:val="clear" w:color="auto" w:fill="C6EFCE"/>
            <w:noWrap/>
            <w:vAlign w:val="center"/>
          </w:tcPr>
          <w:p w14:paraId="614DB7A0"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039" w:type="dxa"/>
            <w:shd w:val="clear" w:color="auto" w:fill="C6EFCE"/>
            <w:noWrap/>
            <w:vAlign w:val="center"/>
          </w:tcPr>
          <w:p w14:paraId="7D8A6CDB"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087" w:type="dxa"/>
            <w:shd w:val="clear" w:color="auto" w:fill="C6EFCE"/>
            <w:noWrap/>
            <w:vAlign w:val="center"/>
          </w:tcPr>
          <w:p w14:paraId="427F17CD"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87" w:type="dxa"/>
            <w:shd w:val="clear" w:color="auto" w:fill="C6EFCE"/>
            <w:noWrap/>
            <w:vAlign w:val="center"/>
          </w:tcPr>
          <w:p w14:paraId="20C0F242"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251A9F33"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095A3D79"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621" w:type="dxa"/>
            <w:shd w:val="clear" w:color="auto" w:fill="C6EFCE"/>
            <w:noWrap/>
            <w:vAlign w:val="center"/>
          </w:tcPr>
          <w:p w14:paraId="65F50B8B" w14:textId="77777777" w:rsidR="000D1388" w:rsidRPr="00244E9F" w:rsidRDefault="00E71057">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PIIEC sur l’hydrogène (définis comme étant les projets faisant l’objet de la notification d’aide d’État pour PIIEC) au titre de la mesure «Une chaîne de valeur industrielle pour la transition vers l’hydrogène» (Flandre). Sont exclues des projets sélectionnés, toutes les activités relevant du système d’échange de quotas d’émission dont les émissions d’équivalent CO</w:t>
            </w:r>
            <w:r>
              <w:rPr>
                <w:rFonts w:ascii="Times New Roman" w:hAnsi="Times New Roman"/>
                <w:noProof/>
                <w:color w:val="006100"/>
                <w:sz w:val="20"/>
                <w:vertAlign w:val="subscript"/>
              </w:rPr>
              <w:t>2</w:t>
            </w:r>
            <w:r>
              <w:rPr>
                <w:rFonts w:ascii="Times New Roman" w:hAnsi="Times New Roman"/>
                <w:noProof/>
                <w:color w:val="006100"/>
                <w:sz w:val="20"/>
              </w:rPr>
              <w:t xml:space="preserve"> projetées ne sont pas sensiblement inférieures aux valeurs de référence pertinentes établies pour l’allocation à titre gratuit.</w:t>
            </w:r>
          </w:p>
          <w:p w14:paraId="04C8C35E"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Les projets de recherche et d’innovation (R&amp;I) sélectionnés respecteront les conditions suivantes: </w:t>
            </w:r>
          </w:p>
          <w:p w14:paraId="24FBA7E5"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axée exclusivement ou principalement sur les options à faible incidence (par exemple, production d’hydrogène renouvelable ou autres innovations environnementales à zéro émission); ou</w:t>
            </w:r>
          </w:p>
          <w:p w14:paraId="6564BF40"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destinée à améliorer la «meilleure» technologie [telles que les technologies ayant l’incidence la plus limitée (mais pas une incidence nulle/faible) parmi celles actuellement disponibles], et des mesures d’accompagnement appropriées sont mises en place pour prévenir les effets de verrouillage (mesures permettant l’adoption de technologies ayant une faible incidence, ou leur développement); ou</w:t>
            </w:r>
          </w:p>
          <w:p w14:paraId="6509E9E4"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résultats du processus de R&amp;I sont technologiquement neutres au niveau de leur application (c’est-à-dire qu’ils peuvent être appliqués à toutes les technologies disponibles);</w:t>
            </w:r>
          </w:p>
          <w:p w14:paraId="485EC265"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toute l’électricité utilisée dans les projets est d’origine verte (E-SER, par exemple) ou basée sur des accords d’achat d’énergie (AAE) verts.</w:t>
            </w:r>
          </w:p>
        </w:tc>
      </w:tr>
      <w:tr w:rsidR="00F76C04" w:rsidRPr="00244E9F" w14:paraId="5E339394" w14:textId="77777777" w:rsidTr="009A2DD9">
        <w:trPr>
          <w:trHeight w:val="309"/>
          <w:jc w:val="center"/>
        </w:trPr>
        <w:tc>
          <w:tcPr>
            <w:tcW w:w="1129" w:type="dxa"/>
            <w:shd w:val="clear" w:color="auto" w:fill="C6EFCE"/>
            <w:noWrap/>
            <w:vAlign w:val="center"/>
          </w:tcPr>
          <w:p w14:paraId="1FC4830F"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w:t>
            </w:r>
          </w:p>
        </w:tc>
        <w:tc>
          <w:tcPr>
            <w:tcW w:w="1560" w:type="dxa"/>
            <w:shd w:val="clear" w:color="auto" w:fill="C6EFCE"/>
            <w:noWrap/>
            <w:vAlign w:val="center"/>
          </w:tcPr>
          <w:p w14:paraId="50E486ED"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(I-1.16)</w:t>
            </w:r>
          </w:p>
        </w:tc>
        <w:tc>
          <w:tcPr>
            <w:tcW w:w="1139" w:type="dxa"/>
            <w:shd w:val="clear" w:color="auto" w:fill="C6EFCE"/>
            <w:noWrap/>
            <w:vAlign w:val="center"/>
          </w:tcPr>
          <w:p w14:paraId="6A191FF1"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60EB4554"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projets hors PIIEC sur l’hydrogène</w:t>
            </w:r>
          </w:p>
        </w:tc>
        <w:tc>
          <w:tcPr>
            <w:tcW w:w="1701" w:type="dxa"/>
            <w:shd w:val="clear" w:color="auto" w:fill="C6EFCE"/>
            <w:noWrap/>
            <w:vAlign w:val="center"/>
          </w:tcPr>
          <w:p w14:paraId="3CCF8D1E"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039" w:type="dxa"/>
            <w:shd w:val="clear" w:color="auto" w:fill="C6EFCE"/>
            <w:noWrap/>
            <w:vAlign w:val="center"/>
          </w:tcPr>
          <w:p w14:paraId="01659D6E"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087" w:type="dxa"/>
            <w:shd w:val="clear" w:color="auto" w:fill="C6EFCE"/>
            <w:noWrap/>
            <w:vAlign w:val="center"/>
          </w:tcPr>
          <w:p w14:paraId="32553D29"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87" w:type="dxa"/>
            <w:shd w:val="clear" w:color="auto" w:fill="C6EFCE"/>
            <w:noWrap/>
            <w:vAlign w:val="center"/>
          </w:tcPr>
          <w:p w14:paraId="0B180A37"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344CA76D"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7BBFCEB5"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621" w:type="dxa"/>
            <w:shd w:val="clear" w:color="auto" w:fill="C6EFCE"/>
            <w:noWrap/>
            <w:vAlign w:val="center"/>
          </w:tcPr>
          <w:p w14:paraId="0869F09A" w14:textId="77777777" w:rsidR="000D1388" w:rsidRPr="00244E9F" w:rsidRDefault="00E71057">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projets hors PIIEC sur l’hydrogène supplémentaires Sont exclues des projets sélectionnés, toutes les activités relevant du système d’échange de quotas d’émission dont les émissions d’équivalent CO</w:t>
            </w:r>
            <w:r>
              <w:rPr>
                <w:rFonts w:ascii="Times New Roman" w:hAnsi="Times New Roman"/>
                <w:noProof/>
                <w:color w:val="006100"/>
                <w:sz w:val="20"/>
                <w:vertAlign w:val="subscript"/>
              </w:rPr>
              <w:t>2</w:t>
            </w:r>
            <w:r>
              <w:rPr>
                <w:rFonts w:ascii="Times New Roman" w:hAnsi="Times New Roman"/>
                <w:noProof/>
                <w:color w:val="006100"/>
                <w:sz w:val="20"/>
              </w:rPr>
              <w:t xml:space="preserve"> projetées ne sont pas sensiblement inférieures aux valeurs de référence pertinentes établies pour l’allocation à titre gratuit.</w:t>
            </w:r>
          </w:p>
          <w:p w14:paraId="634002F5" w14:textId="77777777" w:rsidR="000D1388" w:rsidRPr="00244E9F" w:rsidRDefault="00E71057">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Les projets de recherche et d’innovation (R&amp;I) sélectionnés respecteront les conditions suivantes: </w:t>
            </w:r>
          </w:p>
          <w:p w14:paraId="29BE67FE"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axée exclusivement ou principalement sur les options à faible incidence (par exemple, production d’hydrogène renouvelable ou autres innovations environnementales à zéro émission); ou</w:t>
            </w:r>
          </w:p>
          <w:p w14:paraId="08A83FD6"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destinée à améliorer la «meilleure» technologie [telles que les technologies ayant l’incidence la plus limitée (mais pas une incidence nulle/faible) parmi celles actuellement disponibles], et des mesures d’accompagnement appropriées sont mises en place pour prévenir les effets de verrouillage (mesures permettant l’adoption de technologies ayant une faible incidence, ou leur développement); ou</w:t>
            </w:r>
          </w:p>
          <w:p w14:paraId="39A5AFF0"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résultats du processus de R&amp;I sont technologiquement neutres au niveau de leur application (c’est-à-dire qu’ils peuvent être appliqués à toutes les technologies disponibles);</w:t>
            </w:r>
          </w:p>
          <w:p w14:paraId="245B50B2"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toute l’électricité utilisée dans les projets est d’origine verte (E-SER, par exemple) ou basée sur des accords d’achat d’énergie (AAE) verts.</w:t>
            </w:r>
          </w:p>
        </w:tc>
      </w:tr>
      <w:tr w:rsidR="00F76C04" w:rsidRPr="00244E9F" w14:paraId="6A50A7CE" w14:textId="77777777" w:rsidTr="009A2DD9">
        <w:trPr>
          <w:trHeight w:val="309"/>
          <w:jc w:val="center"/>
        </w:trPr>
        <w:tc>
          <w:tcPr>
            <w:tcW w:w="1129" w:type="dxa"/>
            <w:shd w:val="clear" w:color="auto" w:fill="C6EFCE"/>
            <w:noWrap/>
            <w:vAlign w:val="center"/>
          </w:tcPr>
          <w:p w14:paraId="7BB18993"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w:t>
            </w:r>
          </w:p>
        </w:tc>
        <w:tc>
          <w:tcPr>
            <w:tcW w:w="1560" w:type="dxa"/>
            <w:shd w:val="clear" w:color="auto" w:fill="C6EFCE"/>
            <w:noWrap/>
            <w:vAlign w:val="center"/>
          </w:tcPr>
          <w:p w14:paraId="64F7D36C"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(I-1.16)</w:t>
            </w:r>
          </w:p>
        </w:tc>
        <w:tc>
          <w:tcPr>
            <w:tcW w:w="1139" w:type="dxa"/>
            <w:shd w:val="clear" w:color="auto" w:fill="C6EFCE"/>
            <w:noWrap/>
            <w:vAlign w:val="center"/>
          </w:tcPr>
          <w:p w14:paraId="1276BC5D"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7025055D"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Rapports de recherche finals </w:t>
            </w:r>
          </w:p>
        </w:tc>
        <w:tc>
          <w:tcPr>
            <w:tcW w:w="1701" w:type="dxa"/>
            <w:shd w:val="clear" w:color="auto" w:fill="C6EFCE"/>
            <w:noWrap/>
            <w:vAlign w:val="center"/>
          </w:tcPr>
          <w:p w14:paraId="574BA8DC"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Rapports de recherche finals </w:t>
            </w:r>
          </w:p>
        </w:tc>
        <w:tc>
          <w:tcPr>
            <w:tcW w:w="1039" w:type="dxa"/>
            <w:shd w:val="clear" w:color="auto" w:fill="C6EFCE"/>
            <w:noWrap/>
            <w:vAlign w:val="center"/>
          </w:tcPr>
          <w:p w14:paraId="0C99E54E"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06FE8B99"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987" w:type="dxa"/>
            <w:shd w:val="clear" w:color="auto" w:fill="C6EFCE"/>
            <w:noWrap/>
            <w:vAlign w:val="center"/>
          </w:tcPr>
          <w:p w14:paraId="6E3E3124"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62F013A2"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2F2E1AE0"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21" w:type="dxa"/>
            <w:shd w:val="clear" w:color="auto" w:fill="C6EFCE"/>
            <w:noWrap/>
            <w:vAlign w:val="center"/>
          </w:tcPr>
          <w:p w14:paraId="16C9C1DE"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Les rapports de recherche finals produits par les bénéficiaires des subventions ArcelorMittal Belgium et Hydrogenics Europe NV (technologie Accelera de Cummins) décrivant les activités et/ou les investissements de R&amp;D pour les projets suivants sont soumis à l’autorité d’octroi VLAIO et approuvés par celle-ci:</w:t>
            </w:r>
          </w:p>
          <w:p w14:paraId="551F27DB"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Hydrogenics – R&amp;D</w:t>
            </w:r>
          </w:p>
          <w:p w14:paraId="2748DDF8" w14:textId="77777777" w:rsidR="000D1388" w:rsidRPr="00244E9F"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ArcelorMittal – Étude de faisabilité</w:t>
            </w:r>
          </w:p>
          <w:p w14:paraId="6A2FF7EA" w14:textId="51BB5F95" w:rsidR="000D1388" w:rsidRPr="00746A1A" w:rsidRDefault="00E71057">
            <w:pPr>
              <w:spacing w:after="0"/>
              <w:rPr>
                <w:rFonts w:ascii="Times New Roman" w:eastAsia="Calibri" w:hAnsi="Times New Roman" w:cs="Times New Roman"/>
                <w:noProof/>
                <w:color w:val="006100"/>
                <w:sz w:val="20"/>
                <w:szCs w:val="20"/>
                <w:lang w:val="en-IE"/>
              </w:rPr>
            </w:pPr>
            <w:r w:rsidRPr="00746A1A">
              <w:rPr>
                <w:rFonts w:ascii="Times New Roman" w:hAnsi="Times New Roman"/>
                <w:noProof/>
                <w:color w:val="006100"/>
                <w:sz w:val="20"/>
                <w:lang w:val="en-IE"/>
              </w:rPr>
              <w:t>• ArcelorMittal RecHycle-DRP – R&amp;D</w:t>
            </w:r>
          </w:p>
          <w:p w14:paraId="4D46C012" w14:textId="77777777" w:rsidR="000D1388" w:rsidRPr="00746A1A" w:rsidRDefault="00E71057">
            <w:pPr>
              <w:spacing w:after="0"/>
              <w:rPr>
                <w:rFonts w:ascii="Times New Roman" w:eastAsia="Calibri" w:hAnsi="Times New Roman" w:cs="Times New Roman"/>
                <w:noProof/>
                <w:color w:val="006100"/>
                <w:sz w:val="20"/>
                <w:szCs w:val="20"/>
                <w:lang w:val="en-IE"/>
              </w:rPr>
            </w:pPr>
            <w:r w:rsidRPr="00746A1A">
              <w:rPr>
                <w:rFonts w:ascii="Times New Roman" w:hAnsi="Times New Roman"/>
                <w:noProof/>
                <w:color w:val="006100"/>
                <w:sz w:val="20"/>
                <w:lang w:val="en-IE"/>
              </w:rPr>
              <w:t>• ArcelorMittal RecHycle-DRP – FID</w:t>
            </w:r>
          </w:p>
          <w:p w14:paraId="2E435A3E" w14:textId="77777777" w:rsidR="000D1388" w:rsidRPr="00244E9F" w:rsidRDefault="000D1388">
            <w:pPr>
              <w:spacing w:after="0"/>
              <w:rPr>
                <w:rFonts w:ascii="Times New Roman" w:eastAsia="Calibri" w:hAnsi="Times New Roman" w:cs="Times New Roman"/>
                <w:noProof/>
                <w:color w:val="006100"/>
                <w:sz w:val="20"/>
                <w:szCs w:val="20"/>
                <w:lang w:val="en-GB"/>
              </w:rPr>
            </w:pPr>
          </w:p>
          <w:p w14:paraId="68E9BEFC" w14:textId="77777777" w:rsidR="000D1388" w:rsidRPr="00244E9F" w:rsidRDefault="00E71057">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Pour le projet Hyoffwind: 1) un certificat attestant qu’une capacité d’au moins 21 MW d’électrolyseurs a été installée et est prête pour la pré-mise en service, 2) un certificat de conformité électrique attestant que l’installation est prête pour le raccordement au réseau et un accord juridiquement contraignant conclu entre le bénéficiaire et le gestionnaire de réseau de transport pour un raccordement de l’installation au réseau avant le 31 août 2026.</w:t>
            </w:r>
          </w:p>
        </w:tc>
      </w:tr>
      <w:tr w:rsidR="00F76C04" w:rsidRPr="00244E9F" w14:paraId="0BACDE22" w14:textId="77777777" w:rsidTr="009A2DD9">
        <w:trPr>
          <w:trHeight w:val="309"/>
          <w:jc w:val="center"/>
        </w:trPr>
        <w:tc>
          <w:tcPr>
            <w:tcW w:w="1129" w:type="dxa"/>
            <w:shd w:val="clear" w:color="auto" w:fill="C6EFCE"/>
            <w:noWrap/>
            <w:vAlign w:val="center"/>
          </w:tcPr>
          <w:p w14:paraId="33427702"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w:t>
            </w:r>
          </w:p>
        </w:tc>
        <w:tc>
          <w:tcPr>
            <w:tcW w:w="1560" w:type="dxa"/>
            <w:shd w:val="clear" w:color="auto" w:fill="C6EFCE"/>
            <w:noWrap/>
            <w:vAlign w:val="center"/>
          </w:tcPr>
          <w:p w14:paraId="17DC5428"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(I-1.17)</w:t>
            </w:r>
          </w:p>
        </w:tc>
        <w:tc>
          <w:tcPr>
            <w:tcW w:w="1139" w:type="dxa"/>
            <w:shd w:val="clear" w:color="auto" w:fill="C6EFCE"/>
            <w:noWrap/>
            <w:vAlign w:val="center"/>
          </w:tcPr>
          <w:p w14:paraId="7A95407E"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4AD82A4B"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PIIEC sur l’hydrogène</w:t>
            </w:r>
          </w:p>
        </w:tc>
        <w:tc>
          <w:tcPr>
            <w:tcW w:w="1701" w:type="dxa"/>
            <w:shd w:val="clear" w:color="auto" w:fill="C6EFCE"/>
            <w:noWrap/>
            <w:vAlign w:val="center"/>
          </w:tcPr>
          <w:p w14:paraId="61DB5749"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039" w:type="dxa"/>
            <w:shd w:val="clear" w:color="auto" w:fill="C6EFCE"/>
            <w:noWrap/>
            <w:vAlign w:val="center"/>
          </w:tcPr>
          <w:p w14:paraId="36B075C5"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087" w:type="dxa"/>
            <w:shd w:val="clear" w:color="auto" w:fill="C6EFCE"/>
            <w:noWrap/>
            <w:vAlign w:val="center"/>
          </w:tcPr>
          <w:p w14:paraId="2AA2CFC6"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87" w:type="dxa"/>
            <w:shd w:val="clear" w:color="auto" w:fill="C6EFCE"/>
            <w:noWrap/>
            <w:vAlign w:val="center"/>
          </w:tcPr>
          <w:p w14:paraId="4309A42A"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3EBB2CD"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1" w:type="dxa"/>
            <w:shd w:val="clear" w:color="auto" w:fill="C6EFCE"/>
            <w:noWrap/>
            <w:vAlign w:val="center"/>
          </w:tcPr>
          <w:p w14:paraId="6437509E"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621" w:type="dxa"/>
            <w:shd w:val="clear" w:color="auto" w:fill="C6EFCE"/>
            <w:noWrap/>
            <w:vAlign w:val="center"/>
          </w:tcPr>
          <w:p w14:paraId="391C97B0" w14:textId="77777777" w:rsidR="000D1388" w:rsidRPr="00244E9F" w:rsidRDefault="00E71057">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PIIEC sur l’hydrogène (définis comme étant les projets faisant l’objet de la notification d’aide d’État pour PIIEC) au titre de la mesure «Une chaîne de valeur industrielle pour la transition vers l’hydrogène» (Wallonie). Les spécifications de l’appel à projets garantissent l’exclusion de toutes les activités relevant du système d’échange de quotas d’émission dont les émissions d’équivalent CO</w:t>
            </w:r>
            <w:r>
              <w:rPr>
                <w:rFonts w:ascii="Times New Roman" w:hAnsi="Times New Roman"/>
                <w:noProof/>
                <w:color w:val="006100"/>
                <w:sz w:val="20"/>
                <w:vertAlign w:val="subscript"/>
              </w:rPr>
              <w:t>2</w:t>
            </w:r>
            <w:r>
              <w:rPr>
                <w:rFonts w:ascii="Times New Roman" w:hAnsi="Times New Roman"/>
                <w:noProof/>
                <w:color w:val="006100"/>
                <w:sz w:val="20"/>
              </w:rPr>
              <w:t xml:space="preserve"> projetées ne sont pas sensiblement inférieures aux valeurs de référence pertinentes établies pour l’allocation à titre gratuit.</w:t>
            </w:r>
          </w:p>
          <w:p w14:paraId="18F4100F"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Tous les projets de recherche et d’innovation (R&amp;I) retenus doivent respecter les conditions suivantes: </w:t>
            </w:r>
          </w:p>
          <w:p w14:paraId="6618D01C"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axée exclusivement ou principalement sur les options à faible incidence (par exemple, production d’hydrogène renouvelable ou autres innovations environnementales à zéro émission); ou</w:t>
            </w:r>
          </w:p>
          <w:p w14:paraId="60F4B902"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destinée à améliorer la «meilleure» technologie [telles que les technologies ayant l’incidence la plus limitée (mais pas une incidence nulle/faible) parmi celles actuellement disponibles], et des mesures d’accompagnement appropriées sont mises en place pour prévenir les effets de verrouillage (mesures permettant l’adoption de technologies ayant une faible incidence, ou leur développement); ou</w:t>
            </w:r>
          </w:p>
          <w:p w14:paraId="276A5EB7"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résultats du processus de R&amp;I sont technologiquement neutres au niveau de leur application (c’est-à-dire qu’ils peuvent être appliqués à toutes les technologies disponibles);</w:t>
            </w:r>
          </w:p>
          <w:p w14:paraId="36C055EB"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toute l’électricité utilisée dans les projets est d’origine verte (E-SER, par exemple) ou basée sur des accords d’achat d’énergie (AAE) verts.</w:t>
            </w:r>
          </w:p>
        </w:tc>
      </w:tr>
      <w:tr w:rsidR="00F76C04" w:rsidRPr="00244E9F" w14:paraId="69523A7A" w14:textId="77777777" w:rsidTr="009A2DD9">
        <w:trPr>
          <w:trHeight w:val="309"/>
          <w:jc w:val="center"/>
        </w:trPr>
        <w:tc>
          <w:tcPr>
            <w:tcW w:w="1129" w:type="dxa"/>
            <w:shd w:val="clear" w:color="auto" w:fill="C6EFCE"/>
            <w:noWrap/>
            <w:vAlign w:val="center"/>
          </w:tcPr>
          <w:p w14:paraId="01D275F4"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26</w:t>
            </w:r>
          </w:p>
        </w:tc>
        <w:tc>
          <w:tcPr>
            <w:tcW w:w="1560" w:type="dxa"/>
            <w:shd w:val="clear" w:color="auto" w:fill="C6EFCE"/>
            <w:noWrap/>
            <w:vAlign w:val="center"/>
          </w:tcPr>
          <w:p w14:paraId="0203BC94"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(I-1.17)</w:t>
            </w:r>
          </w:p>
        </w:tc>
        <w:tc>
          <w:tcPr>
            <w:tcW w:w="1139" w:type="dxa"/>
            <w:shd w:val="clear" w:color="auto" w:fill="C6EFCE"/>
            <w:noWrap/>
            <w:vAlign w:val="center"/>
          </w:tcPr>
          <w:p w14:paraId="64663050"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3F5866E4" w14:textId="4A0DF7C8" w:rsidR="000D1388" w:rsidRPr="00244E9F" w:rsidRDefault="498F6FF5" w:rsidP="715659F5">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Lettres d’évaluation positives </w:t>
            </w:r>
          </w:p>
        </w:tc>
        <w:tc>
          <w:tcPr>
            <w:tcW w:w="1701" w:type="dxa"/>
            <w:shd w:val="clear" w:color="auto" w:fill="C6EFCE"/>
            <w:noWrap/>
            <w:vAlign w:val="center"/>
          </w:tcPr>
          <w:p w14:paraId="3D70185D" w14:textId="169CD40B" w:rsidR="000D1388" w:rsidRPr="00244E9F" w:rsidRDefault="00E71057" w:rsidP="715659F5">
            <w:pPr>
              <w:spacing w:after="0"/>
              <w:rPr>
                <w:rFonts w:ascii="Times New Roman" w:eastAsia="Times New Roman" w:hAnsi="Times New Roman" w:cs="Times New Roman"/>
                <w:noProof/>
                <w:sz w:val="20"/>
                <w:szCs w:val="20"/>
              </w:rPr>
            </w:pPr>
            <w:r>
              <w:rPr>
                <w:rFonts w:ascii="Times New Roman" w:hAnsi="Times New Roman"/>
                <w:noProof/>
                <w:color w:val="006100"/>
                <w:sz w:val="20"/>
              </w:rPr>
              <w:t xml:space="preserve">Lettres d’évaluation positives </w:t>
            </w:r>
          </w:p>
        </w:tc>
        <w:tc>
          <w:tcPr>
            <w:tcW w:w="1039" w:type="dxa"/>
            <w:shd w:val="clear" w:color="auto" w:fill="C6EFCE"/>
            <w:noWrap/>
            <w:vAlign w:val="center"/>
          </w:tcPr>
          <w:p w14:paraId="106371F8"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5217E3D3"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987" w:type="dxa"/>
            <w:shd w:val="clear" w:color="auto" w:fill="C6EFCE"/>
            <w:noWrap/>
            <w:vAlign w:val="center"/>
          </w:tcPr>
          <w:p w14:paraId="798C0059"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0AF6495A"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2568AE48"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21" w:type="dxa"/>
            <w:shd w:val="clear" w:color="auto" w:fill="C6EFCE"/>
            <w:noWrap/>
            <w:vAlign w:val="center"/>
          </w:tcPr>
          <w:p w14:paraId="3BF2B68E" w14:textId="197F638B" w:rsidR="000D1388" w:rsidRPr="00244E9F" w:rsidRDefault="005120EB" w:rsidP="715659F5">
            <w:pPr>
              <w:spacing w:after="120" w:line="240" w:lineRule="auto"/>
              <w:rPr>
                <w:rFonts w:ascii="Times New Roman" w:eastAsia="Times New Roman" w:hAnsi="Times New Roman" w:cs="Times New Roman"/>
                <w:noProof/>
                <w:sz w:val="20"/>
                <w:szCs w:val="20"/>
              </w:rPr>
            </w:pPr>
            <w:r>
              <w:rPr>
                <w:rFonts w:ascii="Times New Roman" w:hAnsi="Times New Roman"/>
                <w:noProof/>
                <w:color w:val="006100"/>
                <w:sz w:val="20"/>
              </w:rPr>
              <w:t>Des lettres d’évaluation positives seront délivrées par le Service public de Wallonie Économie Emploi Recherche (SPW EER) pour le projet «John Cockerill H2» et pour les activités de R&amp;D du projet Columbus dans le cadre de l’appel d’offres «Une chaîne de valeur industrielle pour la transition vers l’hydrogène».</w:t>
            </w:r>
          </w:p>
        </w:tc>
      </w:tr>
      <w:tr w:rsidR="00F76C04" w:rsidRPr="00244E9F" w14:paraId="65737B3B" w14:textId="77777777" w:rsidTr="009A2DD9">
        <w:trPr>
          <w:trHeight w:val="309"/>
          <w:jc w:val="center"/>
        </w:trPr>
        <w:tc>
          <w:tcPr>
            <w:tcW w:w="1129" w:type="dxa"/>
            <w:shd w:val="clear" w:color="auto" w:fill="C6EFCE"/>
            <w:noWrap/>
            <w:vAlign w:val="center"/>
          </w:tcPr>
          <w:p w14:paraId="129A52CF"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27</w:t>
            </w:r>
          </w:p>
        </w:tc>
        <w:tc>
          <w:tcPr>
            <w:tcW w:w="1560" w:type="dxa"/>
            <w:shd w:val="clear" w:color="auto" w:fill="C6EFCE"/>
            <w:noWrap/>
            <w:vAlign w:val="center"/>
          </w:tcPr>
          <w:p w14:paraId="456785AC"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Développer l’industrie à faible émission de carbone (I-1.18)</w:t>
            </w:r>
          </w:p>
        </w:tc>
        <w:tc>
          <w:tcPr>
            <w:tcW w:w="1139" w:type="dxa"/>
            <w:shd w:val="clear" w:color="auto" w:fill="C6EFCE"/>
            <w:noWrap/>
            <w:vAlign w:val="center"/>
          </w:tcPr>
          <w:p w14:paraId="2F7FF359"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5AA76B55"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w:t>
            </w:r>
          </w:p>
        </w:tc>
        <w:tc>
          <w:tcPr>
            <w:tcW w:w="1701" w:type="dxa"/>
            <w:shd w:val="clear" w:color="auto" w:fill="C6EFCE"/>
            <w:noWrap/>
            <w:vAlign w:val="center"/>
          </w:tcPr>
          <w:p w14:paraId="63CD7916"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039" w:type="dxa"/>
            <w:shd w:val="clear" w:color="auto" w:fill="C6EFCE"/>
            <w:noWrap/>
            <w:vAlign w:val="center"/>
          </w:tcPr>
          <w:p w14:paraId="5CAB3FB2"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087" w:type="dxa"/>
            <w:shd w:val="clear" w:color="auto" w:fill="C6EFCE"/>
            <w:noWrap/>
            <w:vAlign w:val="center"/>
          </w:tcPr>
          <w:p w14:paraId="30B76F6C"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87" w:type="dxa"/>
            <w:shd w:val="clear" w:color="auto" w:fill="C6EFCE"/>
            <w:noWrap/>
            <w:vAlign w:val="center"/>
          </w:tcPr>
          <w:p w14:paraId="083A6152"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42B44D86"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1A0ED324"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621" w:type="dxa"/>
            <w:shd w:val="clear" w:color="auto" w:fill="C6EFCE"/>
            <w:noWrap/>
            <w:vAlign w:val="center"/>
          </w:tcPr>
          <w:p w14:paraId="45C6CE2A" w14:textId="77777777" w:rsidR="000D1388" w:rsidRPr="00244E9F" w:rsidRDefault="00E71057">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au titre de la mesure «Développer l’industrie à faible émission de carbone » Les spécifications de l’appel à projets garantissent l’exclusion de toutes les activités relevant du système d’échange de quotas d’émission dont les émissions d’équivalent CO</w:t>
            </w:r>
            <w:r>
              <w:rPr>
                <w:rFonts w:ascii="Times New Roman" w:hAnsi="Times New Roman"/>
                <w:noProof/>
                <w:color w:val="006100"/>
                <w:sz w:val="20"/>
                <w:vertAlign w:val="subscript"/>
              </w:rPr>
              <w:t>2</w:t>
            </w:r>
            <w:r>
              <w:rPr>
                <w:rFonts w:ascii="Times New Roman" w:hAnsi="Times New Roman"/>
                <w:noProof/>
                <w:color w:val="006100"/>
                <w:sz w:val="20"/>
              </w:rPr>
              <w:t xml:space="preserve"> projetées ne sont pas sensiblement inférieures aux valeurs de référence pertinentes établies pour l’allocation à titre gratuit. </w:t>
            </w:r>
          </w:p>
          <w:p w14:paraId="76E00309"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Tous les projets de recherche et d’innovation (R&amp;I) retenus doivent respecter les conditions suivantes: </w:t>
            </w:r>
          </w:p>
          <w:p w14:paraId="0AE1720D"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axée exclusivement ou principalement sur les options à faible incidence (par exemple, production d’hydrogène renouvelable ou autres innovations environnementales à zéro émission); ou</w:t>
            </w:r>
          </w:p>
          <w:p w14:paraId="05E100EB"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destinée à améliorer la «meilleure» technologie [telles que les technologies ayant l’incidence la plus limitée (mais pas une incidence nulle/faible) parmi celles actuellement disponibles], et des mesures d’accompagnement appropriées sont mises en place pour prévenir les effets de verrouillage (mesures permettant l’adoption de technologies ayant une faible incidence, ou leur développement); ou</w:t>
            </w:r>
          </w:p>
          <w:p w14:paraId="23ECE095"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résultats du processus de R&amp;I sont technologiquement neutres au niveau de leur application (c’est-à-dire qu’ils peuvent être appliqués à toutes les technologies disponibles);</w:t>
            </w:r>
          </w:p>
          <w:p w14:paraId="51708A39"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toute l’électricité utilisée dans les projets est d’origine verte (E-SER, par exemple) ou basée sur des accords d’achat d’énergie (AAE) verts.</w:t>
            </w:r>
          </w:p>
        </w:tc>
      </w:tr>
      <w:tr w:rsidR="00F76C04" w:rsidRPr="00244E9F" w14:paraId="533987A9" w14:textId="77777777" w:rsidTr="009A2DD9">
        <w:trPr>
          <w:trHeight w:val="309"/>
          <w:jc w:val="center"/>
        </w:trPr>
        <w:tc>
          <w:tcPr>
            <w:tcW w:w="1129" w:type="dxa"/>
            <w:shd w:val="clear" w:color="auto" w:fill="C6EFCE"/>
            <w:noWrap/>
            <w:vAlign w:val="center"/>
          </w:tcPr>
          <w:p w14:paraId="1A4B6E10"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28</w:t>
            </w:r>
          </w:p>
        </w:tc>
        <w:tc>
          <w:tcPr>
            <w:tcW w:w="1560" w:type="dxa"/>
            <w:shd w:val="clear" w:color="auto" w:fill="C6EFCE"/>
            <w:noWrap/>
            <w:vAlign w:val="center"/>
          </w:tcPr>
          <w:p w14:paraId="5ACA174E"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Développer l’industrie à faible émission de carbone (I-1.18)</w:t>
            </w:r>
          </w:p>
        </w:tc>
        <w:tc>
          <w:tcPr>
            <w:tcW w:w="1139" w:type="dxa"/>
            <w:shd w:val="clear" w:color="auto" w:fill="C6EFCE"/>
            <w:noWrap/>
            <w:vAlign w:val="center"/>
          </w:tcPr>
          <w:p w14:paraId="15ECEDB8"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3D687247" w14:textId="471A9227" w:rsidR="000D1388" w:rsidRPr="00244E9F" w:rsidRDefault="00E71057" w:rsidP="715659F5">
            <w:pPr>
              <w:spacing w:after="0"/>
              <w:rPr>
                <w:rFonts w:ascii="Times New Roman" w:eastAsia="Times New Roman" w:hAnsi="Times New Roman" w:cs="Times New Roman"/>
                <w:noProof/>
                <w:sz w:val="20"/>
                <w:szCs w:val="20"/>
              </w:rPr>
            </w:pPr>
            <w:r>
              <w:rPr>
                <w:rFonts w:ascii="Times New Roman" w:hAnsi="Times New Roman"/>
                <w:noProof/>
                <w:color w:val="006100"/>
                <w:sz w:val="20"/>
              </w:rPr>
              <w:t xml:space="preserve">Lettres d’évaluation positives </w:t>
            </w:r>
          </w:p>
        </w:tc>
        <w:tc>
          <w:tcPr>
            <w:tcW w:w="1701" w:type="dxa"/>
            <w:shd w:val="clear" w:color="auto" w:fill="C6EFCE"/>
            <w:noWrap/>
            <w:vAlign w:val="center"/>
          </w:tcPr>
          <w:p w14:paraId="6AF4DDBD"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Lettre d’évaluation positive</w:t>
            </w:r>
          </w:p>
        </w:tc>
        <w:tc>
          <w:tcPr>
            <w:tcW w:w="1039" w:type="dxa"/>
            <w:shd w:val="clear" w:color="auto" w:fill="C6EFCE"/>
            <w:noWrap/>
            <w:vAlign w:val="center"/>
          </w:tcPr>
          <w:p w14:paraId="4EEB9498"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3EB06BA7"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987" w:type="dxa"/>
            <w:shd w:val="clear" w:color="auto" w:fill="C6EFCE"/>
            <w:noWrap/>
            <w:vAlign w:val="center"/>
          </w:tcPr>
          <w:p w14:paraId="111EB6BE" w14:textId="77777777" w:rsidR="000D1388" w:rsidRPr="00244E9F" w:rsidRDefault="000D1388">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62555F07" w14:textId="77777777" w:rsidR="000D1388" w:rsidRPr="00244E9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002B7EBE" w14:textId="77777777" w:rsidR="000D1388" w:rsidRPr="00244E9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21" w:type="dxa"/>
            <w:shd w:val="clear" w:color="auto" w:fill="C6EFCE"/>
            <w:noWrap/>
            <w:vAlign w:val="center"/>
          </w:tcPr>
          <w:p w14:paraId="1FA9E16B" w14:textId="1890F764" w:rsidR="000D1388" w:rsidRPr="00244E9F" w:rsidRDefault="00567920" w:rsidP="715659F5">
            <w:pPr>
              <w:spacing w:after="0"/>
              <w:rPr>
                <w:rFonts w:ascii="Times New Roman" w:eastAsia="Times New Roman" w:hAnsi="Times New Roman" w:cs="Times New Roman"/>
                <w:noProof/>
                <w:sz w:val="20"/>
                <w:szCs w:val="20"/>
              </w:rPr>
            </w:pPr>
            <w:r>
              <w:rPr>
                <w:rFonts w:ascii="Times New Roman" w:hAnsi="Times New Roman"/>
                <w:noProof/>
                <w:color w:val="006100"/>
                <w:sz w:val="20"/>
              </w:rPr>
              <w:t>Des lettres d’évaluation positives seront délivrées par le SPW EER, certifiant la finalisation de six projets: NKL, Saturn, Butterfly, HECO2 – AXE1, HECO2 – AXE 2, CleanGrid.</w:t>
            </w:r>
          </w:p>
        </w:tc>
      </w:tr>
    </w:tbl>
    <w:p w14:paraId="38346413" w14:textId="77777777" w:rsidR="000D1388" w:rsidRPr="00746A1A" w:rsidRDefault="000D1388" w:rsidP="00E71057">
      <w:pPr>
        <w:rPr>
          <w:rFonts w:ascii="Times New Roman" w:eastAsia="Calibri" w:hAnsi="Times New Roman" w:cs="Times New Roman"/>
          <w:noProof/>
          <w:lang w:val="fr-BE"/>
        </w:rPr>
        <w:sectPr w:rsidR="000D1388" w:rsidRPr="00746A1A" w:rsidSect="00E71057">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4CF005C4"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C. COMPOSANTE 1.3: Climat et environnement</w:t>
      </w:r>
    </w:p>
    <w:p w14:paraId="2F1A1A61"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de cette composante du plan pour la reprise et la résilience de la Belgique visent à préserver et redévelopper la biodiversité par l’utilisation durable et la restauration des forêts, des marais, des prés, des prairies et des eaux marines. Les mesures dans le cadre de la présente composante contribuent également à la séquestration du CO</w:t>
      </w:r>
      <w:r>
        <w:rPr>
          <w:rFonts w:ascii="Times New Roman" w:hAnsi="Times New Roman"/>
          <w:noProof/>
          <w:sz w:val="24"/>
          <w:vertAlign w:val="subscript"/>
        </w:rPr>
        <w:t>2</w:t>
      </w:r>
      <w:r>
        <w:rPr>
          <w:rFonts w:ascii="Times New Roman" w:hAnsi="Times New Roman"/>
          <w:noProof/>
          <w:sz w:val="24"/>
        </w:rPr>
        <w:t>. De plus, elles préparent aux effets du changement climatique en améliorant la gestion de l’eau et les infrastructures vertes. Dès lors, la résilience aux sécheresses et aux fortes précipitations sera accrue, ce qui générera des avantages pour l’agriculture, le tourisme, les citoyens et l’environnement dans son ensemble.</w:t>
      </w:r>
    </w:p>
    <w:p w14:paraId="1772BD7A"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composante contribue à répondre à la recommandation par pays nº 3 de 2019, appelant la Belgique à axer la politique économique liée aux investissements, notamment sur la transition énergétique et vers une économie à faible intensité de carbone, ainsi qu’à la recommandation par pays nº 3 de 2020, appelant à axer les investissements sur la transition verte et numérique.</w:t>
      </w:r>
    </w:p>
    <w:p w14:paraId="27DBBAA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33955205" w14:textId="77777777" w:rsidR="000D1388" w:rsidRPr="009D65D8" w:rsidRDefault="00E71057" w:rsidP="00E71057">
      <w:pPr>
        <w:spacing w:before="120"/>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C.1.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02785520"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I-1.22: «Biodiversité et adaptation au climat» en Région wallonne</w:t>
      </w:r>
    </w:p>
    <w:p w14:paraId="5D664ECA" w14:textId="1556AE57" w:rsidR="000D1388" w:rsidRPr="009D65D8" w:rsidRDefault="6BE99610" w:rsidP="3017EE65">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L’investissement vise à soutenir la conservation, la restauration et l’utilisation durable de la biodiversité et des services écosystémiques, dont l’objet est d’améliorer la capacité de séquestration du carbone et la résilience aux effets du changement climatiques, tels que les inondations et les sécheresses. La mesure consiste à soutenir des activités et des travaux de protection de la nature </w:t>
      </w:r>
      <w:r>
        <w:rPr>
          <w:rFonts w:ascii="Times New Roman" w:hAnsi="Times New Roman"/>
          <w:noProof/>
          <w:color w:val="000000" w:themeColor="text1"/>
          <w:sz w:val="24"/>
        </w:rPr>
        <w:t>dans l’«Entre-Sambre-et-Meuse» et la «Vallée de la Semois».</w:t>
      </w:r>
    </w:p>
    <w:p w14:paraId="38E994FF"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I-1.23: «Défragmentation écologique» en Région flamande</w:t>
      </w:r>
    </w:p>
    <w:p w14:paraId="7405BD8B"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est destiné à contribuer à la restauration des écosystèmes et au développement d’un réseau de nature en Flandre. Cette mesure a vocation à soutenir des projets de défragmentation écologique.</w:t>
      </w:r>
    </w:p>
    <w:p w14:paraId="1B458592"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I-1.24: «Blue Deal» en Région flamande</w:t>
      </w:r>
    </w:p>
    <w:p w14:paraId="5521E01E"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vise à améliorer la préparation à des périodes de sécheresse plus longues et à des vagues de chaleur plus fréquentes en s’attaquant aux problèmes de sécheresse. Cette mesure vise à soutenir diverses actions en matière de gestion de l’eau.</w:t>
      </w:r>
    </w:p>
    <w:p w14:paraId="0F9FD3F1"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I-1.25: Programme de restauration de la nature marine</w:t>
      </w:r>
    </w:p>
    <w:p w14:paraId="01926D64" w14:textId="49785B25" w:rsidR="000D1388" w:rsidRPr="009D65D8" w:rsidRDefault="00E71057" w:rsidP="00BB0052">
      <w:pPr>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Cet investissement vise à soutenir la restauration de la nature marine. Cette mesure vise à soutenir divers projets de restauration de la nature marine.</w:t>
      </w:r>
    </w:p>
    <w:p w14:paraId="697B4894" w14:textId="77777777" w:rsidR="000D1388" w:rsidRPr="009D65D8" w:rsidRDefault="00E71057" w:rsidP="00E71057">
      <w:pPr>
        <w:rPr>
          <w:rFonts w:ascii="Times New Roman" w:eastAsia="Times New Roman" w:hAnsi="Times New Roman" w:cs="Times New Roman"/>
          <w:noProof/>
          <w:sz w:val="24"/>
          <w:szCs w:val="24"/>
          <w:u w:val="single"/>
        </w:rPr>
      </w:pPr>
      <w:r>
        <w:rPr>
          <w:rFonts w:ascii="Times New Roman" w:hAnsi="Times New Roman"/>
          <w:noProof/>
          <w:sz w:val="24"/>
          <w:u w:val="single"/>
        </w:rPr>
        <w:t>Investissement I-1.26: «Projet énergétique offshore» de l’État fédéral</w:t>
      </w:r>
    </w:p>
    <w:p w14:paraId="399C38E6" w14:textId="77777777" w:rsidR="000D1388" w:rsidRPr="009D65D8" w:rsidRDefault="00E71057" w:rsidP="00E71057">
      <w:pPr>
        <w:jc w:val="both"/>
        <w:rPr>
          <w:rFonts w:ascii="Times New Roman" w:eastAsia="Times New Roman" w:hAnsi="Times New Roman" w:cs="Times New Roman"/>
          <w:noProof/>
          <w:sz w:val="24"/>
          <w:szCs w:val="24"/>
        </w:rPr>
      </w:pPr>
      <w:r>
        <w:rPr>
          <w:rFonts w:ascii="Times New Roman" w:hAnsi="Times New Roman"/>
          <w:noProof/>
          <w:color w:val="000000"/>
          <w:sz w:val="24"/>
        </w:rPr>
        <w:t xml:space="preserve">Cet investissement a vocation à soutenir la production d’énergie en mer. Il consiste à soutenir divers projets énergétiques par l’achat de matériel spécialisé. </w:t>
      </w:r>
    </w:p>
    <w:p w14:paraId="393F9A69" w14:textId="77777777" w:rsidR="000D1388" w:rsidRPr="00746A1A" w:rsidRDefault="000D1388" w:rsidP="00E71057">
      <w:pPr>
        <w:rPr>
          <w:rFonts w:ascii="Times New Roman" w:eastAsia="Times New Roman" w:hAnsi="Times New Roman" w:cs="Times New Roman"/>
          <w:strike/>
          <w:noProof/>
          <w:color w:val="CC3595"/>
          <w:sz w:val="24"/>
          <w:szCs w:val="24"/>
          <w:lang w:val="fr-BE" w:eastAsia="fr-BE"/>
        </w:rPr>
      </w:pPr>
    </w:p>
    <w:p w14:paraId="7D38640A"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u w:val="single"/>
        </w:rPr>
        <w:t xml:space="preserve">C.2.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59" w:type="dxa"/>
        <w:jc w:val="center"/>
        <w:tblLayout w:type="fixed"/>
        <w:tblLook w:val="04A0" w:firstRow="1" w:lastRow="0" w:firstColumn="1" w:lastColumn="0" w:noHBand="0" w:noVBand="1"/>
      </w:tblPr>
      <w:tblGrid>
        <w:gridCol w:w="1129"/>
        <w:gridCol w:w="1134"/>
        <w:gridCol w:w="1418"/>
        <w:gridCol w:w="1559"/>
        <w:gridCol w:w="1559"/>
        <w:gridCol w:w="1134"/>
        <w:gridCol w:w="1134"/>
        <w:gridCol w:w="993"/>
        <w:gridCol w:w="1134"/>
        <w:gridCol w:w="992"/>
        <w:gridCol w:w="3373"/>
      </w:tblGrid>
      <w:tr w:rsidR="00E71057" w:rsidRPr="00244E9F" w14:paraId="78DFB6A5" w14:textId="77777777" w:rsidTr="002C7502">
        <w:trPr>
          <w:trHeight w:val="927"/>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62CA04" w14:textId="77777777" w:rsidR="000D1388" w:rsidRPr="00244E9F"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ECFB5C" w14:textId="77777777" w:rsidR="000D1388" w:rsidRPr="00244E9F"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573AE4B" w14:textId="77777777" w:rsidR="000D1388" w:rsidRPr="00244E9F"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F26416" w14:textId="77777777" w:rsidR="000D1388" w:rsidRPr="00244E9F"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F68EF6" w14:textId="77777777" w:rsidR="000D1388" w:rsidRPr="00244E9F"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noProof/>
                <w:sz w:val="20"/>
              </w:rPr>
              <w:br/>
            </w:r>
            <w:r>
              <w:rPr>
                <w:rFonts w:ascii="Times New Roman" w:hAnsi="Times New Roman"/>
                <w:b/>
                <w:noProof/>
                <w:sz w:val="20"/>
              </w:rPr>
              <w:t>(pour les jalons)</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FD74D95" w14:textId="77777777" w:rsidR="000D1388" w:rsidRPr="00244E9F"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noProof/>
                <w:sz w:val="20"/>
              </w:rPr>
              <w:br/>
            </w:r>
            <w:r>
              <w:rPr>
                <w:rFonts w:ascii="Times New Roman" w:hAnsi="Times New Roman"/>
                <w:b/>
                <w:noProof/>
                <w:sz w:val="20"/>
              </w:rPr>
              <w:t>(pour les cibles)</w:t>
            </w:r>
          </w:p>
        </w:tc>
        <w:tc>
          <w:tcPr>
            <w:tcW w:w="2126"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1C81B48" w14:textId="77777777" w:rsidR="000D1388" w:rsidRPr="00244E9F"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3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CB5DF1" w14:textId="77777777" w:rsidR="000D1388" w:rsidRPr="00244E9F"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E71057" w:rsidRPr="00244E9F" w14:paraId="62EA136F" w14:textId="77777777" w:rsidTr="002C7502">
        <w:trPr>
          <w:trHeight w:val="1013"/>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96EDED0" w14:textId="77777777" w:rsidR="000D1388" w:rsidRPr="00746A1A" w:rsidRDefault="000D1388" w:rsidP="00E71057">
            <w:pPr>
              <w:spacing w:after="0"/>
              <w:rPr>
                <w:rFonts w:ascii="Times New Roman" w:eastAsia="Times New Roman" w:hAnsi="Times New Roman" w:cs="Times New Roman"/>
                <w:b/>
                <w:bCs/>
                <w:noProof/>
                <w:sz w:val="20"/>
                <w:szCs w:val="20"/>
                <w:lang w:val="fr-BE" w:eastAsia="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D66A99A" w14:textId="77777777" w:rsidR="000D1388" w:rsidRPr="00746A1A" w:rsidRDefault="000D1388" w:rsidP="00E71057">
            <w:pPr>
              <w:spacing w:after="0"/>
              <w:rPr>
                <w:rFonts w:ascii="Times New Roman" w:eastAsia="Times New Roman" w:hAnsi="Times New Roman" w:cs="Times New Roman"/>
                <w:b/>
                <w:bCs/>
                <w:noProof/>
                <w:sz w:val="20"/>
                <w:szCs w:val="20"/>
                <w:lang w:val="fr-BE"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6856332" w14:textId="77777777" w:rsidR="000D1388" w:rsidRPr="00746A1A" w:rsidRDefault="000D1388" w:rsidP="00E71057">
            <w:pPr>
              <w:spacing w:after="0"/>
              <w:rPr>
                <w:rFonts w:ascii="Times New Roman" w:eastAsia="Times New Roman" w:hAnsi="Times New Roman" w:cs="Times New Roman"/>
                <w:b/>
                <w:bCs/>
                <w:noProof/>
                <w:sz w:val="20"/>
                <w:szCs w:val="20"/>
                <w:lang w:val="fr-BE"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63B3E86" w14:textId="77777777" w:rsidR="000D1388" w:rsidRPr="00746A1A" w:rsidRDefault="000D1388" w:rsidP="00E71057">
            <w:pPr>
              <w:spacing w:after="0"/>
              <w:rPr>
                <w:rFonts w:ascii="Times New Roman" w:eastAsia="Times New Roman" w:hAnsi="Times New Roman" w:cs="Times New Roman"/>
                <w:b/>
                <w:bCs/>
                <w:noProof/>
                <w:sz w:val="20"/>
                <w:szCs w:val="20"/>
                <w:lang w:val="fr-BE" w:eastAsia="en-GB"/>
              </w:rPr>
            </w:pPr>
          </w:p>
        </w:tc>
        <w:tc>
          <w:tcPr>
            <w:tcW w:w="1559" w:type="dxa"/>
            <w:vMerge/>
            <w:tcBorders>
              <w:left w:val="single" w:sz="4" w:space="0" w:color="auto"/>
            </w:tcBorders>
            <w:vAlign w:val="center"/>
            <w:hideMark/>
          </w:tcPr>
          <w:p w14:paraId="79DA477C" w14:textId="77777777" w:rsidR="000D1388" w:rsidRPr="00746A1A" w:rsidRDefault="000D1388" w:rsidP="00E71057">
            <w:pPr>
              <w:spacing w:after="0"/>
              <w:rPr>
                <w:rFonts w:ascii="Times New Roman" w:eastAsia="Times New Roman" w:hAnsi="Times New Roman" w:cs="Times New Roman"/>
                <w:b/>
                <w:bCs/>
                <w:noProof/>
                <w:sz w:val="20"/>
                <w:szCs w:val="20"/>
                <w:lang w:val="fr-BE"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5F551B7" w14:textId="77777777" w:rsidR="000D1388" w:rsidRPr="00244E9F" w:rsidRDefault="00E71057" w:rsidP="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6F4CA215" w14:textId="77777777" w:rsidR="000D1388" w:rsidRPr="00244E9F" w:rsidRDefault="00E71057" w:rsidP="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3" w:type="dxa"/>
            <w:tcBorders>
              <w:top w:val="single" w:sz="4" w:space="0" w:color="auto"/>
              <w:left w:val="nil"/>
              <w:bottom w:val="single" w:sz="4" w:space="0" w:color="auto"/>
              <w:right w:val="single" w:sz="4" w:space="0" w:color="auto"/>
            </w:tcBorders>
            <w:shd w:val="clear" w:color="auto" w:fill="BDD7EE"/>
            <w:vAlign w:val="center"/>
            <w:hideMark/>
          </w:tcPr>
          <w:p w14:paraId="69F30034" w14:textId="77777777" w:rsidR="000D1388" w:rsidRPr="00244E9F" w:rsidRDefault="00E71057" w:rsidP="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2A5BBF68" w14:textId="77777777" w:rsidR="000D1388" w:rsidRPr="00244E9F" w:rsidRDefault="00E71057" w:rsidP="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1CCABD91" w14:textId="77777777" w:rsidR="000D1388" w:rsidRPr="00244E9F" w:rsidRDefault="00E71057" w:rsidP="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373" w:type="dxa"/>
            <w:vMerge/>
            <w:tcBorders>
              <w:top w:val="single" w:sz="4" w:space="0" w:color="auto"/>
              <w:bottom w:val="single" w:sz="4" w:space="0" w:color="auto"/>
              <w:right w:val="single" w:sz="4" w:space="0" w:color="auto"/>
            </w:tcBorders>
            <w:vAlign w:val="center"/>
            <w:hideMark/>
          </w:tcPr>
          <w:p w14:paraId="28D733C7" w14:textId="77777777" w:rsidR="000D1388" w:rsidRPr="00244E9F" w:rsidRDefault="000D1388" w:rsidP="00E71057">
            <w:pPr>
              <w:spacing w:after="0"/>
              <w:rPr>
                <w:rFonts w:ascii="Times New Roman" w:eastAsia="Times New Roman" w:hAnsi="Times New Roman" w:cs="Times New Roman"/>
                <w:b/>
                <w:bCs/>
                <w:noProof/>
                <w:sz w:val="20"/>
                <w:szCs w:val="20"/>
                <w:lang w:val="en-GB" w:eastAsia="en-GB"/>
              </w:rPr>
            </w:pPr>
          </w:p>
        </w:tc>
      </w:tr>
      <w:tr w:rsidR="00E71057" w:rsidRPr="00244E9F" w14:paraId="75C75A2F" w14:textId="77777777" w:rsidTr="002C7502">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F887BA"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37</w:t>
            </w: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017BD4D3"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Biodiversité et adaptation au climat (I-1.22)</w:t>
            </w:r>
          </w:p>
        </w:tc>
        <w:tc>
          <w:tcPr>
            <w:tcW w:w="1418" w:type="dxa"/>
            <w:tcBorders>
              <w:top w:val="single" w:sz="4" w:space="0" w:color="auto"/>
              <w:left w:val="nil"/>
              <w:bottom w:val="single" w:sz="4" w:space="0" w:color="auto"/>
              <w:right w:val="single" w:sz="4" w:space="0" w:color="auto"/>
            </w:tcBorders>
            <w:shd w:val="clear" w:color="auto" w:fill="C6EFCE"/>
            <w:noWrap/>
            <w:vAlign w:val="center"/>
            <w:hideMark/>
          </w:tcPr>
          <w:p w14:paraId="06A0457F" w14:textId="77777777" w:rsidR="000D1388" w:rsidRPr="00244E9F"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4D96DE5F" w14:textId="4338BB8A" w:rsidR="000D1388" w:rsidRPr="00B454A3" w:rsidRDefault="00F43EC8" w:rsidP="00E71057">
            <w:pPr>
              <w:spacing w:after="0"/>
              <w:rPr>
                <w:rFonts w:ascii="Times New Roman" w:eastAsia="Calibri" w:hAnsi="Times New Roman" w:cs="Times New Roman"/>
                <w:noProof/>
                <w:color w:val="006100"/>
                <w:sz w:val="20"/>
                <w:szCs w:val="20"/>
                <w:highlight w:val="yellow"/>
              </w:rPr>
            </w:pPr>
            <w:r>
              <w:rPr>
                <w:rFonts w:ascii="Times New Roman" w:hAnsi="Times New Roman"/>
                <w:noProof/>
                <w:color w:val="006100"/>
                <w:sz w:val="20"/>
              </w:rPr>
              <w:t>Rapports de livraison pour les activités de protection de la nature</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2FDDC18E" w14:textId="5C49C106" w:rsidR="000D1388" w:rsidRPr="00B454A3" w:rsidRDefault="00FD2AA5" w:rsidP="00E71057">
            <w:pPr>
              <w:spacing w:after="0"/>
              <w:rPr>
                <w:rFonts w:ascii="Times New Roman" w:eastAsia="Times New Roman" w:hAnsi="Times New Roman" w:cs="Times New Roman"/>
                <w:noProof/>
                <w:color w:val="006100"/>
                <w:sz w:val="20"/>
                <w:szCs w:val="20"/>
                <w:highlight w:val="yellow"/>
              </w:rPr>
            </w:pPr>
            <w:r>
              <w:rPr>
                <w:rFonts w:ascii="Times New Roman" w:hAnsi="Times New Roman"/>
                <w:noProof/>
                <w:color w:val="006100"/>
                <w:sz w:val="20"/>
              </w:rPr>
              <w:t>Rapports de livraison pour les activités de protection de la nature</w:t>
            </w:r>
          </w:p>
        </w:tc>
        <w:tc>
          <w:tcPr>
            <w:tcW w:w="1134" w:type="dxa"/>
            <w:tcBorders>
              <w:top w:val="nil"/>
              <w:left w:val="nil"/>
              <w:bottom w:val="single" w:sz="4" w:space="0" w:color="auto"/>
              <w:right w:val="single" w:sz="4" w:space="0" w:color="auto"/>
            </w:tcBorders>
            <w:shd w:val="clear" w:color="auto" w:fill="C6EFCE"/>
            <w:noWrap/>
            <w:vAlign w:val="center"/>
            <w:hideMark/>
          </w:tcPr>
          <w:p w14:paraId="69573369" w14:textId="77777777" w:rsidR="000D1388" w:rsidRPr="00746A1A" w:rsidRDefault="000D1388" w:rsidP="00E71057">
            <w:pPr>
              <w:spacing w:after="0"/>
              <w:rPr>
                <w:rFonts w:ascii="Times New Roman" w:eastAsia="Calibri" w:hAnsi="Times New Roman" w:cs="Times New Roman"/>
                <w:noProof/>
                <w:color w:val="006100"/>
                <w:sz w:val="20"/>
                <w:szCs w:val="20"/>
                <w:lang w:val="fr-BE"/>
              </w:rPr>
            </w:pPr>
          </w:p>
        </w:tc>
        <w:tc>
          <w:tcPr>
            <w:tcW w:w="1134" w:type="dxa"/>
            <w:tcBorders>
              <w:top w:val="nil"/>
              <w:left w:val="nil"/>
              <w:bottom w:val="single" w:sz="4" w:space="0" w:color="auto"/>
              <w:right w:val="single" w:sz="4" w:space="0" w:color="auto"/>
            </w:tcBorders>
            <w:shd w:val="clear" w:color="auto" w:fill="C6EFCE"/>
            <w:noWrap/>
            <w:vAlign w:val="center"/>
            <w:hideMark/>
          </w:tcPr>
          <w:p w14:paraId="515C2048" w14:textId="77777777" w:rsidR="000D1388" w:rsidRPr="00746A1A" w:rsidRDefault="000D1388" w:rsidP="00E71057">
            <w:pPr>
              <w:spacing w:after="0"/>
              <w:jc w:val="center"/>
              <w:rPr>
                <w:rFonts w:ascii="Times New Roman" w:eastAsia="Calibri" w:hAnsi="Times New Roman" w:cs="Times New Roman"/>
                <w:noProof/>
                <w:color w:val="006100"/>
                <w:sz w:val="20"/>
                <w:szCs w:val="20"/>
                <w:lang w:val="fr-BE"/>
              </w:rPr>
            </w:pPr>
          </w:p>
        </w:tc>
        <w:tc>
          <w:tcPr>
            <w:tcW w:w="993" w:type="dxa"/>
            <w:tcBorders>
              <w:top w:val="nil"/>
              <w:left w:val="nil"/>
              <w:bottom w:val="single" w:sz="4" w:space="0" w:color="auto"/>
              <w:right w:val="single" w:sz="4" w:space="0" w:color="auto"/>
            </w:tcBorders>
            <w:shd w:val="clear" w:color="auto" w:fill="C6EFCE"/>
            <w:noWrap/>
            <w:vAlign w:val="center"/>
            <w:hideMark/>
          </w:tcPr>
          <w:p w14:paraId="564F3B87" w14:textId="77777777" w:rsidR="000D1388" w:rsidRPr="00746A1A" w:rsidRDefault="000D1388" w:rsidP="00E71057">
            <w:pPr>
              <w:spacing w:after="0"/>
              <w:jc w:val="center"/>
              <w:rPr>
                <w:rFonts w:ascii="Times New Roman" w:eastAsia="Calibri" w:hAnsi="Times New Roman" w:cs="Times New Roman"/>
                <w:noProof/>
                <w:color w:val="006100"/>
                <w:sz w:val="20"/>
                <w:szCs w:val="20"/>
                <w:lang w:val="fr-BE"/>
              </w:rPr>
            </w:pPr>
          </w:p>
        </w:tc>
        <w:tc>
          <w:tcPr>
            <w:tcW w:w="1134" w:type="dxa"/>
            <w:tcBorders>
              <w:top w:val="nil"/>
              <w:left w:val="nil"/>
              <w:bottom w:val="single" w:sz="4" w:space="0" w:color="auto"/>
              <w:right w:val="single" w:sz="4" w:space="0" w:color="auto"/>
            </w:tcBorders>
            <w:shd w:val="clear" w:color="auto" w:fill="C6EFCE"/>
            <w:noWrap/>
            <w:vAlign w:val="center"/>
            <w:hideMark/>
          </w:tcPr>
          <w:p w14:paraId="38AB8DEC"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tcBorders>
              <w:top w:val="nil"/>
              <w:left w:val="nil"/>
              <w:bottom w:val="single" w:sz="4" w:space="0" w:color="auto"/>
              <w:right w:val="single" w:sz="4" w:space="0" w:color="auto"/>
            </w:tcBorders>
            <w:shd w:val="clear" w:color="auto" w:fill="C6EFCE"/>
            <w:noWrap/>
            <w:vAlign w:val="center"/>
            <w:hideMark/>
          </w:tcPr>
          <w:p w14:paraId="28707572"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373" w:type="dxa"/>
            <w:tcBorders>
              <w:top w:val="single" w:sz="4" w:space="0" w:color="auto"/>
              <w:left w:val="nil"/>
              <w:bottom w:val="single" w:sz="4" w:space="0" w:color="auto"/>
              <w:right w:val="single" w:sz="4" w:space="0" w:color="auto"/>
            </w:tcBorders>
            <w:shd w:val="clear" w:color="auto" w:fill="C6EFCE"/>
            <w:noWrap/>
            <w:vAlign w:val="center"/>
            <w:hideMark/>
          </w:tcPr>
          <w:p w14:paraId="7D5660AA" w14:textId="07F40BD7" w:rsidR="000D1388" w:rsidRPr="00B504EC" w:rsidRDefault="00F13A7F"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Rapports de livraison délivrés par le SPW ARNE pour des activités de protection de la nature incluant la régénération des forêts, la protection de certaines aires et la reméandration couvrant un total de 3 735 hectares</w:t>
            </w:r>
          </w:p>
        </w:tc>
      </w:tr>
      <w:tr w:rsidR="00E71057" w:rsidRPr="00244E9F" w14:paraId="61F01488" w14:textId="77777777" w:rsidTr="002C7502">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7BDBA3CC"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38</w:t>
            </w:r>
          </w:p>
        </w:tc>
        <w:tc>
          <w:tcPr>
            <w:tcW w:w="1134" w:type="dxa"/>
            <w:tcBorders>
              <w:top w:val="nil"/>
              <w:left w:val="nil"/>
              <w:bottom w:val="single" w:sz="4" w:space="0" w:color="auto"/>
              <w:right w:val="single" w:sz="4" w:space="0" w:color="auto"/>
            </w:tcBorders>
            <w:shd w:val="clear" w:color="auto" w:fill="C6EFCE"/>
            <w:noWrap/>
            <w:vAlign w:val="center"/>
            <w:hideMark/>
          </w:tcPr>
          <w:p w14:paraId="3427CA83"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Biodiversité et adaptation au climat (I-1.22)</w:t>
            </w:r>
          </w:p>
        </w:tc>
        <w:tc>
          <w:tcPr>
            <w:tcW w:w="1418" w:type="dxa"/>
            <w:tcBorders>
              <w:top w:val="nil"/>
              <w:left w:val="nil"/>
              <w:bottom w:val="single" w:sz="4" w:space="0" w:color="auto"/>
              <w:right w:val="single" w:sz="4" w:space="0" w:color="auto"/>
            </w:tcBorders>
            <w:shd w:val="clear" w:color="auto" w:fill="C6EFCE"/>
            <w:noWrap/>
            <w:vAlign w:val="center"/>
            <w:hideMark/>
          </w:tcPr>
          <w:p w14:paraId="7590D1BD"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tcBorders>
              <w:top w:val="nil"/>
              <w:left w:val="nil"/>
              <w:bottom w:val="single" w:sz="4" w:space="0" w:color="auto"/>
              <w:right w:val="single" w:sz="4" w:space="0" w:color="auto"/>
            </w:tcBorders>
            <w:shd w:val="clear" w:color="auto" w:fill="C6EFCE"/>
            <w:noWrap/>
            <w:vAlign w:val="center"/>
            <w:hideMark/>
          </w:tcPr>
          <w:p w14:paraId="4FCB2ACF" w14:textId="0BBBB15C"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subventions en faveur de projets pour la création de deux parcs nationaux</w:t>
            </w:r>
          </w:p>
        </w:tc>
        <w:tc>
          <w:tcPr>
            <w:tcW w:w="1559" w:type="dxa"/>
            <w:tcBorders>
              <w:top w:val="nil"/>
              <w:left w:val="nil"/>
              <w:bottom w:val="single" w:sz="4" w:space="0" w:color="auto"/>
              <w:right w:val="single" w:sz="4" w:space="0" w:color="auto"/>
            </w:tcBorders>
            <w:shd w:val="clear" w:color="auto" w:fill="C6EFCE"/>
            <w:noWrap/>
            <w:vAlign w:val="center"/>
            <w:hideMark/>
          </w:tcPr>
          <w:p w14:paraId="40361773"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subventions aux candidats retenus</w:t>
            </w:r>
          </w:p>
        </w:tc>
        <w:tc>
          <w:tcPr>
            <w:tcW w:w="1134" w:type="dxa"/>
            <w:tcBorders>
              <w:top w:val="nil"/>
              <w:left w:val="nil"/>
              <w:bottom w:val="single" w:sz="4" w:space="0" w:color="auto"/>
              <w:right w:val="single" w:sz="4" w:space="0" w:color="auto"/>
            </w:tcBorders>
            <w:shd w:val="clear" w:color="auto" w:fill="C6EFCE"/>
            <w:noWrap/>
            <w:vAlign w:val="center"/>
            <w:hideMark/>
          </w:tcPr>
          <w:p w14:paraId="762E5EDB"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6BF9EDB8" w14:textId="77777777" w:rsidR="000D1388" w:rsidRPr="00746A1A" w:rsidRDefault="000D1388" w:rsidP="00E71057">
            <w:pPr>
              <w:spacing w:after="0"/>
              <w:jc w:val="center"/>
              <w:rPr>
                <w:rFonts w:ascii="Times New Roman" w:eastAsia="Times New Roman" w:hAnsi="Times New Roman" w:cs="Times New Roman"/>
                <w:noProof/>
                <w:color w:val="006100"/>
                <w:sz w:val="20"/>
                <w:szCs w:val="20"/>
                <w:lang w:val="fr-BE" w:eastAsia="en-GB"/>
              </w:rPr>
            </w:pPr>
          </w:p>
        </w:tc>
        <w:tc>
          <w:tcPr>
            <w:tcW w:w="993" w:type="dxa"/>
            <w:tcBorders>
              <w:top w:val="nil"/>
              <w:left w:val="nil"/>
              <w:bottom w:val="single" w:sz="4" w:space="0" w:color="auto"/>
              <w:right w:val="single" w:sz="4" w:space="0" w:color="auto"/>
            </w:tcBorders>
            <w:shd w:val="clear" w:color="auto" w:fill="C6EFCE"/>
            <w:noWrap/>
            <w:vAlign w:val="center"/>
            <w:hideMark/>
          </w:tcPr>
          <w:p w14:paraId="6E2196EA" w14:textId="77777777" w:rsidR="000D1388" w:rsidRPr="00746A1A" w:rsidRDefault="000D1388" w:rsidP="00E71057">
            <w:pPr>
              <w:spacing w:after="0"/>
              <w:jc w:val="center"/>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19A77E94"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992" w:type="dxa"/>
            <w:tcBorders>
              <w:top w:val="nil"/>
              <w:left w:val="nil"/>
              <w:bottom w:val="single" w:sz="4" w:space="0" w:color="auto"/>
              <w:right w:val="single" w:sz="4" w:space="0" w:color="auto"/>
            </w:tcBorders>
            <w:shd w:val="clear" w:color="auto" w:fill="C6EFCE"/>
            <w:noWrap/>
            <w:vAlign w:val="center"/>
            <w:hideMark/>
          </w:tcPr>
          <w:p w14:paraId="49AFB913"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373" w:type="dxa"/>
            <w:tcBorders>
              <w:top w:val="nil"/>
              <w:left w:val="nil"/>
              <w:bottom w:val="single" w:sz="4" w:space="0" w:color="auto"/>
              <w:right w:val="single" w:sz="4" w:space="0" w:color="auto"/>
            </w:tcBorders>
            <w:shd w:val="clear" w:color="auto" w:fill="C6EFCE"/>
            <w:noWrap/>
            <w:vAlign w:val="center"/>
            <w:hideMark/>
          </w:tcPr>
          <w:p w14:paraId="755BE86A"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subventions en faveur de deux projets et notification écrite envoyée aux candidats retenus par la ministre wallonne de l’environnement à la suite de l’appel à propositions pour deux parcs nationaux d’une superficie totale comprise entre 10 000 et 70 000 hectares</w:t>
            </w:r>
          </w:p>
        </w:tc>
      </w:tr>
      <w:tr w:rsidR="00E71057" w:rsidRPr="00244E9F" w14:paraId="2C2FC457" w14:textId="77777777" w:rsidTr="002C7502">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52508025"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39</w:t>
            </w:r>
          </w:p>
        </w:tc>
        <w:tc>
          <w:tcPr>
            <w:tcW w:w="1134" w:type="dxa"/>
            <w:tcBorders>
              <w:top w:val="nil"/>
              <w:left w:val="nil"/>
              <w:bottom w:val="single" w:sz="4" w:space="0" w:color="auto"/>
              <w:right w:val="single" w:sz="4" w:space="0" w:color="auto"/>
            </w:tcBorders>
            <w:shd w:val="clear" w:color="auto" w:fill="C6EFCE"/>
            <w:noWrap/>
            <w:vAlign w:val="center"/>
            <w:hideMark/>
          </w:tcPr>
          <w:p w14:paraId="7550E401"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Biodiversité et adaptation au climat (I-1.22)</w:t>
            </w:r>
          </w:p>
        </w:tc>
        <w:tc>
          <w:tcPr>
            <w:tcW w:w="1418" w:type="dxa"/>
            <w:tcBorders>
              <w:top w:val="nil"/>
              <w:left w:val="nil"/>
              <w:bottom w:val="single" w:sz="4" w:space="0" w:color="auto"/>
              <w:right w:val="single" w:sz="4" w:space="0" w:color="auto"/>
            </w:tcBorders>
            <w:shd w:val="clear" w:color="auto" w:fill="C6EFCE"/>
            <w:noWrap/>
            <w:vAlign w:val="center"/>
            <w:hideMark/>
          </w:tcPr>
          <w:p w14:paraId="3B47EF07" w14:textId="77777777" w:rsidR="000D1388" w:rsidRPr="00244E9F"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559" w:type="dxa"/>
            <w:tcBorders>
              <w:top w:val="nil"/>
              <w:left w:val="nil"/>
              <w:bottom w:val="single" w:sz="4" w:space="0" w:color="auto"/>
              <w:right w:val="single" w:sz="4" w:space="0" w:color="auto"/>
            </w:tcBorders>
            <w:shd w:val="clear" w:color="auto" w:fill="C6EFCE"/>
            <w:noWrap/>
            <w:vAlign w:val="center"/>
            <w:hideMark/>
          </w:tcPr>
          <w:p w14:paraId="51A9B257" w14:textId="5BCB9DD7" w:rsidR="000D1388" w:rsidRPr="00557A3B" w:rsidRDefault="00101786" w:rsidP="00E71057">
            <w:pPr>
              <w:spacing w:after="0"/>
              <w:rPr>
                <w:rFonts w:ascii="Times New Roman" w:eastAsia="Times New Roman" w:hAnsi="Times New Roman" w:cs="Times New Roman"/>
                <w:noProof/>
                <w:color w:val="006100"/>
                <w:sz w:val="20"/>
                <w:szCs w:val="20"/>
                <w:highlight w:val="yellow"/>
              </w:rPr>
            </w:pPr>
            <w:r>
              <w:rPr>
                <w:rFonts w:ascii="Times New Roman" w:hAnsi="Times New Roman"/>
                <w:noProof/>
                <w:color w:val="006100"/>
                <w:sz w:val="20"/>
              </w:rPr>
              <w:t>Rapports de livraison des travaux d’infrastructure liés à l’«Entre-Sambre-et-Meuse» et à la «Vallée de la Semois»</w:t>
            </w:r>
          </w:p>
        </w:tc>
        <w:tc>
          <w:tcPr>
            <w:tcW w:w="1559" w:type="dxa"/>
            <w:tcBorders>
              <w:top w:val="nil"/>
              <w:left w:val="nil"/>
              <w:bottom w:val="single" w:sz="4" w:space="0" w:color="auto"/>
              <w:right w:val="single" w:sz="4" w:space="0" w:color="auto"/>
            </w:tcBorders>
            <w:shd w:val="clear" w:color="auto" w:fill="C6EFCE"/>
            <w:noWrap/>
            <w:vAlign w:val="center"/>
            <w:hideMark/>
          </w:tcPr>
          <w:p w14:paraId="762B826D" w14:textId="4665B42F" w:rsidR="000D1388" w:rsidRPr="00084D7C" w:rsidRDefault="00860078" w:rsidP="00E71057">
            <w:pPr>
              <w:spacing w:after="0"/>
              <w:rPr>
                <w:rFonts w:ascii="Times New Roman" w:eastAsia="Times New Roman" w:hAnsi="Times New Roman" w:cs="Times New Roman"/>
                <w:noProof/>
                <w:color w:val="006100"/>
                <w:sz w:val="20"/>
                <w:szCs w:val="20"/>
                <w:highlight w:val="yellow"/>
              </w:rPr>
            </w:pPr>
            <w:r>
              <w:rPr>
                <w:rFonts w:ascii="Times New Roman" w:hAnsi="Times New Roman"/>
                <w:noProof/>
                <w:color w:val="006100"/>
                <w:sz w:val="20"/>
              </w:rPr>
              <w:t>Rapports de livraison des travaux d’infrastructure</w:t>
            </w:r>
          </w:p>
        </w:tc>
        <w:tc>
          <w:tcPr>
            <w:tcW w:w="1134" w:type="dxa"/>
            <w:tcBorders>
              <w:top w:val="nil"/>
              <w:left w:val="nil"/>
              <w:bottom w:val="single" w:sz="4" w:space="0" w:color="auto"/>
              <w:right w:val="single" w:sz="4" w:space="0" w:color="auto"/>
            </w:tcBorders>
            <w:shd w:val="clear" w:color="auto" w:fill="C6EFCE"/>
            <w:noWrap/>
            <w:vAlign w:val="center"/>
            <w:hideMark/>
          </w:tcPr>
          <w:p w14:paraId="7E379318" w14:textId="2289265F" w:rsidR="000D1388" w:rsidRPr="00746A1A" w:rsidRDefault="000D1388" w:rsidP="00E71057">
            <w:pPr>
              <w:spacing w:after="0"/>
              <w:rPr>
                <w:rFonts w:ascii="Times New Roman" w:eastAsia="Calibri" w:hAnsi="Times New Roman" w:cs="Times New Roman"/>
                <w:noProof/>
                <w:color w:val="006100"/>
                <w:sz w:val="20"/>
                <w:szCs w:val="20"/>
                <w:lang w:val="fr-BE"/>
              </w:rPr>
            </w:pPr>
          </w:p>
        </w:tc>
        <w:tc>
          <w:tcPr>
            <w:tcW w:w="1134" w:type="dxa"/>
            <w:tcBorders>
              <w:top w:val="nil"/>
              <w:left w:val="nil"/>
              <w:bottom w:val="single" w:sz="4" w:space="0" w:color="auto"/>
              <w:right w:val="single" w:sz="4" w:space="0" w:color="auto"/>
            </w:tcBorders>
            <w:shd w:val="clear" w:color="auto" w:fill="C6EFCE"/>
            <w:noWrap/>
            <w:vAlign w:val="center"/>
            <w:hideMark/>
          </w:tcPr>
          <w:p w14:paraId="3512F788" w14:textId="77777777" w:rsidR="000D1388" w:rsidRPr="00746A1A" w:rsidRDefault="000D1388" w:rsidP="00E71057">
            <w:pPr>
              <w:spacing w:after="0"/>
              <w:jc w:val="center"/>
              <w:rPr>
                <w:rFonts w:ascii="Times New Roman" w:eastAsia="Calibri" w:hAnsi="Times New Roman" w:cs="Times New Roman"/>
                <w:noProof/>
                <w:color w:val="006100"/>
                <w:sz w:val="20"/>
                <w:szCs w:val="20"/>
                <w:lang w:val="fr-BE"/>
              </w:rPr>
            </w:pPr>
          </w:p>
        </w:tc>
        <w:tc>
          <w:tcPr>
            <w:tcW w:w="993" w:type="dxa"/>
            <w:tcBorders>
              <w:top w:val="nil"/>
              <w:left w:val="nil"/>
              <w:bottom w:val="single" w:sz="4" w:space="0" w:color="auto"/>
              <w:right w:val="single" w:sz="4" w:space="0" w:color="auto"/>
            </w:tcBorders>
            <w:shd w:val="clear" w:color="auto" w:fill="C6EFCE"/>
            <w:noWrap/>
            <w:vAlign w:val="center"/>
            <w:hideMark/>
          </w:tcPr>
          <w:p w14:paraId="33AEE0F7" w14:textId="77777777" w:rsidR="000D1388" w:rsidRPr="00746A1A" w:rsidRDefault="000D1388" w:rsidP="00E71057">
            <w:pPr>
              <w:spacing w:after="0"/>
              <w:jc w:val="center"/>
              <w:rPr>
                <w:rFonts w:ascii="Times New Roman" w:eastAsia="Calibri" w:hAnsi="Times New Roman" w:cs="Times New Roman"/>
                <w:noProof/>
                <w:color w:val="006100"/>
                <w:sz w:val="20"/>
                <w:szCs w:val="20"/>
                <w:lang w:val="fr-BE"/>
              </w:rPr>
            </w:pPr>
          </w:p>
        </w:tc>
        <w:tc>
          <w:tcPr>
            <w:tcW w:w="1134" w:type="dxa"/>
            <w:tcBorders>
              <w:top w:val="nil"/>
              <w:left w:val="nil"/>
              <w:bottom w:val="single" w:sz="4" w:space="0" w:color="auto"/>
              <w:right w:val="single" w:sz="4" w:space="0" w:color="auto"/>
            </w:tcBorders>
            <w:shd w:val="clear" w:color="auto" w:fill="C6EFCE"/>
            <w:noWrap/>
            <w:vAlign w:val="center"/>
            <w:hideMark/>
          </w:tcPr>
          <w:p w14:paraId="56F94549"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tcBorders>
              <w:top w:val="nil"/>
              <w:left w:val="nil"/>
              <w:bottom w:val="single" w:sz="4" w:space="0" w:color="auto"/>
              <w:right w:val="single" w:sz="4" w:space="0" w:color="auto"/>
            </w:tcBorders>
            <w:shd w:val="clear" w:color="auto" w:fill="C6EFCE"/>
            <w:noWrap/>
            <w:vAlign w:val="center"/>
            <w:hideMark/>
          </w:tcPr>
          <w:p w14:paraId="33E3EE64"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373" w:type="dxa"/>
            <w:tcBorders>
              <w:top w:val="nil"/>
              <w:left w:val="nil"/>
              <w:bottom w:val="single" w:sz="4" w:space="0" w:color="auto"/>
              <w:right w:val="single" w:sz="4" w:space="0" w:color="auto"/>
            </w:tcBorders>
            <w:shd w:val="clear" w:color="auto" w:fill="C6EFCE"/>
            <w:noWrap/>
            <w:vAlign w:val="center"/>
            <w:hideMark/>
          </w:tcPr>
          <w:p w14:paraId="4A3D493F" w14:textId="2D731D7E" w:rsidR="000D1388" w:rsidRPr="00D701CE" w:rsidRDefault="00B06005" w:rsidP="00E71057">
            <w:pPr>
              <w:spacing w:after="0"/>
              <w:rPr>
                <w:rFonts w:ascii="Times New Roman" w:eastAsia="Times New Roman" w:hAnsi="Times New Roman" w:cs="Times New Roman"/>
                <w:noProof/>
                <w:sz w:val="20"/>
                <w:szCs w:val="20"/>
              </w:rPr>
            </w:pPr>
            <w:r>
              <w:rPr>
                <w:rFonts w:ascii="Times New Roman" w:hAnsi="Times New Roman"/>
                <w:noProof/>
                <w:color w:val="006100"/>
                <w:sz w:val="20"/>
              </w:rPr>
              <w:t>Rapports de livraison des travaux d’infrastructure liés à l’«Entre-Sambre-et-Meuse» et à la «Vallée de la Semois» délivrés par le SPW ARNE.</w:t>
            </w:r>
          </w:p>
        </w:tc>
      </w:tr>
      <w:tr w:rsidR="00E71057" w:rsidRPr="00244E9F" w14:paraId="547BB153" w14:textId="77777777" w:rsidTr="002C7502">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3F8BF7E6"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40</w:t>
            </w:r>
          </w:p>
        </w:tc>
        <w:tc>
          <w:tcPr>
            <w:tcW w:w="1134" w:type="dxa"/>
            <w:tcBorders>
              <w:top w:val="nil"/>
              <w:left w:val="nil"/>
              <w:bottom w:val="single" w:sz="4" w:space="0" w:color="auto"/>
              <w:right w:val="single" w:sz="4" w:space="0" w:color="auto"/>
            </w:tcBorders>
            <w:shd w:val="clear" w:color="auto" w:fill="C6EFCE"/>
            <w:noWrap/>
            <w:vAlign w:val="center"/>
          </w:tcPr>
          <w:p w14:paraId="77B21887"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Défragmentation écologique (I-1.23)</w:t>
            </w:r>
          </w:p>
        </w:tc>
        <w:tc>
          <w:tcPr>
            <w:tcW w:w="1418" w:type="dxa"/>
            <w:tcBorders>
              <w:top w:val="nil"/>
              <w:left w:val="nil"/>
              <w:bottom w:val="single" w:sz="4" w:space="0" w:color="auto"/>
              <w:right w:val="single" w:sz="4" w:space="0" w:color="auto"/>
            </w:tcBorders>
            <w:shd w:val="clear" w:color="auto" w:fill="C6EFCE"/>
            <w:noWrap/>
            <w:vAlign w:val="center"/>
          </w:tcPr>
          <w:p w14:paraId="0663FB6B"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tcBorders>
              <w:top w:val="nil"/>
              <w:left w:val="nil"/>
              <w:bottom w:val="single" w:sz="4" w:space="0" w:color="auto"/>
              <w:right w:val="single" w:sz="4" w:space="0" w:color="auto"/>
            </w:tcBorders>
            <w:shd w:val="clear" w:color="auto" w:fill="C6EFCE"/>
            <w:noWrap/>
            <w:vAlign w:val="center"/>
          </w:tcPr>
          <w:p w14:paraId="44B0DB76"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des projets de défragmentation écologique</w:t>
            </w:r>
          </w:p>
        </w:tc>
        <w:tc>
          <w:tcPr>
            <w:tcW w:w="1559" w:type="dxa"/>
            <w:tcBorders>
              <w:top w:val="nil"/>
              <w:left w:val="nil"/>
              <w:bottom w:val="single" w:sz="4" w:space="0" w:color="auto"/>
              <w:right w:val="single" w:sz="4" w:space="0" w:color="auto"/>
            </w:tcBorders>
            <w:shd w:val="clear" w:color="auto" w:fill="C6EFCE"/>
            <w:noWrap/>
            <w:vAlign w:val="center"/>
          </w:tcPr>
          <w:p w14:paraId="4FE0226C"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649559EE"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134" w:type="dxa"/>
            <w:tcBorders>
              <w:top w:val="nil"/>
              <w:left w:val="nil"/>
              <w:bottom w:val="single" w:sz="4" w:space="0" w:color="auto"/>
              <w:right w:val="single" w:sz="4" w:space="0" w:color="auto"/>
            </w:tcBorders>
            <w:shd w:val="clear" w:color="auto" w:fill="C6EFCE"/>
            <w:noWrap/>
            <w:vAlign w:val="center"/>
          </w:tcPr>
          <w:p w14:paraId="50A7F15A"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3" w:type="dxa"/>
            <w:tcBorders>
              <w:top w:val="nil"/>
              <w:left w:val="nil"/>
              <w:bottom w:val="single" w:sz="4" w:space="0" w:color="auto"/>
              <w:right w:val="single" w:sz="4" w:space="0" w:color="auto"/>
            </w:tcBorders>
            <w:shd w:val="clear" w:color="auto" w:fill="C6EFCE"/>
            <w:noWrap/>
            <w:vAlign w:val="center"/>
          </w:tcPr>
          <w:p w14:paraId="55E2E721"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w:t>
            </w:r>
          </w:p>
        </w:tc>
        <w:tc>
          <w:tcPr>
            <w:tcW w:w="1134" w:type="dxa"/>
            <w:tcBorders>
              <w:top w:val="nil"/>
              <w:left w:val="nil"/>
              <w:bottom w:val="single" w:sz="4" w:space="0" w:color="auto"/>
              <w:right w:val="single" w:sz="4" w:space="0" w:color="auto"/>
            </w:tcBorders>
            <w:shd w:val="clear" w:color="auto" w:fill="C6EFCE"/>
            <w:noWrap/>
            <w:vAlign w:val="center"/>
          </w:tcPr>
          <w:p w14:paraId="7CC9CA3B"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tcBorders>
              <w:top w:val="nil"/>
              <w:left w:val="nil"/>
              <w:bottom w:val="single" w:sz="4" w:space="0" w:color="auto"/>
              <w:right w:val="single" w:sz="4" w:space="0" w:color="auto"/>
            </w:tcBorders>
            <w:shd w:val="clear" w:color="auto" w:fill="C6EFCE"/>
            <w:noWrap/>
            <w:vAlign w:val="center"/>
          </w:tcPr>
          <w:p w14:paraId="64603331"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373" w:type="dxa"/>
            <w:tcBorders>
              <w:top w:val="single" w:sz="4" w:space="0" w:color="auto"/>
              <w:left w:val="nil"/>
              <w:bottom w:val="single" w:sz="4" w:space="0" w:color="auto"/>
              <w:right w:val="single" w:sz="4" w:space="0" w:color="auto"/>
            </w:tcBorders>
            <w:shd w:val="clear" w:color="auto" w:fill="C6EFCE"/>
            <w:noWrap/>
            <w:vAlign w:val="center"/>
          </w:tcPr>
          <w:p w14:paraId="5998BF15" w14:textId="77777777" w:rsidR="000D1388" w:rsidRPr="00244E9F"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Des procès-verbaux attestant de l’achèvement ou de la mise en service ont été délivrés pour les sept projets d’infrastructure suivants: </w:t>
            </w:r>
          </w:p>
          <w:p w14:paraId="53E77221" w14:textId="77777777" w:rsidR="000D1388" w:rsidRPr="00244E9F" w:rsidRDefault="00E71057" w:rsidP="00F70F65">
            <w:pPr>
              <w:pStyle w:val="ListParagraph"/>
              <w:numPr>
                <w:ilvl w:val="0"/>
                <w:numId w:val="29"/>
              </w:numPr>
              <w:spacing w:after="0" w:line="279" w:lineRule="auto"/>
              <w:rPr>
                <w:rFonts w:ascii="Times New Roman" w:eastAsia="Calibri" w:hAnsi="Times New Roman" w:cs="Times New Roman"/>
                <w:noProof/>
                <w:color w:val="006100"/>
                <w:sz w:val="20"/>
                <w:szCs w:val="20"/>
              </w:rPr>
            </w:pPr>
            <w:r>
              <w:rPr>
                <w:rFonts w:ascii="Times New Roman" w:hAnsi="Times New Roman"/>
                <w:noProof/>
                <w:color w:val="006100"/>
                <w:sz w:val="20"/>
              </w:rPr>
              <w:t xml:space="preserve">trois écoducs, </w:t>
            </w:r>
          </w:p>
          <w:p w14:paraId="71122C3C" w14:textId="77777777" w:rsidR="000D1388" w:rsidRPr="00244E9F" w:rsidRDefault="00E71057" w:rsidP="00F70F65">
            <w:pPr>
              <w:pStyle w:val="ListParagraph"/>
              <w:numPr>
                <w:ilvl w:val="0"/>
                <w:numId w:val="29"/>
              </w:numPr>
              <w:spacing w:after="0" w:line="279" w:lineRule="auto"/>
              <w:rPr>
                <w:rFonts w:ascii="Times New Roman" w:eastAsia="Calibri" w:hAnsi="Times New Roman" w:cs="Times New Roman"/>
                <w:noProof/>
                <w:color w:val="006100"/>
                <w:sz w:val="20"/>
                <w:szCs w:val="20"/>
              </w:rPr>
            </w:pPr>
            <w:r>
              <w:rPr>
                <w:rFonts w:ascii="Times New Roman" w:hAnsi="Times New Roman"/>
                <w:noProof/>
                <w:color w:val="006100"/>
                <w:sz w:val="20"/>
              </w:rPr>
              <w:t xml:space="preserve">une écovallée, </w:t>
            </w:r>
          </w:p>
          <w:p w14:paraId="6137E83D" w14:textId="77777777" w:rsidR="000D1388" w:rsidRPr="00244E9F" w:rsidRDefault="00E71057" w:rsidP="00F70F65">
            <w:pPr>
              <w:pStyle w:val="ListParagraph"/>
              <w:numPr>
                <w:ilvl w:val="0"/>
                <w:numId w:val="29"/>
              </w:numPr>
              <w:spacing w:after="0" w:line="279" w:lineRule="auto"/>
              <w:rPr>
                <w:rFonts w:ascii="Times New Roman" w:eastAsia="Calibri" w:hAnsi="Times New Roman" w:cs="Times New Roman"/>
                <w:noProof/>
                <w:color w:val="006100"/>
                <w:sz w:val="20"/>
                <w:szCs w:val="20"/>
              </w:rPr>
            </w:pPr>
            <w:r>
              <w:rPr>
                <w:rFonts w:ascii="Times New Roman" w:hAnsi="Times New Roman"/>
                <w:noProof/>
                <w:color w:val="006100"/>
                <w:sz w:val="20"/>
              </w:rPr>
              <w:t>un accotement,</w:t>
            </w:r>
          </w:p>
          <w:p w14:paraId="38D56279" w14:textId="77777777" w:rsidR="000D1388" w:rsidRPr="00244E9F" w:rsidRDefault="00E71057" w:rsidP="00F70F65">
            <w:pPr>
              <w:pStyle w:val="ListParagraph"/>
              <w:numPr>
                <w:ilvl w:val="0"/>
                <w:numId w:val="29"/>
              </w:numPr>
              <w:spacing w:after="0" w:line="279" w:lineRule="auto"/>
              <w:rPr>
                <w:rFonts w:ascii="Times New Roman" w:eastAsia="Calibri" w:hAnsi="Times New Roman" w:cs="Times New Roman"/>
                <w:noProof/>
                <w:color w:val="006100"/>
                <w:sz w:val="20"/>
                <w:szCs w:val="20"/>
              </w:rPr>
            </w:pPr>
            <w:r>
              <w:rPr>
                <w:rFonts w:ascii="Times New Roman" w:hAnsi="Times New Roman"/>
                <w:noProof/>
                <w:color w:val="006100"/>
                <w:sz w:val="20"/>
              </w:rPr>
              <w:t>un éco-véloduc,</w:t>
            </w:r>
          </w:p>
          <w:p w14:paraId="6D2F8E87" w14:textId="77777777" w:rsidR="000D1388" w:rsidRPr="00244E9F" w:rsidRDefault="00E71057" w:rsidP="00F70F65">
            <w:pPr>
              <w:numPr>
                <w:ilvl w:val="0"/>
                <w:numId w:val="30"/>
              </w:numPr>
              <w:spacing w:after="0" w:line="240" w:lineRule="auto"/>
              <w:contextualSpacing/>
              <w:rPr>
                <w:rFonts w:ascii="Times New Roman" w:eastAsia="Calibri" w:hAnsi="Times New Roman" w:cs="Times New Roman"/>
                <w:noProof/>
                <w:color w:val="006100"/>
                <w:sz w:val="20"/>
                <w:szCs w:val="20"/>
              </w:rPr>
            </w:pPr>
            <w:r>
              <w:rPr>
                <w:rFonts w:ascii="Times New Roman" w:hAnsi="Times New Roman"/>
                <w:noProof/>
                <w:color w:val="006100"/>
                <w:sz w:val="20"/>
              </w:rPr>
              <w:t>et un système de détection des espèces sauvages.</w:t>
            </w:r>
          </w:p>
        </w:tc>
      </w:tr>
      <w:tr w:rsidR="00E71057" w:rsidRPr="00244E9F" w14:paraId="3555BA7D" w14:textId="77777777" w:rsidTr="002C7502">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284EA6BA"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42</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6C5F04C9"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Blue Deal (I-1.24)</w:t>
            </w:r>
          </w:p>
        </w:tc>
        <w:tc>
          <w:tcPr>
            <w:tcW w:w="1418" w:type="dxa"/>
            <w:tcBorders>
              <w:top w:val="single" w:sz="4" w:space="0" w:color="auto"/>
              <w:left w:val="nil"/>
              <w:bottom w:val="single" w:sz="4" w:space="0" w:color="auto"/>
              <w:right w:val="single" w:sz="4" w:space="0" w:color="auto"/>
            </w:tcBorders>
            <w:shd w:val="clear" w:color="auto" w:fill="C6EFCE"/>
            <w:noWrap/>
            <w:vAlign w:val="center"/>
          </w:tcPr>
          <w:p w14:paraId="14477D59"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tcBorders>
              <w:top w:val="nil"/>
              <w:left w:val="nil"/>
              <w:bottom w:val="single" w:sz="4" w:space="0" w:color="auto"/>
              <w:right w:val="single" w:sz="4" w:space="0" w:color="auto"/>
            </w:tcBorders>
            <w:shd w:val="clear" w:color="auto" w:fill="C6EFCE"/>
            <w:noWrap/>
            <w:vAlign w:val="center"/>
          </w:tcPr>
          <w:p w14:paraId="15A06938"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Achats de terres visant à renforcer la biodiversité et/ou à atténuer les effets du changement climatique</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45F1516D"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Titres de propriété</w:t>
            </w:r>
          </w:p>
        </w:tc>
        <w:tc>
          <w:tcPr>
            <w:tcW w:w="1134" w:type="dxa"/>
            <w:tcBorders>
              <w:top w:val="nil"/>
              <w:left w:val="nil"/>
              <w:bottom w:val="single" w:sz="4" w:space="0" w:color="auto"/>
              <w:right w:val="single" w:sz="4" w:space="0" w:color="auto"/>
            </w:tcBorders>
            <w:shd w:val="clear" w:color="auto" w:fill="C6EFCE"/>
            <w:noWrap/>
            <w:vAlign w:val="center"/>
          </w:tcPr>
          <w:p w14:paraId="55CD9265" w14:textId="77777777" w:rsidR="000D1388" w:rsidRPr="00244E9F" w:rsidRDefault="000D1388" w:rsidP="00E71057">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4A7617B0" w14:textId="77777777" w:rsidR="000D1388" w:rsidRPr="00244E9F" w:rsidRDefault="000D1388" w:rsidP="00E71057">
            <w:pPr>
              <w:spacing w:after="0"/>
              <w:rPr>
                <w:rFonts w:ascii="Times New Roman" w:eastAsia="Times New Roman" w:hAnsi="Times New Roman" w:cs="Times New Roman"/>
                <w:noProof/>
                <w:color w:val="006100"/>
                <w:sz w:val="20"/>
                <w:szCs w:val="20"/>
                <w:lang w:val="en-GB" w:eastAsia="en-GB"/>
              </w:rPr>
            </w:pPr>
          </w:p>
        </w:tc>
        <w:tc>
          <w:tcPr>
            <w:tcW w:w="993" w:type="dxa"/>
            <w:tcBorders>
              <w:top w:val="nil"/>
              <w:left w:val="nil"/>
              <w:bottom w:val="single" w:sz="4" w:space="0" w:color="auto"/>
              <w:right w:val="single" w:sz="4" w:space="0" w:color="auto"/>
            </w:tcBorders>
            <w:shd w:val="clear" w:color="auto" w:fill="C6EFCE"/>
            <w:noWrap/>
            <w:vAlign w:val="center"/>
          </w:tcPr>
          <w:p w14:paraId="2F77A377" w14:textId="77777777" w:rsidR="000D1388" w:rsidRPr="00244E9F" w:rsidRDefault="000D1388" w:rsidP="00E71057">
            <w:pPr>
              <w:spacing w:after="0"/>
              <w:rPr>
                <w:rFonts w:ascii="Times New Roman" w:eastAsia="Times New Roman" w:hAnsi="Times New Roman" w:cs="Times New Roman"/>
                <w:noProof/>
                <w:color w:val="006100"/>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1BC6CE9F"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tcBorders>
              <w:top w:val="nil"/>
              <w:left w:val="nil"/>
              <w:bottom w:val="single" w:sz="4" w:space="0" w:color="auto"/>
              <w:right w:val="single" w:sz="4" w:space="0" w:color="auto"/>
            </w:tcBorders>
            <w:shd w:val="clear" w:color="auto" w:fill="C6EFCE"/>
            <w:noWrap/>
            <w:vAlign w:val="center"/>
          </w:tcPr>
          <w:p w14:paraId="34F15AB1"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373" w:type="dxa"/>
            <w:tcBorders>
              <w:top w:val="nil"/>
              <w:left w:val="nil"/>
              <w:bottom w:val="single" w:sz="4" w:space="0" w:color="auto"/>
              <w:right w:val="single" w:sz="4" w:space="0" w:color="auto"/>
            </w:tcBorders>
            <w:shd w:val="clear" w:color="auto" w:fill="C6EFCE"/>
            <w:noWrap/>
            <w:vAlign w:val="center"/>
          </w:tcPr>
          <w:p w14:paraId="2A31033B"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Achats de terres par l’Agence foncière flamande ou l’Agence flamande pour la nature et les forêts (environ 1 000 hectares)</w:t>
            </w:r>
          </w:p>
        </w:tc>
      </w:tr>
      <w:tr w:rsidR="00E71057" w:rsidRPr="00244E9F" w14:paraId="40F67B02" w14:textId="77777777" w:rsidTr="002C7502">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34E00EE6"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43</w:t>
            </w:r>
          </w:p>
        </w:tc>
        <w:tc>
          <w:tcPr>
            <w:tcW w:w="1134" w:type="dxa"/>
            <w:tcBorders>
              <w:top w:val="nil"/>
              <w:left w:val="nil"/>
              <w:bottom w:val="single" w:sz="4" w:space="0" w:color="auto"/>
              <w:right w:val="single" w:sz="4" w:space="0" w:color="auto"/>
            </w:tcBorders>
            <w:shd w:val="clear" w:color="auto" w:fill="C6EFCE"/>
            <w:noWrap/>
            <w:vAlign w:val="center"/>
            <w:hideMark/>
          </w:tcPr>
          <w:p w14:paraId="12A85DF5"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Blue Deal (I-1.24)</w:t>
            </w:r>
          </w:p>
        </w:tc>
        <w:tc>
          <w:tcPr>
            <w:tcW w:w="1418" w:type="dxa"/>
            <w:tcBorders>
              <w:top w:val="nil"/>
              <w:left w:val="nil"/>
              <w:bottom w:val="single" w:sz="4" w:space="0" w:color="auto"/>
              <w:right w:val="single" w:sz="4" w:space="0" w:color="auto"/>
            </w:tcBorders>
            <w:shd w:val="clear" w:color="auto" w:fill="C6EFCE"/>
            <w:noWrap/>
            <w:vAlign w:val="center"/>
            <w:hideMark/>
          </w:tcPr>
          <w:p w14:paraId="60292FA8"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tcBorders>
              <w:top w:val="nil"/>
              <w:left w:val="nil"/>
              <w:bottom w:val="single" w:sz="4" w:space="0" w:color="auto"/>
              <w:right w:val="single" w:sz="4" w:space="0" w:color="auto"/>
            </w:tcBorders>
            <w:shd w:val="clear" w:color="auto" w:fill="C6EFCE"/>
            <w:noWrap/>
            <w:vAlign w:val="center"/>
            <w:hideMark/>
          </w:tcPr>
          <w:p w14:paraId="27162DF4" w14:textId="5AFB9042" w:rsidR="000D1388" w:rsidRPr="00244E9F" w:rsidRDefault="00C351E7" w:rsidP="00E71057">
            <w:pPr>
              <w:spacing w:after="0"/>
              <w:rPr>
                <w:rFonts w:ascii="Times New Roman" w:eastAsia="Times New Roman" w:hAnsi="Times New Roman" w:cs="Times New Roman"/>
                <w:noProof/>
                <w:sz w:val="20"/>
                <w:szCs w:val="20"/>
              </w:rPr>
            </w:pPr>
            <w:r>
              <w:rPr>
                <w:rFonts w:ascii="Times New Roman" w:hAnsi="Times New Roman"/>
                <w:noProof/>
                <w:color w:val="006100"/>
                <w:sz w:val="20"/>
              </w:rPr>
              <w:t xml:space="preserve">Gestion de l’eau et adaptation au changement climatique </w:t>
            </w:r>
          </w:p>
        </w:tc>
        <w:tc>
          <w:tcPr>
            <w:tcW w:w="1559" w:type="dxa"/>
            <w:tcBorders>
              <w:top w:val="nil"/>
              <w:left w:val="nil"/>
              <w:bottom w:val="single" w:sz="4" w:space="0" w:color="auto"/>
              <w:right w:val="single" w:sz="4" w:space="0" w:color="auto"/>
            </w:tcBorders>
            <w:shd w:val="clear" w:color="auto" w:fill="C6EFCE"/>
            <w:noWrap/>
            <w:vAlign w:val="center"/>
            <w:hideMark/>
          </w:tcPr>
          <w:p w14:paraId="18EDAF07"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71605AA9" w14:textId="42069E81" w:rsidR="000D1388" w:rsidRPr="00244E9F" w:rsidRDefault="00E52703"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134" w:type="dxa"/>
            <w:tcBorders>
              <w:top w:val="nil"/>
              <w:left w:val="nil"/>
              <w:bottom w:val="single" w:sz="4" w:space="0" w:color="auto"/>
              <w:right w:val="single" w:sz="4" w:space="0" w:color="auto"/>
            </w:tcBorders>
            <w:shd w:val="clear" w:color="auto" w:fill="C6EFCE"/>
            <w:noWrap/>
            <w:vAlign w:val="center"/>
            <w:hideMark/>
          </w:tcPr>
          <w:p w14:paraId="1882EB4D"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3" w:type="dxa"/>
            <w:tcBorders>
              <w:top w:val="nil"/>
              <w:left w:val="nil"/>
              <w:bottom w:val="single" w:sz="4" w:space="0" w:color="auto"/>
              <w:right w:val="single" w:sz="4" w:space="0" w:color="auto"/>
            </w:tcBorders>
            <w:shd w:val="clear" w:color="auto" w:fill="C6EFCE"/>
            <w:noWrap/>
            <w:vAlign w:val="center"/>
            <w:hideMark/>
          </w:tcPr>
          <w:p w14:paraId="71899DA5" w14:textId="77777777" w:rsidR="000D1388" w:rsidRPr="00244E9F"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57</w:t>
            </w:r>
          </w:p>
        </w:tc>
        <w:tc>
          <w:tcPr>
            <w:tcW w:w="1134" w:type="dxa"/>
            <w:tcBorders>
              <w:top w:val="nil"/>
              <w:left w:val="nil"/>
              <w:bottom w:val="single" w:sz="4" w:space="0" w:color="auto"/>
              <w:right w:val="single" w:sz="4" w:space="0" w:color="auto"/>
            </w:tcBorders>
            <w:shd w:val="clear" w:color="auto" w:fill="C6EFCE"/>
            <w:noWrap/>
            <w:vAlign w:val="center"/>
            <w:hideMark/>
          </w:tcPr>
          <w:p w14:paraId="4771B761"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tcBorders>
              <w:top w:val="nil"/>
              <w:left w:val="nil"/>
              <w:bottom w:val="single" w:sz="4" w:space="0" w:color="auto"/>
              <w:right w:val="single" w:sz="4" w:space="0" w:color="auto"/>
            </w:tcBorders>
            <w:shd w:val="clear" w:color="auto" w:fill="C6EFCE"/>
            <w:noWrap/>
            <w:vAlign w:val="center"/>
            <w:hideMark/>
          </w:tcPr>
          <w:p w14:paraId="7094E891" w14:textId="77777777" w:rsidR="000D1388" w:rsidRPr="00244E9F"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373" w:type="dxa"/>
            <w:tcBorders>
              <w:top w:val="single" w:sz="4" w:space="0" w:color="auto"/>
              <w:left w:val="nil"/>
              <w:bottom w:val="single" w:sz="4" w:space="0" w:color="auto"/>
              <w:right w:val="single" w:sz="4" w:space="0" w:color="auto"/>
            </w:tcBorders>
            <w:shd w:val="clear" w:color="auto" w:fill="C6EFCE"/>
            <w:noWrap/>
            <w:vAlign w:val="center"/>
            <w:hideMark/>
          </w:tcPr>
          <w:p w14:paraId="620DA818" w14:textId="5026FF4F" w:rsidR="000D1388" w:rsidRPr="00244E9F" w:rsidRDefault="00940A05" w:rsidP="03C8CFC5">
            <w:pPr>
              <w:spacing w:before="240" w:after="240" w:line="257"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Au moins 57 projets ont été livrés dans les catégories suivantes, y compris, mais sans s’y limiter, les mesures d’atténuation de la sécheresse, la contribution à la construction ou à la reconstruction d’écluses sur des voies navigables, l’installation de systèmes de contrôle des eaux, les études écohydrologiques, les cours et voies d’eau ou la restauration des zones humides. </w:t>
            </w:r>
          </w:p>
        </w:tc>
      </w:tr>
      <w:tr w:rsidR="00E71057" w:rsidRPr="00244E9F" w14:paraId="0EE70E67" w14:textId="77777777" w:rsidTr="002C7502">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4AD9D0D8" w14:textId="77777777" w:rsidR="000D1388" w:rsidRPr="00244E9F" w:rsidRDefault="00E71057" w:rsidP="00E71057">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43 </w:t>
            </w:r>
            <w:r>
              <w:rPr>
                <w:rFonts w:ascii="Times New Roman" w:hAnsi="Times New Roman"/>
                <w:i/>
                <w:iCs/>
                <w:noProof/>
                <w:color w:val="006100"/>
                <w:sz w:val="20"/>
              </w:rPr>
              <w:t>bis</w:t>
            </w:r>
          </w:p>
        </w:tc>
        <w:tc>
          <w:tcPr>
            <w:tcW w:w="1134" w:type="dxa"/>
            <w:tcBorders>
              <w:top w:val="nil"/>
              <w:left w:val="nil"/>
              <w:bottom w:val="single" w:sz="4" w:space="0" w:color="auto"/>
              <w:right w:val="single" w:sz="4" w:space="0" w:color="auto"/>
            </w:tcBorders>
            <w:shd w:val="clear" w:color="auto" w:fill="C6EFCE"/>
            <w:noWrap/>
            <w:vAlign w:val="center"/>
            <w:hideMark/>
          </w:tcPr>
          <w:p w14:paraId="212DD57F" w14:textId="77777777" w:rsidR="000D1388" w:rsidRPr="00244E9F" w:rsidRDefault="00E71057" w:rsidP="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Blue Deal (I-1.24)</w:t>
            </w:r>
          </w:p>
        </w:tc>
        <w:tc>
          <w:tcPr>
            <w:tcW w:w="1418" w:type="dxa"/>
            <w:tcBorders>
              <w:top w:val="nil"/>
              <w:left w:val="nil"/>
              <w:bottom w:val="single" w:sz="4" w:space="0" w:color="auto"/>
              <w:right w:val="single" w:sz="4" w:space="0" w:color="auto"/>
            </w:tcBorders>
            <w:shd w:val="clear" w:color="auto" w:fill="C6EFCE"/>
            <w:noWrap/>
            <w:vAlign w:val="center"/>
            <w:hideMark/>
          </w:tcPr>
          <w:p w14:paraId="7664399B" w14:textId="77777777" w:rsidR="000D1388" w:rsidRPr="00244E9F" w:rsidRDefault="00E71057" w:rsidP="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tcBorders>
              <w:top w:val="nil"/>
              <w:left w:val="nil"/>
              <w:bottom w:val="single" w:sz="4" w:space="0" w:color="auto"/>
              <w:right w:val="single" w:sz="4" w:space="0" w:color="auto"/>
            </w:tcBorders>
            <w:shd w:val="clear" w:color="auto" w:fill="C6EFCE"/>
            <w:noWrap/>
            <w:vAlign w:val="center"/>
            <w:hideMark/>
          </w:tcPr>
          <w:p w14:paraId="7E02F2A8" w14:textId="5D6FE187" w:rsidR="000D1388" w:rsidRPr="00244E9F" w:rsidRDefault="00377C5D" w:rsidP="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Décaissement pour des projets de gestion de l’eau ou d’adaptation au changement climatique</w:t>
            </w:r>
          </w:p>
        </w:tc>
        <w:tc>
          <w:tcPr>
            <w:tcW w:w="1559" w:type="dxa"/>
            <w:tcBorders>
              <w:top w:val="nil"/>
              <w:left w:val="nil"/>
              <w:bottom w:val="single" w:sz="4" w:space="0" w:color="auto"/>
              <w:right w:val="single" w:sz="4" w:space="0" w:color="auto"/>
            </w:tcBorders>
            <w:shd w:val="clear" w:color="auto" w:fill="C6EFCE"/>
            <w:noWrap/>
            <w:vAlign w:val="center"/>
            <w:hideMark/>
          </w:tcPr>
          <w:p w14:paraId="522400E7" w14:textId="4AE634B9" w:rsidR="000D1388" w:rsidRPr="00244E9F" w:rsidRDefault="00FB5157" w:rsidP="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Fonds décaissés pour des projets de gestion de l’eau ou d’adaptation au changement climatique</w:t>
            </w:r>
          </w:p>
        </w:tc>
        <w:tc>
          <w:tcPr>
            <w:tcW w:w="1134" w:type="dxa"/>
            <w:tcBorders>
              <w:top w:val="nil"/>
              <w:left w:val="nil"/>
              <w:bottom w:val="single" w:sz="4" w:space="0" w:color="auto"/>
              <w:right w:val="single" w:sz="4" w:space="0" w:color="auto"/>
            </w:tcBorders>
            <w:shd w:val="clear" w:color="auto" w:fill="C6EFCE"/>
            <w:noWrap/>
            <w:vAlign w:val="center"/>
            <w:hideMark/>
          </w:tcPr>
          <w:p w14:paraId="4A439115" w14:textId="1AAD7D35" w:rsidR="000D1388" w:rsidRPr="00746A1A" w:rsidRDefault="000D1388" w:rsidP="3A2688DF">
            <w:pPr>
              <w:spacing w:line="240" w:lineRule="auto"/>
              <w:rPr>
                <w:rFonts w:ascii="Times New Roman" w:eastAsia="Times New Roman" w:hAnsi="Times New Roman" w:cs="Times New Roman"/>
                <w:noProof/>
                <w:color w:val="00B050"/>
                <w:sz w:val="20"/>
                <w:szCs w:val="20"/>
                <w:lang w:val="fr-BE"/>
              </w:rPr>
            </w:pPr>
          </w:p>
        </w:tc>
        <w:tc>
          <w:tcPr>
            <w:tcW w:w="1134" w:type="dxa"/>
            <w:tcBorders>
              <w:top w:val="nil"/>
              <w:left w:val="nil"/>
              <w:bottom w:val="single" w:sz="4" w:space="0" w:color="auto"/>
              <w:right w:val="single" w:sz="4" w:space="0" w:color="auto"/>
            </w:tcBorders>
            <w:shd w:val="clear" w:color="auto" w:fill="C6EFCE"/>
            <w:noWrap/>
            <w:vAlign w:val="center"/>
            <w:hideMark/>
          </w:tcPr>
          <w:p w14:paraId="1D21B370" w14:textId="0CA91DD8" w:rsidR="000D1388" w:rsidRPr="00746A1A" w:rsidRDefault="000D1388" w:rsidP="00E71057">
            <w:pPr>
              <w:spacing w:line="240" w:lineRule="auto"/>
              <w:rPr>
                <w:rFonts w:ascii="Times New Roman" w:eastAsia="Times New Roman" w:hAnsi="Times New Roman" w:cs="Times New Roman"/>
                <w:noProof/>
                <w:color w:val="006100"/>
                <w:sz w:val="20"/>
                <w:szCs w:val="20"/>
                <w:lang w:val="fr-BE"/>
              </w:rPr>
            </w:pPr>
          </w:p>
        </w:tc>
        <w:tc>
          <w:tcPr>
            <w:tcW w:w="993" w:type="dxa"/>
            <w:tcBorders>
              <w:top w:val="nil"/>
              <w:left w:val="nil"/>
              <w:bottom w:val="single" w:sz="4" w:space="0" w:color="auto"/>
              <w:right w:val="single" w:sz="4" w:space="0" w:color="auto"/>
            </w:tcBorders>
            <w:shd w:val="clear" w:color="auto" w:fill="C6EFCE"/>
            <w:noWrap/>
            <w:vAlign w:val="center"/>
            <w:hideMark/>
          </w:tcPr>
          <w:p w14:paraId="30ED9D3D" w14:textId="4EEA94CD" w:rsidR="000D1388" w:rsidRPr="00746A1A" w:rsidRDefault="000D1388" w:rsidP="00E71057">
            <w:pPr>
              <w:spacing w:line="240" w:lineRule="auto"/>
              <w:rPr>
                <w:rFonts w:ascii="Times New Roman" w:eastAsia="Times New Roman" w:hAnsi="Times New Roman" w:cs="Times New Roman"/>
                <w:noProof/>
                <w:color w:val="006100"/>
                <w:sz w:val="20"/>
                <w:szCs w:val="20"/>
                <w:lang w:val="fr-BE"/>
              </w:rPr>
            </w:pPr>
          </w:p>
        </w:tc>
        <w:tc>
          <w:tcPr>
            <w:tcW w:w="1134" w:type="dxa"/>
            <w:tcBorders>
              <w:top w:val="nil"/>
              <w:left w:val="nil"/>
              <w:bottom w:val="single" w:sz="4" w:space="0" w:color="auto"/>
              <w:right w:val="single" w:sz="4" w:space="0" w:color="auto"/>
            </w:tcBorders>
            <w:shd w:val="clear" w:color="auto" w:fill="C6EFCE"/>
            <w:noWrap/>
            <w:vAlign w:val="center"/>
            <w:hideMark/>
          </w:tcPr>
          <w:p w14:paraId="26B606ED" w14:textId="77777777" w:rsidR="000D1388" w:rsidRPr="00244E9F" w:rsidRDefault="00E71057" w:rsidP="00E71057">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tcBorders>
              <w:top w:val="nil"/>
              <w:left w:val="nil"/>
              <w:bottom w:val="single" w:sz="4" w:space="0" w:color="auto"/>
              <w:right w:val="single" w:sz="4" w:space="0" w:color="auto"/>
            </w:tcBorders>
            <w:shd w:val="clear" w:color="auto" w:fill="C6EFCE"/>
            <w:noWrap/>
            <w:vAlign w:val="center"/>
            <w:hideMark/>
          </w:tcPr>
          <w:p w14:paraId="30347CCD" w14:textId="77777777" w:rsidR="000D1388" w:rsidRPr="00244E9F" w:rsidRDefault="00E71057" w:rsidP="00E71057">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373" w:type="dxa"/>
            <w:tcBorders>
              <w:top w:val="nil"/>
              <w:left w:val="nil"/>
              <w:bottom w:val="single" w:sz="4" w:space="0" w:color="auto"/>
              <w:right w:val="single" w:sz="4" w:space="0" w:color="auto"/>
            </w:tcBorders>
            <w:shd w:val="clear" w:color="auto" w:fill="C6EFCE"/>
            <w:noWrap/>
            <w:vAlign w:val="center"/>
            <w:hideMark/>
          </w:tcPr>
          <w:p w14:paraId="68A4A1FB" w14:textId="59BA2897" w:rsidR="000D1388" w:rsidRPr="00244E9F" w:rsidRDefault="006E1530" w:rsidP="3A2688DF">
            <w:pPr>
              <w:spacing w:line="240" w:lineRule="auto"/>
              <w:rPr>
                <w:rFonts w:ascii="Times New Roman" w:eastAsia="Times New Roman" w:hAnsi="Times New Roman" w:cs="Times New Roman"/>
                <w:noProof/>
                <w:sz w:val="20"/>
                <w:szCs w:val="20"/>
              </w:rPr>
            </w:pPr>
            <w:r>
              <w:rPr>
                <w:rFonts w:ascii="Times New Roman" w:hAnsi="Times New Roman"/>
                <w:noProof/>
                <w:color w:val="006100"/>
                <w:sz w:val="20"/>
              </w:rPr>
              <w:t>Au moins 58 683 581 EUR sont décaissés pour des projets de gestion durable de l’eau ou d’adaptation au changement climatique.</w:t>
            </w:r>
          </w:p>
        </w:tc>
      </w:tr>
      <w:tr w:rsidR="00E71057" w:rsidRPr="00244E9F" w14:paraId="0B78EE23" w14:textId="77777777" w:rsidTr="002C7502">
        <w:trPr>
          <w:trHeight w:val="30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202E54"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252</w:t>
            </w: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5A9E2D19"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Programme de restauration de la nature marine (I-1.25)</w:t>
            </w:r>
          </w:p>
        </w:tc>
        <w:tc>
          <w:tcPr>
            <w:tcW w:w="1418" w:type="dxa"/>
            <w:tcBorders>
              <w:top w:val="single" w:sz="4" w:space="0" w:color="auto"/>
              <w:left w:val="nil"/>
              <w:bottom w:val="single" w:sz="4" w:space="0" w:color="auto"/>
              <w:right w:val="single" w:sz="4" w:space="0" w:color="auto"/>
            </w:tcBorders>
            <w:shd w:val="clear" w:color="auto" w:fill="C6EFCE"/>
            <w:noWrap/>
            <w:vAlign w:val="center"/>
            <w:hideMark/>
          </w:tcPr>
          <w:p w14:paraId="0134F718"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67F8137B" w14:textId="5536F985" w:rsidR="000D1388" w:rsidRPr="00346C9B" w:rsidRDefault="00E71057" w:rsidP="00E71057">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Projets de restauration de la nature marine </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331045A1" w14:textId="77777777" w:rsidR="000D1388" w:rsidRPr="00746A1A" w:rsidRDefault="000D1388" w:rsidP="00E71057">
            <w:pPr>
              <w:spacing w:line="240" w:lineRule="auto"/>
              <w:jc w:val="both"/>
              <w:rPr>
                <w:rFonts w:ascii="Times New Roman" w:eastAsia="Times New Roman" w:hAnsi="Times New Roman" w:cs="Times New Roman"/>
                <w:noProof/>
                <w:color w:val="006100"/>
                <w:sz w:val="20"/>
                <w:szCs w:val="20"/>
                <w:lang w:val="fr-BE"/>
              </w:rPr>
            </w:pP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124BFEAB"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08759D0C"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3" w:type="dxa"/>
            <w:tcBorders>
              <w:top w:val="single" w:sz="4" w:space="0" w:color="auto"/>
              <w:left w:val="nil"/>
              <w:bottom w:val="single" w:sz="4" w:space="0" w:color="auto"/>
              <w:right w:val="single" w:sz="4" w:space="0" w:color="auto"/>
            </w:tcBorders>
            <w:shd w:val="clear" w:color="auto" w:fill="C6EFCE"/>
            <w:noWrap/>
            <w:vAlign w:val="center"/>
            <w:hideMark/>
          </w:tcPr>
          <w:p w14:paraId="23168E4F"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6</w:t>
            </w: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335E21F9"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3D4A2CEB"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37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658958" w14:textId="1C16B1C3" w:rsidR="000D1388" w:rsidRPr="00244E9F" w:rsidRDefault="00E71057" w:rsidP="00F70F65">
            <w:pPr>
              <w:numPr>
                <w:ilvl w:val="0"/>
                <w:numId w:val="31"/>
              </w:numPr>
              <w:spacing w:after="0" w:line="278"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Des lettres d’acceptation des rapports sur le suivi initial de l’emplacement du récif d’huîtres et sur la culture et le déploiement de l’huître seront délivrées.</w:t>
            </w:r>
          </w:p>
          <w:p w14:paraId="6252DF4A" w14:textId="77777777" w:rsidR="000D1388" w:rsidRPr="00244E9F" w:rsidRDefault="00E71057" w:rsidP="00F70F65">
            <w:pPr>
              <w:numPr>
                <w:ilvl w:val="0"/>
                <w:numId w:val="31"/>
              </w:numPr>
              <w:spacing w:after="0" w:line="278"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Des bordereaux de livraison signés par le secrétariat de la Commission OSPAR pour les deux bases de données des espèces marines, des habitats marins et des aires marines protégées et conservées seront délivrés.</w:t>
            </w:r>
          </w:p>
          <w:p w14:paraId="204D106C" w14:textId="77777777" w:rsidR="000D1388" w:rsidRPr="00244E9F" w:rsidRDefault="00E71057" w:rsidP="00F70F65">
            <w:pPr>
              <w:numPr>
                <w:ilvl w:val="0"/>
                <w:numId w:val="31"/>
              </w:numPr>
              <w:spacing w:after="0" w:line="278"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Le représentant indépendant du client transmettra au pouvoir adjudicateur un rapport confirmant le développement de la base de données des relevés magnétométriques et gradiométriques effectués sur un site de déversement de munitions, y compris la vérification sur le terrain, l’évaluation de la qualité des données et la validation des mesures de contrôle de la qualité du contractant.</w:t>
            </w:r>
          </w:p>
          <w:p w14:paraId="477BC059" w14:textId="77777777" w:rsidR="000D1388" w:rsidRPr="00244E9F" w:rsidRDefault="00E71057" w:rsidP="00F70F65">
            <w:pPr>
              <w:numPr>
                <w:ilvl w:val="0"/>
                <w:numId w:val="31"/>
              </w:numPr>
              <w:spacing w:after="0" w:line="278"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Des lettres d’acceptation de l’étude de conception de la plateforme offshore destinée à faire respecter et contrôler la qualité de l’eau seront délivrées.</w:t>
            </w:r>
          </w:p>
          <w:p w14:paraId="718EEA40" w14:textId="77777777" w:rsidR="000D1388" w:rsidRPr="00244E9F" w:rsidRDefault="00E71057" w:rsidP="00F70F65">
            <w:pPr>
              <w:numPr>
                <w:ilvl w:val="0"/>
                <w:numId w:val="31"/>
              </w:numPr>
              <w:spacing w:after="0" w:line="278"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Une lettre d’acceptation de l’étude sur la biodiversité marine ciblant l’ADN environnemental (ADNe), ainsi que la confirmation de la livraison de laboratoires d’ADN mobiles à usage multiple et d’échantillonneurs automatisés d’ADNe seront délivrées.</w:t>
            </w:r>
          </w:p>
          <w:p w14:paraId="12BD83E0" w14:textId="11243B3A" w:rsidR="000D1388" w:rsidRPr="00244E9F" w:rsidRDefault="00E71057" w:rsidP="00F70F65">
            <w:pPr>
              <w:numPr>
                <w:ilvl w:val="0"/>
                <w:numId w:val="31"/>
              </w:numPr>
              <w:spacing w:after="0" w:line="278"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Une lettre d’acceptation de l’étude sur la modélisation de l’impact des subventions pour le plastique sera délivrée.</w:t>
            </w:r>
          </w:p>
        </w:tc>
      </w:tr>
      <w:tr w:rsidR="00E71057" w:rsidRPr="00244E9F" w14:paraId="4C0A8484" w14:textId="77777777" w:rsidTr="002C7502">
        <w:trPr>
          <w:trHeight w:val="300"/>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39546C50" w14:textId="77777777" w:rsidR="000D1388" w:rsidRPr="00244E9F" w:rsidRDefault="00E71057" w:rsidP="00E71057">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253</w:t>
            </w: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76CC0A5B" w14:textId="77777777" w:rsidR="000D1388" w:rsidRPr="00244E9F" w:rsidRDefault="00E71057" w:rsidP="00E71057">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«Projet énergétique offshore» de l’État fédéral (I-1.26)</w:t>
            </w:r>
          </w:p>
        </w:tc>
        <w:tc>
          <w:tcPr>
            <w:tcW w:w="1418" w:type="dxa"/>
            <w:tcBorders>
              <w:top w:val="nil"/>
              <w:left w:val="nil"/>
              <w:bottom w:val="single" w:sz="4" w:space="0" w:color="auto"/>
              <w:right w:val="single" w:sz="4" w:space="0" w:color="auto"/>
            </w:tcBorders>
            <w:shd w:val="clear" w:color="auto" w:fill="C6EFCE"/>
            <w:noWrap/>
            <w:vAlign w:val="center"/>
            <w:hideMark/>
          </w:tcPr>
          <w:p w14:paraId="0CB64856" w14:textId="3600EBE6" w:rsidR="000D1388" w:rsidRPr="00244E9F" w:rsidRDefault="4C6BCB59" w:rsidP="00E71057">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J </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4801C7B6" w14:textId="5C66A980" w:rsidR="000D1388" w:rsidRPr="00244E9F" w:rsidRDefault="4C6BCB59" w:rsidP="00E71057">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Achat d’équipements pour des projets énergétiques en mer </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07575B00" w14:textId="3B6DD888" w:rsidR="000D1388" w:rsidRPr="00244E9F" w:rsidRDefault="4C6BCB59" w:rsidP="00E71057">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Équipements achetés </w:t>
            </w:r>
          </w:p>
        </w:tc>
        <w:tc>
          <w:tcPr>
            <w:tcW w:w="1134" w:type="dxa"/>
            <w:tcBorders>
              <w:top w:val="nil"/>
              <w:left w:val="nil"/>
              <w:bottom w:val="single" w:sz="4" w:space="0" w:color="auto"/>
              <w:right w:val="single" w:sz="4" w:space="0" w:color="auto"/>
            </w:tcBorders>
            <w:shd w:val="clear" w:color="auto" w:fill="C6EFCE"/>
            <w:noWrap/>
            <w:vAlign w:val="center"/>
            <w:hideMark/>
          </w:tcPr>
          <w:p w14:paraId="3D4AC639" w14:textId="69817042" w:rsidR="000D1388" w:rsidRPr="00244E9F" w:rsidRDefault="000D1388" w:rsidP="00E71057">
            <w:pPr>
              <w:spacing w:after="0" w:line="240" w:lineRule="auto"/>
              <w:jc w:val="both"/>
              <w:rPr>
                <w:rFonts w:ascii="Times New Roman" w:eastAsia="Times New Roman" w:hAnsi="Times New Roman" w:cs="Times New Roman"/>
                <w:noProof/>
                <w:color w:val="006100"/>
                <w:sz w:val="20"/>
                <w:szCs w:val="20"/>
                <w:lang w:val="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78A34D86" w14:textId="25BC8F3C" w:rsidR="000D1388" w:rsidRPr="00244E9F" w:rsidRDefault="000D1388" w:rsidP="00E71057">
            <w:pPr>
              <w:spacing w:after="0" w:line="240" w:lineRule="auto"/>
              <w:jc w:val="both"/>
              <w:rPr>
                <w:rFonts w:ascii="Times New Roman" w:eastAsia="Times New Roman" w:hAnsi="Times New Roman" w:cs="Times New Roman"/>
                <w:noProof/>
                <w:color w:val="006100"/>
                <w:sz w:val="20"/>
                <w:szCs w:val="20"/>
                <w:lang w:val="en-GB"/>
              </w:rPr>
            </w:pPr>
          </w:p>
        </w:tc>
        <w:tc>
          <w:tcPr>
            <w:tcW w:w="993" w:type="dxa"/>
            <w:tcBorders>
              <w:top w:val="nil"/>
              <w:left w:val="nil"/>
              <w:bottom w:val="single" w:sz="4" w:space="0" w:color="auto"/>
              <w:right w:val="single" w:sz="4" w:space="0" w:color="auto"/>
            </w:tcBorders>
            <w:shd w:val="clear" w:color="auto" w:fill="C6EFCE"/>
            <w:noWrap/>
            <w:vAlign w:val="center"/>
            <w:hideMark/>
          </w:tcPr>
          <w:p w14:paraId="2BE1FF33" w14:textId="4DCFC2EB" w:rsidR="000D1388" w:rsidRPr="00244E9F" w:rsidRDefault="000D1388" w:rsidP="00E71057">
            <w:pPr>
              <w:spacing w:after="0" w:line="240" w:lineRule="auto"/>
              <w:jc w:val="both"/>
              <w:rPr>
                <w:rFonts w:ascii="Times New Roman" w:eastAsia="Times New Roman" w:hAnsi="Times New Roman" w:cs="Times New Roman"/>
                <w:noProof/>
                <w:color w:val="006100"/>
                <w:sz w:val="20"/>
                <w:szCs w:val="20"/>
                <w:lang w:val="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18080233" w14:textId="77777777" w:rsidR="000D1388" w:rsidRPr="00244E9F" w:rsidRDefault="00E71057" w:rsidP="00E71057">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tcBorders>
              <w:top w:val="nil"/>
              <w:left w:val="nil"/>
              <w:bottom w:val="single" w:sz="4" w:space="0" w:color="auto"/>
              <w:right w:val="single" w:sz="4" w:space="0" w:color="auto"/>
            </w:tcBorders>
            <w:shd w:val="clear" w:color="auto" w:fill="C6EFCE"/>
            <w:noWrap/>
            <w:vAlign w:val="center"/>
            <w:hideMark/>
          </w:tcPr>
          <w:p w14:paraId="06491AA0" w14:textId="77777777" w:rsidR="000D1388" w:rsidRPr="00244E9F" w:rsidRDefault="00E71057" w:rsidP="00E71057">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373" w:type="dxa"/>
            <w:tcBorders>
              <w:top w:val="single" w:sz="4" w:space="0" w:color="auto"/>
              <w:left w:val="nil"/>
              <w:bottom w:val="single" w:sz="4" w:space="0" w:color="auto"/>
              <w:right w:val="single" w:sz="4" w:space="0" w:color="auto"/>
            </w:tcBorders>
            <w:shd w:val="clear" w:color="auto" w:fill="C6EFCE"/>
            <w:noWrap/>
            <w:vAlign w:val="center"/>
            <w:hideMark/>
          </w:tcPr>
          <w:p w14:paraId="4C497E59" w14:textId="063043E7" w:rsidR="000D1388" w:rsidRPr="00BF01BD" w:rsidRDefault="004621F1" w:rsidP="006F0D1B">
            <w:pPr>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Achat des équipements suivants:</w:t>
            </w:r>
          </w:p>
          <w:p w14:paraId="5CC19AF2" w14:textId="79A0F07D" w:rsidR="000D1388" w:rsidRPr="00BF01BD" w:rsidRDefault="00E71057" w:rsidP="006F0D1B">
            <w:pPr>
              <w:pStyle w:val="ListParagraph"/>
              <w:numPr>
                <w:ilvl w:val="0"/>
                <w:numId w:val="32"/>
              </w:numPr>
              <w:spacing w:line="259"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Une plateforme en mer pour servir de site d’essai</w:t>
            </w:r>
          </w:p>
          <w:p w14:paraId="56FD59EC" w14:textId="58CC419A" w:rsidR="000D1388" w:rsidRPr="00BF01BD" w:rsidRDefault="4119ADD2" w:rsidP="006F0D1B">
            <w:pPr>
              <w:pStyle w:val="ListParagraph"/>
              <w:numPr>
                <w:ilvl w:val="0"/>
                <w:numId w:val="32"/>
              </w:numPr>
              <w:spacing w:line="259"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Une bouée de contrôle/de test</w:t>
            </w:r>
          </w:p>
          <w:p w14:paraId="3562FF63" w14:textId="2210CEA9" w:rsidR="000D1388" w:rsidRPr="00803C4C" w:rsidRDefault="4119ADD2" w:rsidP="006F0D1B">
            <w:pPr>
              <w:pStyle w:val="ListParagraph"/>
              <w:numPr>
                <w:ilvl w:val="0"/>
                <w:numId w:val="32"/>
              </w:numPr>
              <w:spacing w:line="259"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Huit bouées de sécurité cardinales pour la zone d’essai MIOP (</w:t>
            </w:r>
            <w:r>
              <w:rPr>
                <w:rFonts w:ascii="Times New Roman" w:hAnsi="Times New Roman"/>
                <w:i/>
                <w:noProof/>
                <w:color w:val="006100"/>
                <w:sz w:val="20"/>
              </w:rPr>
              <w:t>Maritiem Innovatie- en Ontwikkelingsplatform</w:t>
            </w:r>
            <w:r>
              <w:rPr>
                <w:rFonts w:ascii="Times New Roman" w:hAnsi="Times New Roman"/>
                <w:noProof/>
                <w:color w:val="006100"/>
                <w:sz w:val="20"/>
              </w:rPr>
              <w:t>) — dont quatre bouées de sécurité déployées</w:t>
            </w:r>
            <w:r>
              <w:rPr>
                <w:rFonts w:ascii="Times New Roman" w:hAnsi="Times New Roman"/>
                <w:b/>
                <w:noProof/>
                <w:color w:val="006100"/>
                <w:sz w:val="20"/>
              </w:rPr>
              <w:t xml:space="preserve"> </w:t>
            </w:r>
          </w:p>
          <w:p w14:paraId="2E701CC9" w14:textId="744A67BA" w:rsidR="000D1388" w:rsidRPr="00BF01BD" w:rsidRDefault="4119ADD2" w:rsidP="006F0D1B">
            <w:pPr>
              <w:pStyle w:val="ListParagraph"/>
              <w:numPr>
                <w:ilvl w:val="0"/>
                <w:numId w:val="32"/>
              </w:numPr>
              <w:spacing w:line="259"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Extension du ponton à drones: extension du simulateur de vent (comprenant un groupe électrogène), deux drones basés sur l’eau, bassin d’essai et solution de levage pour les drones basés sur l’eau.</w:t>
            </w:r>
          </w:p>
          <w:p w14:paraId="186DEC2F" w14:textId="7A84DC8E" w:rsidR="000D1388" w:rsidRPr="00803C4C" w:rsidRDefault="4119ADD2" w:rsidP="006F0D1B">
            <w:pPr>
              <w:jc w:val="both"/>
              <w:rPr>
                <w:rFonts w:ascii="Times New Roman" w:eastAsia="Times New Roman" w:hAnsi="Times New Roman" w:cs="Times New Roman"/>
                <w:noProof/>
                <w:color w:val="498205"/>
                <w:sz w:val="20"/>
                <w:szCs w:val="20"/>
              </w:rPr>
            </w:pPr>
            <w:r>
              <w:rPr>
                <w:rFonts w:ascii="Times New Roman" w:hAnsi="Times New Roman"/>
                <w:noProof/>
                <w:color w:val="006100"/>
                <w:sz w:val="20"/>
              </w:rPr>
              <w:t>Achat d’articles pour le pôle de formation «The Reef»: dix casques de réalité virtuelle, deux véhicules de surface sans pilote et deux véhicules télécommandés, une pile de capteurs, un simulateur de drones en réalité virtuelle (Digital Twin Blue Accelerator), un outil de planification de l’espace maritime (Digital Twin Greater North Sea Basin) et un environnement de formation à la cybersécurité maritime.</w:t>
            </w:r>
          </w:p>
        </w:tc>
      </w:tr>
    </w:tbl>
    <w:p w14:paraId="4A8A93B2" w14:textId="31F8156F" w:rsidR="000D1388" w:rsidRPr="00746A1A" w:rsidRDefault="000D1388" w:rsidP="00E71057">
      <w:pPr>
        <w:rPr>
          <w:rFonts w:ascii="Times New Roman" w:eastAsia="Calibri" w:hAnsi="Times New Roman" w:cs="Times New Roman"/>
          <w:noProof/>
          <w:lang w:val="fr-BE"/>
        </w:rPr>
        <w:sectPr w:rsidR="000D1388" w:rsidRPr="00746A1A" w:rsidSect="00E71057">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360"/>
        </w:sectPr>
      </w:pPr>
    </w:p>
    <w:p w14:paraId="4150E20A"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D. COMPOSANTE 2.1: Cybersécurité</w:t>
      </w:r>
    </w:p>
    <w:p w14:paraId="56FC735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est censée renforcer la cyberrésilience globale et la préparation générale aux cybercrises de la société belge.</w:t>
      </w:r>
    </w:p>
    <w:p w14:paraId="2DE0FAE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Elle contribue à répondre aux recommandations par pays nº 3 de 2019 et nº 3 de 2020, appelant à axer les investissements sur la transition numérique, et aux recommandations par pays nº 4 de 2019</w:t>
      </w:r>
      <w:r>
        <w:rPr>
          <w:rFonts w:ascii="Times New Roman" w:hAnsi="Times New Roman"/>
          <w:noProof/>
          <w:sz w:val="24"/>
          <w:shd w:val="clear" w:color="auto" w:fill="FFFFFF"/>
        </w:rPr>
        <w:t xml:space="preserve"> et nº 3 de 2020, </w:t>
      </w:r>
      <w:r>
        <w:rPr>
          <w:rFonts w:ascii="Times New Roman" w:hAnsi="Times New Roman"/>
          <w:noProof/>
          <w:sz w:val="24"/>
        </w:rPr>
        <w:t>appelant à améliorer l’environnement des entreprises.</w:t>
      </w:r>
    </w:p>
    <w:p w14:paraId="2B05B819" w14:textId="77777777" w:rsidR="000D1388" w:rsidRPr="009D65D8" w:rsidRDefault="00E71057" w:rsidP="00E71057">
      <w:pPr>
        <w:spacing w:before="120" w:after="120"/>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D.1.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15746490"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u w:val="single"/>
        </w:rPr>
        <w:t>Investissement I-2.01: «Société numérique cybersécurisée et résiliente» de l’État fédéral</w:t>
      </w:r>
    </w:p>
    <w:p w14:paraId="2D4294BF"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L’investissement est composé de mesures visant à 1) renforcer les cybercapacités des PME et des indépendants au moyen de campagnes de sensibilisation à la cybersécurité, d’un site web offrant des services tels qu’un cyberscan gratuit permettant d’identifier rapidement les points à améliorer en matière de cyberrésilience, et de projets d’assistance aux PME dans le domaine de la cybersécurité (échanges de bonnes pratiques, par exemple), 2) lutter contre la cybercriminalité au moyen d’alertes ciblées concernant des cybervulnérabilités et des infections informatiques pour les utilisateurs professionnels de l’informatique, d’un module en ligne permettant aux visiteurs de vérifier rapidement la fiabilité de sites web, d’un questionnaire en ligne pour évaluer la maturité cyber des entreprises et de recommandations pour renforcer leur cyberrésilience, 3) lutter contre l’hameçonnage (phishing) au moyen de plateformes anti-phishing nouvelles ou actualisées, et 4) mettre en place un cadre global de gouvernance de la cybersécurité au sein du SPF Affaires étrangères sur la base des normes ISO27001</w:t>
      </w:r>
      <w:r w:rsidRPr="009D65D8">
        <w:rPr>
          <w:rFonts w:ascii="Times New Roman" w:eastAsia="Calibri" w:hAnsi="Times New Roman" w:cs="Times New Roman"/>
          <w:noProof/>
          <w:sz w:val="24"/>
          <w:vertAlign w:val="superscript"/>
          <w:lang w:val="en-GB"/>
        </w:rPr>
        <w:footnoteReference w:id="1"/>
      </w:r>
      <w:r>
        <w:rPr>
          <w:rFonts w:ascii="Times New Roman" w:hAnsi="Times New Roman"/>
          <w:noProof/>
          <w:sz w:val="24"/>
        </w:rPr>
        <w:t>.</w:t>
      </w:r>
    </w:p>
    <w:p w14:paraId="6E513235" w14:textId="61DE5553" w:rsidR="000D1388" w:rsidRPr="009D65D8" w:rsidRDefault="73B59D02" w:rsidP="3A2688DF">
      <w:pPr>
        <w:spacing w:before="120" w:after="120" w:line="240" w:lineRule="auto"/>
        <w:jc w:val="both"/>
        <w:rPr>
          <w:rFonts w:ascii="Times New Roman" w:eastAsia="Times New Roman" w:hAnsi="Times New Roman" w:cs="Times New Roman"/>
          <w:noProof/>
          <w:sz w:val="24"/>
          <w:szCs w:val="24"/>
          <w:u w:val="single"/>
        </w:rPr>
      </w:pPr>
      <w:r>
        <w:rPr>
          <w:rFonts w:ascii="Times New Roman" w:hAnsi="Times New Roman"/>
          <w:noProof/>
          <w:sz w:val="24"/>
          <w:u w:val="single"/>
        </w:rPr>
        <w:t xml:space="preserve">Investissement I-2.02: </w:t>
      </w:r>
      <w:r>
        <w:rPr>
          <w:rFonts w:ascii="Times New Roman" w:hAnsi="Times New Roman"/>
          <w:noProof/>
          <w:color w:val="000000" w:themeColor="text1"/>
          <w:sz w:val="24"/>
          <w:u w:val="single"/>
        </w:rPr>
        <w:t>«Capacités d’interception» de l’État fédéral</w:t>
      </w:r>
    </w:p>
    <w:p w14:paraId="3C001EC1" w14:textId="67006563" w:rsidR="000D1388" w:rsidRPr="009D65D8" w:rsidRDefault="73B59D02" w:rsidP="3A2688DF">
      <w:pPr>
        <w:spacing w:before="120" w:after="120" w:line="240" w:lineRule="auto"/>
        <w:rPr>
          <w:rFonts w:ascii="Times New Roman" w:eastAsia="Times New Roman" w:hAnsi="Times New Roman" w:cs="Times New Roman"/>
          <w:noProof/>
          <w:sz w:val="24"/>
          <w:szCs w:val="24"/>
        </w:rPr>
      </w:pPr>
      <w:r>
        <w:rPr>
          <w:rFonts w:ascii="Times New Roman" w:hAnsi="Times New Roman"/>
          <w:noProof/>
          <w:sz w:val="24"/>
        </w:rPr>
        <w:t xml:space="preserve">Cette mesure a pour objectif de renforcer les capacités d’interception des communications privées par la police judiciaire. </w:t>
      </w:r>
      <w:r>
        <w:rPr>
          <w:rFonts w:ascii="Times New Roman" w:hAnsi="Times New Roman"/>
          <w:noProof/>
          <w:color w:val="000000" w:themeColor="text1"/>
          <w:sz w:val="24"/>
        </w:rPr>
        <w:t>Cette mesure consiste en l’achat de matériel pour les capacités d’interception.</w:t>
      </w:r>
    </w:p>
    <w:p w14:paraId="6BA8A38F" w14:textId="4B5D7637" w:rsidR="000D1388" w:rsidRPr="009D65D8" w:rsidRDefault="73B59D02" w:rsidP="3FC37BCA">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I-2.03: «Capacités d’interception» de l’</w:t>
      </w:r>
      <w:r>
        <w:rPr>
          <w:rFonts w:ascii="Times New Roman" w:hAnsi="Times New Roman"/>
          <w:noProof/>
          <w:color w:val="000000" w:themeColor="text1"/>
          <w:sz w:val="24"/>
          <w:u w:val="single"/>
        </w:rPr>
        <w:t>État</w:t>
      </w:r>
      <w:r>
        <w:rPr>
          <w:rFonts w:ascii="Times New Roman" w:hAnsi="Times New Roman"/>
          <w:noProof/>
          <w:sz w:val="24"/>
          <w:u w:val="single"/>
        </w:rPr>
        <w:t xml:space="preserve"> fédéral</w:t>
      </w:r>
    </w:p>
    <w:p w14:paraId="3F978FCC" w14:textId="07A4029A" w:rsidR="000D1388" w:rsidRPr="009D65D8" w:rsidRDefault="2C18B51F" w:rsidP="00973474">
      <w:pPr>
        <w:spacing w:before="120" w:after="120" w:line="240" w:lineRule="auto"/>
        <w:jc w:val="both"/>
        <w:rPr>
          <w:noProof/>
        </w:rPr>
        <w:sectPr w:rsidR="000D1388" w:rsidRPr="009D65D8" w:rsidSect="00E71057">
          <w:headerReference w:type="even" r:id="rId48"/>
          <w:headerReference w:type="default" r:id="rId49"/>
          <w:footerReference w:type="even" r:id="rId50"/>
          <w:footerReference w:type="default" r:id="rId51"/>
          <w:headerReference w:type="first" r:id="rId52"/>
          <w:footerReference w:type="first" r:id="rId53"/>
          <w:pgSz w:w="11907" w:h="16839"/>
          <w:pgMar w:top="1134" w:right="1134" w:bottom="1134" w:left="1134" w:header="567" w:footer="567" w:gutter="0"/>
          <w:cols w:space="720"/>
          <w:docGrid w:linePitch="360"/>
        </w:sectPr>
      </w:pPr>
      <w:r>
        <w:rPr>
          <w:rFonts w:ascii="Times New Roman" w:hAnsi="Times New Roman"/>
          <w:noProof/>
          <w:color w:val="000000" w:themeColor="text1"/>
          <w:sz w:val="24"/>
        </w:rPr>
        <w:t>Cette mesure a pour objectif de renforcer les capacités d’interception légale dans le contexte de l’évolution des technologies. Cette mesure prévoit i)</w:t>
      </w:r>
      <w:r>
        <w:rPr>
          <w:rFonts w:ascii="Times New Roman" w:hAnsi="Times New Roman"/>
          <w:noProof/>
          <w:sz w:val="24"/>
        </w:rPr>
        <w:t xml:space="preserve"> l’achat </w:t>
      </w:r>
      <w:r>
        <w:rPr>
          <w:rFonts w:ascii="Times New Roman" w:hAnsi="Times New Roman"/>
          <w:noProof/>
          <w:color w:val="000000" w:themeColor="text1"/>
          <w:sz w:val="24"/>
        </w:rPr>
        <w:t>d’équipements</w:t>
      </w:r>
      <w:r>
        <w:rPr>
          <w:rFonts w:ascii="Times New Roman" w:hAnsi="Times New Roman"/>
          <w:noProof/>
          <w:sz w:val="24"/>
        </w:rPr>
        <w:t xml:space="preserve"> de localisation, ii) l’achat d’outils technologiques d’interception et iii) un registre numérique des communications interceptées qui sera accessible à l’unité nationale de soutien technique et tactique. </w:t>
      </w:r>
    </w:p>
    <w:p w14:paraId="34745FD9" w14:textId="77777777" w:rsidR="000D1388" w:rsidRPr="009D65D8" w:rsidRDefault="00E71057" w:rsidP="00E71057">
      <w:pPr>
        <w:rPr>
          <w:rFonts w:ascii="Times New Roman" w:eastAsia="Calibri" w:hAnsi="Times New Roman" w:cs="Times New Roman"/>
          <w:noProof/>
        </w:rPr>
      </w:pPr>
      <w:r>
        <w:rPr>
          <w:rFonts w:ascii="Times New Roman" w:hAnsi="Times New Roman"/>
          <w:b/>
          <w:noProof/>
          <w:sz w:val="24"/>
          <w:u w:val="single"/>
        </w:rPr>
        <w:t xml:space="preserve">D.2.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221"/>
        <w:gridCol w:w="1539"/>
        <w:gridCol w:w="1721"/>
        <w:gridCol w:w="1276"/>
        <w:gridCol w:w="1099"/>
        <w:gridCol w:w="1134"/>
        <w:gridCol w:w="1134"/>
        <w:gridCol w:w="851"/>
        <w:gridCol w:w="3294"/>
      </w:tblGrid>
      <w:tr w:rsidR="005003AB" w:rsidRPr="001C1EE6" w14:paraId="4EF122F8" w14:textId="77777777" w:rsidTr="00876A53">
        <w:trPr>
          <w:trHeight w:val="927"/>
          <w:tblHeader/>
          <w:jc w:val="center"/>
        </w:trPr>
        <w:tc>
          <w:tcPr>
            <w:tcW w:w="1129" w:type="dxa"/>
            <w:vMerge w:val="restart"/>
            <w:shd w:val="clear" w:color="auto" w:fill="BDD7EE"/>
            <w:vAlign w:val="center"/>
            <w:hideMark/>
          </w:tcPr>
          <w:p w14:paraId="6F8DE065"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30E6775B"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221" w:type="dxa"/>
            <w:vMerge w:val="restart"/>
            <w:shd w:val="clear" w:color="auto" w:fill="BDD7EE"/>
            <w:vAlign w:val="center"/>
            <w:hideMark/>
          </w:tcPr>
          <w:p w14:paraId="147DB0DB"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39" w:type="dxa"/>
            <w:vMerge w:val="restart"/>
            <w:shd w:val="clear" w:color="auto" w:fill="BDD7EE"/>
            <w:vAlign w:val="center"/>
            <w:hideMark/>
          </w:tcPr>
          <w:p w14:paraId="34F69062"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721" w:type="dxa"/>
            <w:vMerge w:val="restart"/>
            <w:shd w:val="clear" w:color="auto" w:fill="BDD7EE"/>
            <w:vAlign w:val="center"/>
            <w:hideMark/>
          </w:tcPr>
          <w:p w14:paraId="720DDCBC"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qualitatifs </w:t>
            </w:r>
            <w:r>
              <w:rPr>
                <w:rFonts w:ascii="Times New Roman" w:hAnsi="Times New Roman"/>
                <w:noProof/>
                <w:sz w:val="20"/>
              </w:rPr>
              <w:br/>
            </w:r>
            <w:r>
              <w:rPr>
                <w:rFonts w:ascii="Times New Roman" w:hAnsi="Times New Roman"/>
                <w:b/>
                <w:noProof/>
                <w:sz w:val="20"/>
              </w:rPr>
              <w:t>(pour les jalons)</w:t>
            </w:r>
          </w:p>
        </w:tc>
        <w:tc>
          <w:tcPr>
            <w:tcW w:w="3509" w:type="dxa"/>
            <w:gridSpan w:val="3"/>
            <w:shd w:val="clear" w:color="auto" w:fill="BDD7EE"/>
            <w:vAlign w:val="center"/>
            <w:hideMark/>
          </w:tcPr>
          <w:p w14:paraId="18DA1009"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quantitatifs </w:t>
            </w:r>
            <w:r>
              <w:rPr>
                <w:rFonts w:ascii="Times New Roman" w:hAnsi="Times New Roman"/>
                <w:noProof/>
                <w:sz w:val="20"/>
              </w:rPr>
              <w:br/>
            </w:r>
            <w:r>
              <w:rPr>
                <w:rFonts w:ascii="Times New Roman" w:hAnsi="Times New Roman"/>
                <w:b/>
                <w:noProof/>
                <w:sz w:val="20"/>
              </w:rPr>
              <w:t>(pour les cibles)</w:t>
            </w:r>
          </w:p>
        </w:tc>
        <w:tc>
          <w:tcPr>
            <w:tcW w:w="1985" w:type="dxa"/>
            <w:gridSpan w:val="2"/>
            <w:shd w:val="clear" w:color="auto" w:fill="BDD7EE"/>
            <w:vAlign w:val="center"/>
            <w:hideMark/>
          </w:tcPr>
          <w:p w14:paraId="00A5E6F1"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294" w:type="dxa"/>
            <w:vMerge w:val="restart"/>
            <w:shd w:val="clear" w:color="auto" w:fill="BDD7EE"/>
            <w:vAlign w:val="center"/>
            <w:hideMark/>
          </w:tcPr>
          <w:p w14:paraId="77994B78"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F76C04" w:rsidRPr="001C1EE6" w14:paraId="5344C24F" w14:textId="77777777" w:rsidTr="00876A53">
        <w:trPr>
          <w:trHeight w:val="1013"/>
          <w:jc w:val="center"/>
        </w:trPr>
        <w:tc>
          <w:tcPr>
            <w:tcW w:w="1129" w:type="dxa"/>
            <w:vMerge/>
            <w:vAlign w:val="center"/>
            <w:hideMark/>
          </w:tcPr>
          <w:p w14:paraId="13D76A86"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4A1E55C5"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221" w:type="dxa"/>
            <w:vMerge/>
            <w:vAlign w:val="center"/>
            <w:hideMark/>
          </w:tcPr>
          <w:p w14:paraId="08CD3E29"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39" w:type="dxa"/>
            <w:vMerge/>
            <w:vAlign w:val="center"/>
            <w:hideMark/>
          </w:tcPr>
          <w:p w14:paraId="44D66B55"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721" w:type="dxa"/>
            <w:vMerge/>
            <w:vAlign w:val="center"/>
            <w:hideMark/>
          </w:tcPr>
          <w:p w14:paraId="70E07DCF"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276" w:type="dxa"/>
            <w:shd w:val="clear" w:color="auto" w:fill="BDD7EE"/>
            <w:vAlign w:val="center"/>
            <w:hideMark/>
          </w:tcPr>
          <w:p w14:paraId="6F47578C"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99" w:type="dxa"/>
            <w:shd w:val="clear" w:color="auto" w:fill="BDD7EE"/>
            <w:vAlign w:val="center"/>
            <w:hideMark/>
          </w:tcPr>
          <w:p w14:paraId="1EF67EB0"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1134" w:type="dxa"/>
            <w:shd w:val="clear" w:color="auto" w:fill="BDD7EE"/>
            <w:vAlign w:val="center"/>
            <w:hideMark/>
          </w:tcPr>
          <w:p w14:paraId="7166DDE8"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shd w:val="clear" w:color="auto" w:fill="BDD7EE"/>
            <w:vAlign w:val="center"/>
            <w:hideMark/>
          </w:tcPr>
          <w:p w14:paraId="125C016C"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hideMark/>
          </w:tcPr>
          <w:p w14:paraId="6EAF54B0"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294" w:type="dxa"/>
            <w:vMerge/>
            <w:vAlign w:val="center"/>
            <w:hideMark/>
          </w:tcPr>
          <w:p w14:paraId="5750D694"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r>
      <w:tr w:rsidR="00F76C04" w:rsidRPr="001C1EE6" w14:paraId="614EFCFB" w14:textId="77777777" w:rsidTr="00876A53">
        <w:trPr>
          <w:trHeight w:val="309"/>
          <w:jc w:val="center"/>
        </w:trPr>
        <w:tc>
          <w:tcPr>
            <w:tcW w:w="1129" w:type="dxa"/>
            <w:shd w:val="clear" w:color="auto" w:fill="C6EFCE"/>
            <w:noWrap/>
            <w:vAlign w:val="center"/>
            <w:hideMark/>
          </w:tcPr>
          <w:p w14:paraId="0FDF22AD"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44</w:t>
            </w:r>
          </w:p>
        </w:tc>
        <w:tc>
          <w:tcPr>
            <w:tcW w:w="1560" w:type="dxa"/>
            <w:shd w:val="clear" w:color="auto" w:fill="C6EFCE"/>
            <w:noWrap/>
            <w:vAlign w:val="center"/>
            <w:hideMark/>
          </w:tcPr>
          <w:p w14:paraId="7E41EF61"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Société numérique cybersécurisée et résiliente (I-2.01)</w:t>
            </w:r>
          </w:p>
        </w:tc>
        <w:tc>
          <w:tcPr>
            <w:tcW w:w="1221" w:type="dxa"/>
            <w:shd w:val="clear" w:color="auto" w:fill="C6EFCE"/>
            <w:noWrap/>
            <w:vAlign w:val="center"/>
            <w:hideMark/>
          </w:tcPr>
          <w:p w14:paraId="428966B5"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39" w:type="dxa"/>
            <w:shd w:val="clear" w:color="auto" w:fill="C6EFCE"/>
            <w:noWrap/>
            <w:vAlign w:val="center"/>
            <w:hideMark/>
          </w:tcPr>
          <w:p w14:paraId="2C35FB02"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d’attribution pour des appels d’offres publics</w:t>
            </w:r>
          </w:p>
        </w:tc>
        <w:tc>
          <w:tcPr>
            <w:tcW w:w="1721" w:type="dxa"/>
            <w:shd w:val="clear" w:color="auto" w:fill="C6EFCE"/>
            <w:noWrap/>
            <w:vAlign w:val="center"/>
          </w:tcPr>
          <w:p w14:paraId="2DEB399E"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aux candidats retenus</w:t>
            </w:r>
          </w:p>
        </w:tc>
        <w:tc>
          <w:tcPr>
            <w:tcW w:w="1276" w:type="dxa"/>
            <w:shd w:val="clear" w:color="auto" w:fill="C6EFCE"/>
            <w:noWrap/>
            <w:vAlign w:val="center"/>
          </w:tcPr>
          <w:p w14:paraId="340E3D96"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1099" w:type="dxa"/>
            <w:shd w:val="clear" w:color="auto" w:fill="C6EFCE"/>
            <w:noWrap/>
            <w:vAlign w:val="center"/>
          </w:tcPr>
          <w:p w14:paraId="215D7F82" w14:textId="77777777" w:rsidR="000D1388" w:rsidRPr="00746A1A" w:rsidRDefault="000D1388">
            <w:pPr>
              <w:spacing w:after="0"/>
              <w:jc w:val="right"/>
              <w:rPr>
                <w:rFonts w:ascii="Times New Roman" w:eastAsia="Times New Roman" w:hAnsi="Times New Roman" w:cs="Times New Roman"/>
                <w:noProof/>
                <w:color w:val="006100"/>
                <w:sz w:val="20"/>
                <w:szCs w:val="20"/>
                <w:lang w:val="fr-BE"/>
              </w:rPr>
            </w:pPr>
          </w:p>
        </w:tc>
        <w:tc>
          <w:tcPr>
            <w:tcW w:w="1134" w:type="dxa"/>
            <w:shd w:val="clear" w:color="auto" w:fill="C6EFCE"/>
            <w:noWrap/>
            <w:vAlign w:val="center"/>
          </w:tcPr>
          <w:p w14:paraId="1AF153CE" w14:textId="77777777" w:rsidR="000D1388" w:rsidRPr="00746A1A" w:rsidRDefault="000D1388">
            <w:pPr>
              <w:spacing w:after="0"/>
              <w:jc w:val="right"/>
              <w:rPr>
                <w:rFonts w:ascii="Times New Roman" w:eastAsia="Times New Roman" w:hAnsi="Times New Roman" w:cs="Times New Roman"/>
                <w:noProof/>
                <w:color w:val="006100"/>
                <w:sz w:val="20"/>
                <w:szCs w:val="20"/>
                <w:lang w:val="fr-BE"/>
              </w:rPr>
            </w:pPr>
          </w:p>
        </w:tc>
        <w:tc>
          <w:tcPr>
            <w:tcW w:w="1134" w:type="dxa"/>
            <w:shd w:val="clear" w:color="auto" w:fill="C6EFCE"/>
            <w:noWrap/>
            <w:vAlign w:val="center"/>
            <w:hideMark/>
          </w:tcPr>
          <w:p w14:paraId="3728B471"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hideMark/>
          </w:tcPr>
          <w:p w14:paraId="2F9F2C24"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294" w:type="dxa"/>
            <w:shd w:val="clear" w:color="auto" w:fill="C6EFCE"/>
            <w:noWrap/>
            <w:vAlign w:val="bottom"/>
            <w:hideMark/>
          </w:tcPr>
          <w:p w14:paraId="086D39CC"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d’attribution pour des marchés publics i) par le SPF Économie pour la création du site web qui permet aux PME et aux indépendants d’effectuer un cyberscan gratuit pour déterminer rapidement les points à améliorer en matière de cyberrésilience, ii) par le SPF Économie pour une campagne annuelle de sensibilisation à la cybersécurité ciblant les PME et les indépendants, iii) par le Centre pour la cybersécurité pour la création d’un module en ligne permettant aux visiteurs de vérifier la fiabilité de sites web, iv) par le Centre pour la cybersécurité pour la création d’un portail sur lequel les PME de plus grande taille peuvent autoévaluer leur maturité cyber sur la base d’une enquête en ligne, v) par l’organisme de régulation fédéral belge des télécommunications pour la mise en œuvre d’une solution anti-phishing pour les courriers électroniques, vi) pour les SMS, vii) pour les appels frauduleux et viii) pour les messages de signalisation frauduleux sur les infrastructures des opérateurs de télécommunications</w:t>
            </w:r>
          </w:p>
        </w:tc>
      </w:tr>
      <w:tr w:rsidR="00F76C04" w:rsidRPr="001C1EE6" w14:paraId="42121DE9" w14:textId="77777777" w:rsidTr="00876A53">
        <w:trPr>
          <w:trHeight w:val="309"/>
          <w:jc w:val="center"/>
        </w:trPr>
        <w:tc>
          <w:tcPr>
            <w:tcW w:w="1129" w:type="dxa"/>
            <w:shd w:val="clear" w:color="auto" w:fill="C6EFCE"/>
            <w:noWrap/>
            <w:vAlign w:val="center"/>
            <w:hideMark/>
          </w:tcPr>
          <w:p w14:paraId="2E4C1A07"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45</w:t>
            </w:r>
          </w:p>
        </w:tc>
        <w:tc>
          <w:tcPr>
            <w:tcW w:w="1560" w:type="dxa"/>
            <w:shd w:val="clear" w:color="auto" w:fill="C6EFCE"/>
            <w:noWrap/>
            <w:vAlign w:val="center"/>
            <w:hideMark/>
          </w:tcPr>
          <w:p w14:paraId="388F4726"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Société numérique cybersécurisée et résiliente (I-2.01)</w:t>
            </w:r>
          </w:p>
        </w:tc>
        <w:tc>
          <w:tcPr>
            <w:tcW w:w="1221" w:type="dxa"/>
            <w:shd w:val="clear" w:color="auto" w:fill="C6EFCE"/>
            <w:noWrap/>
            <w:vAlign w:val="center"/>
            <w:hideMark/>
          </w:tcPr>
          <w:p w14:paraId="6BA95704"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39" w:type="dxa"/>
            <w:shd w:val="clear" w:color="auto" w:fill="C6EFCE"/>
            <w:noWrap/>
            <w:vAlign w:val="center"/>
            <w:hideMark/>
          </w:tcPr>
          <w:p w14:paraId="5A7C28F7"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Lancement de la première campagne de sensibilisation à la cybersécurité </w:t>
            </w:r>
          </w:p>
        </w:tc>
        <w:tc>
          <w:tcPr>
            <w:tcW w:w="1721" w:type="dxa"/>
            <w:shd w:val="clear" w:color="auto" w:fill="C6EFCE"/>
            <w:noWrap/>
            <w:vAlign w:val="bottom"/>
            <w:hideMark/>
          </w:tcPr>
          <w:p w14:paraId="683C76F3"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Lancement de la première campagne de sensibilisation à la cybersécurité à destination des PME et des indépendants, axée sur les risques en matière de cyberrésilience</w:t>
            </w:r>
          </w:p>
        </w:tc>
        <w:tc>
          <w:tcPr>
            <w:tcW w:w="1276" w:type="dxa"/>
            <w:shd w:val="clear" w:color="auto" w:fill="C6EFCE"/>
            <w:noWrap/>
            <w:vAlign w:val="center"/>
          </w:tcPr>
          <w:p w14:paraId="72AC45B4"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099" w:type="dxa"/>
            <w:shd w:val="clear" w:color="auto" w:fill="C6EFCE"/>
            <w:noWrap/>
            <w:vAlign w:val="center"/>
          </w:tcPr>
          <w:p w14:paraId="55FB0D24"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B33F692"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hideMark/>
          </w:tcPr>
          <w:p w14:paraId="3387065F"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hideMark/>
          </w:tcPr>
          <w:p w14:paraId="5E0C415A"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294" w:type="dxa"/>
            <w:shd w:val="clear" w:color="auto" w:fill="C6EFCE"/>
            <w:noWrap/>
            <w:vAlign w:val="center"/>
          </w:tcPr>
          <w:p w14:paraId="1734078B"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Lancement de la première campagne de sensibilisation à la cybersécurité à destination des PME et des indépendants, axée sur les risques en matière de cyberrésilience, et déploiement du site web. Le site web offrira un cyberscan gratuit permettant aux PME et aux indépendants de déterminer rapidement les points à améliorer en matière de cyberrésilience</w:t>
            </w:r>
          </w:p>
        </w:tc>
      </w:tr>
      <w:tr w:rsidR="00F76C04" w:rsidRPr="001C1EE6" w14:paraId="5B327BA4" w14:textId="77777777" w:rsidTr="00876A53">
        <w:trPr>
          <w:trHeight w:val="309"/>
          <w:jc w:val="center"/>
        </w:trPr>
        <w:tc>
          <w:tcPr>
            <w:tcW w:w="1129" w:type="dxa"/>
            <w:shd w:val="clear" w:color="auto" w:fill="C6EFCE"/>
            <w:noWrap/>
            <w:vAlign w:val="center"/>
            <w:hideMark/>
          </w:tcPr>
          <w:p w14:paraId="4C12593F"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46</w:t>
            </w:r>
          </w:p>
        </w:tc>
        <w:tc>
          <w:tcPr>
            <w:tcW w:w="1560" w:type="dxa"/>
            <w:shd w:val="clear" w:color="auto" w:fill="C6EFCE"/>
            <w:noWrap/>
            <w:vAlign w:val="center"/>
            <w:hideMark/>
          </w:tcPr>
          <w:p w14:paraId="76F6AB69"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Société numérique cybersécurisée et résiliente (I-2.01)</w:t>
            </w:r>
          </w:p>
        </w:tc>
        <w:tc>
          <w:tcPr>
            <w:tcW w:w="1221" w:type="dxa"/>
            <w:shd w:val="clear" w:color="auto" w:fill="C6EFCE"/>
            <w:noWrap/>
            <w:vAlign w:val="center"/>
            <w:hideMark/>
          </w:tcPr>
          <w:p w14:paraId="701AE011"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39" w:type="dxa"/>
            <w:shd w:val="clear" w:color="auto" w:fill="C6EFCE"/>
            <w:noWrap/>
            <w:vAlign w:val="center"/>
            <w:hideMark/>
          </w:tcPr>
          <w:p w14:paraId="5212CF01"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Mise à disposition du grand public d’instruments visant à renforcer les capacités de cyberrésilience </w:t>
            </w:r>
          </w:p>
        </w:tc>
        <w:tc>
          <w:tcPr>
            <w:tcW w:w="1721" w:type="dxa"/>
            <w:shd w:val="clear" w:color="auto" w:fill="C6EFCE"/>
            <w:noWrap/>
            <w:vAlign w:val="center"/>
            <w:hideMark/>
          </w:tcPr>
          <w:p w14:paraId="369C49AF"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276" w:type="dxa"/>
            <w:shd w:val="clear" w:color="auto" w:fill="C6EFCE"/>
            <w:noWrap/>
            <w:vAlign w:val="center"/>
            <w:hideMark/>
          </w:tcPr>
          <w:p w14:paraId="24C37CC4"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Nombre d’instruments </w:t>
            </w:r>
          </w:p>
        </w:tc>
        <w:tc>
          <w:tcPr>
            <w:tcW w:w="1099" w:type="dxa"/>
            <w:shd w:val="clear" w:color="auto" w:fill="C6EFCE"/>
            <w:noWrap/>
            <w:vAlign w:val="center"/>
          </w:tcPr>
          <w:p w14:paraId="7A963BE6"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134" w:type="dxa"/>
            <w:shd w:val="clear" w:color="auto" w:fill="C6EFCE"/>
            <w:noWrap/>
            <w:vAlign w:val="center"/>
          </w:tcPr>
          <w:p w14:paraId="7084D871"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4</w:t>
            </w:r>
          </w:p>
        </w:tc>
        <w:tc>
          <w:tcPr>
            <w:tcW w:w="1134" w:type="dxa"/>
            <w:shd w:val="clear" w:color="auto" w:fill="C6EFCE"/>
            <w:noWrap/>
            <w:vAlign w:val="center"/>
            <w:hideMark/>
          </w:tcPr>
          <w:p w14:paraId="33706ADA"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hideMark/>
          </w:tcPr>
          <w:p w14:paraId="7ABFF426"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294" w:type="dxa"/>
            <w:shd w:val="clear" w:color="auto" w:fill="C6EFCE"/>
            <w:noWrap/>
            <w:vAlign w:val="center"/>
            <w:hideMark/>
          </w:tcPr>
          <w:p w14:paraId="31065688"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Quatre outils visant à renforcer les capacités de cyberrésilience sont à la disposition du grand public.</w:t>
            </w:r>
          </w:p>
        </w:tc>
      </w:tr>
      <w:tr w:rsidR="00F76C04" w:rsidRPr="001C1EE6" w14:paraId="189F625F" w14:textId="77777777" w:rsidTr="00876A53">
        <w:trPr>
          <w:trHeight w:val="309"/>
          <w:jc w:val="center"/>
        </w:trPr>
        <w:tc>
          <w:tcPr>
            <w:tcW w:w="1129" w:type="dxa"/>
            <w:shd w:val="clear" w:color="auto" w:fill="C6EFCE"/>
            <w:noWrap/>
            <w:vAlign w:val="center"/>
          </w:tcPr>
          <w:p w14:paraId="3ABE336C"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47</w:t>
            </w:r>
          </w:p>
        </w:tc>
        <w:tc>
          <w:tcPr>
            <w:tcW w:w="1560" w:type="dxa"/>
            <w:shd w:val="clear" w:color="auto" w:fill="C6EFCE"/>
            <w:noWrap/>
            <w:vAlign w:val="center"/>
          </w:tcPr>
          <w:p w14:paraId="2DC77ED7"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Société numérique cybersécurisée et résiliente (I-2.01)</w:t>
            </w:r>
          </w:p>
        </w:tc>
        <w:tc>
          <w:tcPr>
            <w:tcW w:w="1221" w:type="dxa"/>
            <w:shd w:val="clear" w:color="auto" w:fill="C6EFCE"/>
            <w:noWrap/>
            <w:vAlign w:val="center"/>
          </w:tcPr>
          <w:p w14:paraId="5959D851"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39" w:type="dxa"/>
            <w:shd w:val="clear" w:color="auto" w:fill="C6EFCE"/>
            <w:noWrap/>
            <w:vAlign w:val="center"/>
          </w:tcPr>
          <w:p w14:paraId="66CC8FF0"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Cadre de gouvernance global de la cybersécurité au sein du SPF Affaires étrangères </w:t>
            </w:r>
          </w:p>
        </w:tc>
        <w:tc>
          <w:tcPr>
            <w:tcW w:w="1721" w:type="dxa"/>
            <w:shd w:val="clear" w:color="auto" w:fill="C6EFCE"/>
            <w:noWrap/>
            <w:vAlign w:val="center"/>
          </w:tcPr>
          <w:p w14:paraId="50BAD556"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Cadre de gouvernance global de la cybersécurité au sein du SPF Affaires étrangères </w:t>
            </w:r>
          </w:p>
        </w:tc>
        <w:tc>
          <w:tcPr>
            <w:tcW w:w="1276" w:type="dxa"/>
            <w:shd w:val="clear" w:color="auto" w:fill="C6EFCE"/>
            <w:noWrap/>
            <w:vAlign w:val="center"/>
          </w:tcPr>
          <w:p w14:paraId="2A971458"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099" w:type="dxa"/>
            <w:shd w:val="clear" w:color="auto" w:fill="C6EFCE"/>
            <w:noWrap/>
            <w:vAlign w:val="center"/>
          </w:tcPr>
          <w:p w14:paraId="00F42E1E"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3299E694"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552F7FA7"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1A40FE61"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294" w:type="dxa"/>
            <w:shd w:val="clear" w:color="auto" w:fill="C6EFCE"/>
            <w:noWrap/>
            <w:vAlign w:val="center"/>
          </w:tcPr>
          <w:p w14:paraId="4A6B7CCB"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cadre de gouvernance global de la cybersécurité, fondé sur les normes ISO27001, est mis en œuvre au sein du SPF Affaires étrangères</w:t>
            </w:r>
          </w:p>
        </w:tc>
      </w:tr>
      <w:tr w:rsidR="00F76C04" w:rsidRPr="001C1EE6" w14:paraId="28851BED" w14:textId="77777777" w:rsidTr="00876A53">
        <w:trPr>
          <w:trHeight w:val="309"/>
          <w:jc w:val="center"/>
        </w:trPr>
        <w:tc>
          <w:tcPr>
            <w:tcW w:w="1129" w:type="dxa"/>
            <w:shd w:val="clear" w:color="auto" w:fill="C6EFCE"/>
            <w:noWrap/>
            <w:vAlign w:val="center"/>
          </w:tcPr>
          <w:p w14:paraId="358D9C32"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49</w:t>
            </w:r>
          </w:p>
        </w:tc>
        <w:tc>
          <w:tcPr>
            <w:tcW w:w="1560" w:type="dxa"/>
            <w:shd w:val="clear" w:color="auto" w:fill="C6EFCE"/>
            <w:noWrap/>
            <w:vAlign w:val="center"/>
          </w:tcPr>
          <w:p w14:paraId="14AE0129" w14:textId="30030DBD" w:rsidR="000D1388" w:rsidRPr="001C1EE6" w:rsidRDefault="004B423D" w:rsidP="3FC37BC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Capacités d’interception (I-2.02)</w:t>
            </w:r>
          </w:p>
        </w:tc>
        <w:tc>
          <w:tcPr>
            <w:tcW w:w="1221" w:type="dxa"/>
            <w:shd w:val="clear" w:color="auto" w:fill="C6EFCE"/>
            <w:noWrap/>
            <w:vAlign w:val="center"/>
          </w:tcPr>
          <w:p w14:paraId="726F30F2"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39" w:type="dxa"/>
            <w:shd w:val="clear" w:color="auto" w:fill="C6EFCE"/>
            <w:noWrap/>
            <w:vAlign w:val="center"/>
          </w:tcPr>
          <w:p w14:paraId="2EB5B6D1" w14:textId="3ADA99D6" w:rsidR="000D1388" w:rsidRPr="001C1EE6" w:rsidRDefault="004B423D" w:rsidP="3FC37BCA">
            <w:pPr>
              <w:spacing w:after="0"/>
              <w:rPr>
                <w:rFonts w:ascii="Times New Roman" w:eastAsia="Times New Roman" w:hAnsi="Times New Roman" w:cs="Times New Roman"/>
                <w:noProof/>
                <w:color w:val="004377"/>
                <w:sz w:val="20"/>
                <w:szCs w:val="20"/>
              </w:rPr>
            </w:pPr>
            <w:r>
              <w:rPr>
                <w:rFonts w:ascii="Times New Roman" w:hAnsi="Times New Roman"/>
                <w:noProof/>
                <w:color w:val="006100"/>
                <w:sz w:val="20"/>
              </w:rPr>
              <w:t xml:space="preserve">Matériel pour les capacités d’interception </w:t>
            </w:r>
          </w:p>
        </w:tc>
        <w:tc>
          <w:tcPr>
            <w:tcW w:w="1721" w:type="dxa"/>
            <w:shd w:val="clear" w:color="auto" w:fill="C6EFCE"/>
            <w:noWrap/>
            <w:vAlign w:val="center"/>
          </w:tcPr>
          <w:p w14:paraId="0C332FFE" w14:textId="2C1334A7" w:rsidR="000D1388" w:rsidRPr="00557A3B" w:rsidRDefault="004B423D" w:rsidP="3FC37BCA">
            <w:pPr>
              <w:spacing w:after="0"/>
              <w:rPr>
                <w:rFonts w:ascii="Times New Roman" w:eastAsia="Times New Roman" w:hAnsi="Times New Roman" w:cs="Times New Roman"/>
                <w:noProof/>
                <w:color w:val="004377"/>
                <w:sz w:val="20"/>
                <w:szCs w:val="20"/>
              </w:rPr>
            </w:pPr>
            <w:r>
              <w:rPr>
                <w:rFonts w:ascii="Times New Roman" w:hAnsi="Times New Roman"/>
                <w:noProof/>
                <w:color w:val="006100"/>
                <w:sz w:val="20"/>
              </w:rPr>
              <w:t xml:space="preserve">Achat de matériel pour les capacités d’interception </w:t>
            </w:r>
          </w:p>
        </w:tc>
        <w:tc>
          <w:tcPr>
            <w:tcW w:w="1276" w:type="dxa"/>
            <w:shd w:val="clear" w:color="auto" w:fill="C6EFCE"/>
            <w:noWrap/>
            <w:vAlign w:val="center"/>
          </w:tcPr>
          <w:p w14:paraId="22C4E25D"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099" w:type="dxa"/>
            <w:shd w:val="clear" w:color="auto" w:fill="C6EFCE"/>
            <w:noWrap/>
            <w:vAlign w:val="center"/>
          </w:tcPr>
          <w:p w14:paraId="762CE160"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32CF06AE"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4B3FFCC7"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70D147A4"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294" w:type="dxa"/>
            <w:shd w:val="clear" w:color="auto" w:fill="C6EFCE"/>
            <w:noWrap/>
            <w:vAlign w:val="center"/>
          </w:tcPr>
          <w:p w14:paraId="7BEF5B0E" w14:textId="12A6B073" w:rsidR="000D1388" w:rsidRPr="004B423D" w:rsidRDefault="004E4D14" w:rsidP="00EC2ED4">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Achat de matériel pour les capacités d’interception, y compris des balises sonores, un système de brouillage et des vidéos THX adaptés à la 5G.</w:t>
            </w:r>
          </w:p>
        </w:tc>
      </w:tr>
      <w:tr w:rsidR="00F76C04" w:rsidRPr="001C1EE6" w14:paraId="4A49C038" w14:textId="77777777" w:rsidTr="00876A53">
        <w:trPr>
          <w:trHeight w:val="309"/>
          <w:jc w:val="center"/>
        </w:trPr>
        <w:tc>
          <w:tcPr>
            <w:tcW w:w="1129" w:type="dxa"/>
            <w:shd w:val="clear" w:color="auto" w:fill="C6EFCE"/>
            <w:noWrap/>
            <w:vAlign w:val="center"/>
          </w:tcPr>
          <w:p w14:paraId="158D260C"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50</w:t>
            </w:r>
          </w:p>
        </w:tc>
        <w:tc>
          <w:tcPr>
            <w:tcW w:w="1560" w:type="dxa"/>
            <w:shd w:val="clear" w:color="auto" w:fill="C6EFCE"/>
            <w:noWrap/>
            <w:vAlign w:val="center"/>
          </w:tcPr>
          <w:p w14:paraId="62F950C1" w14:textId="615C1308" w:rsidR="000D1388" w:rsidRPr="001C1EE6" w:rsidRDefault="6704D43E">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Capacités d’interception (I-2.03)</w:t>
            </w:r>
          </w:p>
        </w:tc>
        <w:tc>
          <w:tcPr>
            <w:tcW w:w="1221" w:type="dxa"/>
            <w:shd w:val="clear" w:color="auto" w:fill="C6EFCE"/>
            <w:noWrap/>
            <w:vAlign w:val="center"/>
          </w:tcPr>
          <w:p w14:paraId="119BF760"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39" w:type="dxa"/>
            <w:shd w:val="clear" w:color="auto" w:fill="C6EFCE"/>
            <w:noWrap/>
            <w:vAlign w:val="center"/>
          </w:tcPr>
          <w:p w14:paraId="2220B23C" w14:textId="258FA53E" w:rsidR="00261EC3" w:rsidRPr="00114731" w:rsidRDefault="00261EC3" w:rsidP="00261EC3">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Capacités d’interception et registre</w:t>
            </w:r>
          </w:p>
          <w:p w14:paraId="276DC9A3" w14:textId="5484FCC5" w:rsidR="000D1388" w:rsidRPr="00114731" w:rsidRDefault="000D1388" w:rsidP="3FC37BCA">
            <w:pPr>
              <w:spacing w:after="0"/>
              <w:rPr>
                <w:rFonts w:ascii="Times New Roman" w:eastAsia="Calibri" w:hAnsi="Times New Roman" w:cs="Times New Roman"/>
                <w:noProof/>
                <w:color w:val="006100"/>
                <w:sz w:val="20"/>
                <w:szCs w:val="20"/>
                <w:lang w:val="en-GB"/>
              </w:rPr>
            </w:pPr>
          </w:p>
        </w:tc>
        <w:tc>
          <w:tcPr>
            <w:tcW w:w="1721" w:type="dxa"/>
            <w:shd w:val="clear" w:color="auto" w:fill="C6EFCE"/>
            <w:noWrap/>
            <w:vAlign w:val="center"/>
          </w:tcPr>
          <w:p w14:paraId="39DD28B0" w14:textId="46BE4DA2" w:rsidR="000D1388" w:rsidRPr="001C1EE6" w:rsidRDefault="03426C91" w:rsidP="00F02442">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i) Achat d’équipements de localisation, ii) achat d’outils technologiques d’interception et iii) registre numérique accessible à l’unité nationale de soutien technique et tactique </w:t>
            </w:r>
          </w:p>
        </w:tc>
        <w:tc>
          <w:tcPr>
            <w:tcW w:w="1276" w:type="dxa"/>
            <w:shd w:val="clear" w:color="auto" w:fill="C6EFCE"/>
            <w:noWrap/>
            <w:vAlign w:val="center"/>
          </w:tcPr>
          <w:p w14:paraId="746EC3CC"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099" w:type="dxa"/>
            <w:shd w:val="clear" w:color="auto" w:fill="C6EFCE"/>
            <w:noWrap/>
            <w:vAlign w:val="center"/>
          </w:tcPr>
          <w:p w14:paraId="585A5D79"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DC0C83F"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7CED1D6"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2454B405"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294" w:type="dxa"/>
            <w:shd w:val="clear" w:color="auto" w:fill="C6EFCE"/>
            <w:noWrap/>
            <w:vAlign w:val="center"/>
          </w:tcPr>
          <w:p w14:paraId="608ADCE9" w14:textId="6F26E5D0" w:rsidR="000D1388" w:rsidRPr="001C1EE6" w:rsidRDefault="00F32DF9" w:rsidP="002D3934">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 achat d’équipements de localisation, ii) achat d’outils technologiques d’interception et iii) registre numérique des communications interceptées, qui sera accessible à l’unité nationale de soutien technique et tactique</w:t>
            </w:r>
          </w:p>
        </w:tc>
      </w:tr>
    </w:tbl>
    <w:p w14:paraId="0A5FFB90" w14:textId="77777777" w:rsidR="000D1388" w:rsidRPr="00CB0B3C" w:rsidRDefault="000D1388" w:rsidP="00E71057">
      <w:pPr>
        <w:ind w:left="709"/>
        <w:rPr>
          <w:rFonts w:ascii="Times New Roman" w:eastAsia="Calibri" w:hAnsi="Times New Roman" w:cs="Times New Roman"/>
          <w:noProof/>
        </w:rPr>
        <w:sectPr w:rsidR="000D1388" w:rsidRPr="00CB0B3C" w:rsidSect="00E71057">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360"/>
        </w:sectPr>
      </w:pPr>
    </w:p>
    <w:p w14:paraId="1F428746"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E. COMPOSANTE 2.2: Administration publique</w:t>
      </w:r>
    </w:p>
    <w:p w14:paraId="564C589A"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vise à accroître l’efficacité de l’administration publique par la digitalisation de ses services.</w:t>
      </w:r>
    </w:p>
    <w:p w14:paraId="49EFF36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Elle contribue à répondre aux recommandations par pays nº 3 et nº 4 de 2019, appelant la Belgique à axer la politique économique liée aux investissements, notamment sur la numérisation et à réduire la charge réglementaire et administrative pour favoriser l’esprit d’entreprise. Elle répond également à la recommandation par pays nº 3 de 2020, appelant à améliorer l’environnement des affaires, à lancer des projets aboutis d’investissement public et à axer les investissements sur la transition numérique.</w:t>
      </w:r>
    </w:p>
    <w:p w14:paraId="155A4A2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43DBA4CB" w14:textId="77777777" w:rsidR="000D1388" w:rsidRPr="009D65D8" w:rsidRDefault="00E71057" w:rsidP="00E71057">
      <w:pPr>
        <w:spacing w:before="120" w:after="120"/>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E.1.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5C4DC56E" w14:textId="38AF8FF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I-2.04: «Digitalisation» de l’État fédéral</w:t>
      </w:r>
    </w:p>
    <w:p w14:paraId="2E9BE3F4"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a pour objectif d’accélérer la numérisation des institutions publiques de sécurité sociale. Elle comprend trois sous-mesures:</w:t>
      </w:r>
    </w:p>
    <w:p w14:paraId="2D84DD0F" w14:textId="05564FA9" w:rsidR="000D1388" w:rsidRPr="009D65D8" w:rsidRDefault="73B59D02" w:rsidP="715659F5">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Investissement I-2.04: «Digitalisation; sous-mesure 1: Fonctionnalités relatives à l’interaction entre une institution de sécurité sociale et les employeurs de l’État fédéral</w:t>
      </w:r>
    </w:p>
    <w:p w14:paraId="4E120F12" w14:textId="70C5A123" w:rsidR="5F9CB2AB" w:rsidRDefault="5F9CB2AB" w:rsidP="715659F5">
      <w:pPr>
        <w:jc w:val="both"/>
        <w:rPr>
          <w:rFonts w:ascii="Times New Roman" w:eastAsia="Times New Roman" w:hAnsi="Times New Roman" w:cs="Times New Roman"/>
          <w:noProof/>
          <w:sz w:val="24"/>
          <w:szCs w:val="24"/>
        </w:rPr>
      </w:pPr>
      <w:r>
        <w:rPr>
          <w:rFonts w:ascii="Times New Roman" w:hAnsi="Times New Roman"/>
          <w:noProof/>
          <w:sz w:val="24"/>
        </w:rPr>
        <w:t>Cette sous-mesure comprend des fonctionnalités accessibles pour l’échange de données entre les employeurs et un organisme de sécurité sociale.</w:t>
      </w:r>
    </w:p>
    <w:p w14:paraId="652BFDE6" w14:textId="68F4ABA5"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I-2.04: «Digitalisation, sous-mesure 2: gestion des comptes numériques pour chaque entreprise» de l’État fédéral</w:t>
      </w:r>
    </w:p>
    <w:p w14:paraId="63B83F0A"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permettra de numériser les flux financiers entre la sécurité sociale, les entreprises et les éventuels intermédiaires financiers et prestataires de services. Les applications de gestion des comptes des employeurs remontent pour certaines à 1979 et manquent cruellement d’homogénéité. Cela constitue un risque technologique et humain. Leur refonte et la mise en place d’un système d’information intégré, performant, évolutif et de qualité sont indispensables à la digitalisation et à l’ouverture des comptes employeurs.</w:t>
      </w:r>
    </w:p>
    <w:p w14:paraId="2E573E59" w14:textId="39ACF5CB" w:rsidR="000D1388" w:rsidRPr="004003DB" w:rsidRDefault="73B59D02" w:rsidP="3FC37BCA">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I-2.04: «Digitalisation, sous-mesure 3: plateforme interactive» de l’État fédéral</w:t>
      </w:r>
    </w:p>
    <w:p w14:paraId="63FF9C65" w14:textId="28963362" w:rsidR="000D1388" w:rsidRPr="009D65D8" w:rsidRDefault="73B59D02" w:rsidP="3FC37BCA">
      <w:pPr>
        <w:spacing w:before="120" w:after="120" w:line="240" w:lineRule="auto"/>
        <w:jc w:val="both"/>
        <w:rPr>
          <w:noProof/>
        </w:rPr>
      </w:pPr>
      <w:r>
        <w:rPr>
          <w:rFonts w:ascii="Times New Roman" w:hAnsi="Times New Roman"/>
          <w:noProof/>
          <w:sz w:val="24"/>
        </w:rPr>
        <w:t>Cette sous-mesure consiste en une plateforme interactive accessible aux travailleurs indépendants.</w:t>
      </w:r>
    </w:p>
    <w:p w14:paraId="601FB425" w14:textId="77777777" w:rsidR="000D1388" w:rsidRPr="009D65D8" w:rsidRDefault="00E71057" w:rsidP="00E71057">
      <w:pPr>
        <w:pageBreakBefore/>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I–2.05: «Digitalisation SPF» de l’État fédéral</w:t>
      </w:r>
    </w:p>
    <w:p w14:paraId="3B4EC70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Cette mesure a pour objectif d’accélérer la digitalisation des différents services administratifs relevant de l’État fédéral. Elle consiste en des projets de numérisation. </w:t>
      </w:r>
    </w:p>
    <w:p w14:paraId="583664B5"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I-2.06: «eHealth Services et Health Data» de l’État fédéral</w:t>
      </w:r>
    </w:p>
    <w:p w14:paraId="39C255B0" w14:textId="27EE3C35" w:rsidR="000D1388" w:rsidRPr="009D65D8" w:rsidRDefault="73B59D02" w:rsidP="3FC37BCA">
      <w:pPr>
        <w:spacing w:before="120" w:after="120" w:line="240" w:lineRule="auto"/>
        <w:jc w:val="both"/>
        <w:rPr>
          <w:noProof/>
        </w:rPr>
      </w:pPr>
      <w:r>
        <w:rPr>
          <w:rFonts w:ascii="Times New Roman" w:hAnsi="Times New Roman"/>
          <w:noProof/>
          <w:sz w:val="24"/>
        </w:rPr>
        <w:t>Cette mesure a pour objectif d’améliorer la qualité et la rapidité des soins de santé. Elle concerne l’entrée en vigueur de la loi établissant la Health Data Authority, la définition des exigences applicables aux sous-projets eHealth.</w:t>
      </w:r>
    </w:p>
    <w:p w14:paraId="6F5E03EC"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I-2.07: «Digitalisation de l’ONE» de la Communauté française</w:t>
      </w:r>
    </w:p>
    <w:p w14:paraId="04C95D6A" w14:textId="77777777" w:rsidR="000D1388" w:rsidRPr="00DD67A6"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a pour objectif de contribuer à la transformation numérique de l’Office de la Naissance et de l’Enfance (ONE). Elle consiste en la création de plateformes numériques.</w:t>
      </w:r>
    </w:p>
    <w:p w14:paraId="3C11558B" w14:textId="04816EC7" w:rsidR="000D1388" w:rsidRDefault="00E71057" w:rsidP="3A2688DF">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I-2.08: «Projets de digitalisation» de la Communauté française</w:t>
      </w:r>
    </w:p>
    <w:p w14:paraId="000B8B85" w14:textId="748389DA" w:rsidR="000D1388" w:rsidRPr="007739B1" w:rsidRDefault="00E71057" w:rsidP="3A2688DF">
      <w:pPr>
        <w:spacing w:before="120" w:after="120" w:line="240" w:lineRule="auto"/>
        <w:jc w:val="both"/>
        <w:rPr>
          <w:noProof/>
        </w:rPr>
      </w:pPr>
      <w:r>
        <w:rPr>
          <w:rFonts w:ascii="Times New Roman" w:hAnsi="Times New Roman"/>
          <w:noProof/>
          <w:sz w:val="24"/>
        </w:rPr>
        <w:t xml:space="preserve">Cette mesure a pour objectif de soutenir la digitalisation du secteur belge de la culture et des médias francophones. </w:t>
      </w:r>
      <w:r>
        <w:rPr>
          <w:rFonts w:ascii="Times New Roman" w:hAnsi="Times New Roman"/>
          <w:noProof/>
          <w:color w:val="000000" w:themeColor="text1"/>
          <w:sz w:val="24"/>
        </w:rPr>
        <w:t>Cette mesure consiste en la digitalisation des œuvres audiovisuelles et audio et en la création d’œuvres numériques autochtones</w:t>
      </w:r>
      <w:r>
        <w:rPr>
          <w:rFonts w:ascii="Times New Roman" w:hAnsi="Times New Roman"/>
          <w:noProof/>
          <w:sz w:val="24"/>
        </w:rPr>
        <w:t>. Un outil numérique permettant aux citoyens de rechercher des activités culturelles est en ligne et accessible aux opérateurs médiatiques et culturels.</w:t>
      </w:r>
    </w:p>
    <w:p w14:paraId="55F40E82"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I-2.09: «Digitalisation du gouvernement flamand» de la Région flamande</w:t>
      </w:r>
    </w:p>
    <w:p w14:paraId="0EDD7CFA"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rPr>
      </w:pPr>
      <w:r>
        <w:rPr>
          <w:rFonts w:ascii="Times New Roman" w:hAnsi="Times New Roman"/>
          <w:noProof/>
          <w:sz w:val="24"/>
        </w:rPr>
        <w:t xml:space="preserve">Cette mesure a pour objectif de </w:t>
      </w:r>
      <w:r>
        <w:rPr>
          <w:rFonts w:ascii="Times New Roman" w:hAnsi="Times New Roman"/>
          <w:noProof/>
          <w:color w:val="000000"/>
          <w:sz w:val="24"/>
        </w:rPr>
        <w:t>numériser le gouvernement flamand. Elle consiste en la réalisation de projets de digitalisation.</w:t>
      </w:r>
    </w:p>
    <w:p w14:paraId="62104B93" w14:textId="77777777" w:rsidR="000D1388" w:rsidRPr="00DD67A6"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I-2.10: «Plateforme régionale d’échange de données» de la Région de Bruxelles-Capitale</w:t>
      </w:r>
    </w:p>
    <w:p w14:paraId="26302E8E" w14:textId="77777777" w:rsidR="000D1388" w:rsidRPr="00DD67A6"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L’objectif de cet investissement est de présenter les exigences de haut niveau relatives à une plateforme d’échange de données de la Région de Bruxelles-Capitale. La mesure consiste en la publication d’un ordre de service. </w:t>
      </w:r>
    </w:p>
    <w:p w14:paraId="2176C37F" w14:textId="77777777" w:rsidR="000D1388" w:rsidRPr="00DD67A6" w:rsidRDefault="00E71057" w:rsidP="00E71057">
      <w:pPr>
        <w:pageBreakBefore/>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I-2.11: «Digitalisation des processus citoyens-entreprises» de la Région de Bruxelles-Capitale</w:t>
      </w:r>
    </w:p>
    <w:p w14:paraId="6436A4AB"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a pour objectif la simplification administrative. Elle consiste en la mise en service d’une plateforme CRM et de plateformes en ligne pour demander des permis d’urbanisme, des permis environnementaux et des informations en matière d’urbanisme.</w:t>
      </w:r>
    </w:p>
    <w:p w14:paraId="1F58238B"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R-2.01: Simplification des procédures administratives: e-gouvernement pour les entreprises, simplification des démarches administratives» de l’État fédéral</w:t>
      </w:r>
    </w:p>
    <w:p w14:paraId="135842CC"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réforme vise la simplification administrative, notamment par la digitalisation complète de la procédure de création, de modification et de dissolution d’une activité commerciale ou d’une personne morale. En particulier, un accord de coopération comprenant des mesures visant à permettre la création, la modification et la dissolution d’une activité commerciale entièrement par voie électronique entrera en vigueur. Le nouveau système numérique ainsi créé par l’accord de coopération, qui comprend trois formulaires électroniques pour la création, la modification et la dissolution d’une activité commerciale, constituera un canal administratif de substitution offrant une solution de remplacement simplifiée face aux formulaires existants. En outre, les lois et les arrêtés royaux permettant progressivement la création, la modification et la dissolution en ligne des personnes morales, pour toutes les formes juridiques, par l’intermédiaire des notaires ou du portail JustAct entreront en vigueur. La mise en œuvre de la réforme devrait être achevée au plus tard le 31 décembre 2023.</w:t>
      </w:r>
    </w:p>
    <w:p w14:paraId="3C074189"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R-2.02: «E-gouvernement: procédures d’appel d’offres» de l’État fédéral</w:t>
      </w:r>
    </w:p>
    <w:p w14:paraId="7D69EBCC" w14:textId="77777777" w:rsidR="000D1388" w:rsidRPr="009D65D8" w:rsidRDefault="00E71057" w:rsidP="00E71057">
      <w:pPr>
        <w:spacing w:before="120" w:after="120" w:line="240" w:lineRule="auto"/>
        <w:jc w:val="both"/>
        <w:rPr>
          <w:rFonts w:ascii="Times New Roman" w:eastAsia="Calibri" w:hAnsi="Times New Roman" w:cs="Times New Roman"/>
          <w:noProof/>
          <w:sz w:val="24"/>
        </w:rPr>
        <w:sectPr w:rsidR="000D1388" w:rsidRPr="009D65D8" w:rsidSect="00E71057">
          <w:headerReference w:type="even" r:id="rId60"/>
          <w:headerReference w:type="default" r:id="rId61"/>
          <w:footerReference w:type="even" r:id="rId62"/>
          <w:footerReference w:type="default" r:id="rId63"/>
          <w:headerReference w:type="first" r:id="rId64"/>
          <w:footerReference w:type="first" r:id="rId65"/>
          <w:pgSz w:w="11907" w:h="16839"/>
          <w:pgMar w:top="1134" w:right="1134" w:bottom="1134" w:left="1134" w:header="567" w:footer="567" w:gutter="0"/>
          <w:cols w:space="720"/>
          <w:docGrid w:linePitch="360"/>
        </w:sectPr>
      </w:pPr>
      <w:r>
        <w:rPr>
          <w:rFonts w:ascii="Times New Roman" w:hAnsi="Times New Roman"/>
          <w:noProof/>
          <w:sz w:val="24"/>
        </w:rPr>
        <w:t>Cette réforme a pour objectif d’élargir l’utilisation de la plateforme eProcurement. Elle consiste en l’entrée en vigueur d’un arrêté royal adaptant le cadre réglementaire fédéral pour la conduite des procédures d’appel d’offres.</w:t>
      </w:r>
    </w:p>
    <w:p w14:paraId="6387F8CD"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E.2.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275"/>
        <w:gridCol w:w="1707"/>
        <w:gridCol w:w="1985"/>
        <w:gridCol w:w="992"/>
        <w:gridCol w:w="1134"/>
        <w:gridCol w:w="986"/>
        <w:gridCol w:w="1134"/>
        <w:gridCol w:w="851"/>
        <w:gridCol w:w="2699"/>
      </w:tblGrid>
      <w:tr w:rsidR="00E71057" w:rsidRPr="001C1EE6" w14:paraId="21AE37A9" w14:textId="77777777" w:rsidTr="002C7502">
        <w:trPr>
          <w:trHeight w:val="927"/>
          <w:tblHeader/>
          <w:jc w:val="center"/>
        </w:trPr>
        <w:tc>
          <w:tcPr>
            <w:tcW w:w="1129" w:type="dxa"/>
            <w:vMerge w:val="restart"/>
            <w:shd w:val="clear" w:color="auto" w:fill="BDD7EE"/>
            <w:vAlign w:val="center"/>
            <w:hideMark/>
          </w:tcPr>
          <w:p w14:paraId="7260CEE0" w14:textId="77777777" w:rsidR="000D1388" w:rsidRPr="001C1EE6"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06ED51A1" w14:textId="77777777" w:rsidR="000D1388" w:rsidRPr="001C1EE6"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75" w:type="dxa"/>
            <w:vMerge w:val="restart"/>
            <w:shd w:val="clear" w:color="auto" w:fill="BDD7EE"/>
            <w:vAlign w:val="center"/>
            <w:hideMark/>
          </w:tcPr>
          <w:p w14:paraId="5961307B" w14:textId="77777777" w:rsidR="000D1388" w:rsidRPr="001C1EE6"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707" w:type="dxa"/>
            <w:vMerge w:val="restart"/>
            <w:shd w:val="clear" w:color="auto" w:fill="BDD7EE"/>
            <w:vAlign w:val="center"/>
            <w:hideMark/>
          </w:tcPr>
          <w:p w14:paraId="008DB1DC" w14:textId="77777777" w:rsidR="000D1388" w:rsidRPr="001C1EE6"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985" w:type="dxa"/>
            <w:vMerge w:val="restart"/>
            <w:shd w:val="clear" w:color="auto" w:fill="BDD7EE"/>
            <w:vAlign w:val="center"/>
            <w:hideMark/>
          </w:tcPr>
          <w:p w14:paraId="56ECE9DC" w14:textId="77777777" w:rsidR="000D1388" w:rsidRPr="001C1EE6"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112" w:type="dxa"/>
            <w:gridSpan w:val="3"/>
            <w:shd w:val="clear" w:color="auto" w:fill="BDD7EE"/>
            <w:vAlign w:val="center"/>
            <w:hideMark/>
          </w:tcPr>
          <w:p w14:paraId="59D48BD1" w14:textId="77777777" w:rsidR="000D1388" w:rsidRPr="001C1EE6"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85" w:type="dxa"/>
            <w:gridSpan w:val="2"/>
            <w:shd w:val="clear" w:color="auto" w:fill="BDD7EE"/>
            <w:vAlign w:val="center"/>
            <w:hideMark/>
          </w:tcPr>
          <w:p w14:paraId="4A04AFA3" w14:textId="77777777" w:rsidR="000D1388" w:rsidRPr="001C1EE6"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2699" w:type="dxa"/>
            <w:vMerge w:val="restart"/>
            <w:shd w:val="clear" w:color="auto" w:fill="BDD7EE"/>
            <w:vAlign w:val="center"/>
            <w:hideMark/>
          </w:tcPr>
          <w:p w14:paraId="30D2CA78" w14:textId="77777777" w:rsidR="000D1388" w:rsidRPr="001C1EE6"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F76C04" w:rsidRPr="001C1EE6" w14:paraId="14F33585" w14:textId="77777777" w:rsidTr="002C7502">
        <w:trPr>
          <w:trHeight w:val="1013"/>
          <w:jc w:val="center"/>
        </w:trPr>
        <w:tc>
          <w:tcPr>
            <w:tcW w:w="1129" w:type="dxa"/>
            <w:vMerge/>
            <w:vAlign w:val="center"/>
            <w:hideMark/>
          </w:tcPr>
          <w:p w14:paraId="339A0E9C"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382F43B3"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275" w:type="dxa"/>
            <w:vMerge/>
            <w:vAlign w:val="center"/>
            <w:hideMark/>
          </w:tcPr>
          <w:p w14:paraId="0844F961"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707" w:type="dxa"/>
            <w:vMerge/>
            <w:vAlign w:val="center"/>
            <w:hideMark/>
          </w:tcPr>
          <w:p w14:paraId="591FBF6D"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985" w:type="dxa"/>
            <w:vMerge/>
            <w:vAlign w:val="center"/>
            <w:hideMark/>
          </w:tcPr>
          <w:p w14:paraId="31FF937D"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992" w:type="dxa"/>
            <w:shd w:val="clear" w:color="auto" w:fill="BDD7EE"/>
            <w:vAlign w:val="center"/>
            <w:hideMark/>
          </w:tcPr>
          <w:p w14:paraId="34C9E28D"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34" w:type="dxa"/>
            <w:shd w:val="clear" w:color="auto" w:fill="BDD7EE"/>
            <w:vAlign w:val="center"/>
            <w:hideMark/>
          </w:tcPr>
          <w:p w14:paraId="40050148"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86" w:type="dxa"/>
            <w:shd w:val="clear" w:color="auto" w:fill="BDD7EE"/>
            <w:vAlign w:val="center"/>
            <w:hideMark/>
          </w:tcPr>
          <w:p w14:paraId="1B0EFAA1"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shd w:val="clear" w:color="auto" w:fill="BDD7EE"/>
            <w:vAlign w:val="center"/>
            <w:hideMark/>
          </w:tcPr>
          <w:p w14:paraId="28B1B34E"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hideMark/>
          </w:tcPr>
          <w:p w14:paraId="44386F62" w14:textId="77777777" w:rsidR="000D1388" w:rsidRPr="001C1EE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2699" w:type="dxa"/>
            <w:vMerge/>
            <w:vAlign w:val="center"/>
            <w:hideMark/>
          </w:tcPr>
          <w:p w14:paraId="4415D758" w14:textId="77777777" w:rsidR="000D1388" w:rsidRPr="001C1EE6" w:rsidRDefault="000D1388">
            <w:pPr>
              <w:spacing w:after="0"/>
              <w:rPr>
                <w:rFonts w:ascii="Times New Roman" w:eastAsia="Times New Roman" w:hAnsi="Times New Roman" w:cs="Times New Roman"/>
                <w:b/>
                <w:bCs/>
                <w:noProof/>
                <w:sz w:val="20"/>
                <w:szCs w:val="20"/>
                <w:lang w:val="en-GB" w:eastAsia="en-GB"/>
              </w:rPr>
            </w:pPr>
          </w:p>
        </w:tc>
      </w:tr>
      <w:tr w:rsidR="00F76C04" w:rsidRPr="001C1EE6" w14:paraId="48F52148" w14:textId="77777777" w:rsidTr="002C7502">
        <w:trPr>
          <w:trHeight w:val="309"/>
          <w:jc w:val="center"/>
        </w:trPr>
        <w:tc>
          <w:tcPr>
            <w:tcW w:w="1129" w:type="dxa"/>
            <w:shd w:val="clear" w:color="auto" w:fill="C6EFCE"/>
            <w:noWrap/>
            <w:vAlign w:val="center"/>
          </w:tcPr>
          <w:p w14:paraId="5158EE08"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51</w:t>
            </w:r>
          </w:p>
        </w:tc>
        <w:tc>
          <w:tcPr>
            <w:tcW w:w="1560" w:type="dxa"/>
            <w:shd w:val="clear" w:color="auto" w:fill="C6EFCE"/>
            <w:noWrap/>
            <w:vAlign w:val="center"/>
          </w:tcPr>
          <w:p w14:paraId="5BB08405"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IPSS/OISZ (I-2.04) (sous-mesure 2)</w:t>
            </w:r>
          </w:p>
        </w:tc>
        <w:tc>
          <w:tcPr>
            <w:tcW w:w="1275" w:type="dxa"/>
            <w:shd w:val="clear" w:color="auto" w:fill="C6EFCE"/>
            <w:noWrap/>
            <w:vAlign w:val="center"/>
          </w:tcPr>
          <w:p w14:paraId="1DC588DD"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07" w:type="dxa"/>
            <w:shd w:val="clear" w:color="auto" w:fill="C6EFCE"/>
            <w:noWrap/>
            <w:vAlign w:val="center"/>
          </w:tcPr>
          <w:p w14:paraId="3E203FFB"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Toutes les communications des Institutions publiques de sécurité sociale (IPSS) sont numérisées et les données sont centralisées/consolidées</w:t>
            </w:r>
          </w:p>
        </w:tc>
        <w:tc>
          <w:tcPr>
            <w:tcW w:w="1985" w:type="dxa"/>
            <w:shd w:val="clear" w:color="auto" w:fill="C6EFCE"/>
            <w:noWrap/>
            <w:vAlign w:val="center"/>
          </w:tcPr>
          <w:p w14:paraId="764354C6"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101832E8"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shd w:val="clear" w:color="auto" w:fill="C6EFCE"/>
            <w:noWrap/>
            <w:vAlign w:val="center"/>
          </w:tcPr>
          <w:p w14:paraId="0B65B53E"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86" w:type="dxa"/>
            <w:shd w:val="clear" w:color="auto" w:fill="C6EFCE"/>
            <w:noWrap/>
            <w:vAlign w:val="center"/>
          </w:tcPr>
          <w:p w14:paraId="57E6BF86"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100</w:t>
            </w:r>
          </w:p>
        </w:tc>
        <w:tc>
          <w:tcPr>
            <w:tcW w:w="1134" w:type="dxa"/>
            <w:shd w:val="clear" w:color="auto" w:fill="C6EFCE"/>
            <w:noWrap/>
            <w:vAlign w:val="center"/>
          </w:tcPr>
          <w:p w14:paraId="4A4E53C4"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39F0691C"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2699" w:type="dxa"/>
            <w:shd w:val="clear" w:color="auto" w:fill="C6EFCE"/>
            <w:noWrap/>
            <w:vAlign w:val="center"/>
          </w:tcPr>
          <w:p w14:paraId="56FD2805"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100 % des communications concernant la facturation/les paiements entre les institutions publiques de sécurité sociale (IPSS) et les employeurs sont numérisées. Le système de facturation de l’Office national de la sécurité sociale (ONSS) est intégré dans le réseau Pan-European Public Procurement On-Line (PEPPOL)</w:t>
            </w:r>
          </w:p>
        </w:tc>
      </w:tr>
      <w:tr w:rsidR="00F76C04" w:rsidRPr="001C1EE6" w14:paraId="2E149ECE" w14:textId="77777777" w:rsidTr="002C7502">
        <w:trPr>
          <w:trHeight w:val="309"/>
          <w:jc w:val="center"/>
        </w:trPr>
        <w:tc>
          <w:tcPr>
            <w:tcW w:w="1129" w:type="dxa"/>
            <w:shd w:val="clear" w:color="auto" w:fill="C6EFCE"/>
            <w:noWrap/>
            <w:vAlign w:val="center"/>
          </w:tcPr>
          <w:p w14:paraId="7F0A9C59"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52</w:t>
            </w:r>
          </w:p>
        </w:tc>
        <w:tc>
          <w:tcPr>
            <w:tcW w:w="1560" w:type="dxa"/>
            <w:shd w:val="clear" w:color="auto" w:fill="C6EFCE"/>
            <w:noWrap/>
            <w:vAlign w:val="center"/>
          </w:tcPr>
          <w:p w14:paraId="551CF053" w14:textId="1021EF26" w:rsidR="000D1388" w:rsidRPr="001C1EE6" w:rsidRDefault="73B59D02" w:rsidP="3FC37BC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(I-2.04) (sous-mesure 1)</w:t>
            </w:r>
          </w:p>
        </w:tc>
        <w:tc>
          <w:tcPr>
            <w:tcW w:w="1275" w:type="dxa"/>
            <w:shd w:val="clear" w:color="auto" w:fill="C6EFCE"/>
            <w:noWrap/>
            <w:vAlign w:val="center"/>
          </w:tcPr>
          <w:p w14:paraId="523C92DE"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78DB2C02" w14:textId="2414B671" w:rsidR="000D1388" w:rsidRPr="001C1EE6" w:rsidRDefault="00E43C8C" w:rsidP="715659F5">
            <w:pPr>
              <w:spacing w:after="0"/>
              <w:rPr>
                <w:noProof/>
              </w:rPr>
            </w:pPr>
            <w:r>
              <w:rPr>
                <w:rFonts w:ascii="Times New Roman" w:hAnsi="Times New Roman"/>
                <w:noProof/>
                <w:color w:val="006100"/>
                <w:sz w:val="20"/>
              </w:rPr>
              <w:t>Les fonctionnalités sont accessibles</w:t>
            </w:r>
          </w:p>
        </w:tc>
        <w:tc>
          <w:tcPr>
            <w:tcW w:w="1985" w:type="dxa"/>
            <w:shd w:val="clear" w:color="auto" w:fill="C6EFCE"/>
            <w:noWrap/>
            <w:vAlign w:val="center"/>
          </w:tcPr>
          <w:p w14:paraId="0B342F02" w14:textId="549E7EE9" w:rsidR="000D1388" w:rsidRPr="001C1EE6" w:rsidRDefault="00E43C8C">
            <w:pPr>
              <w:spacing w:after="0" w:line="257"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Les fonctionnalités sont accessibles</w:t>
            </w:r>
            <w:r>
              <w:rPr>
                <w:rFonts w:ascii="Times New Roman" w:hAnsi="Times New Roman"/>
                <w:noProof/>
                <w:color w:val="C239B3"/>
                <w:sz w:val="19"/>
                <w:u w:val="single"/>
              </w:rPr>
              <w:t xml:space="preserve"> </w:t>
            </w:r>
          </w:p>
        </w:tc>
        <w:tc>
          <w:tcPr>
            <w:tcW w:w="992" w:type="dxa"/>
            <w:shd w:val="clear" w:color="auto" w:fill="C6EFCE"/>
            <w:noWrap/>
            <w:vAlign w:val="center"/>
          </w:tcPr>
          <w:p w14:paraId="6BFC10F4"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40234771"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86" w:type="dxa"/>
            <w:shd w:val="clear" w:color="auto" w:fill="C6EFCE"/>
            <w:noWrap/>
            <w:vAlign w:val="center"/>
          </w:tcPr>
          <w:p w14:paraId="24789BFC"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4204D588"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4E80AB15"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699" w:type="dxa"/>
            <w:shd w:val="clear" w:color="auto" w:fill="C6EFCE"/>
            <w:noWrap/>
            <w:vAlign w:val="center"/>
          </w:tcPr>
          <w:p w14:paraId="36B8F2F1" w14:textId="0A9BAE8C" w:rsidR="000D1388" w:rsidRPr="00E43C8C" w:rsidRDefault="00AD2496" w:rsidP="00F70F65">
            <w:pPr>
              <w:pStyle w:val="ListParagraph"/>
              <w:numPr>
                <w:ilvl w:val="0"/>
                <w:numId w:val="33"/>
              </w:numPr>
              <w:spacing w:after="0" w:line="259" w:lineRule="auto"/>
              <w:rPr>
                <w:rFonts w:ascii="Times New Roman" w:eastAsia="Calibri" w:hAnsi="Times New Roman" w:cs="Arial"/>
                <w:noProof/>
                <w:color w:val="006100"/>
                <w:kern w:val="0"/>
                <w:sz w:val="20"/>
                <w:szCs w:val="20"/>
              </w:rPr>
            </w:pPr>
            <w:r>
              <w:rPr>
                <w:rFonts w:ascii="Times New Roman" w:hAnsi="Times New Roman"/>
                <w:noProof/>
                <w:color w:val="006100"/>
                <w:sz w:val="20"/>
              </w:rPr>
              <w:t xml:space="preserve">Les fonctionnalités sont accessibles pour l’échange de données entre les employeurs et une institution de sécurité sociale. </w:t>
            </w:r>
          </w:p>
          <w:p w14:paraId="25F7CA32" w14:textId="3244BB3D" w:rsidR="000D1388" w:rsidRPr="001C1EE6" w:rsidRDefault="00ED4294" w:rsidP="00F70F65">
            <w:pPr>
              <w:pStyle w:val="ListParagraph"/>
              <w:numPr>
                <w:ilvl w:val="0"/>
                <w:numId w:val="33"/>
              </w:numPr>
              <w:spacing w:after="0" w:line="259" w:lineRule="auto"/>
              <w:rPr>
                <w:rFonts w:ascii="Times New Roman" w:eastAsia="Calibri" w:hAnsi="Times New Roman" w:cs="Arial"/>
                <w:noProof/>
                <w:color w:val="006100"/>
                <w:sz w:val="20"/>
                <w:szCs w:val="20"/>
              </w:rPr>
            </w:pPr>
            <w:r>
              <w:rPr>
                <w:rFonts w:ascii="Times New Roman" w:hAnsi="Times New Roman"/>
                <w:noProof/>
                <w:color w:val="006100"/>
                <w:sz w:val="20"/>
              </w:rPr>
              <w:t xml:space="preserve">Une interface de gestion des accès est à la disposition des employeurs. </w:t>
            </w:r>
          </w:p>
        </w:tc>
      </w:tr>
      <w:tr w:rsidR="00F76C04" w:rsidRPr="001C1EE6" w14:paraId="5756B327" w14:textId="77777777" w:rsidTr="002C7502">
        <w:trPr>
          <w:trHeight w:val="309"/>
          <w:jc w:val="center"/>
        </w:trPr>
        <w:tc>
          <w:tcPr>
            <w:tcW w:w="1129" w:type="dxa"/>
            <w:shd w:val="clear" w:color="auto" w:fill="C6EFCE"/>
            <w:noWrap/>
            <w:vAlign w:val="center"/>
          </w:tcPr>
          <w:p w14:paraId="681D18FA"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53</w:t>
            </w:r>
          </w:p>
        </w:tc>
        <w:tc>
          <w:tcPr>
            <w:tcW w:w="1560" w:type="dxa"/>
            <w:shd w:val="clear" w:color="auto" w:fill="C6EFCE"/>
            <w:noWrap/>
            <w:vAlign w:val="center"/>
          </w:tcPr>
          <w:p w14:paraId="3F542E59" w14:textId="6DB32DFA" w:rsidR="000D1388" w:rsidRPr="001C1EE6" w:rsidRDefault="73B59D02" w:rsidP="3FC37BC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(I-2.04)</w:t>
            </w:r>
          </w:p>
          <w:p w14:paraId="1B82EC05"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(sous-mesure 3)</w:t>
            </w:r>
          </w:p>
        </w:tc>
        <w:tc>
          <w:tcPr>
            <w:tcW w:w="1275" w:type="dxa"/>
            <w:shd w:val="clear" w:color="auto" w:fill="C6EFCE"/>
            <w:noWrap/>
            <w:vAlign w:val="center"/>
          </w:tcPr>
          <w:p w14:paraId="08A52D93"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43D204E4" w14:textId="7303553E" w:rsidR="000D1388" w:rsidRPr="001C1EE6" w:rsidRDefault="1EA5E964" w:rsidP="3FC37BCA">
            <w:pPr>
              <w:spacing w:after="0"/>
              <w:rPr>
                <w:rFonts w:ascii="Times New Roman" w:eastAsia="Times New Roman" w:hAnsi="Times New Roman" w:cs="Times New Roman"/>
                <w:noProof/>
                <w:sz w:val="20"/>
                <w:szCs w:val="20"/>
              </w:rPr>
            </w:pPr>
            <w:r>
              <w:rPr>
                <w:rFonts w:ascii="Times New Roman" w:hAnsi="Times New Roman"/>
                <w:noProof/>
                <w:color w:val="006100"/>
                <w:sz w:val="20"/>
              </w:rPr>
              <w:t xml:space="preserve">Plateforme interactive </w:t>
            </w:r>
          </w:p>
        </w:tc>
        <w:tc>
          <w:tcPr>
            <w:tcW w:w="1985" w:type="dxa"/>
            <w:shd w:val="clear" w:color="auto" w:fill="C6EFCE"/>
            <w:noWrap/>
            <w:vAlign w:val="center"/>
          </w:tcPr>
          <w:p w14:paraId="6B128A46"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plateforme interactive pour les travailleurs indépendants est accessible.</w:t>
            </w:r>
          </w:p>
        </w:tc>
        <w:tc>
          <w:tcPr>
            <w:tcW w:w="992" w:type="dxa"/>
            <w:shd w:val="clear" w:color="auto" w:fill="C6EFCE"/>
            <w:noWrap/>
            <w:vAlign w:val="center"/>
          </w:tcPr>
          <w:p w14:paraId="414F8B67"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23A3BE85"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5BD0AE76"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FC1BCE8"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7678FA87"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699" w:type="dxa"/>
            <w:shd w:val="clear" w:color="auto" w:fill="C6EFCE"/>
            <w:noWrap/>
            <w:vAlign w:val="center"/>
          </w:tcPr>
          <w:p w14:paraId="5B15331D" w14:textId="477262DC" w:rsidR="000D1388" w:rsidRPr="001C1EE6" w:rsidRDefault="531808F3" w:rsidP="00557A3B">
            <w:pPr>
              <w:spacing w:after="0"/>
              <w:rPr>
                <w:rFonts w:ascii="Times New Roman" w:eastAsia="Calibri" w:hAnsi="Times New Roman" w:cs="Arial"/>
                <w:noProof/>
                <w:color w:val="006100"/>
                <w:sz w:val="20"/>
                <w:szCs w:val="20"/>
              </w:rPr>
            </w:pPr>
            <w:r>
              <w:rPr>
                <w:rFonts w:ascii="Times New Roman" w:hAnsi="Times New Roman"/>
                <w:noProof/>
                <w:color w:val="006100"/>
                <w:sz w:val="20"/>
              </w:rPr>
              <w:t>Une plateforme interactive est accessible aux travailleurs indépendants et est connectée à au moins deux institutions.</w:t>
            </w:r>
          </w:p>
        </w:tc>
      </w:tr>
      <w:tr w:rsidR="00F76C04" w:rsidRPr="001C1EE6" w14:paraId="0D76B475" w14:textId="77777777" w:rsidTr="002C7502">
        <w:trPr>
          <w:trHeight w:val="309"/>
          <w:jc w:val="center"/>
        </w:trPr>
        <w:tc>
          <w:tcPr>
            <w:tcW w:w="1129" w:type="dxa"/>
            <w:shd w:val="clear" w:color="auto" w:fill="C6EFCE"/>
            <w:noWrap/>
            <w:vAlign w:val="center"/>
          </w:tcPr>
          <w:p w14:paraId="3423D448"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54</w:t>
            </w:r>
          </w:p>
        </w:tc>
        <w:tc>
          <w:tcPr>
            <w:tcW w:w="1560" w:type="dxa"/>
            <w:shd w:val="clear" w:color="auto" w:fill="C6EFCE"/>
            <w:noWrap/>
            <w:vAlign w:val="center"/>
          </w:tcPr>
          <w:p w14:paraId="5D93A453"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Digitalisation SPF (I-2.05) </w:t>
            </w:r>
          </w:p>
        </w:tc>
        <w:tc>
          <w:tcPr>
            <w:tcW w:w="1275" w:type="dxa"/>
            <w:shd w:val="clear" w:color="auto" w:fill="C6EFCE"/>
            <w:noWrap/>
            <w:vAlign w:val="center"/>
          </w:tcPr>
          <w:p w14:paraId="0413D9A6"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08917273"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Les exigences sont définies </w:t>
            </w:r>
          </w:p>
        </w:tc>
        <w:tc>
          <w:tcPr>
            <w:tcW w:w="1985" w:type="dxa"/>
            <w:shd w:val="clear" w:color="auto" w:fill="C6EFCE"/>
            <w:noWrap/>
            <w:vAlign w:val="center"/>
          </w:tcPr>
          <w:p w14:paraId="4EE061A5"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pour les différentes sous-mesures sont définies et approuvées</w:t>
            </w:r>
          </w:p>
        </w:tc>
        <w:tc>
          <w:tcPr>
            <w:tcW w:w="992" w:type="dxa"/>
            <w:shd w:val="clear" w:color="auto" w:fill="C6EFCE"/>
            <w:noWrap/>
            <w:vAlign w:val="center"/>
          </w:tcPr>
          <w:p w14:paraId="110ED5CE"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12CF1AB"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343FD895"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0648D19" w14:textId="77777777" w:rsidR="000D1388" w:rsidRPr="001C1EE6" w:rsidRDefault="00E71057">
            <w:pP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7C85A333"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699" w:type="dxa"/>
            <w:shd w:val="clear" w:color="auto" w:fill="C6EFCE"/>
            <w:noWrap/>
            <w:vAlign w:val="center"/>
          </w:tcPr>
          <w:p w14:paraId="2DD2DD0B"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pour les sous-mesures 2, 3, 4, 5, 6, 8, 9, 11 et 12 sont définies par les administrations compétentes et approuvées par le ministère compétent</w:t>
            </w:r>
          </w:p>
        </w:tc>
      </w:tr>
      <w:tr w:rsidR="00F76C04" w:rsidRPr="001C1EE6" w14:paraId="29E3FF90" w14:textId="77777777" w:rsidTr="002C7502">
        <w:trPr>
          <w:trHeight w:val="309"/>
          <w:jc w:val="center"/>
        </w:trPr>
        <w:tc>
          <w:tcPr>
            <w:tcW w:w="1129" w:type="dxa"/>
            <w:shd w:val="clear" w:color="auto" w:fill="C6EFCE"/>
            <w:noWrap/>
            <w:vAlign w:val="center"/>
          </w:tcPr>
          <w:p w14:paraId="1DF5AE98"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55</w:t>
            </w:r>
          </w:p>
        </w:tc>
        <w:tc>
          <w:tcPr>
            <w:tcW w:w="1560" w:type="dxa"/>
            <w:shd w:val="clear" w:color="auto" w:fill="C6EFCE"/>
            <w:noWrap/>
            <w:vAlign w:val="center"/>
          </w:tcPr>
          <w:p w14:paraId="7537B8A2"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Digitalisation SPF (I-2.05) </w:t>
            </w:r>
          </w:p>
        </w:tc>
        <w:tc>
          <w:tcPr>
            <w:tcW w:w="1275" w:type="dxa"/>
            <w:shd w:val="clear" w:color="auto" w:fill="C6EFCE"/>
            <w:noWrap/>
            <w:vAlign w:val="center"/>
          </w:tcPr>
          <w:p w14:paraId="75B320A0"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73F78B0A" w14:textId="77777777" w:rsidR="000D1388" w:rsidRPr="001C1EE6"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Projets de digitalisation</w:t>
            </w:r>
          </w:p>
        </w:tc>
        <w:tc>
          <w:tcPr>
            <w:tcW w:w="1985" w:type="dxa"/>
            <w:shd w:val="clear" w:color="auto" w:fill="C6EFCE"/>
            <w:noWrap/>
            <w:vAlign w:val="center"/>
          </w:tcPr>
          <w:p w14:paraId="7A9DF4A4" w14:textId="77777777" w:rsidR="000D1388" w:rsidRPr="001C1EE6"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Projets de digitalisation</w:t>
            </w:r>
          </w:p>
        </w:tc>
        <w:tc>
          <w:tcPr>
            <w:tcW w:w="992" w:type="dxa"/>
            <w:shd w:val="clear" w:color="auto" w:fill="C6EFCE"/>
            <w:noWrap/>
            <w:vAlign w:val="center"/>
          </w:tcPr>
          <w:p w14:paraId="18BF3B14" w14:textId="77777777" w:rsidR="000D1388" w:rsidRPr="000E686E"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B4A3FB6"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86" w:type="dxa"/>
            <w:shd w:val="clear" w:color="auto" w:fill="C6EFCE"/>
            <w:noWrap/>
            <w:vAlign w:val="center"/>
          </w:tcPr>
          <w:p w14:paraId="6A7B13F6"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0EB9C579"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07D9652A"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699" w:type="dxa"/>
            <w:shd w:val="clear" w:color="auto" w:fill="C6EFCE"/>
            <w:noWrap/>
            <w:vAlign w:val="center"/>
          </w:tcPr>
          <w:p w14:paraId="14A367E6" w14:textId="73B86A15" w:rsidR="004B49E0" w:rsidRPr="0092592E" w:rsidRDefault="004B49E0" w:rsidP="00557A3B">
            <w:pPr>
              <w:numPr>
                <w:ilvl w:val="0"/>
                <w:numId w:val="35"/>
              </w:num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Achats pour 10 projets de numérisation. </w:t>
            </w:r>
          </w:p>
          <w:p w14:paraId="696677E3" w14:textId="4F396EF2" w:rsidR="000D1388" w:rsidRPr="0092592E" w:rsidRDefault="4AC2CCBE" w:rsidP="00F70F65">
            <w:pPr>
              <w:pStyle w:val="ListParagraph"/>
              <w:numPr>
                <w:ilvl w:val="0"/>
                <w:numId w:val="35"/>
              </w:numPr>
              <w:spacing w:after="0"/>
              <w:rPr>
                <w:rFonts w:ascii="Times New Roman" w:eastAsia="Calibri" w:hAnsi="Times New Roman" w:cs="Arial"/>
                <w:noProof/>
                <w:color w:val="006100"/>
                <w:kern w:val="0"/>
                <w:sz w:val="20"/>
                <w:szCs w:val="20"/>
              </w:rPr>
            </w:pPr>
            <w:r>
              <w:rPr>
                <w:rFonts w:ascii="Times New Roman" w:hAnsi="Times New Roman"/>
                <w:noProof/>
                <w:color w:val="006100"/>
                <w:sz w:val="20"/>
              </w:rPr>
              <w:t xml:space="preserve">i) Les fonctionnalités de la plateforme «Synergy» et une application mobile pour les visites d’État seront accessibles, ii) une application pour la gestion des ressources humaines sera accessible et des commutateurs de réseau local seront achetés. </w:t>
            </w:r>
          </w:p>
          <w:p w14:paraId="4D17DE67" w14:textId="1476028E" w:rsidR="000D1388" w:rsidRDefault="4AC2CCBE" w:rsidP="00F70F65">
            <w:pPr>
              <w:pStyle w:val="ListParagraph"/>
              <w:numPr>
                <w:ilvl w:val="0"/>
                <w:numId w:val="35"/>
              </w:numPr>
              <w:spacing w:after="0"/>
              <w:rPr>
                <w:rFonts w:ascii="Times New Roman" w:eastAsia="Times New Roman" w:hAnsi="Times New Roman" w:cs="Times New Roman"/>
                <w:noProof/>
                <w:color w:val="000000" w:themeColor="text1"/>
              </w:rPr>
            </w:pPr>
            <w:r>
              <w:rPr>
                <w:rFonts w:ascii="Times New Roman" w:hAnsi="Times New Roman"/>
                <w:noProof/>
                <w:color w:val="006100"/>
                <w:sz w:val="20"/>
              </w:rPr>
              <w:t>Achat de matériel pour le centre national de crise, la base technique du réseau de communication sera en place, une plateforme de gestion des crises est utilisée.</w:t>
            </w:r>
            <w:r>
              <w:rPr>
                <w:rFonts w:ascii="Times New Roman" w:hAnsi="Times New Roman"/>
                <w:noProof/>
                <w:color w:val="000000" w:themeColor="text1"/>
              </w:rPr>
              <w:t xml:space="preserve"> </w:t>
            </w:r>
          </w:p>
          <w:p w14:paraId="7EE8B7AE" w14:textId="0FF11A3B" w:rsidR="000D1388" w:rsidRDefault="4AC2CCBE" w:rsidP="00F70F65">
            <w:pPr>
              <w:pStyle w:val="ListParagraph"/>
              <w:numPr>
                <w:ilvl w:val="0"/>
                <w:numId w:val="35"/>
              </w:numPr>
              <w:spacing w:after="0"/>
              <w:rPr>
                <w:rFonts w:ascii="Times New Roman" w:eastAsia="Times New Roman" w:hAnsi="Times New Roman" w:cs="Times New Roman"/>
                <w:noProof/>
                <w:color w:val="000000" w:themeColor="text1"/>
              </w:rPr>
            </w:pPr>
            <w:r>
              <w:rPr>
                <w:rFonts w:ascii="Times New Roman" w:hAnsi="Times New Roman"/>
                <w:noProof/>
                <w:color w:val="006100"/>
                <w:sz w:val="20"/>
              </w:rPr>
              <w:t>Un système de billetterie pour Bozar est en ligne et accessible, des événements et contenus numériques sont accessibles, une infrastructure technique pour la cybersécurité et des capacités d’analyse des mégadonnées seront en place.</w:t>
            </w:r>
            <w:r>
              <w:rPr>
                <w:rFonts w:ascii="Times New Roman" w:hAnsi="Times New Roman"/>
                <w:noProof/>
                <w:color w:val="000000" w:themeColor="text1"/>
              </w:rPr>
              <w:t xml:space="preserve"> </w:t>
            </w:r>
          </w:p>
          <w:p w14:paraId="7E68D540" w14:textId="0DB3B731" w:rsidR="000D1388" w:rsidRPr="00AF59E4" w:rsidRDefault="4AC2CCBE" w:rsidP="00F70F65">
            <w:pPr>
              <w:pStyle w:val="ListParagraph"/>
              <w:numPr>
                <w:ilvl w:val="0"/>
                <w:numId w:val="35"/>
              </w:numPr>
              <w:spacing w:after="0"/>
              <w:rPr>
                <w:rFonts w:ascii="Times New Roman" w:eastAsia="Calibri" w:hAnsi="Times New Roman" w:cs="Arial"/>
                <w:noProof/>
                <w:color w:val="006100"/>
                <w:kern w:val="0"/>
                <w:sz w:val="20"/>
                <w:szCs w:val="20"/>
              </w:rPr>
            </w:pPr>
            <w:r>
              <w:rPr>
                <w:rFonts w:ascii="Times New Roman" w:hAnsi="Times New Roman"/>
                <w:noProof/>
                <w:color w:val="006100"/>
                <w:sz w:val="20"/>
              </w:rPr>
              <w:t xml:space="preserve">i) La plateforme MyGov.be est en ligne et accessible, ii) les services de données du programme «Unleashing Government Data» (Libérer le potentiel des données gouvernementales) sont en ligne et accessibles. </w:t>
            </w:r>
          </w:p>
          <w:p w14:paraId="6A1E9D89" w14:textId="42879364" w:rsidR="000D1388" w:rsidRDefault="009228EE" w:rsidP="00F70F65">
            <w:pPr>
              <w:pStyle w:val="ListParagraph"/>
              <w:numPr>
                <w:ilvl w:val="0"/>
                <w:numId w:val="35"/>
              </w:numPr>
              <w:spacing w:after="0"/>
              <w:rPr>
                <w:rFonts w:ascii="Times New Roman" w:eastAsia="Times New Roman" w:hAnsi="Times New Roman" w:cs="Times New Roman"/>
                <w:noProof/>
                <w:color w:val="000000" w:themeColor="text1"/>
              </w:rPr>
            </w:pPr>
            <w:r>
              <w:rPr>
                <w:rFonts w:ascii="Times New Roman" w:hAnsi="Times New Roman"/>
                <w:noProof/>
                <w:color w:val="006100"/>
                <w:sz w:val="20"/>
              </w:rPr>
              <w:t>Une application de portail pour les consommateurs avec une application fonctionnelle, une application de portail pour les opérateurs avec trois applications fonctionnelles et une application de portail pour les agents avec deux applications fonctionnelles seront en ligne et accessibles.</w:t>
            </w:r>
            <w:r>
              <w:rPr>
                <w:rFonts w:ascii="Times New Roman" w:hAnsi="Times New Roman"/>
                <w:noProof/>
                <w:color w:val="000000" w:themeColor="text1"/>
              </w:rPr>
              <w:t xml:space="preserve"> </w:t>
            </w:r>
            <w:r>
              <w:rPr>
                <w:rFonts w:ascii="Times New Roman" w:hAnsi="Times New Roman"/>
                <w:noProof/>
                <w:color w:val="006100"/>
                <w:sz w:val="20"/>
              </w:rPr>
              <w:t>Une plateforme de données unique donne accès à des ensembles de données ouvertes publiés.</w:t>
            </w:r>
            <w:r>
              <w:rPr>
                <w:rFonts w:ascii="Times New Roman" w:hAnsi="Times New Roman"/>
                <w:noProof/>
                <w:color w:val="000000" w:themeColor="text1"/>
              </w:rPr>
              <w:t xml:space="preserve"> </w:t>
            </w:r>
          </w:p>
          <w:p w14:paraId="17DA39B1" w14:textId="147AC87D" w:rsidR="000D1388" w:rsidRPr="001C1EE6" w:rsidRDefault="4AC2CCBE" w:rsidP="00F70F65">
            <w:pPr>
              <w:pStyle w:val="ListParagraph"/>
              <w:numPr>
                <w:ilvl w:val="0"/>
                <w:numId w:val="35"/>
              </w:numPr>
              <w:spacing w:after="0"/>
              <w:rPr>
                <w:rFonts w:ascii="Times New Roman" w:eastAsia="Times New Roman" w:hAnsi="Times New Roman" w:cs="Times New Roman"/>
                <w:noProof/>
                <w:color w:val="000000" w:themeColor="text1"/>
                <w:sz w:val="22"/>
                <w:szCs w:val="22"/>
              </w:rPr>
            </w:pPr>
            <w:r>
              <w:rPr>
                <w:rFonts w:ascii="Times New Roman" w:hAnsi="Times New Roman"/>
                <w:noProof/>
                <w:color w:val="006100"/>
                <w:sz w:val="20"/>
              </w:rPr>
              <w:t>Un site web présentant des données sur les conditions de travail sera disponible en ligne et accessible.</w:t>
            </w:r>
          </w:p>
        </w:tc>
      </w:tr>
      <w:tr w:rsidR="00F76C04" w:rsidRPr="001C1EE6" w14:paraId="020FF084" w14:textId="77777777" w:rsidTr="002C7502">
        <w:trPr>
          <w:trHeight w:val="309"/>
          <w:jc w:val="center"/>
        </w:trPr>
        <w:tc>
          <w:tcPr>
            <w:tcW w:w="1129" w:type="dxa"/>
            <w:shd w:val="clear" w:color="auto" w:fill="C6EFCE"/>
            <w:noWrap/>
            <w:vAlign w:val="center"/>
          </w:tcPr>
          <w:p w14:paraId="2ACFFCFF"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56</w:t>
            </w:r>
          </w:p>
        </w:tc>
        <w:tc>
          <w:tcPr>
            <w:tcW w:w="1560" w:type="dxa"/>
            <w:shd w:val="clear" w:color="auto" w:fill="C6EFCE"/>
            <w:noWrap/>
            <w:vAlign w:val="center"/>
          </w:tcPr>
          <w:p w14:paraId="082999A2" w14:textId="77777777" w:rsidR="000D1388" w:rsidRPr="001C1EE6"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1275" w:type="dxa"/>
            <w:shd w:val="clear" w:color="auto" w:fill="C6EFCE"/>
            <w:noWrap/>
            <w:vAlign w:val="center"/>
          </w:tcPr>
          <w:p w14:paraId="3EF78AE8"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3998C2D2"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gestion de projet est en place pour la transformation numérique de la justice après l’adoption d’un arrêté</w:t>
            </w:r>
          </w:p>
        </w:tc>
        <w:tc>
          <w:tcPr>
            <w:tcW w:w="1985" w:type="dxa"/>
            <w:shd w:val="clear" w:color="auto" w:fill="C6EFCE"/>
            <w:noWrap/>
            <w:vAlign w:val="center"/>
          </w:tcPr>
          <w:p w14:paraId="3476B247"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arrêté ministériel relatif à un bureau de gestion de programme pour la transformation numérique de la justice</w:t>
            </w:r>
          </w:p>
        </w:tc>
        <w:tc>
          <w:tcPr>
            <w:tcW w:w="992" w:type="dxa"/>
            <w:shd w:val="clear" w:color="auto" w:fill="C6EFCE"/>
            <w:noWrap/>
            <w:vAlign w:val="center"/>
          </w:tcPr>
          <w:p w14:paraId="48A22C47"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0897B82"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0553EA4B"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7F4FFE55"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3ADD00D6"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2699" w:type="dxa"/>
            <w:shd w:val="clear" w:color="auto" w:fill="C6EFCE"/>
            <w:noWrap/>
            <w:vAlign w:val="center"/>
          </w:tcPr>
          <w:p w14:paraId="4B75D241" w14:textId="77777777" w:rsidR="000D1388" w:rsidRPr="001C1EE6"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par le ministre de la justice d’un arrêté ministériel établissant un bureau de gestion de programme doté d’une structure de gouvernance claire pour la digitalisation du SPF Justice. Il comprend une définition claire des tâches et des compétences, ainsi que des dispositions précises concernant les différentes parties qui participeront à la transformation numérique</w:t>
            </w:r>
          </w:p>
        </w:tc>
      </w:tr>
      <w:tr w:rsidR="00F76C04" w:rsidRPr="001C1EE6" w14:paraId="77E5EE60" w14:textId="77777777" w:rsidTr="002C7502">
        <w:trPr>
          <w:trHeight w:val="309"/>
          <w:jc w:val="center"/>
        </w:trPr>
        <w:tc>
          <w:tcPr>
            <w:tcW w:w="1129" w:type="dxa"/>
            <w:shd w:val="clear" w:color="auto" w:fill="C6EFCE"/>
            <w:noWrap/>
            <w:vAlign w:val="center"/>
          </w:tcPr>
          <w:p w14:paraId="388AB6D2"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57</w:t>
            </w:r>
          </w:p>
        </w:tc>
        <w:tc>
          <w:tcPr>
            <w:tcW w:w="1560" w:type="dxa"/>
            <w:shd w:val="clear" w:color="auto" w:fill="C6EFCE"/>
            <w:noWrap/>
            <w:vAlign w:val="center"/>
          </w:tcPr>
          <w:p w14:paraId="3C9458FA"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1275" w:type="dxa"/>
            <w:shd w:val="clear" w:color="auto" w:fill="C6EFCE"/>
            <w:noWrap/>
            <w:vAlign w:val="center"/>
          </w:tcPr>
          <w:p w14:paraId="222652A0"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333C9BDE"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 portail en ligne Just-On-Web</w:t>
            </w:r>
          </w:p>
        </w:tc>
        <w:tc>
          <w:tcPr>
            <w:tcW w:w="1985" w:type="dxa"/>
            <w:shd w:val="clear" w:color="auto" w:fill="C6EFCE"/>
            <w:noWrap/>
            <w:vAlign w:val="center"/>
          </w:tcPr>
          <w:p w14:paraId="37346206"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 portail de base Just-On-Web est mis en ligne.</w:t>
            </w:r>
          </w:p>
        </w:tc>
        <w:tc>
          <w:tcPr>
            <w:tcW w:w="992" w:type="dxa"/>
            <w:shd w:val="clear" w:color="auto" w:fill="C6EFCE"/>
            <w:noWrap/>
            <w:vAlign w:val="center"/>
          </w:tcPr>
          <w:p w14:paraId="6FA159DE"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C0183C0"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01281806"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7A2E454A"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5C25210B"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699" w:type="dxa"/>
            <w:shd w:val="clear" w:color="auto" w:fill="C6EFCE"/>
            <w:noWrap/>
            <w:vAlign w:val="center"/>
          </w:tcPr>
          <w:p w14:paraId="17717D70"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 portail de base Just-On-Web est mis en ligne. Just-On-Web sera le portail web à «guichet unique» où les particuliers, les entreprises, les juristes et les autorités publiques pourront accéder aux services et informations de justice. Dans un premier temps, le portail de base Just-On-Web fournira un nombre limité de services, tels que le dépôt des actes de procédure dans une affaire, la consultation des procédures pénales en matière de délits sexuels, la consultation et le paiement des amendes routières, la consultation des actes officiels personnels (mariage, adoption…), le lancement d’une procédure sur la protection des personnes.</w:t>
            </w:r>
          </w:p>
        </w:tc>
      </w:tr>
      <w:tr w:rsidR="00F76C04" w:rsidRPr="001C1EE6" w14:paraId="39EE3F30" w14:textId="77777777" w:rsidTr="002C7502">
        <w:trPr>
          <w:trHeight w:val="309"/>
          <w:jc w:val="center"/>
        </w:trPr>
        <w:tc>
          <w:tcPr>
            <w:tcW w:w="1129" w:type="dxa"/>
            <w:shd w:val="clear" w:color="auto" w:fill="C6EFCE"/>
            <w:noWrap/>
            <w:vAlign w:val="center"/>
          </w:tcPr>
          <w:p w14:paraId="4AF6DE06"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58</w:t>
            </w:r>
          </w:p>
        </w:tc>
        <w:tc>
          <w:tcPr>
            <w:tcW w:w="1560" w:type="dxa"/>
            <w:shd w:val="clear" w:color="auto" w:fill="C6EFCE"/>
            <w:noWrap/>
            <w:vAlign w:val="center"/>
          </w:tcPr>
          <w:p w14:paraId="7BB05D79" w14:textId="77777777" w:rsidR="000D1388" w:rsidRPr="001C1EE6"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1275" w:type="dxa"/>
            <w:shd w:val="clear" w:color="auto" w:fill="C6EFCE"/>
            <w:noWrap/>
            <w:vAlign w:val="center"/>
          </w:tcPr>
          <w:p w14:paraId="37FEEE3B"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4A063044"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Centralisation interne des décisions de justice</w:t>
            </w:r>
          </w:p>
        </w:tc>
        <w:tc>
          <w:tcPr>
            <w:tcW w:w="1985" w:type="dxa"/>
            <w:shd w:val="clear" w:color="auto" w:fill="C6EFCE"/>
            <w:noWrap/>
            <w:vAlign w:val="center"/>
          </w:tcPr>
          <w:p w14:paraId="6A766A95"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Les jugements sont recueillis dans une base de données et peuvent être consultés </w:t>
            </w:r>
          </w:p>
        </w:tc>
        <w:tc>
          <w:tcPr>
            <w:tcW w:w="992" w:type="dxa"/>
            <w:shd w:val="clear" w:color="auto" w:fill="C6EFCE"/>
            <w:noWrap/>
            <w:vAlign w:val="center"/>
          </w:tcPr>
          <w:p w14:paraId="5BE3B3B7"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4972484D"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404C7D20"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51691595"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476DD09E"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699" w:type="dxa"/>
            <w:shd w:val="clear" w:color="auto" w:fill="C6EFCE"/>
            <w:noWrap/>
            <w:vAlign w:val="center"/>
          </w:tcPr>
          <w:p w14:paraId="5AE90EEB" w14:textId="77777777" w:rsidR="000D1388" w:rsidRPr="001C1EE6" w:rsidRDefault="00E71057">
            <w:pPr>
              <w:spacing w:after="0"/>
              <w:rPr>
                <w:rFonts w:ascii="Times New Roman" w:eastAsia="Times New Roman" w:hAnsi="Times New Roman" w:cs="Times New Roman"/>
                <w:noProof/>
                <w:sz w:val="20"/>
                <w:szCs w:val="20"/>
              </w:rPr>
            </w:pPr>
            <w:r>
              <w:rPr>
                <w:rFonts w:ascii="Times New Roman" w:hAnsi="Times New Roman"/>
                <w:noProof/>
                <w:color w:val="006100"/>
                <w:sz w:val="20"/>
              </w:rPr>
              <w:t>La base de données JustJudgts recueille les décisions des tribunaux correctionnels, des juges de paix, des tribunaux de police et des cours d’appel. La plateforme Just-on-Web permet aux parties citoyennes concernées et à leurs avocats de consulter au moins les décisions des juges de paix, des tribunaux de police et des tribunaux correctionnels.</w:t>
            </w:r>
          </w:p>
        </w:tc>
      </w:tr>
      <w:tr w:rsidR="00F76C04" w:rsidRPr="001C1EE6" w14:paraId="614BA426" w14:textId="77777777" w:rsidTr="002C7502">
        <w:trPr>
          <w:trHeight w:val="309"/>
          <w:jc w:val="center"/>
        </w:trPr>
        <w:tc>
          <w:tcPr>
            <w:tcW w:w="1129" w:type="dxa"/>
            <w:shd w:val="clear" w:color="auto" w:fill="C6EFCE"/>
            <w:noWrap/>
            <w:vAlign w:val="center"/>
          </w:tcPr>
          <w:p w14:paraId="03FAEAE9"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59</w:t>
            </w:r>
          </w:p>
        </w:tc>
        <w:tc>
          <w:tcPr>
            <w:tcW w:w="1560" w:type="dxa"/>
            <w:shd w:val="clear" w:color="auto" w:fill="C6EFCE"/>
            <w:noWrap/>
            <w:vAlign w:val="center"/>
          </w:tcPr>
          <w:p w14:paraId="4C129149" w14:textId="77777777" w:rsidR="000D1388" w:rsidRPr="001C1EE6"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Digitalisation SPF (I-2.05) </w:t>
            </w:r>
          </w:p>
        </w:tc>
        <w:tc>
          <w:tcPr>
            <w:tcW w:w="1275" w:type="dxa"/>
            <w:shd w:val="clear" w:color="auto" w:fill="C6EFCE"/>
            <w:noWrap/>
            <w:vAlign w:val="center"/>
          </w:tcPr>
          <w:p w14:paraId="7F5C7089"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185641DD"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Base de données pour la collecte de données</w:t>
            </w:r>
          </w:p>
        </w:tc>
        <w:tc>
          <w:tcPr>
            <w:tcW w:w="1985" w:type="dxa"/>
            <w:shd w:val="clear" w:color="auto" w:fill="C6EFCE"/>
            <w:noWrap/>
            <w:vAlign w:val="center"/>
          </w:tcPr>
          <w:p w14:paraId="40298C22"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Une base de données collectant des données sur le déroulement des procédures judiciaires est accessible. </w:t>
            </w:r>
          </w:p>
        </w:tc>
        <w:tc>
          <w:tcPr>
            <w:tcW w:w="992" w:type="dxa"/>
            <w:shd w:val="clear" w:color="auto" w:fill="C6EFCE"/>
            <w:noWrap/>
            <w:vAlign w:val="center"/>
          </w:tcPr>
          <w:p w14:paraId="14F1CDD2"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B71A01F"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71188CE4"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55E1F98B" w14:textId="77777777" w:rsidR="000D1388" w:rsidRPr="001C1EE6"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592F26EE" w14:textId="77777777" w:rsidR="000D1388" w:rsidRPr="001C1EE6"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2024</w:t>
            </w:r>
          </w:p>
        </w:tc>
        <w:tc>
          <w:tcPr>
            <w:tcW w:w="2699" w:type="dxa"/>
            <w:shd w:val="clear" w:color="auto" w:fill="C6EFCE"/>
            <w:noWrap/>
            <w:vAlign w:val="center"/>
          </w:tcPr>
          <w:p w14:paraId="00F565B6" w14:textId="77777777" w:rsidR="000D1388" w:rsidRPr="001C1EE6"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Une base de données collectant des données sur le déroulement des procédures judiciaires est accessible aux services statistiques et aux commissions de direction de l’ordre judiciaire. Les données comprennent au moins le nombre de nouveaux dossiers, le nombre de dossiers clos, le nombre de dossiers pendants et la durée moyenne des procédures. Les données couvrent au moins les juges de paix, les tribunaux de police, les tribunaux de première instance, les cours d’appel, ainsi que les tribunaux de l’entreprise et les tribunaux du travail. </w:t>
            </w:r>
          </w:p>
        </w:tc>
      </w:tr>
      <w:tr w:rsidR="00F76C04" w:rsidRPr="001C1EE6" w14:paraId="1BE1C1A7" w14:textId="77777777" w:rsidTr="002C7502">
        <w:trPr>
          <w:trHeight w:val="309"/>
          <w:jc w:val="center"/>
        </w:trPr>
        <w:tc>
          <w:tcPr>
            <w:tcW w:w="1129" w:type="dxa"/>
            <w:shd w:val="clear" w:color="auto" w:fill="C6EFCE"/>
            <w:noWrap/>
            <w:vAlign w:val="center"/>
          </w:tcPr>
          <w:p w14:paraId="2DE52604"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60</w:t>
            </w:r>
          </w:p>
        </w:tc>
        <w:tc>
          <w:tcPr>
            <w:tcW w:w="1560" w:type="dxa"/>
            <w:shd w:val="clear" w:color="auto" w:fill="C6EFCE"/>
            <w:noWrap/>
            <w:vAlign w:val="center"/>
          </w:tcPr>
          <w:p w14:paraId="4AF02F16" w14:textId="77777777" w:rsidR="000D1388" w:rsidRPr="001C1EE6"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1275" w:type="dxa"/>
            <w:shd w:val="clear" w:color="auto" w:fill="C6EFCE"/>
            <w:noWrap/>
            <w:vAlign w:val="center"/>
          </w:tcPr>
          <w:p w14:paraId="7B4B2B57"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0DCAAC55" w14:textId="456A2679" w:rsidR="000D1388" w:rsidRPr="001C1EE6" w:rsidRDefault="00E71057" w:rsidP="715659F5">
            <w:pPr>
              <w:spacing w:after="0"/>
              <w:rPr>
                <w:rFonts w:ascii="Times New Roman" w:eastAsia="Times New Roman" w:hAnsi="Times New Roman" w:cs="Times New Roman"/>
                <w:noProof/>
                <w:sz w:val="20"/>
                <w:szCs w:val="20"/>
              </w:rPr>
            </w:pPr>
            <w:r>
              <w:rPr>
                <w:rFonts w:ascii="Times New Roman" w:hAnsi="Times New Roman"/>
                <w:noProof/>
                <w:color w:val="006100"/>
                <w:sz w:val="20"/>
              </w:rPr>
              <w:t>Système de gestion des dossiers en place pour cinq entités judiciaires</w:t>
            </w:r>
          </w:p>
        </w:tc>
        <w:tc>
          <w:tcPr>
            <w:tcW w:w="1985" w:type="dxa"/>
            <w:shd w:val="clear" w:color="auto" w:fill="C6EFCE"/>
            <w:noWrap/>
            <w:vAlign w:val="center"/>
          </w:tcPr>
          <w:p w14:paraId="3341F8F2"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système de gestion des dossiers est en place pour cinq entités judiciaires</w:t>
            </w:r>
          </w:p>
        </w:tc>
        <w:tc>
          <w:tcPr>
            <w:tcW w:w="992" w:type="dxa"/>
            <w:shd w:val="clear" w:color="auto" w:fill="C6EFCE"/>
            <w:noWrap/>
            <w:vAlign w:val="center"/>
          </w:tcPr>
          <w:p w14:paraId="04F81B02"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3D30CCF4"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14339372"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9AC37FC"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7EEC8187"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699" w:type="dxa"/>
            <w:shd w:val="clear" w:color="auto" w:fill="C6EFCE"/>
            <w:noWrap/>
            <w:vAlign w:val="center"/>
          </w:tcPr>
          <w:p w14:paraId="52322715"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système de gestion des dossiers pour gérer les données des affaires judiciaires est mis en place pour cinq entités judiciaires:</w:t>
            </w:r>
          </w:p>
          <w:p w14:paraId="69122106" w14:textId="03BDD783" w:rsidR="000D1388" w:rsidRPr="001C1EE6" w:rsidRDefault="00E71057" w:rsidP="00F70F65">
            <w:pPr>
              <w:pStyle w:val="ListParagraph"/>
              <w:numPr>
                <w:ilvl w:val="6"/>
                <w:numId w:val="26"/>
              </w:numPr>
              <w:spacing w:after="0"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Juridiction chargée de l’exécution des peines (magistrature assise)</w:t>
            </w:r>
          </w:p>
          <w:p w14:paraId="7789DF8F" w14:textId="77777777" w:rsidR="000D1388" w:rsidRPr="001C1EE6" w:rsidRDefault="00E71057" w:rsidP="00F70F65">
            <w:pPr>
              <w:pStyle w:val="ListParagraph"/>
              <w:numPr>
                <w:ilvl w:val="6"/>
                <w:numId w:val="26"/>
              </w:numPr>
              <w:spacing w:after="0"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Juridiction chargée de l’exécution des peines (magistrature debout)</w:t>
            </w:r>
          </w:p>
          <w:p w14:paraId="70A284BC" w14:textId="292457D8" w:rsidR="000D1388" w:rsidRPr="001C1EE6" w:rsidRDefault="00E71057" w:rsidP="00F70F65">
            <w:pPr>
              <w:pStyle w:val="ListParagraph"/>
              <w:numPr>
                <w:ilvl w:val="6"/>
                <w:numId w:val="26"/>
              </w:numPr>
              <w:spacing w:after="0" w:line="259" w:lineRule="auto"/>
              <w:rPr>
                <w:rFonts w:ascii="Times New Roman" w:eastAsia="Times New Roman" w:hAnsi="Times New Roman" w:cs="Times New Roman"/>
                <w:noProof/>
                <w:color w:val="006100"/>
                <w:sz w:val="20"/>
                <w:szCs w:val="20"/>
              </w:rPr>
            </w:pPr>
            <w:r>
              <w:rPr>
                <w:noProof/>
                <w:color w:val="006100"/>
                <w:sz w:val="20"/>
              </w:rPr>
              <w:t>Cour de cassation</w:t>
            </w:r>
          </w:p>
          <w:p w14:paraId="1F42F769" w14:textId="1452B93D" w:rsidR="000D1388" w:rsidRPr="003F43FB" w:rsidRDefault="2A17D2A1" w:rsidP="00F70F65">
            <w:pPr>
              <w:pStyle w:val="ListParagraph"/>
              <w:numPr>
                <w:ilvl w:val="6"/>
                <w:numId w:val="26"/>
              </w:numPr>
              <w:spacing w:after="0" w:line="259" w:lineRule="auto"/>
              <w:rPr>
                <w:rFonts w:ascii="Times New Roman" w:eastAsia="Times New Roman" w:hAnsi="Times New Roman" w:cs="Times New Roman"/>
                <w:noProof/>
                <w:color w:val="006100"/>
                <w:sz w:val="20"/>
                <w:szCs w:val="20"/>
              </w:rPr>
            </w:pPr>
            <w:r>
              <w:rPr>
                <w:noProof/>
                <w:color w:val="006100"/>
                <w:sz w:val="20"/>
              </w:rPr>
              <w:t>Tribunal de la famille (magistrature assise) de Mons et de Tongres</w:t>
            </w:r>
          </w:p>
          <w:p w14:paraId="78B0C502" w14:textId="02592786" w:rsidR="000D1388" w:rsidRPr="003F43FB" w:rsidRDefault="2A17D2A1" w:rsidP="00F70F65">
            <w:pPr>
              <w:pStyle w:val="ListParagraph"/>
              <w:numPr>
                <w:ilvl w:val="6"/>
                <w:numId w:val="26"/>
              </w:numPr>
              <w:spacing w:after="0"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Tribunal civil (magistrature assise) de Mons et de Tongres</w:t>
            </w:r>
          </w:p>
          <w:p w14:paraId="3F18221E" w14:textId="6FA8D3EA" w:rsidR="000D1388" w:rsidRPr="00746A1A" w:rsidRDefault="000D1388" w:rsidP="3A2688DF">
            <w:pPr>
              <w:pStyle w:val="ListParagraph"/>
              <w:spacing w:after="0" w:line="259" w:lineRule="auto"/>
              <w:ind w:left="502"/>
              <w:rPr>
                <w:rFonts w:ascii="Times New Roman" w:eastAsia="Times New Roman" w:hAnsi="Times New Roman" w:cs="Times New Roman"/>
                <w:noProof/>
                <w:color w:val="006100"/>
                <w:sz w:val="20"/>
                <w:szCs w:val="20"/>
                <w:lang w:val="fr-BE"/>
              </w:rPr>
            </w:pPr>
          </w:p>
        </w:tc>
      </w:tr>
      <w:tr w:rsidR="00F76C04" w:rsidRPr="001C1EE6" w14:paraId="1CF23F21" w14:textId="77777777" w:rsidTr="002C7502">
        <w:trPr>
          <w:trHeight w:val="309"/>
          <w:jc w:val="center"/>
        </w:trPr>
        <w:tc>
          <w:tcPr>
            <w:tcW w:w="1129" w:type="dxa"/>
            <w:shd w:val="clear" w:color="auto" w:fill="C6EFCE"/>
            <w:noWrap/>
            <w:vAlign w:val="center"/>
          </w:tcPr>
          <w:p w14:paraId="3ECED499"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61</w:t>
            </w:r>
          </w:p>
        </w:tc>
        <w:tc>
          <w:tcPr>
            <w:tcW w:w="1560" w:type="dxa"/>
            <w:shd w:val="clear" w:color="auto" w:fill="C6EFCE"/>
            <w:noWrap/>
            <w:vAlign w:val="center"/>
          </w:tcPr>
          <w:p w14:paraId="1FBEBC83" w14:textId="77777777" w:rsidR="000D1388" w:rsidRPr="001C1EE6"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Digitalisation SPF (I-2.05) </w:t>
            </w:r>
          </w:p>
        </w:tc>
        <w:tc>
          <w:tcPr>
            <w:tcW w:w="1275" w:type="dxa"/>
            <w:shd w:val="clear" w:color="auto" w:fill="C6EFCE"/>
            <w:noWrap/>
            <w:vAlign w:val="center"/>
          </w:tcPr>
          <w:p w14:paraId="7352B9A4"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47A8B06E" w14:textId="423B3036" w:rsidR="000D1388" w:rsidRPr="001C1EE6" w:rsidRDefault="00A77957" w:rsidP="00A779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Digitalisation du SPF et des procédures </w:t>
            </w:r>
          </w:p>
        </w:tc>
        <w:tc>
          <w:tcPr>
            <w:tcW w:w="1985" w:type="dxa"/>
            <w:shd w:val="clear" w:color="auto" w:fill="C6EFCE"/>
            <w:noWrap/>
            <w:vAlign w:val="center"/>
          </w:tcPr>
          <w:p w14:paraId="2D853C83" w14:textId="11F65AC7" w:rsidR="000D1388" w:rsidRPr="001C1EE6" w:rsidRDefault="00A77957" w:rsidP="00A779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Digitalisation du SPF et des procédures </w:t>
            </w:r>
          </w:p>
        </w:tc>
        <w:tc>
          <w:tcPr>
            <w:tcW w:w="992" w:type="dxa"/>
            <w:shd w:val="clear" w:color="auto" w:fill="C6EFCE"/>
            <w:noWrap/>
            <w:vAlign w:val="center"/>
          </w:tcPr>
          <w:p w14:paraId="6B6F2B2E"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22D86964"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634FE789"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B72542E"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3C142148" w14:textId="77777777" w:rsidR="000D1388" w:rsidRPr="001C1EE6" w:rsidRDefault="00E71057">
            <w:pPr>
              <w:spacing w:after="0"/>
              <w:jc w:val="center"/>
              <w:rPr>
                <w:rFonts w:ascii="Times New Roman" w:eastAsia="Times New Roman" w:hAnsi="Times New Roman" w:cs="Times New Roman"/>
                <w:noProof/>
                <w:sz w:val="20"/>
                <w:szCs w:val="20"/>
              </w:rPr>
            </w:pPr>
            <w:r>
              <w:rPr>
                <w:rFonts w:ascii="Times New Roman" w:hAnsi="Times New Roman"/>
                <w:noProof/>
                <w:color w:val="006100"/>
                <w:sz w:val="20"/>
              </w:rPr>
              <w:t>2026</w:t>
            </w:r>
          </w:p>
        </w:tc>
        <w:tc>
          <w:tcPr>
            <w:tcW w:w="2699" w:type="dxa"/>
            <w:shd w:val="clear" w:color="auto" w:fill="C6EFCE"/>
            <w:noWrap/>
            <w:vAlign w:val="center"/>
          </w:tcPr>
          <w:p w14:paraId="7CC173E1" w14:textId="77777777" w:rsidR="00A61B62" w:rsidRPr="00557A3B" w:rsidRDefault="00A61B62" w:rsidP="00A61B62">
            <w:pPr>
              <w:pStyle w:val="ListParagraph"/>
              <w:numPr>
                <w:ilvl w:val="0"/>
                <w:numId w:val="72"/>
              </w:numPr>
              <w:spacing w:after="0" w:line="259" w:lineRule="auto"/>
              <w:rPr>
                <w:rFonts w:ascii="Times New Roman" w:eastAsia="Calibri" w:hAnsi="Times New Roman" w:cs="Arial"/>
                <w:noProof/>
                <w:color w:val="006100"/>
                <w:kern w:val="0"/>
                <w:sz w:val="20"/>
                <w:szCs w:val="20"/>
              </w:rPr>
            </w:pPr>
            <w:r>
              <w:rPr>
                <w:rFonts w:ascii="Times New Roman" w:hAnsi="Times New Roman"/>
                <w:noProof/>
                <w:color w:val="006100"/>
                <w:sz w:val="20"/>
              </w:rPr>
              <w:t>Le gouvernement belge a officiellement pris acte de la conformité de 10 procédures avec le portail numérique unique sous la forme d’une note d’information adressée au Conseil des ministres.</w:t>
            </w:r>
          </w:p>
          <w:p w14:paraId="248768FD" w14:textId="77777777" w:rsidR="00A61B62" w:rsidRPr="00557A3B" w:rsidRDefault="00A61B62" w:rsidP="00A61B62">
            <w:pPr>
              <w:pStyle w:val="ListParagraph"/>
              <w:numPr>
                <w:ilvl w:val="0"/>
                <w:numId w:val="72"/>
              </w:numPr>
              <w:spacing w:after="0" w:line="259" w:lineRule="auto"/>
              <w:rPr>
                <w:rFonts w:ascii="Times New Roman" w:eastAsia="Calibri" w:hAnsi="Times New Roman" w:cs="Arial"/>
                <w:noProof/>
                <w:color w:val="006100"/>
                <w:kern w:val="0"/>
                <w:sz w:val="20"/>
                <w:szCs w:val="20"/>
              </w:rPr>
            </w:pPr>
            <w:r>
              <w:rPr>
                <w:rFonts w:ascii="Times New Roman" w:hAnsi="Times New Roman"/>
                <w:noProof/>
                <w:color w:val="006100"/>
                <w:sz w:val="20"/>
              </w:rPr>
              <w:t>Le catalogue fédéral est en ligne et accessible aux autorités fédérales, comme l’atteste un document de livraison.</w:t>
            </w:r>
          </w:p>
          <w:p w14:paraId="79D37B43" w14:textId="77777777" w:rsidR="00A61B62" w:rsidRDefault="00A61B62" w:rsidP="00A61B62">
            <w:pPr>
              <w:pStyle w:val="ListParagraph"/>
              <w:numPr>
                <w:ilvl w:val="0"/>
                <w:numId w:val="72"/>
              </w:numPr>
              <w:spacing w:after="0" w:line="259" w:lineRule="auto"/>
              <w:rPr>
                <w:rFonts w:ascii="Times New Roman" w:eastAsia="Calibri" w:hAnsi="Times New Roman" w:cs="Arial"/>
                <w:noProof/>
                <w:color w:val="006100"/>
                <w:kern w:val="0"/>
                <w:sz w:val="20"/>
                <w:szCs w:val="20"/>
              </w:rPr>
            </w:pPr>
            <w:r>
              <w:rPr>
                <w:rFonts w:ascii="Times New Roman" w:hAnsi="Times New Roman"/>
                <w:noProof/>
                <w:color w:val="006100"/>
                <w:sz w:val="20"/>
              </w:rPr>
              <w:t>La Belgique atteindra le niveau 7 sur le site web «Once Only Technical System Acceleratometer» de la Commission européenne; un répertoire de recherche sur les ODD sera en ligne et accessible et un rapport de validation centré sur l’utilisateur sera publié pour au moins 5 procédures.</w:t>
            </w:r>
          </w:p>
          <w:p w14:paraId="7B5D8D14" w14:textId="6AB7CC8C" w:rsidR="007C4366" w:rsidRPr="00557A3B" w:rsidRDefault="007C4366" w:rsidP="00A61B62">
            <w:pPr>
              <w:pStyle w:val="ListParagraph"/>
              <w:numPr>
                <w:ilvl w:val="0"/>
                <w:numId w:val="72"/>
              </w:numPr>
              <w:spacing w:after="0" w:line="259" w:lineRule="auto"/>
              <w:rPr>
                <w:rFonts w:ascii="Times New Roman" w:eastAsia="Calibri" w:hAnsi="Times New Roman" w:cs="Arial"/>
                <w:noProof/>
                <w:color w:val="006100"/>
                <w:kern w:val="0"/>
                <w:sz w:val="20"/>
                <w:szCs w:val="20"/>
              </w:rPr>
            </w:pPr>
            <w:r>
              <w:rPr>
                <w:rFonts w:ascii="Times New Roman" w:hAnsi="Times New Roman"/>
                <w:noProof/>
                <w:color w:val="006100"/>
                <w:sz w:val="20"/>
              </w:rPr>
              <w:t>La suite Pulse sera en ligne et accessible.</w:t>
            </w:r>
          </w:p>
          <w:p w14:paraId="6B4DA650" w14:textId="57636FE6" w:rsidR="000D1388" w:rsidRPr="00746A1A" w:rsidRDefault="000D1388" w:rsidP="00557A3B">
            <w:pPr>
              <w:rPr>
                <w:rFonts w:eastAsia="Times New Roman" w:cs="Times New Roman"/>
                <w:strike/>
                <w:noProof/>
                <w:color w:val="000000" w:themeColor="text1"/>
                <w:lang w:val="fr-BE"/>
              </w:rPr>
            </w:pPr>
          </w:p>
        </w:tc>
      </w:tr>
      <w:tr w:rsidR="00F76C04" w:rsidRPr="001C1EE6" w14:paraId="2E61B1BA" w14:textId="77777777" w:rsidTr="002C7502">
        <w:trPr>
          <w:trHeight w:val="309"/>
          <w:jc w:val="center"/>
        </w:trPr>
        <w:tc>
          <w:tcPr>
            <w:tcW w:w="1129" w:type="dxa"/>
            <w:shd w:val="clear" w:color="auto" w:fill="C6EFCE"/>
            <w:noWrap/>
            <w:vAlign w:val="center"/>
          </w:tcPr>
          <w:p w14:paraId="146C9667"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62</w:t>
            </w:r>
          </w:p>
        </w:tc>
        <w:tc>
          <w:tcPr>
            <w:tcW w:w="1560" w:type="dxa"/>
            <w:shd w:val="clear" w:color="auto" w:fill="C6EFCE"/>
            <w:noWrap/>
            <w:vAlign w:val="center"/>
          </w:tcPr>
          <w:p w14:paraId="24D2B6DA" w14:textId="77777777" w:rsidR="000D1388" w:rsidRPr="00746A1A" w:rsidRDefault="00E71057">
            <w:pPr>
              <w:spacing w:after="0"/>
              <w:rPr>
                <w:rFonts w:ascii="Times New Roman" w:eastAsia="Times New Roman" w:hAnsi="Times New Roman" w:cs="Times New Roman"/>
                <w:noProof/>
                <w:color w:val="006100"/>
                <w:sz w:val="20"/>
                <w:szCs w:val="20"/>
                <w:lang w:val="en-IE"/>
              </w:rPr>
            </w:pPr>
            <w:r w:rsidRPr="00746A1A">
              <w:rPr>
                <w:rFonts w:ascii="Times New Roman" w:hAnsi="Times New Roman"/>
                <w:noProof/>
                <w:color w:val="006100"/>
                <w:sz w:val="20"/>
                <w:lang w:val="en-IE"/>
              </w:rPr>
              <w:t>eHealth Services et Health Data (I-2.06)</w:t>
            </w:r>
          </w:p>
        </w:tc>
        <w:tc>
          <w:tcPr>
            <w:tcW w:w="1275" w:type="dxa"/>
            <w:shd w:val="clear" w:color="auto" w:fill="C6EFCE"/>
            <w:noWrap/>
            <w:vAlign w:val="center"/>
          </w:tcPr>
          <w:p w14:paraId="42BD7CF9"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7A7023A3"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 établissant la Health Data Authority</w:t>
            </w:r>
          </w:p>
        </w:tc>
        <w:tc>
          <w:tcPr>
            <w:tcW w:w="1985" w:type="dxa"/>
            <w:shd w:val="clear" w:color="auto" w:fill="C6EFCE"/>
            <w:noWrap/>
            <w:vAlign w:val="center"/>
          </w:tcPr>
          <w:p w14:paraId="3B14137C"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Disposition dans la législation indiquant la date d’entrée en vigueur de la loi</w:t>
            </w:r>
          </w:p>
        </w:tc>
        <w:tc>
          <w:tcPr>
            <w:tcW w:w="992" w:type="dxa"/>
            <w:shd w:val="clear" w:color="auto" w:fill="C6EFCE"/>
            <w:noWrap/>
            <w:vAlign w:val="center"/>
          </w:tcPr>
          <w:p w14:paraId="0C3C4BD9"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0368878"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471E25C1"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A9B45DD"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1" w:type="dxa"/>
            <w:shd w:val="clear" w:color="auto" w:fill="C6EFCE"/>
            <w:noWrap/>
            <w:vAlign w:val="center"/>
          </w:tcPr>
          <w:p w14:paraId="61D414F6"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699" w:type="dxa"/>
            <w:shd w:val="clear" w:color="auto" w:fill="C6EFCE"/>
            <w:noWrap/>
            <w:vAlign w:val="center"/>
          </w:tcPr>
          <w:p w14:paraId="20350DDE"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Entrée en vigueur de la loi établissant la Health Data Authority, définissant en particulier le rôle et les responsabilités de l’autorité. </w:t>
            </w:r>
          </w:p>
        </w:tc>
      </w:tr>
      <w:tr w:rsidR="00F76C04" w:rsidRPr="001C1EE6" w14:paraId="027BE5F6" w14:textId="77777777" w:rsidTr="002C7502">
        <w:trPr>
          <w:trHeight w:val="309"/>
          <w:jc w:val="center"/>
        </w:trPr>
        <w:tc>
          <w:tcPr>
            <w:tcW w:w="1129" w:type="dxa"/>
            <w:shd w:val="clear" w:color="auto" w:fill="C6EFCE"/>
            <w:noWrap/>
            <w:vAlign w:val="center"/>
          </w:tcPr>
          <w:p w14:paraId="74EBE942"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63</w:t>
            </w:r>
          </w:p>
        </w:tc>
        <w:tc>
          <w:tcPr>
            <w:tcW w:w="1560" w:type="dxa"/>
            <w:shd w:val="clear" w:color="auto" w:fill="C6EFCE"/>
            <w:noWrap/>
            <w:vAlign w:val="center"/>
          </w:tcPr>
          <w:p w14:paraId="19608E20" w14:textId="77777777" w:rsidR="000D1388" w:rsidRPr="00746A1A" w:rsidRDefault="00E71057">
            <w:pPr>
              <w:spacing w:after="0"/>
              <w:rPr>
                <w:rFonts w:ascii="Times New Roman" w:eastAsia="Times New Roman" w:hAnsi="Times New Roman" w:cs="Times New Roman"/>
                <w:noProof/>
                <w:color w:val="006100"/>
                <w:sz w:val="20"/>
                <w:szCs w:val="20"/>
                <w:lang w:val="en-IE"/>
              </w:rPr>
            </w:pPr>
            <w:r w:rsidRPr="00746A1A">
              <w:rPr>
                <w:rFonts w:ascii="Times New Roman" w:hAnsi="Times New Roman"/>
                <w:noProof/>
                <w:color w:val="006100"/>
                <w:sz w:val="20"/>
                <w:lang w:val="en-IE"/>
              </w:rPr>
              <w:t>eHealth Services et Health Data (I-2.06)</w:t>
            </w:r>
          </w:p>
        </w:tc>
        <w:tc>
          <w:tcPr>
            <w:tcW w:w="1275" w:type="dxa"/>
            <w:shd w:val="clear" w:color="auto" w:fill="C6EFCE"/>
            <w:noWrap/>
            <w:vAlign w:val="center"/>
          </w:tcPr>
          <w:p w14:paraId="283932ED"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356364A5"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Exigences pour les sous-projets</w:t>
            </w:r>
          </w:p>
        </w:tc>
        <w:tc>
          <w:tcPr>
            <w:tcW w:w="1985" w:type="dxa"/>
            <w:shd w:val="clear" w:color="auto" w:fill="C6EFCE"/>
            <w:noWrap/>
            <w:vAlign w:val="center"/>
          </w:tcPr>
          <w:p w14:paraId="4118F0C6"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Définition des exigences pour les sous-projets eHealth</w:t>
            </w:r>
          </w:p>
        </w:tc>
        <w:tc>
          <w:tcPr>
            <w:tcW w:w="992" w:type="dxa"/>
            <w:shd w:val="clear" w:color="auto" w:fill="C6EFCE"/>
            <w:noWrap/>
            <w:vAlign w:val="center"/>
          </w:tcPr>
          <w:p w14:paraId="74D9A5CE"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5CBAD3C9"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065B9AEB"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352D522"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1BC72FD4"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699" w:type="dxa"/>
            <w:shd w:val="clear" w:color="auto" w:fill="C6EFCE"/>
            <w:noWrap/>
            <w:vAlign w:val="center"/>
          </w:tcPr>
          <w:p w14:paraId="43828D84"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pour les différents sous-projets eHealth sont définies</w:t>
            </w:r>
          </w:p>
        </w:tc>
      </w:tr>
      <w:tr w:rsidR="00F76C04" w:rsidRPr="001C1EE6" w14:paraId="59283EE9" w14:textId="77777777" w:rsidTr="002C7502">
        <w:trPr>
          <w:trHeight w:val="309"/>
          <w:jc w:val="center"/>
        </w:trPr>
        <w:tc>
          <w:tcPr>
            <w:tcW w:w="1129" w:type="dxa"/>
            <w:shd w:val="clear" w:color="auto" w:fill="C6EFCE"/>
            <w:noWrap/>
            <w:vAlign w:val="center"/>
          </w:tcPr>
          <w:p w14:paraId="6631BC25"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64</w:t>
            </w:r>
          </w:p>
        </w:tc>
        <w:tc>
          <w:tcPr>
            <w:tcW w:w="1560" w:type="dxa"/>
            <w:shd w:val="clear" w:color="auto" w:fill="C6EFCE"/>
            <w:noWrap/>
            <w:vAlign w:val="center"/>
          </w:tcPr>
          <w:p w14:paraId="1D0BD6F9" w14:textId="77777777" w:rsidR="000D1388" w:rsidRPr="00746A1A" w:rsidRDefault="00E71057">
            <w:pPr>
              <w:spacing w:after="0"/>
              <w:rPr>
                <w:rFonts w:ascii="Times New Roman" w:eastAsia="Times New Roman" w:hAnsi="Times New Roman" w:cs="Times New Roman"/>
                <w:noProof/>
                <w:color w:val="006100"/>
                <w:sz w:val="20"/>
                <w:szCs w:val="20"/>
                <w:lang w:val="en-IE"/>
              </w:rPr>
            </w:pPr>
            <w:r w:rsidRPr="00746A1A">
              <w:rPr>
                <w:rFonts w:ascii="Times New Roman" w:hAnsi="Times New Roman"/>
                <w:noProof/>
                <w:color w:val="006100"/>
                <w:sz w:val="20"/>
                <w:lang w:val="en-IE"/>
              </w:rPr>
              <w:t>eHealth Services et Health Data (I-2.06)</w:t>
            </w:r>
          </w:p>
        </w:tc>
        <w:tc>
          <w:tcPr>
            <w:tcW w:w="1275" w:type="dxa"/>
            <w:shd w:val="clear" w:color="auto" w:fill="C6EFCE"/>
            <w:noWrap/>
            <w:vAlign w:val="center"/>
          </w:tcPr>
          <w:p w14:paraId="6A42DEC7"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22696DB5" w14:textId="1CC8B3E8" w:rsidR="000D1388" w:rsidRPr="001C1EE6" w:rsidRDefault="73B59D02" w:rsidP="3FC37BCA">
            <w:pPr>
              <w:spacing w:after="0"/>
              <w:rPr>
                <w:rFonts w:ascii="Times New Roman" w:eastAsia="Times New Roman" w:hAnsi="Times New Roman" w:cs="Times New Roman"/>
                <w:noProof/>
                <w:sz w:val="20"/>
                <w:szCs w:val="20"/>
              </w:rPr>
            </w:pPr>
            <w:r>
              <w:rPr>
                <w:rFonts w:ascii="Times New Roman" w:hAnsi="Times New Roman"/>
                <w:noProof/>
                <w:color w:val="006100"/>
                <w:sz w:val="20"/>
              </w:rPr>
              <w:t>Projets de digitalisation</w:t>
            </w:r>
          </w:p>
        </w:tc>
        <w:tc>
          <w:tcPr>
            <w:tcW w:w="1985" w:type="dxa"/>
            <w:shd w:val="clear" w:color="auto" w:fill="C6EFCE"/>
            <w:noWrap/>
            <w:vAlign w:val="center"/>
          </w:tcPr>
          <w:p w14:paraId="41A2846F" w14:textId="5C06D08A" w:rsidR="000D1388" w:rsidRPr="001C1EE6" w:rsidRDefault="73B59D02" w:rsidP="3FC37BCA">
            <w:pPr>
              <w:spacing w:after="0"/>
              <w:rPr>
                <w:rFonts w:ascii="Times New Roman" w:eastAsia="Times New Roman" w:hAnsi="Times New Roman" w:cs="Times New Roman"/>
                <w:noProof/>
                <w:sz w:val="20"/>
                <w:szCs w:val="20"/>
              </w:rPr>
            </w:pPr>
            <w:r>
              <w:rPr>
                <w:rFonts w:ascii="Times New Roman" w:hAnsi="Times New Roman"/>
                <w:noProof/>
                <w:color w:val="006100"/>
                <w:sz w:val="20"/>
              </w:rPr>
              <w:t>Projets de digitalisation</w:t>
            </w:r>
          </w:p>
        </w:tc>
        <w:tc>
          <w:tcPr>
            <w:tcW w:w="992" w:type="dxa"/>
            <w:shd w:val="clear" w:color="auto" w:fill="C6EFCE"/>
            <w:noWrap/>
            <w:vAlign w:val="center"/>
          </w:tcPr>
          <w:p w14:paraId="12BF5B56"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521FB0E2"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86" w:type="dxa"/>
            <w:shd w:val="clear" w:color="auto" w:fill="C6EFCE"/>
            <w:noWrap/>
            <w:vAlign w:val="center"/>
          </w:tcPr>
          <w:p w14:paraId="24D1A23F"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194A240E"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4C55E668"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699" w:type="dxa"/>
            <w:shd w:val="clear" w:color="auto" w:fill="C6EFCE"/>
            <w:noWrap/>
            <w:vAlign w:val="center"/>
          </w:tcPr>
          <w:p w14:paraId="42F3CEC8" w14:textId="6B3D8627" w:rsidR="43146BD9" w:rsidRPr="00433FFE" w:rsidRDefault="2263DFE2" w:rsidP="6EB130F9">
            <w:pPr>
              <w:rPr>
                <w:rFonts w:ascii="Times New Roman" w:eastAsia="Calibri" w:hAnsi="Times New Roman" w:cs="Arial"/>
                <w:noProof/>
                <w:color w:val="006100"/>
                <w:sz w:val="20"/>
                <w:szCs w:val="20"/>
              </w:rPr>
            </w:pPr>
            <w:r>
              <w:rPr>
                <w:rFonts w:ascii="Times New Roman" w:hAnsi="Times New Roman"/>
                <w:noProof/>
                <w:color w:val="006100"/>
                <w:sz w:val="20"/>
              </w:rPr>
              <w:t xml:space="preserve">- Des guides de mise en œuvre de la spécification FHIR pour 3 CareSets seront publiés sur la plateforme eHealth. </w:t>
            </w:r>
          </w:p>
          <w:p w14:paraId="53FA3875" w14:textId="567099FC" w:rsidR="43146BD9" w:rsidRPr="00C61C31" w:rsidRDefault="2263DFE2" w:rsidP="3A2688DF">
            <w:pPr>
              <w:rPr>
                <w:rFonts w:ascii="Times New Roman" w:eastAsia="Calibri" w:hAnsi="Times New Roman" w:cs="Arial"/>
                <w:noProof/>
                <w:color w:val="006100"/>
                <w:sz w:val="20"/>
                <w:szCs w:val="20"/>
              </w:rPr>
            </w:pPr>
            <w:r>
              <w:rPr>
                <w:rFonts w:ascii="Times New Roman" w:hAnsi="Times New Roman"/>
                <w:noProof/>
                <w:color w:val="006100"/>
                <w:sz w:val="20"/>
              </w:rPr>
              <w:t xml:space="preserve">- Une application web pour les prescriptions de renvoi électronique sera accessible aux soignants, aux prescripteurs et aux patients. </w:t>
            </w:r>
          </w:p>
          <w:p w14:paraId="5D155F99" w14:textId="368FDFC3" w:rsidR="43146BD9" w:rsidRPr="003E54B3" w:rsidRDefault="2263DFE2" w:rsidP="3A2688DF">
            <w:pPr>
              <w:rPr>
                <w:rFonts w:ascii="Times New Roman" w:eastAsia="Calibri" w:hAnsi="Times New Roman" w:cs="Arial"/>
                <w:noProof/>
                <w:color w:val="006100"/>
                <w:sz w:val="20"/>
                <w:szCs w:val="20"/>
              </w:rPr>
            </w:pPr>
            <w:r>
              <w:rPr>
                <w:rFonts w:ascii="Times New Roman" w:hAnsi="Times New Roman"/>
                <w:noProof/>
                <w:color w:val="006100"/>
                <w:sz w:val="20"/>
              </w:rPr>
              <w:t xml:space="preserve">- Une application web fournissant des recommandations en matière de prescription dans les domaines de la radiologie, de la biologie clinique et des antimicrobiens sera accessible aux étudiants. </w:t>
            </w:r>
          </w:p>
          <w:p w14:paraId="26F45C0E" w14:textId="28723D59" w:rsidR="43146BD9" w:rsidRPr="00526502" w:rsidRDefault="2263DFE2" w:rsidP="3A2688DF">
            <w:pPr>
              <w:rPr>
                <w:rFonts w:ascii="Times New Roman" w:eastAsia="Calibri" w:hAnsi="Times New Roman" w:cs="Arial"/>
                <w:noProof/>
                <w:color w:val="006100"/>
                <w:sz w:val="20"/>
                <w:szCs w:val="20"/>
              </w:rPr>
            </w:pPr>
            <w:r>
              <w:rPr>
                <w:rFonts w:ascii="Times New Roman" w:hAnsi="Times New Roman"/>
                <w:noProof/>
                <w:color w:val="006100"/>
                <w:sz w:val="20"/>
              </w:rPr>
              <w:t xml:space="preserve">- Un catalogue de données de santé sera disponible en ligne et accessible au public. </w:t>
            </w:r>
          </w:p>
          <w:p w14:paraId="583756E0" w14:textId="41A85546" w:rsidR="43146BD9" w:rsidRPr="00557A3B" w:rsidRDefault="2263DFE2" w:rsidP="3A2688DF">
            <w:pPr>
              <w:rPr>
                <w:rFonts w:ascii="Times New Roman" w:eastAsia="Calibri" w:hAnsi="Times New Roman" w:cs="Arial"/>
                <w:noProof/>
                <w:color w:val="006100"/>
                <w:sz w:val="20"/>
                <w:szCs w:val="20"/>
              </w:rPr>
            </w:pPr>
            <w:r>
              <w:rPr>
                <w:rFonts w:ascii="Times New Roman" w:hAnsi="Times New Roman"/>
                <w:noProof/>
                <w:color w:val="006100"/>
                <w:sz w:val="20"/>
              </w:rPr>
              <w:t xml:space="preserve">- L’application de santé mobile «Myhealth» sera accessible au public. </w:t>
            </w:r>
          </w:p>
          <w:p w14:paraId="1CE9E7AD" w14:textId="07E50EFF" w:rsidR="43146BD9" w:rsidRPr="00557A3B" w:rsidRDefault="43146BD9" w:rsidP="3A2688DF">
            <w:pPr>
              <w:rPr>
                <w:rFonts w:ascii="Times New Roman" w:eastAsia="Calibri" w:hAnsi="Times New Roman" w:cs="Arial"/>
                <w:noProof/>
                <w:color w:val="006100"/>
                <w:sz w:val="20"/>
                <w:szCs w:val="20"/>
              </w:rPr>
            </w:pPr>
            <w:r>
              <w:rPr>
                <w:rFonts w:ascii="Times New Roman" w:hAnsi="Times New Roman"/>
                <w:noProof/>
                <w:color w:val="006100"/>
                <w:sz w:val="20"/>
              </w:rPr>
              <w:t xml:space="preserve">- Organisation d’un FHIR-A-THON et sélection de cinq projets en vue d’un soutien financier. </w:t>
            </w:r>
          </w:p>
          <w:p w14:paraId="672A3460" w14:textId="44A8C5CA" w:rsidR="000D1388" w:rsidRPr="00557A3B" w:rsidRDefault="6EBBBA88" w:rsidP="3A2688DF">
            <w:pPr>
              <w:spacing w:after="0"/>
              <w:rPr>
                <w:rFonts w:ascii="Times New Roman" w:eastAsia="Calibri" w:hAnsi="Times New Roman" w:cs="Arial"/>
                <w:noProof/>
                <w:color w:val="006100"/>
                <w:sz w:val="20"/>
                <w:szCs w:val="20"/>
              </w:rPr>
            </w:pPr>
            <w:r>
              <w:rPr>
                <w:rFonts w:ascii="Times New Roman" w:hAnsi="Times New Roman"/>
                <w:noProof/>
                <w:color w:val="006100"/>
                <w:sz w:val="20"/>
              </w:rPr>
              <w:t>- Quatre modules seront intégrés dans les systèmes logiciels utilisés par les prestataires de soins.</w:t>
            </w:r>
          </w:p>
        </w:tc>
      </w:tr>
      <w:tr w:rsidR="00F76C04" w:rsidRPr="001C1EE6" w14:paraId="5FEBD8E4" w14:textId="77777777" w:rsidTr="002C7502">
        <w:trPr>
          <w:trHeight w:val="309"/>
          <w:jc w:val="center"/>
        </w:trPr>
        <w:tc>
          <w:tcPr>
            <w:tcW w:w="1129" w:type="dxa"/>
            <w:shd w:val="clear" w:color="auto" w:fill="C6EFCE"/>
            <w:noWrap/>
            <w:vAlign w:val="center"/>
          </w:tcPr>
          <w:p w14:paraId="7802557F"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65</w:t>
            </w:r>
          </w:p>
        </w:tc>
        <w:tc>
          <w:tcPr>
            <w:tcW w:w="1560" w:type="dxa"/>
            <w:shd w:val="clear" w:color="auto" w:fill="C6EFCE"/>
            <w:noWrap/>
            <w:vAlign w:val="center"/>
          </w:tcPr>
          <w:p w14:paraId="0C96D5B6"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 l’ONE (I-2.07)</w:t>
            </w:r>
          </w:p>
        </w:tc>
        <w:tc>
          <w:tcPr>
            <w:tcW w:w="1275" w:type="dxa"/>
            <w:shd w:val="clear" w:color="auto" w:fill="C6EFCE"/>
            <w:noWrap/>
            <w:vAlign w:val="center"/>
          </w:tcPr>
          <w:p w14:paraId="1191623D"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11727DB4" w14:textId="77777777" w:rsidR="000D1388" w:rsidRPr="001C1EE6" w:rsidRDefault="00E71057">
            <w:pPr>
              <w:spacing w:after="0"/>
              <w:rPr>
                <w:rFonts w:ascii="Times New Roman" w:eastAsia="Times New Roman" w:hAnsi="Times New Roman" w:cs="Times New Roman"/>
                <w:noProof/>
                <w:sz w:val="20"/>
                <w:szCs w:val="20"/>
              </w:rPr>
            </w:pPr>
            <w:r>
              <w:rPr>
                <w:rFonts w:ascii="Times New Roman" w:hAnsi="Times New Roman"/>
                <w:noProof/>
                <w:color w:val="006100"/>
                <w:sz w:val="20"/>
              </w:rPr>
              <w:t>Les plateformes numériques sont accessibles</w:t>
            </w:r>
          </w:p>
        </w:tc>
        <w:tc>
          <w:tcPr>
            <w:tcW w:w="1985" w:type="dxa"/>
            <w:shd w:val="clear" w:color="auto" w:fill="C6EFCE"/>
            <w:noWrap/>
            <w:vAlign w:val="center"/>
          </w:tcPr>
          <w:p w14:paraId="704D1710" w14:textId="77777777" w:rsidR="000D1388" w:rsidRPr="001C1EE6" w:rsidRDefault="00E71057">
            <w:pPr>
              <w:spacing w:after="0"/>
              <w:rPr>
                <w:rFonts w:ascii="Times New Roman" w:eastAsia="Times New Roman" w:hAnsi="Times New Roman" w:cs="Times New Roman"/>
                <w:strike/>
                <w:noProof/>
                <w:color w:val="006100"/>
                <w:sz w:val="20"/>
                <w:szCs w:val="20"/>
              </w:rPr>
            </w:pPr>
            <w:r>
              <w:rPr>
                <w:rFonts w:ascii="Times New Roman" w:hAnsi="Times New Roman"/>
                <w:noProof/>
                <w:color w:val="006100"/>
                <w:sz w:val="20"/>
              </w:rPr>
              <w:t xml:space="preserve">Les plateformes numériques sont accessibles </w:t>
            </w:r>
          </w:p>
        </w:tc>
        <w:tc>
          <w:tcPr>
            <w:tcW w:w="992" w:type="dxa"/>
            <w:shd w:val="clear" w:color="auto" w:fill="C6EFCE"/>
            <w:noWrap/>
            <w:vAlign w:val="center"/>
          </w:tcPr>
          <w:p w14:paraId="587AB540"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76883C93"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6388DBEB"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469C4C7"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38AECA2E"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2699" w:type="dxa"/>
            <w:shd w:val="clear" w:color="auto" w:fill="C6EFCE"/>
            <w:noWrap/>
            <w:vAlign w:val="center"/>
          </w:tcPr>
          <w:p w14:paraId="248F0FEB"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Trois plateformes numériques sont en ligne et accessibles:</w:t>
            </w:r>
          </w:p>
          <w:p w14:paraId="1F626F9B"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i) le public («MY»)</w:t>
            </w:r>
          </w:p>
          <w:p w14:paraId="1E6060DB"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ii) les accueillants d’enfants («PRO») et</w:t>
            </w:r>
          </w:p>
          <w:p w14:paraId="72707956" w14:textId="77777777" w:rsidR="000D1388" w:rsidRPr="001C1EE6" w:rsidRDefault="00E71057">
            <w:pPr>
              <w:spacing w:after="0"/>
              <w:rPr>
                <w:rFonts w:ascii="Times New Roman" w:eastAsia="Times New Roman" w:hAnsi="Times New Roman" w:cs="Times New Roman"/>
                <w:strike/>
                <w:noProof/>
                <w:color w:val="006100"/>
                <w:sz w:val="20"/>
                <w:szCs w:val="20"/>
              </w:rPr>
            </w:pPr>
            <w:r>
              <w:rPr>
                <w:rFonts w:ascii="Times New Roman" w:hAnsi="Times New Roman"/>
                <w:noProof/>
                <w:color w:val="006100"/>
                <w:sz w:val="20"/>
              </w:rPr>
              <w:t xml:space="preserve"> iii) les agents de ONE («OFFICE»). </w:t>
            </w:r>
          </w:p>
        </w:tc>
      </w:tr>
      <w:tr w:rsidR="00F76C04" w:rsidRPr="001C1EE6" w14:paraId="599309FD" w14:textId="77777777" w:rsidTr="002C7502">
        <w:trPr>
          <w:trHeight w:val="309"/>
          <w:jc w:val="center"/>
        </w:trPr>
        <w:tc>
          <w:tcPr>
            <w:tcW w:w="1129" w:type="dxa"/>
            <w:shd w:val="clear" w:color="auto" w:fill="C6EFCE"/>
            <w:noWrap/>
            <w:vAlign w:val="center"/>
          </w:tcPr>
          <w:p w14:paraId="75EC9E62"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66</w:t>
            </w:r>
          </w:p>
        </w:tc>
        <w:tc>
          <w:tcPr>
            <w:tcW w:w="1560" w:type="dxa"/>
            <w:shd w:val="clear" w:color="auto" w:fill="C6EFCE"/>
            <w:noWrap/>
            <w:vAlign w:val="center"/>
          </w:tcPr>
          <w:p w14:paraId="11850399" w14:textId="5C41F868"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de digitalisation (I-2.08)</w:t>
            </w:r>
          </w:p>
        </w:tc>
        <w:tc>
          <w:tcPr>
            <w:tcW w:w="1275" w:type="dxa"/>
            <w:shd w:val="clear" w:color="auto" w:fill="C6EFCE"/>
            <w:noWrap/>
            <w:vAlign w:val="center"/>
          </w:tcPr>
          <w:p w14:paraId="36E7D0EF" w14:textId="1AD21D72" w:rsidR="000D1388" w:rsidRPr="00557A3B" w:rsidRDefault="00E71057">
            <w:pPr>
              <w:spacing w:after="0"/>
              <w:rPr>
                <w:rFonts w:ascii="Times New Roman" w:eastAsia="Times New Roman" w:hAnsi="Times New Roman" w:cs="Times New Roman"/>
                <w:noProof/>
                <w:color w:val="006100"/>
                <w:sz w:val="20"/>
                <w:szCs w:val="20"/>
                <w:highlight w:val="cyan"/>
              </w:rPr>
            </w:pPr>
            <w:r>
              <w:rPr>
                <w:rFonts w:ascii="Times New Roman" w:hAnsi="Times New Roman"/>
                <w:noProof/>
                <w:color w:val="006100"/>
                <w:sz w:val="20"/>
              </w:rPr>
              <w:t>J</w:t>
            </w:r>
          </w:p>
        </w:tc>
        <w:tc>
          <w:tcPr>
            <w:tcW w:w="1707" w:type="dxa"/>
            <w:shd w:val="clear" w:color="auto" w:fill="C6EFCE"/>
            <w:noWrap/>
            <w:vAlign w:val="center"/>
          </w:tcPr>
          <w:p w14:paraId="76473E2F" w14:textId="6D8B6ED6" w:rsidR="000D1388" w:rsidRPr="00E34AAC"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des œuvres audiovisuelles et audio et création d’œuvres numériques autochtones</w:t>
            </w:r>
            <w:r>
              <w:rPr>
                <w:rFonts w:ascii="Times New Roman" w:hAnsi="Times New Roman"/>
                <w:noProof/>
                <w:sz w:val="20"/>
              </w:rPr>
              <w:t xml:space="preserve"> </w:t>
            </w:r>
          </w:p>
        </w:tc>
        <w:tc>
          <w:tcPr>
            <w:tcW w:w="1985" w:type="dxa"/>
            <w:shd w:val="clear" w:color="auto" w:fill="C6EFCE"/>
            <w:noWrap/>
            <w:vAlign w:val="center"/>
          </w:tcPr>
          <w:p w14:paraId="2629775A" w14:textId="50351AC1" w:rsidR="000D1388" w:rsidRPr="00E34AAC"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œuvres audiovisuelles et audio ont été numérisées et des œuvres numériques natives ont été créées</w:t>
            </w:r>
          </w:p>
        </w:tc>
        <w:tc>
          <w:tcPr>
            <w:tcW w:w="992" w:type="dxa"/>
            <w:shd w:val="clear" w:color="auto" w:fill="C6EFCE"/>
            <w:noWrap/>
            <w:vAlign w:val="center"/>
          </w:tcPr>
          <w:p w14:paraId="1FD48F4A" w14:textId="77777777" w:rsidR="000D1388" w:rsidRPr="00746A1A" w:rsidRDefault="000D1388">
            <w:pPr>
              <w:spacing w:after="0"/>
              <w:jc w:val="center"/>
              <w:rPr>
                <w:rFonts w:ascii="Times New Roman" w:eastAsia="Times New Roman" w:hAnsi="Times New Roman" w:cs="Times New Roman"/>
                <w:noProof/>
                <w:color w:val="006100"/>
                <w:sz w:val="20"/>
                <w:szCs w:val="20"/>
                <w:lang w:val="fr-BE"/>
              </w:rPr>
            </w:pPr>
          </w:p>
        </w:tc>
        <w:tc>
          <w:tcPr>
            <w:tcW w:w="1134" w:type="dxa"/>
            <w:shd w:val="clear" w:color="auto" w:fill="C6EFCE"/>
            <w:noWrap/>
            <w:vAlign w:val="center"/>
          </w:tcPr>
          <w:p w14:paraId="3889CA52" w14:textId="77777777" w:rsidR="000D1388" w:rsidRPr="00746A1A" w:rsidRDefault="000D1388">
            <w:pPr>
              <w:spacing w:after="0"/>
              <w:jc w:val="center"/>
              <w:rPr>
                <w:rFonts w:ascii="Times New Roman" w:eastAsia="Times New Roman" w:hAnsi="Times New Roman" w:cs="Times New Roman"/>
                <w:noProof/>
                <w:color w:val="006100"/>
                <w:sz w:val="20"/>
                <w:szCs w:val="20"/>
                <w:lang w:val="fr-BE"/>
              </w:rPr>
            </w:pPr>
          </w:p>
        </w:tc>
        <w:tc>
          <w:tcPr>
            <w:tcW w:w="986" w:type="dxa"/>
            <w:shd w:val="clear" w:color="auto" w:fill="C6EFCE"/>
            <w:noWrap/>
            <w:vAlign w:val="center"/>
          </w:tcPr>
          <w:p w14:paraId="19238DB9" w14:textId="77777777" w:rsidR="000D1388" w:rsidRPr="00746A1A" w:rsidRDefault="000D1388">
            <w:pPr>
              <w:spacing w:after="0"/>
              <w:jc w:val="center"/>
              <w:rPr>
                <w:rFonts w:ascii="Times New Roman" w:eastAsia="Times New Roman" w:hAnsi="Times New Roman" w:cs="Times New Roman"/>
                <w:noProof/>
                <w:color w:val="006100"/>
                <w:sz w:val="20"/>
                <w:szCs w:val="20"/>
                <w:lang w:val="fr-BE"/>
              </w:rPr>
            </w:pPr>
          </w:p>
        </w:tc>
        <w:tc>
          <w:tcPr>
            <w:tcW w:w="1134" w:type="dxa"/>
            <w:shd w:val="clear" w:color="auto" w:fill="C6EFCE"/>
            <w:noWrap/>
            <w:vAlign w:val="center"/>
          </w:tcPr>
          <w:p w14:paraId="0400B532" w14:textId="77777777" w:rsidR="000D1388" w:rsidRPr="00E34AAC"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2A34017A" w14:textId="77777777" w:rsidR="000D1388" w:rsidRPr="00E34AAC"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699" w:type="dxa"/>
            <w:shd w:val="clear" w:color="auto" w:fill="C6EFCE"/>
            <w:noWrap/>
            <w:vAlign w:val="center"/>
          </w:tcPr>
          <w:p w14:paraId="282975A5" w14:textId="402A70DF" w:rsidR="000D1388" w:rsidRPr="00E34AAC" w:rsidRDefault="00E71057">
            <w:pPr>
              <w:rPr>
                <w:rFonts w:ascii="Calibri" w:eastAsia="Times New Roman" w:hAnsi="Calibri" w:cs="Times New Roman"/>
                <w:noProof/>
                <w:sz w:val="20"/>
                <w:szCs w:val="20"/>
              </w:rPr>
            </w:pPr>
            <w:r>
              <w:rPr>
                <w:rFonts w:ascii="Times New Roman" w:hAnsi="Times New Roman"/>
                <w:noProof/>
                <w:color w:val="006100"/>
                <w:sz w:val="20"/>
              </w:rPr>
              <w:t>À la suite d’un appel à propositions, les opérateurs sélectionnés ont numérisé des œuvres audiovisuelles et audio et créé des œuvres numériques autochtones.</w:t>
            </w:r>
          </w:p>
        </w:tc>
      </w:tr>
      <w:tr w:rsidR="00F76C04" w:rsidRPr="001C1EE6" w14:paraId="33B43D36" w14:textId="77777777" w:rsidTr="002C7502">
        <w:trPr>
          <w:trHeight w:val="309"/>
          <w:jc w:val="center"/>
        </w:trPr>
        <w:tc>
          <w:tcPr>
            <w:tcW w:w="1129" w:type="dxa"/>
            <w:shd w:val="clear" w:color="auto" w:fill="C6EFCE"/>
            <w:noWrap/>
            <w:vAlign w:val="center"/>
          </w:tcPr>
          <w:p w14:paraId="78F320F3"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67</w:t>
            </w:r>
          </w:p>
        </w:tc>
        <w:tc>
          <w:tcPr>
            <w:tcW w:w="1560" w:type="dxa"/>
            <w:shd w:val="clear" w:color="auto" w:fill="C6EFCE"/>
            <w:noWrap/>
            <w:vAlign w:val="center"/>
          </w:tcPr>
          <w:p w14:paraId="2243F5A7" w14:textId="0234DEEC" w:rsidR="000D1388" w:rsidRPr="001C1EE6" w:rsidRDefault="00E71057" w:rsidP="3A2688DF">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de digitalisation (I-2.08)</w:t>
            </w:r>
          </w:p>
        </w:tc>
        <w:tc>
          <w:tcPr>
            <w:tcW w:w="1275" w:type="dxa"/>
            <w:shd w:val="clear" w:color="auto" w:fill="C6EFCE"/>
            <w:noWrap/>
            <w:vAlign w:val="center"/>
          </w:tcPr>
          <w:p w14:paraId="2433C663"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07" w:type="dxa"/>
            <w:shd w:val="clear" w:color="auto" w:fill="C6EFCE"/>
            <w:noWrap/>
            <w:vAlign w:val="center"/>
          </w:tcPr>
          <w:p w14:paraId="714E78B6" w14:textId="6D467E3C" w:rsidR="000D1388" w:rsidRPr="001C1EE6" w:rsidRDefault="586430B6" w:rsidP="3A2688DF">
            <w:pPr>
              <w:spacing w:after="0"/>
              <w:rPr>
                <w:rFonts w:ascii="Times New Roman" w:eastAsia="Times New Roman" w:hAnsi="Times New Roman" w:cs="Times New Roman"/>
                <w:noProof/>
                <w:sz w:val="20"/>
                <w:szCs w:val="20"/>
              </w:rPr>
            </w:pPr>
            <w:r>
              <w:rPr>
                <w:rFonts w:ascii="Times New Roman" w:hAnsi="Times New Roman"/>
                <w:noProof/>
                <w:color w:val="006100"/>
                <w:sz w:val="20"/>
              </w:rPr>
              <w:t>Outil numérique</w:t>
            </w:r>
          </w:p>
        </w:tc>
        <w:tc>
          <w:tcPr>
            <w:tcW w:w="1985" w:type="dxa"/>
            <w:shd w:val="clear" w:color="auto" w:fill="C6EFCE"/>
            <w:noWrap/>
            <w:vAlign w:val="center"/>
          </w:tcPr>
          <w:p w14:paraId="6A79D986"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F9AC9D0"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Nombre d’opérateurs</w:t>
            </w:r>
          </w:p>
        </w:tc>
        <w:tc>
          <w:tcPr>
            <w:tcW w:w="1134" w:type="dxa"/>
            <w:shd w:val="clear" w:color="auto" w:fill="C6EFCE"/>
            <w:noWrap/>
            <w:vAlign w:val="center"/>
          </w:tcPr>
          <w:p w14:paraId="503D0C20"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86" w:type="dxa"/>
            <w:shd w:val="clear" w:color="auto" w:fill="C6EFCE"/>
            <w:noWrap/>
            <w:vAlign w:val="center"/>
          </w:tcPr>
          <w:p w14:paraId="5107001D"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w:t>
            </w:r>
          </w:p>
        </w:tc>
        <w:tc>
          <w:tcPr>
            <w:tcW w:w="1134" w:type="dxa"/>
            <w:shd w:val="clear" w:color="auto" w:fill="C6EFCE"/>
            <w:noWrap/>
            <w:vAlign w:val="center"/>
          </w:tcPr>
          <w:p w14:paraId="149C463C"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4A3F1C46"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699" w:type="dxa"/>
            <w:shd w:val="clear" w:color="auto" w:fill="C6EFCE"/>
            <w:noWrap/>
            <w:vAlign w:val="center"/>
          </w:tcPr>
          <w:p w14:paraId="722C9746" w14:textId="31AB02E3" w:rsidR="000D1388" w:rsidRPr="001C1EE6" w:rsidRDefault="00E71057" w:rsidP="3A2688DF">
            <w:pPr>
              <w:spacing w:after="120"/>
              <w:rPr>
                <w:rFonts w:ascii="Times New Roman" w:eastAsia="Calibri" w:hAnsi="Times New Roman" w:cs="Arial"/>
                <w:noProof/>
                <w:color w:val="006100"/>
                <w:sz w:val="20"/>
                <w:szCs w:val="20"/>
              </w:rPr>
            </w:pPr>
            <w:r>
              <w:rPr>
                <w:rFonts w:ascii="Times New Roman" w:hAnsi="Times New Roman"/>
                <w:noProof/>
                <w:color w:val="006100"/>
                <w:sz w:val="20"/>
              </w:rPr>
              <w:t>Un outil numérique permettant aux citoyens de rechercher des activités culturelles est en ligne et accessible pour deux opérateurs de médias et trois opérateurs culturels. L’outil numérique est diffusé au titre d’une licence libre et ouverte.</w:t>
            </w:r>
          </w:p>
        </w:tc>
      </w:tr>
      <w:tr w:rsidR="00F76C04" w:rsidRPr="001C1EE6" w14:paraId="3DE88B3F" w14:textId="77777777" w:rsidTr="002C7502">
        <w:trPr>
          <w:trHeight w:val="309"/>
          <w:jc w:val="center"/>
        </w:trPr>
        <w:tc>
          <w:tcPr>
            <w:tcW w:w="1129" w:type="dxa"/>
            <w:shd w:val="clear" w:color="auto" w:fill="C6EFCE"/>
            <w:noWrap/>
            <w:vAlign w:val="center"/>
          </w:tcPr>
          <w:p w14:paraId="249CFFEF"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68</w:t>
            </w:r>
          </w:p>
        </w:tc>
        <w:tc>
          <w:tcPr>
            <w:tcW w:w="1560" w:type="dxa"/>
            <w:shd w:val="clear" w:color="auto" w:fill="C6EFCE"/>
            <w:noWrap/>
            <w:vAlign w:val="center"/>
          </w:tcPr>
          <w:p w14:paraId="361339F5"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gouvernement flamand (I-2.09)</w:t>
            </w:r>
          </w:p>
        </w:tc>
        <w:tc>
          <w:tcPr>
            <w:tcW w:w="1275" w:type="dxa"/>
            <w:shd w:val="clear" w:color="auto" w:fill="C6EFCE"/>
            <w:noWrap/>
            <w:vAlign w:val="center"/>
          </w:tcPr>
          <w:p w14:paraId="1AA34672"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04D2401C"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Approbation du soutien à 11 projets</w:t>
            </w:r>
          </w:p>
        </w:tc>
        <w:tc>
          <w:tcPr>
            <w:tcW w:w="1985" w:type="dxa"/>
            <w:shd w:val="clear" w:color="auto" w:fill="C6EFCE"/>
            <w:noWrap/>
            <w:vAlign w:val="center"/>
          </w:tcPr>
          <w:p w14:paraId="10F22A99"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Au moins une décision approuvant le soutien pour chacun des 11 projets</w:t>
            </w:r>
          </w:p>
        </w:tc>
        <w:tc>
          <w:tcPr>
            <w:tcW w:w="992" w:type="dxa"/>
            <w:shd w:val="clear" w:color="auto" w:fill="C6EFCE"/>
            <w:noWrap/>
            <w:vAlign w:val="center"/>
          </w:tcPr>
          <w:p w14:paraId="3558DA71"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2CC0F6FF"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01D0553B"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30625B94"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485FF783"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699" w:type="dxa"/>
            <w:shd w:val="clear" w:color="auto" w:fill="C6EFCE"/>
            <w:noWrap/>
            <w:vAlign w:val="center"/>
          </w:tcPr>
          <w:p w14:paraId="24A736A8"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 gouvernement flamand ou l’entité concernée approuvera le soutien à 11 projets, qui contribuent ensemble à la réalisation de quatre objectifs principaux: 1. Vers un service public pour les citoyens, les entreprises et les associations; 2. permettre des décisions rapides et efficaces grâce aux données; 3. garantir une infrastructure de base fiable en renforçant les modules de base en matière de TIC; et 4 offrir un lieu de travail hybride aux fonctionnaires flamands.</w:t>
            </w:r>
          </w:p>
        </w:tc>
      </w:tr>
      <w:tr w:rsidR="00F76C04" w:rsidRPr="001C1EE6" w14:paraId="3D70C718" w14:textId="77777777" w:rsidTr="002C7502">
        <w:trPr>
          <w:trHeight w:val="309"/>
          <w:jc w:val="center"/>
        </w:trPr>
        <w:tc>
          <w:tcPr>
            <w:tcW w:w="1129" w:type="dxa"/>
            <w:shd w:val="clear" w:color="auto" w:fill="C6EFCE"/>
            <w:noWrap/>
            <w:vAlign w:val="center"/>
          </w:tcPr>
          <w:p w14:paraId="1D32BCEA"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69</w:t>
            </w:r>
          </w:p>
        </w:tc>
        <w:tc>
          <w:tcPr>
            <w:tcW w:w="1560" w:type="dxa"/>
            <w:shd w:val="clear" w:color="auto" w:fill="C6EFCE"/>
            <w:noWrap/>
            <w:vAlign w:val="center"/>
          </w:tcPr>
          <w:p w14:paraId="3E862C5B"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gouvernement flamand (I-2.09)</w:t>
            </w:r>
          </w:p>
        </w:tc>
        <w:tc>
          <w:tcPr>
            <w:tcW w:w="1275" w:type="dxa"/>
            <w:shd w:val="clear" w:color="auto" w:fill="C6EFCE"/>
            <w:noWrap/>
            <w:vAlign w:val="center"/>
          </w:tcPr>
          <w:p w14:paraId="3C60869C"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5E18E98F"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de digitalisation</w:t>
            </w:r>
          </w:p>
        </w:tc>
        <w:tc>
          <w:tcPr>
            <w:tcW w:w="1985" w:type="dxa"/>
            <w:shd w:val="clear" w:color="auto" w:fill="C6EFCE"/>
            <w:noWrap/>
            <w:vAlign w:val="center"/>
          </w:tcPr>
          <w:p w14:paraId="7CC4F973"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de digitalisation</w:t>
            </w:r>
          </w:p>
        </w:tc>
        <w:tc>
          <w:tcPr>
            <w:tcW w:w="992" w:type="dxa"/>
            <w:shd w:val="clear" w:color="auto" w:fill="C6EFCE"/>
            <w:noWrap/>
            <w:vAlign w:val="center"/>
          </w:tcPr>
          <w:p w14:paraId="2BA29D33"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18758113"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986" w:type="dxa"/>
            <w:shd w:val="clear" w:color="auto" w:fill="C6EFCE"/>
            <w:noWrap/>
            <w:vAlign w:val="center"/>
          </w:tcPr>
          <w:p w14:paraId="6EE57DAE" w14:textId="77777777" w:rsidR="000D1388" w:rsidRPr="001C1EE6"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5137CDC"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07A9FF7B"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699" w:type="dxa"/>
            <w:shd w:val="clear" w:color="auto" w:fill="C6EFCE"/>
            <w:noWrap/>
            <w:vAlign w:val="center"/>
          </w:tcPr>
          <w:p w14:paraId="1FBAD964" w14:textId="77777777" w:rsidR="000D1388" w:rsidRPr="001C1EE6"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«Mon profil citoyen» comporte quatre fonctionnalités et est disponible sous la forme d’une application mobile;</w:t>
            </w:r>
          </w:p>
          <w:p w14:paraId="5E32A4A6" w14:textId="77777777" w:rsidR="000D1388"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un accord-cadre sur les TIC a été conclu;</w:t>
            </w:r>
          </w:p>
          <w:p w14:paraId="57E34D8B" w14:textId="77777777" w:rsidR="000D1388" w:rsidRPr="001C1EE6"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des outils destinés à aider les administrations flamandes à évaluer leur cybersécurité sont disponibles et l’environnement SIEM est en place;</w:t>
            </w:r>
          </w:p>
          <w:p w14:paraId="4622B426" w14:textId="77777777" w:rsidR="000D1388" w:rsidRPr="001C1EE6"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des services de soutien pour un lieu de travail numérique hybride sont fournis;</w:t>
            </w:r>
          </w:p>
          <w:p w14:paraId="3C65E9CD" w14:textId="77777777" w:rsidR="000D1388" w:rsidRPr="001C1EE6"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migration de deux centres de données vers une infrastructure en nuage;</w:t>
            </w:r>
          </w:p>
          <w:p w14:paraId="2CC728B4" w14:textId="77777777" w:rsidR="000D1388" w:rsidRPr="001C1EE6"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services de soutien fournis pour la digitalisation des autorités locales;</w:t>
            </w:r>
          </w:p>
          <w:p w14:paraId="6F7142F3" w14:textId="77777777" w:rsidR="000D1388" w:rsidRPr="001C1EE6" w:rsidRDefault="00E71057" w:rsidP="00F70F65">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les composantes de gouvernance et techniques sont disponibles pour le Vlaamse Smart Data Space;</w:t>
            </w:r>
          </w:p>
          <w:p w14:paraId="67226201" w14:textId="77777777" w:rsidR="000D1388" w:rsidRPr="001C1EE6" w:rsidRDefault="00E71057" w:rsidP="00F70F65">
            <w:pPr>
              <w:numPr>
                <w:ilvl w:val="0"/>
                <w:numId w:val="35"/>
              </w:numPr>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un outil numérique pour la gestion des actifs d’Aquafin est en place; </w:t>
            </w:r>
          </w:p>
          <w:p w14:paraId="2D16B8C6" w14:textId="77777777" w:rsidR="000D1388" w:rsidRDefault="00E71057" w:rsidP="00F70F65">
            <w:pPr>
              <w:pStyle w:val="ListParagraph"/>
              <w:numPr>
                <w:ilvl w:val="0"/>
                <w:numId w:val="35"/>
              </w:numPr>
              <w:spacing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un prototype de plateforme numérique pour la publication des données relatives à la participation à des événements est en place;</w:t>
            </w:r>
          </w:p>
          <w:p w14:paraId="5BBB59CC" w14:textId="77777777" w:rsidR="000D1388" w:rsidRPr="0095529E" w:rsidRDefault="00E71057" w:rsidP="00F70F65">
            <w:pPr>
              <w:pStyle w:val="ListParagraph"/>
              <w:numPr>
                <w:ilvl w:val="0"/>
                <w:numId w:val="35"/>
              </w:numPr>
              <w:spacing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de nouvelles fonctionnalités sont disponibles sur la plateforme Kaléidos.</w:t>
            </w:r>
          </w:p>
        </w:tc>
      </w:tr>
      <w:tr w:rsidR="00F76C04" w:rsidRPr="001C1EE6" w14:paraId="05435F4F" w14:textId="77777777" w:rsidTr="002C7502">
        <w:trPr>
          <w:trHeight w:val="309"/>
          <w:jc w:val="center"/>
        </w:trPr>
        <w:tc>
          <w:tcPr>
            <w:tcW w:w="1129" w:type="dxa"/>
            <w:shd w:val="clear" w:color="auto" w:fill="C6EFCE"/>
            <w:noWrap/>
            <w:vAlign w:val="center"/>
          </w:tcPr>
          <w:p w14:paraId="2A92B159"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70</w:t>
            </w:r>
          </w:p>
        </w:tc>
        <w:tc>
          <w:tcPr>
            <w:tcW w:w="1560" w:type="dxa"/>
            <w:shd w:val="clear" w:color="auto" w:fill="C6EFCE"/>
            <w:noWrap/>
            <w:vAlign w:val="center"/>
          </w:tcPr>
          <w:p w14:paraId="58AA5DB3"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Plateforme régionale d’échange de données (I-2.10)</w:t>
            </w:r>
          </w:p>
        </w:tc>
        <w:tc>
          <w:tcPr>
            <w:tcW w:w="1275" w:type="dxa"/>
            <w:shd w:val="clear" w:color="auto" w:fill="C6EFCE"/>
            <w:noWrap/>
            <w:vAlign w:val="center"/>
          </w:tcPr>
          <w:p w14:paraId="1AD988FA"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26689658"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du marché public</w:t>
            </w:r>
          </w:p>
        </w:tc>
        <w:tc>
          <w:tcPr>
            <w:tcW w:w="1985" w:type="dxa"/>
            <w:shd w:val="clear" w:color="auto" w:fill="C6EFCE"/>
            <w:noWrap/>
            <w:vAlign w:val="center"/>
          </w:tcPr>
          <w:p w14:paraId="155C784D"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ordre de service devrait être publié</w:t>
            </w:r>
          </w:p>
        </w:tc>
        <w:tc>
          <w:tcPr>
            <w:tcW w:w="992" w:type="dxa"/>
            <w:shd w:val="clear" w:color="auto" w:fill="C6EFCE"/>
            <w:noWrap/>
            <w:vAlign w:val="center"/>
          </w:tcPr>
          <w:p w14:paraId="177FDCA5"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F406209"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03FDC0AD"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38D55250"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6AC39A01"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2699" w:type="dxa"/>
            <w:shd w:val="clear" w:color="auto" w:fill="C6EFCE"/>
            <w:noWrap/>
            <w:vAlign w:val="center"/>
          </w:tcPr>
          <w:p w14:paraId="6CF81B7C"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Devrait être publié un ordre de service présentant les exigences de haut niveau pour la plateforme d’échange de données ainsi que la répartition des rôles entre le Centre d’informatique pour la Région Bruxelloise (CIRB) et les sous-traitants et les besoins en matière de gouvernance des données et de la gouvernance requise pour la plateforme</w:t>
            </w:r>
          </w:p>
        </w:tc>
      </w:tr>
      <w:tr w:rsidR="00F76C04" w:rsidRPr="001C1EE6" w14:paraId="352141BB" w14:textId="77777777" w:rsidTr="002C7502">
        <w:trPr>
          <w:trHeight w:val="309"/>
          <w:jc w:val="center"/>
        </w:trPr>
        <w:tc>
          <w:tcPr>
            <w:tcW w:w="1129" w:type="dxa"/>
            <w:shd w:val="clear" w:color="auto" w:fill="C6EFCE"/>
            <w:noWrap/>
            <w:vAlign w:val="center"/>
          </w:tcPr>
          <w:p w14:paraId="04AC0589"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72</w:t>
            </w:r>
          </w:p>
        </w:tc>
        <w:tc>
          <w:tcPr>
            <w:tcW w:w="1560" w:type="dxa"/>
            <w:shd w:val="clear" w:color="auto" w:fill="C6EFCE"/>
            <w:noWrap/>
            <w:vAlign w:val="center"/>
          </w:tcPr>
          <w:p w14:paraId="565D1636"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des processus citoyens-entreprises (I-2.11)</w:t>
            </w:r>
          </w:p>
        </w:tc>
        <w:tc>
          <w:tcPr>
            <w:tcW w:w="1275" w:type="dxa"/>
            <w:shd w:val="clear" w:color="auto" w:fill="C6EFCE"/>
            <w:noWrap/>
            <w:vAlign w:val="center"/>
          </w:tcPr>
          <w:p w14:paraId="4C29ED5C"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7F83B0CB"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service des nouvelles plateformes numériques</w:t>
            </w:r>
          </w:p>
        </w:tc>
        <w:tc>
          <w:tcPr>
            <w:tcW w:w="1985" w:type="dxa"/>
            <w:shd w:val="clear" w:color="auto" w:fill="C6EFCE"/>
            <w:noWrap/>
            <w:vAlign w:val="center"/>
          </w:tcPr>
          <w:p w14:paraId="7A225BCC"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nouvelle plateforme (CRM) facilitant l’interaction entre l’administration et les citoyens/entreprises et entre les administrations est opérationnelle dans la Région de Bruxelles-Capitale</w:t>
            </w:r>
          </w:p>
        </w:tc>
        <w:tc>
          <w:tcPr>
            <w:tcW w:w="992" w:type="dxa"/>
            <w:shd w:val="clear" w:color="auto" w:fill="C6EFCE"/>
            <w:noWrap/>
            <w:vAlign w:val="center"/>
          </w:tcPr>
          <w:p w14:paraId="13288B49"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57431D6"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25A888B4"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4D913071"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55FC2ABA"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2699" w:type="dxa"/>
            <w:shd w:val="clear" w:color="auto" w:fill="C6EFCE"/>
            <w:noWrap/>
            <w:vAlign w:val="center"/>
          </w:tcPr>
          <w:p w14:paraId="46000CF1"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nouvelle plateforme (CRM) facilitant l’interaction entre l’administration et les citoyens/entreprises et entre les administrations est opérationnelle dans la Région de Bruxelles-Capitale</w:t>
            </w:r>
          </w:p>
          <w:p w14:paraId="0AFD5E8F"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plateforme CRM de base sera disponible pour le développement de projets CRM spécifiques dans la Région de Bruxelles-Capitale. L’objectif est de déployer d’ici fin 2024 16 projets répartis sur des administrations régionales et/ou locales (Parking.Brussels, Hub.Brussels, Bruxelles Économie et Emploi)</w:t>
            </w:r>
          </w:p>
        </w:tc>
      </w:tr>
      <w:tr w:rsidR="00F76C04" w:rsidRPr="001C1EE6" w14:paraId="3FB4121D" w14:textId="77777777" w:rsidTr="002C7502">
        <w:trPr>
          <w:trHeight w:val="309"/>
          <w:jc w:val="center"/>
        </w:trPr>
        <w:tc>
          <w:tcPr>
            <w:tcW w:w="1129" w:type="dxa"/>
            <w:shd w:val="clear" w:color="auto" w:fill="C6EFCE"/>
            <w:noWrap/>
            <w:vAlign w:val="center"/>
          </w:tcPr>
          <w:p w14:paraId="57E37C19"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73</w:t>
            </w:r>
          </w:p>
        </w:tc>
        <w:tc>
          <w:tcPr>
            <w:tcW w:w="1560" w:type="dxa"/>
            <w:shd w:val="clear" w:color="auto" w:fill="C6EFCE"/>
            <w:noWrap/>
            <w:vAlign w:val="center"/>
          </w:tcPr>
          <w:p w14:paraId="4D1CAAC4"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des processus citoyens-entreprises (I-2.11)</w:t>
            </w:r>
          </w:p>
        </w:tc>
        <w:tc>
          <w:tcPr>
            <w:tcW w:w="1275" w:type="dxa"/>
            <w:shd w:val="clear" w:color="auto" w:fill="C6EFCE"/>
            <w:noWrap/>
            <w:vAlign w:val="center"/>
          </w:tcPr>
          <w:p w14:paraId="5FCFF951"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07" w:type="dxa"/>
            <w:shd w:val="clear" w:color="auto" w:fill="C6EFCE"/>
            <w:noWrap/>
            <w:vAlign w:val="center"/>
          </w:tcPr>
          <w:p w14:paraId="489C89A4"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Trois plateformes numériques </w:t>
            </w:r>
          </w:p>
        </w:tc>
        <w:tc>
          <w:tcPr>
            <w:tcW w:w="1985" w:type="dxa"/>
            <w:shd w:val="clear" w:color="auto" w:fill="C6EFCE"/>
            <w:noWrap/>
            <w:vAlign w:val="center"/>
          </w:tcPr>
          <w:p w14:paraId="38594407" w14:textId="77777777" w:rsidR="000D1388" w:rsidRPr="001C1EE6" w:rsidRDefault="000D1388">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3938627"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Plateformes numériques</w:t>
            </w:r>
          </w:p>
        </w:tc>
        <w:tc>
          <w:tcPr>
            <w:tcW w:w="1134" w:type="dxa"/>
            <w:shd w:val="clear" w:color="auto" w:fill="C6EFCE"/>
            <w:noWrap/>
            <w:vAlign w:val="center"/>
          </w:tcPr>
          <w:p w14:paraId="5D8E5631"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86" w:type="dxa"/>
            <w:shd w:val="clear" w:color="auto" w:fill="C6EFCE"/>
            <w:noWrap/>
            <w:vAlign w:val="center"/>
          </w:tcPr>
          <w:p w14:paraId="388D6F57"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w:t>
            </w:r>
          </w:p>
        </w:tc>
        <w:tc>
          <w:tcPr>
            <w:tcW w:w="1134" w:type="dxa"/>
            <w:shd w:val="clear" w:color="auto" w:fill="C6EFCE"/>
            <w:noWrap/>
            <w:vAlign w:val="center"/>
          </w:tcPr>
          <w:p w14:paraId="24F538C5"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6E8FA113"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2699" w:type="dxa"/>
            <w:shd w:val="clear" w:color="auto" w:fill="C6EFCE"/>
            <w:noWrap/>
            <w:vAlign w:val="center"/>
          </w:tcPr>
          <w:p w14:paraId="172348FF"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Trois plateformes numériques sont en ligne et accessibles pour les permis d’urbanisme, les permis d’environnement, et obtenir des informations en matière d’urbanisme dans la Région de Bruxelles-Capitale</w:t>
            </w:r>
          </w:p>
        </w:tc>
      </w:tr>
      <w:tr w:rsidR="00F76C04" w:rsidRPr="001C1EE6" w14:paraId="5DB71712" w14:textId="77777777" w:rsidTr="002C7502">
        <w:trPr>
          <w:trHeight w:val="309"/>
          <w:jc w:val="center"/>
        </w:trPr>
        <w:tc>
          <w:tcPr>
            <w:tcW w:w="1129" w:type="dxa"/>
            <w:shd w:val="clear" w:color="auto" w:fill="C6EFCE"/>
            <w:noWrap/>
            <w:vAlign w:val="center"/>
          </w:tcPr>
          <w:p w14:paraId="7A27B434"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77</w:t>
            </w:r>
          </w:p>
        </w:tc>
        <w:tc>
          <w:tcPr>
            <w:tcW w:w="1560" w:type="dxa"/>
            <w:shd w:val="clear" w:color="auto" w:fill="C6EFCE"/>
            <w:noWrap/>
            <w:vAlign w:val="center"/>
          </w:tcPr>
          <w:p w14:paraId="60392EA4"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Simplification des procédures administratives (R-2.01)</w:t>
            </w:r>
          </w:p>
        </w:tc>
        <w:tc>
          <w:tcPr>
            <w:tcW w:w="1275" w:type="dxa"/>
            <w:shd w:val="clear" w:color="auto" w:fill="C6EFCE"/>
            <w:noWrap/>
            <w:vAlign w:val="center"/>
          </w:tcPr>
          <w:p w14:paraId="0CBF3E3F"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1FC3A33F"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mesures visant à simplifier la création en ligne d’une entreprise</w:t>
            </w:r>
          </w:p>
        </w:tc>
        <w:tc>
          <w:tcPr>
            <w:tcW w:w="1985" w:type="dxa"/>
            <w:shd w:val="clear" w:color="auto" w:fill="C6EFCE"/>
            <w:noWrap/>
            <w:vAlign w:val="center"/>
          </w:tcPr>
          <w:p w14:paraId="2F5A6FBF"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 du dernier acte législatif portant assentiment à l’accord de coopération comprenant des mesures visant à permettre la création, la modification et la dissolution d’une activité commerciale entièrement par voie électronique. Dispositions indiquant l’entrée en vigueur des lois et des arrêtés royaux permettant progressivement la création, la modification et la dissolution en ligne des personnes morales, pour toutes les formes juridiques</w:t>
            </w:r>
          </w:p>
        </w:tc>
        <w:tc>
          <w:tcPr>
            <w:tcW w:w="992" w:type="dxa"/>
            <w:shd w:val="clear" w:color="auto" w:fill="C6EFCE"/>
            <w:noWrap/>
            <w:vAlign w:val="center"/>
          </w:tcPr>
          <w:p w14:paraId="3B7DAD48"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5F6D7427"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050DE393"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0E024FF"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31F7ECA8"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2699" w:type="dxa"/>
            <w:shd w:val="clear" w:color="auto" w:fill="C6EFCE"/>
            <w:noWrap/>
            <w:vAlign w:val="center"/>
          </w:tcPr>
          <w:p w14:paraId="0F3EAE58" w14:textId="77777777" w:rsidR="000D1388" w:rsidRPr="001C1EE6" w:rsidDel="00067AE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l’accord de coopération entre le gouvernement fédéral et les entités fédérées comprenant des mesures visant à permettre la création, la modification et la dissolution d’une activité commerciale entièrement par voie électronique. Le nouveau système numérique ainsi créé par l’accord de coopération, qui comprend trois formulaires électroniques pour la création, la modification et la dissolution d’une activité commerciale, constituera un canal administratif de substitution offrant une solution de remplacement simplifiée face aux formulaires existants.</w:t>
            </w:r>
          </w:p>
          <w:p w14:paraId="72B3259E"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Entrée en vigueur des dispositions législatives permettant progressivement la création, la modification et la dissolution en ligne des personnes morales, pour toutes les formes juridiques, par l’intermédiaire des notaires ou du portail JustAct </w:t>
            </w:r>
          </w:p>
        </w:tc>
      </w:tr>
      <w:tr w:rsidR="00F76C04" w:rsidRPr="001C1EE6" w14:paraId="54E1E46A" w14:textId="77777777" w:rsidTr="002C7502">
        <w:trPr>
          <w:trHeight w:val="309"/>
          <w:jc w:val="center"/>
        </w:trPr>
        <w:tc>
          <w:tcPr>
            <w:tcW w:w="1129" w:type="dxa"/>
            <w:shd w:val="clear" w:color="auto" w:fill="C6EFCE"/>
            <w:noWrap/>
            <w:vAlign w:val="center"/>
          </w:tcPr>
          <w:p w14:paraId="53FCE8BA"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78</w:t>
            </w:r>
          </w:p>
        </w:tc>
        <w:tc>
          <w:tcPr>
            <w:tcW w:w="1560" w:type="dxa"/>
            <w:shd w:val="clear" w:color="auto" w:fill="C6EFCE"/>
            <w:noWrap/>
            <w:vAlign w:val="center"/>
          </w:tcPr>
          <w:p w14:paraId="28790396"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E-gouvernement: procédure d’appel d’offres (R-2.02)</w:t>
            </w:r>
          </w:p>
        </w:tc>
        <w:tc>
          <w:tcPr>
            <w:tcW w:w="1275" w:type="dxa"/>
            <w:shd w:val="clear" w:color="auto" w:fill="C6EFCE"/>
            <w:noWrap/>
            <w:vAlign w:val="center"/>
          </w:tcPr>
          <w:p w14:paraId="458B4711"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7" w:type="dxa"/>
            <w:shd w:val="clear" w:color="auto" w:fill="C6EFCE"/>
            <w:noWrap/>
            <w:vAlign w:val="center"/>
          </w:tcPr>
          <w:p w14:paraId="0B322C26"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d’un nouveau contexte réglementaire</w:t>
            </w:r>
          </w:p>
        </w:tc>
        <w:tc>
          <w:tcPr>
            <w:tcW w:w="1985" w:type="dxa"/>
            <w:shd w:val="clear" w:color="auto" w:fill="C6EFCE"/>
            <w:noWrap/>
            <w:vAlign w:val="center"/>
          </w:tcPr>
          <w:p w14:paraId="1ED46089"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Disposition dans la législation indiquant l’entrée en vigueur du nouvel arrêté royal</w:t>
            </w:r>
          </w:p>
        </w:tc>
        <w:tc>
          <w:tcPr>
            <w:tcW w:w="992" w:type="dxa"/>
            <w:shd w:val="clear" w:color="auto" w:fill="C6EFCE"/>
            <w:noWrap/>
            <w:vAlign w:val="center"/>
          </w:tcPr>
          <w:p w14:paraId="54881A1F"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45EF381"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86" w:type="dxa"/>
            <w:shd w:val="clear" w:color="auto" w:fill="C6EFCE"/>
            <w:noWrap/>
            <w:vAlign w:val="center"/>
          </w:tcPr>
          <w:p w14:paraId="49B03FFA"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99348CB"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725C4798" w14:textId="77777777" w:rsidR="000D1388" w:rsidRPr="001C1EE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699" w:type="dxa"/>
            <w:shd w:val="clear" w:color="auto" w:fill="C6EFCE"/>
            <w:noWrap/>
            <w:vAlign w:val="center"/>
          </w:tcPr>
          <w:p w14:paraId="593386BB"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d’un nouvel arrêté royal qui adapte le cadre réglementaire fédéral pour la conduite des procédures d’appel d’offres afin de faciliter l’utilisation de la nouvelle plateforme d’e-gouvernement améliorée</w:t>
            </w:r>
          </w:p>
          <w:p w14:paraId="28C49F28" w14:textId="77777777" w:rsidR="000D1388" w:rsidRPr="001C1EE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 nouvel arrêté royal vise:</w:t>
            </w:r>
          </w:p>
          <w:p w14:paraId="1A1A989A" w14:textId="77777777" w:rsidR="000D1388" w:rsidRPr="001C1EE6" w:rsidRDefault="00E71057" w:rsidP="00F70F65">
            <w:pPr>
              <w:numPr>
                <w:ilvl w:val="0"/>
                <w:numId w:val="36"/>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l’alignement des participants à la politique fédérale d’achats pour améliorer le taux de pénétration des achats communs fédéraux</w:t>
            </w:r>
          </w:p>
          <w:p w14:paraId="095D01F9" w14:textId="77777777" w:rsidR="000D1388" w:rsidRPr="001C1EE6" w:rsidRDefault="00E71057" w:rsidP="00F70F65">
            <w:pPr>
              <w:numPr>
                <w:ilvl w:val="0"/>
                <w:numId w:val="36"/>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l’adoption d’une feuille de route commune – réponse à des objectifs plus ciblés en termes de développement durable et d’accès aux PME;</w:t>
            </w:r>
          </w:p>
          <w:p w14:paraId="50215F82" w14:textId="77777777" w:rsidR="000D1388" w:rsidRPr="001C1EE6" w:rsidRDefault="00E71057" w:rsidP="00F70F65">
            <w:pPr>
              <w:numPr>
                <w:ilvl w:val="0"/>
                <w:numId w:val="36"/>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l’élaboration de stratégies d’achat par segments d’achat avec des plans de catégorie</w:t>
            </w:r>
          </w:p>
          <w:p w14:paraId="2B59E4F4" w14:textId="77777777" w:rsidR="000D1388" w:rsidRPr="001C1EE6" w:rsidRDefault="00E71057" w:rsidP="00F70F65">
            <w:pPr>
              <w:numPr>
                <w:ilvl w:val="0"/>
                <w:numId w:val="36"/>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le renforcement du rôle du centre des marchés publics fédéraux du SPF BOSA</w:t>
            </w:r>
          </w:p>
          <w:p w14:paraId="32B13F9B" w14:textId="77777777" w:rsidR="000D1388" w:rsidRPr="001C1EE6" w:rsidRDefault="00E71057" w:rsidP="00F70F65">
            <w:pPr>
              <w:numPr>
                <w:ilvl w:val="0"/>
                <w:numId w:val="36"/>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la simplification administrative et la normalisation des processus, notamment en vue de capturer les besoins des participants fédéraux.</w:t>
            </w:r>
          </w:p>
        </w:tc>
      </w:tr>
    </w:tbl>
    <w:p w14:paraId="79049ECE" w14:textId="77777777" w:rsidR="000D1388" w:rsidRPr="00746A1A" w:rsidRDefault="000D1388" w:rsidP="00E71057">
      <w:pPr>
        <w:rPr>
          <w:rFonts w:ascii="Times New Roman" w:eastAsia="Calibri" w:hAnsi="Times New Roman" w:cs="Times New Roman"/>
          <w:noProof/>
          <w:lang w:val="fr-BE"/>
        </w:rPr>
        <w:sectPr w:rsidR="000D1388" w:rsidRPr="00746A1A" w:rsidSect="00E71057">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360"/>
        </w:sectPr>
      </w:pPr>
    </w:p>
    <w:p w14:paraId="414D3F0B" w14:textId="77777777" w:rsidR="000D1388" w:rsidRPr="009D65D8" w:rsidRDefault="00E71057" w:rsidP="00E71057">
      <w:pPr>
        <w:spacing w:before="120" w:after="120"/>
        <w:jc w:val="both"/>
        <w:rPr>
          <w:rFonts w:ascii="Times New Roman" w:eastAsia="Times New Roman" w:hAnsi="Times New Roman" w:cs="Times New Roman"/>
          <w:b/>
          <w:bCs/>
          <w:smallCaps/>
          <w:noProof/>
          <w:u w:val="single"/>
        </w:rPr>
      </w:pPr>
      <w:r>
        <w:rPr>
          <w:rFonts w:ascii="Times New Roman" w:hAnsi="Times New Roman"/>
          <w:b/>
          <w:noProof/>
          <w:u w:val="single"/>
        </w:rPr>
        <w:t xml:space="preserve">E.3. </w:t>
      </w:r>
      <w:r>
        <w:rPr>
          <w:rFonts w:ascii="Calibri" w:hAnsi="Calibri"/>
          <w:noProof/>
        </w:rPr>
        <w:tab/>
      </w:r>
      <w:r>
        <w:rPr>
          <w:rFonts w:ascii="Times New Roman" w:hAnsi="Times New Roman"/>
          <w:b/>
          <w:noProof/>
          <w:u w:val="single"/>
        </w:rPr>
        <w:t>Description des réformes et des investissements en vue du prêt</w:t>
      </w:r>
    </w:p>
    <w:p w14:paraId="4B786CBA" w14:textId="7246E6C2" w:rsidR="000D1388" w:rsidRPr="009D65D8" w:rsidRDefault="73B59D02" w:rsidP="3FC37BCA">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 xml:space="preserve">Investissement I-2.05 </w:t>
      </w:r>
      <w:r>
        <w:rPr>
          <w:rFonts w:ascii="Times New Roman" w:hAnsi="Times New Roman"/>
          <w:i/>
          <w:iCs/>
          <w:noProof/>
          <w:sz w:val="24"/>
          <w:u w:val="single"/>
        </w:rPr>
        <w:t>bis</w:t>
      </w:r>
      <w:r>
        <w:rPr>
          <w:rFonts w:ascii="Times New Roman" w:hAnsi="Times New Roman"/>
          <w:noProof/>
          <w:sz w:val="24"/>
          <w:u w:val="single"/>
        </w:rPr>
        <w:t>: «Projets de numérisation pour les administrations chargées de l’asile et de l’immigration» de l’État fédéral</w:t>
      </w:r>
    </w:p>
    <w:p w14:paraId="0A58AA0F" w14:textId="5FA5F238" w:rsidR="000D1388" w:rsidRPr="00923D33" w:rsidRDefault="73B59D02"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mesure a pour objectif de moderniser l’infrastructure numérique des administrations chargées de l’asile et de l’immigration. Elle consiste en des projets de digitalisation.</w:t>
      </w:r>
    </w:p>
    <w:p w14:paraId="65EFEC57" w14:textId="7AF328EA" w:rsidR="000D1388" w:rsidRPr="00746A1A" w:rsidRDefault="000D1388" w:rsidP="3FC37BCA">
      <w:pPr>
        <w:spacing w:before="120" w:after="120" w:line="240" w:lineRule="auto"/>
        <w:jc w:val="both"/>
        <w:rPr>
          <w:rFonts w:ascii="Times New Roman" w:eastAsia="Calibri" w:hAnsi="Times New Roman" w:cs="Times New Roman"/>
          <w:noProof/>
          <w:sz w:val="24"/>
          <w:szCs w:val="24"/>
          <w:lang w:val="fr-BE"/>
        </w:rPr>
        <w:sectPr w:rsidR="000D1388" w:rsidRPr="00746A1A" w:rsidSect="00E71057">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360"/>
        </w:sectPr>
      </w:pPr>
    </w:p>
    <w:p w14:paraId="404ABE77" w14:textId="77777777" w:rsidR="000D1388" w:rsidRPr="009D65D8" w:rsidRDefault="00E71057" w:rsidP="00E71057">
      <w:pPr>
        <w:spacing w:before="120" w:after="120"/>
        <w:jc w:val="both"/>
        <w:rPr>
          <w:rFonts w:ascii="Times New Roman" w:eastAsia="Times New Roman" w:hAnsi="Times New Roman" w:cs="Times New Roman"/>
          <w:b/>
          <w:bCs/>
          <w:smallCaps/>
          <w:noProof/>
          <w:u w:val="single"/>
        </w:rPr>
      </w:pPr>
      <w:r>
        <w:rPr>
          <w:rFonts w:ascii="Times New Roman" w:hAnsi="Times New Roman"/>
          <w:b/>
          <w:noProof/>
          <w:sz w:val="24"/>
          <w:u w:val="single"/>
        </w:rPr>
        <w:t>E</w:t>
      </w:r>
      <w:r>
        <w:rPr>
          <w:rFonts w:ascii="Times New Roman" w:hAnsi="Times New Roman"/>
          <w:b/>
          <w:noProof/>
          <w:u w:val="single"/>
        </w:rPr>
        <w:t>.4.</w:t>
      </w:r>
      <w:r>
        <w:rPr>
          <w:rFonts w:ascii="Calibri" w:hAnsi="Calibri"/>
          <w:noProof/>
        </w:rPr>
        <w:tab/>
      </w:r>
      <w:r>
        <w:rPr>
          <w:rFonts w:ascii="Times New Roman" w:hAnsi="Times New Roman"/>
          <w:b/>
          <w:noProof/>
          <w:u w:val="single"/>
        </w:rPr>
        <w:t>Jalons, cibles, indicateurs et calendrier de suivi et de mise en œuvre en vue du prêt</w:t>
      </w:r>
    </w:p>
    <w:tbl>
      <w:tblPr>
        <w:tblW w:w="16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275"/>
        <w:gridCol w:w="1560"/>
        <w:gridCol w:w="1275"/>
        <w:gridCol w:w="992"/>
        <w:gridCol w:w="1100"/>
        <w:gridCol w:w="1027"/>
        <w:gridCol w:w="1134"/>
        <w:gridCol w:w="850"/>
        <w:gridCol w:w="4389"/>
      </w:tblGrid>
      <w:tr w:rsidR="00D471F7" w:rsidRPr="0095529E" w14:paraId="4781E957" w14:textId="77777777" w:rsidTr="002C7502">
        <w:trPr>
          <w:trHeight w:val="927"/>
          <w:jc w:val="center"/>
        </w:trPr>
        <w:tc>
          <w:tcPr>
            <w:tcW w:w="1129" w:type="dxa"/>
            <w:vMerge w:val="restart"/>
            <w:shd w:val="clear" w:color="auto" w:fill="BDD7EE"/>
            <w:vAlign w:val="center"/>
            <w:hideMark/>
          </w:tcPr>
          <w:p w14:paraId="0E79B48C" w14:textId="77777777" w:rsidR="000D1388" w:rsidRPr="0095529E"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w:t>
            </w:r>
            <w:r>
              <w:rPr>
                <w:rFonts w:ascii="Calibri" w:hAnsi="Calibri"/>
                <w:noProof/>
                <w:sz w:val="20"/>
              </w:rPr>
              <w:t xml:space="preserve"> </w:t>
            </w:r>
            <w:r>
              <w:rPr>
                <w:rFonts w:ascii="Calibri" w:hAnsi="Calibri"/>
                <w:noProof/>
                <w:sz w:val="20"/>
              </w:rPr>
              <w:br/>
            </w:r>
            <w:r>
              <w:rPr>
                <w:rFonts w:ascii="Times New Roman" w:hAnsi="Times New Roman"/>
                <w:b/>
                <w:noProof/>
                <w:sz w:val="20"/>
              </w:rPr>
              <w:t>séquentiel</w:t>
            </w:r>
          </w:p>
        </w:tc>
        <w:tc>
          <w:tcPr>
            <w:tcW w:w="1560" w:type="dxa"/>
            <w:vMerge w:val="restart"/>
            <w:shd w:val="clear" w:color="auto" w:fill="BDD7EE"/>
            <w:vAlign w:val="center"/>
            <w:hideMark/>
          </w:tcPr>
          <w:p w14:paraId="6E10261D" w14:textId="77777777" w:rsidR="000D1388" w:rsidRPr="0095529E"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75" w:type="dxa"/>
            <w:vMerge w:val="restart"/>
            <w:shd w:val="clear" w:color="auto" w:fill="BDD7EE"/>
            <w:vAlign w:val="center"/>
            <w:hideMark/>
          </w:tcPr>
          <w:p w14:paraId="7C931CC5" w14:textId="77777777" w:rsidR="000D1388" w:rsidRPr="0095529E"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560" w:type="dxa"/>
            <w:vMerge w:val="restart"/>
            <w:shd w:val="clear" w:color="auto" w:fill="BDD7EE"/>
            <w:vAlign w:val="center"/>
            <w:hideMark/>
          </w:tcPr>
          <w:p w14:paraId="32C3A3AF" w14:textId="77777777" w:rsidR="000D1388" w:rsidRPr="0095529E"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275" w:type="dxa"/>
            <w:vMerge w:val="restart"/>
            <w:shd w:val="clear" w:color="auto" w:fill="BDD7EE"/>
            <w:vAlign w:val="center"/>
            <w:hideMark/>
          </w:tcPr>
          <w:p w14:paraId="166B3CA1" w14:textId="77777777" w:rsidR="000D1388" w:rsidRPr="0095529E"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119" w:type="dxa"/>
            <w:gridSpan w:val="3"/>
            <w:shd w:val="clear" w:color="auto" w:fill="BDD7EE"/>
            <w:vAlign w:val="center"/>
            <w:hideMark/>
          </w:tcPr>
          <w:p w14:paraId="2B01ADFA" w14:textId="77777777" w:rsidR="000D1388" w:rsidRPr="0095529E"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84" w:type="dxa"/>
            <w:gridSpan w:val="2"/>
            <w:shd w:val="clear" w:color="auto" w:fill="BDD7EE"/>
            <w:vAlign w:val="center"/>
            <w:hideMark/>
          </w:tcPr>
          <w:p w14:paraId="7A7C2037" w14:textId="77777777" w:rsidR="000D1388" w:rsidRPr="0095529E"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4389" w:type="dxa"/>
            <w:vMerge w:val="restart"/>
            <w:shd w:val="clear" w:color="auto" w:fill="BDD7EE"/>
            <w:vAlign w:val="center"/>
            <w:hideMark/>
          </w:tcPr>
          <w:p w14:paraId="06ECDA5E" w14:textId="77777777" w:rsidR="000D1388" w:rsidRPr="0095529E"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F76C04" w:rsidRPr="0095529E" w14:paraId="33CB8CA8" w14:textId="77777777" w:rsidTr="002C7502">
        <w:trPr>
          <w:trHeight w:val="1013"/>
          <w:jc w:val="center"/>
        </w:trPr>
        <w:tc>
          <w:tcPr>
            <w:tcW w:w="1129" w:type="dxa"/>
            <w:vMerge/>
            <w:vAlign w:val="center"/>
            <w:hideMark/>
          </w:tcPr>
          <w:p w14:paraId="5DE19A5A"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32EB502E"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275" w:type="dxa"/>
            <w:vMerge/>
            <w:vAlign w:val="center"/>
            <w:hideMark/>
          </w:tcPr>
          <w:p w14:paraId="086FB441"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4062D64A"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275" w:type="dxa"/>
            <w:vMerge/>
            <w:vAlign w:val="center"/>
            <w:hideMark/>
          </w:tcPr>
          <w:p w14:paraId="2AC3A2F6"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992" w:type="dxa"/>
            <w:shd w:val="clear" w:color="auto" w:fill="BDD7EE"/>
            <w:vAlign w:val="center"/>
            <w:hideMark/>
          </w:tcPr>
          <w:p w14:paraId="2E4F752F" w14:textId="77777777" w:rsidR="000D1388" w:rsidRPr="0095529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00" w:type="dxa"/>
            <w:shd w:val="clear" w:color="auto" w:fill="BDD7EE"/>
            <w:vAlign w:val="center"/>
            <w:hideMark/>
          </w:tcPr>
          <w:p w14:paraId="394F604B" w14:textId="77777777" w:rsidR="000D1388" w:rsidRPr="0095529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1027" w:type="dxa"/>
            <w:shd w:val="clear" w:color="auto" w:fill="BDD7EE"/>
            <w:vAlign w:val="center"/>
            <w:hideMark/>
          </w:tcPr>
          <w:p w14:paraId="352DFD61" w14:textId="77777777" w:rsidR="000D1388" w:rsidRPr="0095529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Objectif</w:t>
            </w:r>
          </w:p>
        </w:tc>
        <w:tc>
          <w:tcPr>
            <w:tcW w:w="1134" w:type="dxa"/>
            <w:shd w:val="clear" w:color="auto" w:fill="BDD7EE"/>
            <w:vAlign w:val="center"/>
            <w:hideMark/>
          </w:tcPr>
          <w:p w14:paraId="405E4DCD" w14:textId="77777777" w:rsidR="000D1388" w:rsidRPr="0095529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0" w:type="dxa"/>
            <w:shd w:val="clear" w:color="auto" w:fill="BDD7EE"/>
            <w:vAlign w:val="center"/>
            <w:hideMark/>
          </w:tcPr>
          <w:p w14:paraId="7CDB89F6" w14:textId="77777777" w:rsidR="000D1388" w:rsidRPr="0095529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4389" w:type="dxa"/>
            <w:vMerge/>
            <w:vAlign w:val="center"/>
            <w:hideMark/>
          </w:tcPr>
          <w:p w14:paraId="0D489011" w14:textId="77777777" w:rsidR="000D1388" w:rsidRPr="0095529E" w:rsidRDefault="000D1388">
            <w:pPr>
              <w:spacing w:after="0"/>
              <w:rPr>
                <w:rFonts w:ascii="Times New Roman" w:eastAsia="Times New Roman" w:hAnsi="Times New Roman" w:cs="Times New Roman"/>
                <w:b/>
                <w:bCs/>
                <w:noProof/>
                <w:sz w:val="20"/>
                <w:szCs w:val="20"/>
                <w:lang w:val="en-GB" w:eastAsia="en-GB"/>
              </w:rPr>
            </w:pPr>
          </w:p>
        </w:tc>
      </w:tr>
      <w:tr w:rsidR="00F76C04" w:rsidRPr="0095529E" w14:paraId="628127D9" w14:textId="77777777" w:rsidTr="002C7502">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DFD084" w14:textId="77777777" w:rsidR="000D1388" w:rsidRPr="0095529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54 </w:t>
            </w:r>
            <w:r>
              <w:rPr>
                <w:rFonts w:ascii="Times New Roman" w:hAnsi="Times New Roman"/>
                <w:i/>
                <w:iCs/>
                <w:noProof/>
                <w:color w:val="006100"/>
                <w:sz w:val="20"/>
              </w:rPr>
              <w:t>ter</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4F165D" w14:textId="77777777" w:rsidR="000D1388" w:rsidRPr="0095529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 </w:t>
            </w:r>
            <w:r>
              <w:rPr>
                <w:rFonts w:ascii="Times New Roman" w:hAnsi="Times New Roman"/>
                <w:i/>
                <w:iCs/>
                <w:noProof/>
                <w:color w:val="006100"/>
                <w:sz w:val="20"/>
              </w:rPr>
              <w:t>bis</w:t>
            </w:r>
            <w:r>
              <w:rPr>
                <w:rFonts w:ascii="Times New Roman" w:hAnsi="Times New Roman"/>
                <w:noProof/>
                <w:color w:val="006100"/>
                <w:sz w:val="20"/>
              </w:rPr>
              <w: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9F9C1" w14:textId="77777777" w:rsidR="000D1388" w:rsidRPr="0095529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8F2047" w14:textId="77777777" w:rsidR="000D1388" w:rsidRPr="0095529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sont définies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D6225B" w14:textId="77777777" w:rsidR="000D1388" w:rsidRPr="0095529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sont définies et approuvées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0B961"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47A2E"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0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D01C8A" w14:textId="77777777" w:rsidR="000D1388" w:rsidRPr="00746A1A" w:rsidRDefault="000D1388" w:rsidP="002C7502">
            <w:pPr>
              <w:spacing w:after="0"/>
              <w:ind w:right="-66"/>
              <w:jc w:val="center"/>
              <w:rPr>
                <w:rFonts w:ascii="Times New Roman" w:eastAsia="Times New Roman" w:hAnsi="Times New Roman" w:cs="Times New Roman"/>
                <w:noProof/>
                <w:color w:val="006100"/>
                <w:sz w:val="20"/>
                <w:szCs w:val="20"/>
                <w:lang w:val="fr-BE"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3AE34" w14:textId="77777777" w:rsidR="000D1388" w:rsidRPr="0095529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ED316" w14:textId="77777777" w:rsidR="000D1388" w:rsidRPr="0095529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4D6CC" w14:textId="77777777" w:rsidR="000D1388" w:rsidRPr="0095529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sont définies par les administrations compétentes et approuvées par le ministère compétent</w:t>
            </w:r>
          </w:p>
        </w:tc>
      </w:tr>
      <w:tr w:rsidR="00F76C04" w:rsidRPr="0095529E" w14:paraId="7510D048" w14:textId="77777777" w:rsidTr="002C7502">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E2A493" w14:textId="77777777" w:rsidR="000D1388" w:rsidRPr="0095529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55 </w:t>
            </w:r>
            <w:r>
              <w:rPr>
                <w:rFonts w:ascii="Times New Roman" w:hAnsi="Times New Roman"/>
                <w:i/>
                <w:iCs/>
                <w:noProof/>
                <w:color w:val="006100"/>
                <w:sz w:val="20"/>
              </w:rPr>
              <w:t>ter</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D04EBB" w14:textId="485E11EC" w:rsidR="000D1388" w:rsidRPr="0095529E" w:rsidRDefault="73B59D02" w:rsidP="3FC37BC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(I-2.05 </w:t>
            </w:r>
            <w:r>
              <w:rPr>
                <w:rFonts w:ascii="Times New Roman" w:hAnsi="Times New Roman"/>
                <w:i/>
                <w:iCs/>
                <w:noProof/>
                <w:color w:val="006100"/>
                <w:sz w:val="20"/>
              </w:rPr>
              <w:t>bis</w:t>
            </w:r>
            <w:r>
              <w:rPr>
                <w:rFonts w:ascii="Times New Roman" w:hAnsi="Times New Roman"/>
                <w:noProof/>
                <w:color w:val="006100"/>
                <w:sz w:val="20"/>
              </w:rPr>
              <w: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691FAB" w14:textId="77777777" w:rsidR="000D1388" w:rsidRPr="0095529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F0C4C1" w14:textId="0F9B0FFA" w:rsidR="000D1388" w:rsidRPr="0095529E" w:rsidRDefault="73B59D02" w:rsidP="3FC37BCA">
            <w:pPr>
              <w:spacing w:after="0"/>
              <w:rPr>
                <w:noProof/>
              </w:rPr>
            </w:pPr>
            <w:r>
              <w:rPr>
                <w:rFonts w:ascii="Times New Roman" w:hAnsi="Times New Roman"/>
                <w:noProof/>
                <w:color w:val="006100"/>
                <w:sz w:val="20"/>
              </w:rPr>
              <w:t>Projets de digitalisation</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B8ED97" w14:textId="1062B3F3" w:rsidR="000D1388" w:rsidRPr="0095529E" w:rsidRDefault="73B59D02" w:rsidP="3FC37BCA">
            <w:pPr>
              <w:spacing w:after="0"/>
              <w:rPr>
                <w:noProof/>
              </w:rPr>
            </w:pPr>
            <w:r>
              <w:rPr>
                <w:rFonts w:ascii="Times New Roman" w:hAnsi="Times New Roman"/>
                <w:noProof/>
                <w:color w:val="006100"/>
                <w:sz w:val="20"/>
              </w:rPr>
              <w:t>Projets de digitalisation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F8CA7" w14:textId="77777777" w:rsidR="000D1388" w:rsidRPr="0095529E" w:rsidRDefault="000D1388">
            <w:pPr>
              <w:spacing w:after="0"/>
              <w:jc w:val="center"/>
              <w:rPr>
                <w:rFonts w:ascii="Times New Roman" w:eastAsia="Times New Roman" w:hAnsi="Times New Roman" w:cs="Times New Roman"/>
                <w:noProof/>
                <w:color w:val="006100"/>
                <w:sz w:val="20"/>
                <w:szCs w:val="20"/>
                <w:lang w:val="en-GB" w:eastAsia="en-GB"/>
              </w:rPr>
            </w:pPr>
          </w:p>
        </w:tc>
        <w:tc>
          <w:tcPr>
            <w:tcW w:w="11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3B17D" w14:textId="77777777" w:rsidR="000D1388" w:rsidRPr="0095529E" w:rsidRDefault="000D1388">
            <w:pPr>
              <w:spacing w:after="0"/>
              <w:jc w:val="center"/>
              <w:rPr>
                <w:rFonts w:ascii="Times New Roman" w:eastAsia="Times New Roman" w:hAnsi="Times New Roman" w:cs="Times New Roman"/>
                <w:noProof/>
                <w:color w:val="006100"/>
                <w:sz w:val="20"/>
                <w:szCs w:val="20"/>
                <w:lang w:val="en-GB" w:eastAsia="en-GB"/>
              </w:rPr>
            </w:pPr>
          </w:p>
        </w:tc>
        <w:tc>
          <w:tcPr>
            <w:tcW w:w="10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D0BE9" w14:textId="77777777" w:rsidR="000D1388" w:rsidRPr="0095529E"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EBB17" w14:textId="77777777" w:rsidR="000D1388" w:rsidRPr="0095529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1C4C34" w14:textId="77777777" w:rsidR="000D1388" w:rsidRPr="0095529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69FCE6" w14:textId="4AECFA31" w:rsidR="008A23AF" w:rsidRPr="00557A3B" w:rsidRDefault="008A23AF" w:rsidP="008A23AF">
            <w:pPr>
              <w:spacing w:after="0" w:line="278" w:lineRule="auto"/>
              <w:rPr>
                <w:rFonts w:ascii="Times New Roman" w:eastAsia="Calibri" w:hAnsi="Times New Roman" w:cs="Arial"/>
                <w:noProof/>
                <w:color w:val="006100"/>
                <w:sz w:val="20"/>
                <w:szCs w:val="20"/>
              </w:rPr>
            </w:pPr>
            <w:r>
              <w:rPr>
                <w:rFonts w:ascii="Times New Roman" w:hAnsi="Times New Roman"/>
                <w:noProof/>
                <w:color w:val="006100"/>
                <w:sz w:val="20"/>
              </w:rPr>
              <w:t xml:space="preserve">- L’infrastructure numérique permettant d’envoyer, au moins depuis les hôpitaux et pharmacies, les factures médicales des personnes demandant une protection internationale, sera utilisée. </w:t>
            </w:r>
          </w:p>
          <w:p w14:paraId="6DDA919B" w14:textId="4154C5E0" w:rsidR="000D1388" w:rsidRPr="008A23AF" w:rsidRDefault="008A23AF" w:rsidP="008A23AF">
            <w:pPr>
              <w:spacing w:after="0"/>
              <w:rPr>
                <w:rFonts w:ascii="Times New Roman" w:eastAsia="Times New Roman" w:hAnsi="Times New Roman" w:cs="Times New Roman"/>
                <w:noProof/>
                <w:color w:val="000000" w:themeColor="text1"/>
              </w:rPr>
            </w:pPr>
            <w:r>
              <w:rPr>
                <w:rFonts w:ascii="Times New Roman" w:hAnsi="Times New Roman"/>
                <w:noProof/>
                <w:color w:val="006100"/>
                <w:sz w:val="20"/>
              </w:rPr>
              <w:t>- Une plateforme hybride en nuage, la gestion des API, le répertoire commun de données d’identité, le permis unique, le GCF2 et un entrepôt de données seront accessibles à l’Office des étrangers.</w:t>
            </w:r>
          </w:p>
        </w:tc>
      </w:tr>
    </w:tbl>
    <w:p w14:paraId="2113466E" w14:textId="77777777" w:rsidR="000D1388" w:rsidRPr="00746A1A" w:rsidRDefault="000D1388" w:rsidP="00E71057">
      <w:pPr>
        <w:spacing w:before="120" w:after="120" w:line="240" w:lineRule="auto"/>
        <w:jc w:val="both"/>
        <w:rPr>
          <w:rFonts w:ascii="Times New Roman" w:eastAsia="Calibri" w:hAnsi="Times New Roman" w:cs="Times New Roman"/>
          <w:noProof/>
          <w:sz w:val="24"/>
          <w:lang w:val="fr-BE"/>
        </w:rPr>
      </w:pPr>
    </w:p>
    <w:p w14:paraId="7B81AF91" w14:textId="77777777" w:rsidR="000D1388" w:rsidRPr="00746A1A" w:rsidRDefault="000D1388" w:rsidP="00E71057">
      <w:pPr>
        <w:spacing w:before="120" w:after="120" w:line="240" w:lineRule="auto"/>
        <w:jc w:val="both"/>
        <w:rPr>
          <w:rFonts w:ascii="Times New Roman" w:eastAsia="Calibri" w:hAnsi="Times New Roman" w:cs="Times New Roman"/>
          <w:noProof/>
          <w:sz w:val="24"/>
          <w:lang w:val="fr-BE"/>
        </w:rPr>
      </w:pPr>
    </w:p>
    <w:p w14:paraId="39394410" w14:textId="77777777" w:rsidR="000D1388" w:rsidRPr="00746A1A" w:rsidRDefault="000D1388" w:rsidP="00E71057">
      <w:pPr>
        <w:spacing w:before="120" w:after="120" w:line="240" w:lineRule="auto"/>
        <w:ind w:left="850"/>
        <w:jc w:val="both"/>
        <w:rPr>
          <w:rFonts w:ascii="Times New Roman" w:eastAsia="Calibri" w:hAnsi="Times New Roman" w:cs="Times New Roman"/>
          <w:noProof/>
          <w:sz w:val="24"/>
          <w:lang w:val="fr-BE"/>
        </w:rPr>
        <w:sectPr w:rsidR="000D1388" w:rsidRPr="00746A1A" w:rsidSect="00E71057">
          <w:headerReference w:type="even" r:id="rId78"/>
          <w:headerReference w:type="default" r:id="rId79"/>
          <w:footerReference w:type="even" r:id="rId80"/>
          <w:footerReference w:type="default" r:id="rId81"/>
          <w:headerReference w:type="first" r:id="rId82"/>
          <w:footerReference w:type="first" r:id="rId83"/>
          <w:pgSz w:w="16839" w:h="11907" w:orient="landscape"/>
          <w:pgMar w:top="1134" w:right="1134" w:bottom="1134" w:left="1134" w:header="567" w:footer="567" w:gutter="0"/>
          <w:cols w:space="720"/>
          <w:docGrid w:linePitch="360"/>
        </w:sectPr>
      </w:pPr>
    </w:p>
    <w:p w14:paraId="64F4F35A"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F. COMPOSANTE 2.3: Fibre optique, 5G et nouvelles technologies</w:t>
      </w:r>
    </w:p>
    <w:p w14:paraId="24289FD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Cette composante du plan pour la reprise et la résilience de la Belgique prévoit </w:t>
      </w:r>
      <w:r>
        <w:rPr>
          <w:rFonts w:ascii="Times New Roman" w:hAnsi="Times New Roman"/>
          <w:noProof/>
          <w:sz w:val="24"/>
          <w:bdr w:val="none" w:sz="0" w:space="0" w:color="auto" w:frame="1"/>
        </w:rPr>
        <w:t>des réformes et des investissements liés à la 5G, à une infrastructure de connectivité à très haute capacité et à l’intelligence artificielle («IA»), qui devraient fournir les éléments essentiels nécessaires à la transition numérique en Belgique.</w:t>
      </w:r>
    </w:p>
    <w:p w14:paraId="45897E6F"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contribue à répondre à la recommandation par pays nº 3 de 2020, qui appelle à axer les investissements sur la transition numérique, en particulier sur les infrastructures numériques, telles que les réseaux 5G et Gigabit, et à la recommandation par pays nº 3 de 2019, qui appelle à concentrer les politiques économiques liées aux investissements sur la recherche et l’innovation, en particulier dans le domaine de la numérisation, en tenant compte des disparités régionales.</w:t>
      </w:r>
    </w:p>
    <w:p w14:paraId="46C4350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70340D8F" w14:textId="77777777" w:rsidR="000D1388" w:rsidRPr="009D65D8" w:rsidRDefault="00E71057" w:rsidP="00E71057">
      <w:pPr>
        <w:spacing w:before="120" w:after="120"/>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F.1.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17F91EFD" w14:textId="6D41A0BE" w:rsidR="000D1388" w:rsidRPr="00DD67A6" w:rsidRDefault="00E71057" w:rsidP="3A2688DF">
      <w:pPr>
        <w:spacing w:before="120" w:after="120" w:line="240" w:lineRule="auto"/>
        <w:rPr>
          <w:rFonts w:ascii="Times New Roman" w:eastAsia="Calibri" w:hAnsi="Times New Roman" w:cs="Times New Roman"/>
          <w:noProof/>
          <w:sz w:val="24"/>
          <w:szCs w:val="24"/>
          <w:u w:val="single"/>
        </w:rPr>
      </w:pPr>
      <w:r>
        <w:rPr>
          <w:rFonts w:ascii="Times New Roman" w:hAnsi="Times New Roman"/>
          <w:noProof/>
          <w:sz w:val="24"/>
          <w:u w:val="single"/>
        </w:rPr>
        <w:t>Investissement I-2.13: «</w:t>
      </w:r>
      <w:r>
        <w:rPr>
          <w:rFonts w:ascii="Times New Roman" w:hAnsi="Times New Roman"/>
          <w:noProof/>
          <w:color w:val="000000" w:themeColor="text1"/>
          <w:sz w:val="24"/>
          <w:u w:val="single"/>
        </w:rPr>
        <w:t>Couverture par les réseaux de fibre optique» de la Communauté germanophone</w:t>
      </w:r>
    </w:p>
    <w:p w14:paraId="3ED8F4E4" w14:textId="77777777" w:rsidR="00124C2A" w:rsidRPr="00DD67A6" w:rsidRDefault="00124C2A" w:rsidP="00124C2A">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Cette mesure a pour objectif de </w:t>
      </w:r>
      <w:r>
        <w:rPr>
          <w:rFonts w:ascii="Times New Roman" w:hAnsi="Times New Roman"/>
          <w:noProof/>
          <w:color w:val="000000" w:themeColor="text1"/>
          <w:sz w:val="24"/>
        </w:rPr>
        <w:t>promouvoir la connectivité numérique</w:t>
      </w:r>
      <w:r>
        <w:rPr>
          <w:rFonts w:ascii="Times New Roman" w:hAnsi="Times New Roman"/>
          <w:noProof/>
          <w:sz w:val="24"/>
        </w:rPr>
        <w:t>.</w:t>
      </w:r>
      <w:r>
        <w:rPr>
          <w:rFonts w:ascii="Times New Roman" w:hAnsi="Times New Roman"/>
          <w:noProof/>
          <w:color w:val="000000" w:themeColor="text1"/>
          <w:sz w:val="24"/>
        </w:rPr>
        <w:t xml:space="preserve"> Cette mesure consiste à faire en sorte que les numéros UTAC (points d’entrée de la fibre) qui n’étaient auparavant pas couverts par la fibre, soient enregistrés dans le système de suivi de GoFiber avec le statut «Home Passed» (HP), «Home Terminated» (HT), «Home Connected» (HC) ou «Inside Building» (IB).</w:t>
      </w:r>
    </w:p>
    <w:p w14:paraId="1F7FBF28" w14:textId="77777777" w:rsidR="000D1388" w:rsidRPr="00DD67A6"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u w:val="single"/>
        </w:rPr>
        <w:t>Investissement I-2.14: «Développement d’un institut d’IA afin d’utiliser cette technologie pour répondre aux défis sociétaux» de la Région de Bruxelles-Capitale</w:t>
      </w:r>
    </w:p>
    <w:p w14:paraId="02D5250C" w14:textId="77777777" w:rsidR="000D1388" w:rsidRPr="00DD67A6"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mesure a pour objectif de promouvoir la transition numérique. Elle consiste en la fourniture de services de soutien.</w:t>
      </w:r>
    </w:p>
    <w:p w14:paraId="45FAE3B9" w14:textId="2F8C300C" w:rsidR="000D1388" w:rsidRPr="00112E66"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 xml:space="preserve">Investissement I-2.15: </w:t>
      </w:r>
      <w:r>
        <w:rPr>
          <w:rFonts w:ascii="Times New Roman" w:hAnsi="Times New Roman"/>
          <w:noProof/>
          <w:color w:val="000000" w:themeColor="text1"/>
          <w:sz w:val="24"/>
          <w:u w:val="single"/>
        </w:rPr>
        <w:t>«Améliorer la connectivité des 35 parcs d’activité économique de Wallonie» de la Région wallonne</w:t>
      </w:r>
    </w:p>
    <w:p w14:paraId="44FF0A0C" w14:textId="42B34047" w:rsidR="000D1388" w:rsidRPr="009D65D8" w:rsidRDefault="00E71057" w:rsidP="00E71057">
      <w:pPr>
        <w:tabs>
          <w:tab w:val="left" w:pos="426"/>
        </w:tabs>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Cette mesure a pour objectif d’améliorer la connectivité des parcs d’entreprises. </w:t>
      </w:r>
      <w:r>
        <w:rPr>
          <w:rFonts w:ascii="Times New Roman" w:hAnsi="Times New Roman"/>
          <w:noProof/>
          <w:color w:val="000000" w:themeColor="text1"/>
          <w:sz w:val="24"/>
        </w:rPr>
        <w:t>Cette mesure consiste à installer des connexions à la fibre optique dans 35 parcs d’activités.</w:t>
      </w:r>
    </w:p>
    <w:p w14:paraId="0731570A"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R-2.03: «Introduction de la 5G – Plan national pour le haut débit fixe et mobile – niveau fédéral et régional»</w:t>
      </w:r>
    </w:p>
    <w:p w14:paraId="0AE4C499"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rPr>
      </w:pPr>
      <w:r>
        <w:rPr>
          <w:rFonts w:ascii="Times New Roman" w:hAnsi="Times New Roman"/>
          <w:noProof/>
          <w:sz w:val="24"/>
        </w:rPr>
        <w:t>Cette mesure comprend des réformes, tant au niveau fédéral qu’au niveau régional, qui devraient permettre de supprimer les goulets d’étranglement, notamment réglementaires, pour le déploiement de la 5G et le déploiement d’infrastructures de connectivité ultrarapides, comme la fibre optique. Au niveau fédéral, la loi sur la 5G et les arrêtés royaux visant à attribuer les bandes de fréquences pionnières de l’UE devraient entrer en vigueur le 1</w:t>
      </w:r>
      <w:r>
        <w:rPr>
          <w:rFonts w:ascii="Times New Roman" w:hAnsi="Times New Roman"/>
          <w:noProof/>
          <w:sz w:val="24"/>
          <w:vertAlign w:val="superscript"/>
        </w:rPr>
        <w:t>er</w:t>
      </w:r>
      <w:r>
        <w:rPr>
          <w:rFonts w:ascii="Times New Roman" w:hAnsi="Times New Roman"/>
          <w:noProof/>
          <w:sz w:val="24"/>
        </w:rPr>
        <w:t> janvier 2022 au plus tard. Les enchères relatives à l’attribution des fréquences 5G seront achevées au plus tard le 30 juin 2022. En outre, les trois régions doivent réviser les normes de rayonnement qui permettront un déploiement efficace du spectre 5G. Les normes régionales révisées entreront en vigueur le 31 mars 2022 au plus tard.</w:t>
      </w:r>
    </w:p>
    <w:p w14:paraId="0556CA46"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rPr>
        <w:sectPr w:rsidR="000D1388" w:rsidRPr="009D65D8" w:rsidSect="00E71057">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360"/>
        </w:sectPr>
      </w:pPr>
      <w:r>
        <w:rPr>
          <w:rFonts w:ascii="Times New Roman" w:hAnsi="Times New Roman"/>
          <w:noProof/>
          <w:sz w:val="24"/>
        </w:rPr>
        <w:t xml:space="preserve">La Belgique mettra également en œuvre la boîte à outils de connectivité qui contiendra les bonnes pratiques en matière de connectivité pour réduire le coût du déploiement des réseaux de communications électroniques et pour un accès efficace au spectre radioélectrique 5G adapté à la Belgique. Cela inclura une feuille de route nationale visant à </w:t>
      </w:r>
      <w:r>
        <w:rPr>
          <w:rFonts w:ascii="Times New Roman" w:hAnsi="Times New Roman"/>
          <w:noProof/>
          <w:sz w:val="24"/>
          <w:shd w:val="clear" w:color="auto" w:fill="FFFFFF"/>
        </w:rPr>
        <w:t>simplifier les procédures d’octroi de licences et de permis pertinentes pour le déploiement de la 5G et des réseaux à très</w:t>
      </w:r>
      <w:r>
        <w:rPr>
          <w:rFonts w:ascii="Times New Roman" w:hAnsi="Times New Roman"/>
          <w:noProof/>
          <w:sz w:val="24"/>
        </w:rPr>
        <w:t xml:space="preserve"> haute capacité, </w:t>
      </w:r>
      <w:r>
        <w:rPr>
          <w:rFonts w:ascii="Times New Roman" w:hAnsi="Times New Roman"/>
          <w:noProof/>
          <w:sz w:val="24"/>
          <w:shd w:val="clear" w:color="auto" w:fill="FFFFFF"/>
        </w:rPr>
        <w:t>tels que la fibre optique</w:t>
      </w:r>
      <w:r>
        <w:rPr>
          <w:rFonts w:ascii="Times New Roman" w:hAnsi="Times New Roman"/>
          <w:noProof/>
          <w:sz w:val="24"/>
        </w:rPr>
        <w:t>. Un rapport sur l’état d’avancement de la mise en œuvre de la boîte à outils pour la connectivité sera publié le 30 juin 2022 au plus tard.</w:t>
      </w:r>
    </w:p>
    <w:p w14:paraId="6D9A84BE"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F.2.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1285"/>
        <w:gridCol w:w="1560"/>
        <w:gridCol w:w="1842"/>
        <w:gridCol w:w="1418"/>
        <w:gridCol w:w="1134"/>
        <w:gridCol w:w="992"/>
        <w:gridCol w:w="1124"/>
        <w:gridCol w:w="851"/>
        <w:gridCol w:w="2703"/>
      </w:tblGrid>
      <w:tr w:rsidR="00E71057" w:rsidRPr="00102530" w14:paraId="71938706" w14:textId="77777777" w:rsidTr="002C7502">
        <w:trPr>
          <w:trHeight w:val="927"/>
          <w:tblHeader/>
          <w:jc w:val="center"/>
        </w:trPr>
        <w:tc>
          <w:tcPr>
            <w:tcW w:w="1129" w:type="dxa"/>
            <w:vMerge w:val="restart"/>
            <w:shd w:val="clear" w:color="auto" w:fill="BDD7EE"/>
            <w:vAlign w:val="center"/>
            <w:hideMark/>
          </w:tcPr>
          <w:p w14:paraId="5BE35865"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3BC2FFC5"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285" w:type="dxa"/>
            <w:vMerge w:val="restart"/>
            <w:shd w:val="clear" w:color="auto" w:fill="BDD7EE"/>
            <w:vAlign w:val="center"/>
            <w:hideMark/>
          </w:tcPr>
          <w:p w14:paraId="42DB03AE"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60" w:type="dxa"/>
            <w:vMerge w:val="restart"/>
            <w:shd w:val="clear" w:color="auto" w:fill="BDD7EE"/>
            <w:vAlign w:val="center"/>
            <w:hideMark/>
          </w:tcPr>
          <w:p w14:paraId="6728FF41"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842" w:type="dxa"/>
            <w:vMerge w:val="restart"/>
            <w:shd w:val="clear" w:color="auto" w:fill="BDD7EE"/>
            <w:vAlign w:val="center"/>
            <w:hideMark/>
          </w:tcPr>
          <w:p w14:paraId="2AD540AC"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544" w:type="dxa"/>
            <w:gridSpan w:val="3"/>
            <w:shd w:val="clear" w:color="auto" w:fill="BDD7EE"/>
            <w:vAlign w:val="center"/>
            <w:hideMark/>
          </w:tcPr>
          <w:p w14:paraId="521EDB14"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75" w:type="dxa"/>
            <w:gridSpan w:val="2"/>
            <w:shd w:val="clear" w:color="auto" w:fill="BDD7EE"/>
            <w:vAlign w:val="center"/>
            <w:hideMark/>
          </w:tcPr>
          <w:p w14:paraId="04C76AE2"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2703" w:type="dxa"/>
            <w:vMerge w:val="restart"/>
            <w:shd w:val="clear" w:color="auto" w:fill="BDD7EE"/>
            <w:vAlign w:val="center"/>
            <w:hideMark/>
          </w:tcPr>
          <w:p w14:paraId="715C00B1"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E71057" w:rsidRPr="00102530" w14:paraId="510D7C05" w14:textId="77777777" w:rsidTr="002C7502">
        <w:trPr>
          <w:trHeight w:val="1013"/>
          <w:jc w:val="center"/>
        </w:trPr>
        <w:tc>
          <w:tcPr>
            <w:tcW w:w="1129" w:type="dxa"/>
            <w:vMerge/>
            <w:vAlign w:val="center"/>
            <w:hideMark/>
          </w:tcPr>
          <w:p w14:paraId="43AFF3C8"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50280A36"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285" w:type="dxa"/>
            <w:vMerge/>
            <w:vAlign w:val="center"/>
            <w:hideMark/>
          </w:tcPr>
          <w:p w14:paraId="2B1C8931"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00C7F2E6"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842" w:type="dxa"/>
            <w:vMerge/>
            <w:vAlign w:val="center"/>
            <w:hideMark/>
          </w:tcPr>
          <w:p w14:paraId="11BE09B8"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418" w:type="dxa"/>
            <w:shd w:val="clear" w:color="auto" w:fill="BDD7EE"/>
            <w:vAlign w:val="center"/>
            <w:hideMark/>
          </w:tcPr>
          <w:p w14:paraId="4287991C"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34" w:type="dxa"/>
            <w:shd w:val="clear" w:color="auto" w:fill="BDD7EE"/>
            <w:vAlign w:val="center"/>
            <w:hideMark/>
          </w:tcPr>
          <w:p w14:paraId="67098E2A"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2" w:type="dxa"/>
            <w:shd w:val="clear" w:color="auto" w:fill="BDD7EE"/>
            <w:vAlign w:val="center"/>
            <w:hideMark/>
          </w:tcPr>
          <w:p w14:paraId="749FD23F"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24" w:type="dxa"/>
            <w:shd w:val="clear" w:color="auto" w:fill="BDD7EE"/>
            <w:vAlign w:val="center"/>
            <w:hideMark/>
          </w:tcPr>
          <w:p w14:paraId="3251B7CB"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hideMark/>
          </w:tcPr>
          <w:p w14:paraId="0404B8CC"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2703" w:type="dxa"/>
            <w:vMerge/>
            <w:vAlign w:val="center"/>
            <w:hideMark/>
          </w:tcPr>
          <w:p w14:paraId="4432199D"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r>
      <w:tr w:rsidR="00E71057" w:rsidRPr="00102530" w14:paraId="66F2FF29" w14:textId="77777777" w:rsidTr="002C7502">
        <w:trPr>
          <w:trHeight w:val="309"/>
          <w:jc w:val="center"/>
        </w:trPr>
        <w:tc>
          <w:tcPr>
            <w:tcW w:w="1129" w:type="dxa"/>
            <w:shd w:val="clear" w:color="auto" w:fill="C6EFCE"/>
            <w:noWrap/>
            <w:vAlign w:val="center"/>
            <w:hideMark/>
          </w:tcPr>
          <w:p w14:paraId="0D5B9972"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80</w:t>
            </w:r>
          </w:p>
        </w:tc>
        <w:tc>
          <w:tcPr>
            <w:tcW w:w="1560" w:type="dxa"/>
            <w:shd w:val="clear" w:color="auto" w:fill="C6EFCE"/>
            <w:noWrap/>
            <w:vAlign w:val="center"/>
            <w:hideMark/>
          </w:tcPr>
          <w:p w14:paraId="0E1A64C9" w14:textId="27F525F7" w:rsidR="000D1388" w:rsidRPr="00102530" w:rsidRDefault="00112E66" w:rsidP="3A2688DF">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Couverture par les réseaux en fibre optique (I-2.13)</w:t>
            </w:r>
          </w:p>
        </w:tc>
        <w:tc>
          <w:tcPr>
            <w:tcW w:w="1285" w:type="dxa"/>
            <w:shd w:val="clear" w:color="auto" w:fill="C6EFCE"/>
            <w:noWrap/>
            <w:vAlign w:val="center"/>
            <w:hideMark/>
          </w:tcPr>
          <w:p w14:paraId="2599399B"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hideMark/>
          </w:tcPr>
          <w:p w14:paraId="0243A6D6"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Couverture</w:t>
            </w:r>
          </w:p>
        </w:tc>
        <w:tc>
          <w:tcPr>
            <w:tcW w:w="1842" w:type="dxa"/>
            <w:shd w:val="clear" w:color="auto" w:fill="C6EFCE"/>
            <w:noWrap/>
            <w:vAlign w:val="bottom"/>
            <w:hideMark/>
          </w:tcPr>
          <w:p w14:paraId="2FEF17CA" w14:textId="78FA9DB6" w:rsidR="000D1388" w:rsidRPr="00102530" w:rsidRDefault="0027057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7 400 numéros UTAC enregistrés avec le statut «HP», «HT», «HC» ou «IB»</w:t>
            </w:r>
          </w:p>
        </w:tc>
        <w:tc>
          <w:tcPr>
            <w:tcW w:w="1418" w:type="dxa"/>
            <w:shd w:val="clear" w:color="auto" w:fill="C6EFCE"/>
            <w:noWrap/>
            <w:vAlign w:val="center"/>
          </w:tcPr>
          <w:p w14:paraId="0270737B"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1134" w:type="dxa"/>
            <w:shd w:val="clear" w:color="auto" w:fill="C6EFCE"/>
            <w:noWrap/>
            <w:vAlign w:val="center"/>
          </w:tcPr>
          <w:p w14:paraId="2F0AFA05"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992" w:type="dxa"/>
            <w:shd w:val="clear" w:color="auto" w:fill="C6EFCE"/>
            <w:noWrap/>
            <w:vAlign w:val="center"/>
          </w:tcPr>
          <w:p w14:paraId="53265E78"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1124" w:type="dxa"/>
            <w:shd w:val="clear" w:color="auto" w:fill="C6EFCE"/>
            <w:noWrap/>
            <w:vAlign w:val="center"/>
            <w:hideMark/>
          </w:tcPr>
          <w:p w14:paraId="02030B79"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hideMark/>
          </w:tcPr>
          <w:p w14:paraId="49DBC752"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703" w:type="dxa"/>
            <w:shd w:val="clear" w:color="auto" w:fill="C6EFCE"/>
            <w:noWrap/>
            <w:vAlign w:val="center"/>
          </w:tcPr>
          <w:p w14:paraId="0F7A6EA2" w14:textId="21EE1775" w:rsidR="000D1388" w:rsidRPr="00114731" w:rsidRDefault="004E7C2D" w:rsidP="3A2688DF">
            <w:pPr>
              <w:spacing w:after="0"/>
              <w:rPr>
                <w:rFonts w:ascii="Times New Roman" w:eastAsia="Times New Roman" w:hAnsi="Times New Roman" w:cs="Times New Roman"/>
                <w:noProof/>
                <w:color w:val="881798"/>
                <w:sz w:val="20"/>
                <w:szCs w:val="20"/>
              </w:rPr>
            </w:pPr>
            <w:r>
              <w:rPr>
                <w:rFonts w:ascii="Times New Roman" w:hAnsi="Times New Roman"/>
                <w:noProof/>
                <w:color w:val="006100"/>
                <w:sz w:val="20"/>
              </w:rPr>
              <w:t>7 400 numéros UTAC (points d’entrée de la fibre) qui n’étaient auparavant pas couverts par la fibre seront enregistrés avec le statut «Home Passed» (HP), «Home Terminated» (HT), «Home Connected» (HC) ou «Inside Building» (IB) dans le système de suivi de GoFiber</w:t>
            </w:r>
          </w:p>
        </w:tc>
      </w:tr>
      <w:tr w:rsidR="00E71057" w:rsidRPr="00102530" w14:paraId="6A1242DF" w14:textId="77777777" w:rsidTr="002C7502">
        <w:trPr>
          <w:trHeight w:val="309"/>
          <w:jc w:val="center"/>
        </w:trPr>
        <w:tc>
          <w:tcPr>
            <w:tcW w:w="1129" w:type="dxa"/>
            <w:shd w:val="clear" w:color="auto" w:fill="C6EFCE"/>
            <w:noWrap/>
            <w:vAlign w:val="center"/>
            <w:hideMark/>
          </w:tcPr>
          <w:p w14:paraId="1333BE96"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81</w:t>
            </w:r>
          </w:p>
        </w:tc>
        <w:tc>
          <w:tcPr>
            <w:tcW w:w="1560" w:type="dxa"/>
            <w:shd w:val="clear" w:color="auto" w:fill="C6EFCE"/>
            <w:noWrap/>
            <w:vAlign w:val="center"/>
            <w:hideMark/>
          </w:tcPr>
          <w:p w14:paraId="4323292E"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d’un institut d’IA afin d’utiliser cette technologie pour répondre aux défis sociétaux (I-2.14)</w:t>
            </w:r>
          </w:p>
        </w:tc>
        <w:tc>
          <w:tcPr>
            <w:tcW w:w="1285" w:type="dxa"/>
            <w:shd w:val="clear" w:color="auto" w:fill="C6EFCE"/>
            <w:noWrap/>
            <w:vAlign w:val="center"/>
          </w:tcPr>
          <w:p w14:paraId="36EF9564"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2042E257"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projets pilotes par l’Institut d’IA pour le bien commun</w:t>
            </w:r>
          </w:p>
        </w:tc>
        <w:tc>
          <w:tcPr>
            <w:tcW w:w="1842" w:type="dxa"/>
            <w:shd w:val="clear" w:color="auto" w:fill="C6EFCE"/>
            <w:noWrap/>
            <w:vAlign w:val="center"/>
          </w:tcPr>
          <w:p w14:paraId="40F1E23F"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Approbation du rapport final sur les projets pilotes par l’Institut d’IA pour le bien commun </w:t>
            </w:r>
          </w:p>
        </w:tc>
        <w:tc>
          <w:tcPr>
            <w:tcW w:w="1418" w:type="dxa"/>
            <w:shd w:val="clear" w:color="auto" w:fill="C6EFCE"/>
            <w:noWrap/>
            <w:vAlign w:val="center"/>
          </w:tcPr>
          <w:p w14:paraId="1A815F09"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70278F11"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38A88539"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4" w:type="dxa"/>
            <w:shd w:val="clear" w:color="auto" w:fill="C6EFCE"/>
            <w:noWrap/>
            <w:vAlign w:val="center"/>
          </w:tcPr>
          <w:p w14:paraId="340BB3E6"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40015060"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703" w:type="dxa"/>
            <w:shd w:val="clear" w:color="auto" w:fill="C6EFCE"/>
            <w:noWrap/>
            <w:vAlign w:val="center"/>
          </w:tcPr>
          <w:p w14:paraId="0D755A34"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Quatre projets pilotes de l’Institut d’IA pour le bien commun achevés, fournissant des services de soutien (par exemple, formation, développement de preuves de concepts de solutions logicielles) à des organisations à but lucratif ou non lucratif ou à des organisations publiques dans des domaines tels que l’éducation en IA, les soins de santé et l’emploi dans la région de Bruxelles</w:t>
            </w:r>
          </w:p>
        </w:tc>
      </w:tr>
      <w:tr w:rsidR="00E71057" w:rsidRPr="00102530" w14:paraId="7B88CEFA" w14:textId="77777777" w:rsidTr="002C7502">
        <w:trPr>
          <w:trHeight w:val="309"/>
          <w:jc w:val="center"/>
        </w:trPr>
        <w:tc>
          <w:tcPr>
            <w:tcW w:w="1129" w:type="dxa"/>
            <w:shd w:val="clear" w:color="auto" w:fill="C6EFCE"/>
            <w:noWrap/>
            <w:vAlign w:val="center"/>
          </w:tcPr>
          <w:p w14:paraId="599C57E0"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82</w:t>
            </w:r>
          </w:p>
        </w:tc>
        <w:tc>
          <w:tcPr>
            <w:tcW w:w="1560" w:type="dxa"/>
            <w:shd w:val="clear" w:color="auto" w:fill="C6EFCE"/>
            <w:noWrap/>
            <w:vAlign w:val="center"/>
          </w:tcPr>
          <w:p w14:paraId="5DE417AC"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d’un institut d’IA afin d’utiliser cette technologie pour répondre aux défis sociétaux (I-2.14)</w:t>
            </w:r>
          </w:p>
        </w:tc>
        <w:tc>
          <w:tcPr>
            <w:tcW w:w="1285" w:type="dxa"/>
            <w:shd w:val="clear" w:color="auto" w:fill="C6EFCE"/>
            <w:noWrap/>
            <w:vAlign w:val="center"/>
          </w:tcPr>
          <w:p w14:paraId="126CFF86"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7A936994"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 d’experts créée au sein de l’Institut d’IA pour le bien commun</w:t>
            </w:r>
          </w:p>
        </w:tc>
        <w:tc>
          <w:tcPr>
            <w:tcW w:w="1842" w:type="dxa"/>
            <w:shd w:val="clear" w:color="auto" w:fill="C6EFCE"/>
            <w:noWrap/>
            <w:vAlign w:val="center"/>
          </w:tcPr>
          <w:p w14:paraId="044651EC"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 d’experts pluridisciplinaire créée au sein de l’Institut d’IA pour le bien commun</w:t>
            </w:r>
          </w:p>
        </w:tc>
        <w:tc>
          <w:tcPr>
            <w:tcW w:w="1418" w:type="dxa"/>
            <w:shd w:val="clear" w:color="auto" w:fill="C6EFCE"/>
            <w:noWrap/>
            <w:vAlign w:val="center"/>
          </w:tcPr>
          <w:p w14:paraId="18C187A7"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537DDEFE"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1EE0A180"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4" w:type="dxa"/>
            <w:shd w:val="clear" w:color="auto" w:fill="C6EFCE"/>
            <w:noWrap/>
            <w:vAlign w:val="center"/>
          </w:tcPr>
          <w:p w14:paraId="2AA05C34"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64FE1346"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2703" w:type="dxa"/>
            <w:shd w:val="clear" w:color="auto" w:fill="C6EFCE"/>
            <w:noWrap/>
            <w:vAlign w:val="center"/>
          </w:tcPr>
          <w:p w14:paraId="02366336"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équipe d’experts pluridisciplinaire est créée au sein de l’Institut d’IA pour le bien commun.</w:t>
            </w:r>
          </w:p>
        </w:tc>
      </w:tr>
      <w:tr w:rsidR="00E71057" w:rsidRPr="00102530" w14:paraId="3F71B495" w14:textId="77777777" w:rsidTr="002C7502">
        <w:trPr>
          <w:trHeight w:val="309"/>
          <w:jc w:val="center"/>
        </w:trPr>
        <w:tc>
          <w:tcPr>
            <w:tcW w:w="1129" w:type="dxa"/>
            <w:shd w:val="clear" w:color="auto" w:fill="C6EFCE"/>
            <w:noWrap/>
            <w:vAlign w:val="center"/>
          </w:tcPr>
          <w:p w14:paraId="4A794E26"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83</w:t>
            </w:r>
          </w:p>
        </w:tc>
        <w:tc>
          <w:tcPr>
            <w:tcW w:w="1560" w:type="dxa"/>
            <w:shd w:val="clear" w:color="auto" w:fill="C6EFCE"/>
            <w:noWrap/>
            <w:vAlign w:val="center"/>
          </w:tcPr>
          <w:p w14:paraId="2AB7E5FE"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d’un institut d’IA afin d’utiliser cette technologie pour répondre aux défis sociétaux (I-2.14)</w:t>
            </w:r>
          </w:p>
        </w:tc>
        <w:tc>
          <w:tcPr>
            <w:tcW w:w="1285" w:type="dxa"/>
            <w:shd w:val="clear" w:color="auto" w:fill="C6EFCE"/>
            <w:noWrap/>
            <w:vAlign w:val="center"/>
          </w:tcPr>
          <w:p w14:paraId="6BFF011C"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30DA8616"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Services fournis</w:t>
            </w:r>
          </w:p>
        </w:tc>
        <w:tc>
          <w:tcPr>
            <w:tcW w:w="1842" w:type="dxa"/>
            <w:shd w:val="clear" w:color="auto" w:fill="C6EFCE"/>
            <w:noWrap/>
            <w:vAlign w:val="center"/>
          </w:tcPr>
          <w:p w14:paraId="4A56B7A8" w14:textId="77777777" w:rsidR="000D1388" w:rsidRPr="00102530" w:rsidRDefault="00E71057" w:rsidP="00E71057">
            <w:pPr>
              <w:spacing w:after="0"/>
              <w:rPr>
                <w:rFonts w:ascii="Times New Roman" w:eastAsia="Times New Roman" w:hAnsi="Times New Roman" w:cs="Times New Roman"/>
                <w:noProof/>
                <w:sz w:val="20"/>
                <w:szCs w:val="20"/>
              </w:rPr>
            </w:pPr>
            <w:r>
              <w:rPr>
                <w:rFonts w:ascii="Times New Roman" w:hAnsi="Times New Roman"/>
                <w:noProof/>
                <w:color w:val="006100"/>
                <w:sz w:val="20"/>
              </w:rPr>
              <w:t>Fourniture de trois services</w:t>
            </w:r>
          </w:p>
        </w:tc>
        <w:tc>
          <w:tcPr>
            <w:tcW w:w="1418" w:type="dxa"/>
            <w:shd w:val="clear" w:color="auto" w:fill="C6EFCE"/>
            <w:noWrap/>
            <w:vAlign w:val="center"/>
          </w:tcPr>
          <w:p w14:paraId="7BD094AD" w14:textId="77777777" w:rsidR="000D1388" w:rsidRPr="00102530" w:rsidRDefault="000D1388">
            <w:pPr>
              <w:spacing w:after="0"/>
              <w:rPr>
                <w:rFonts w:ascii="Times New Roman" w:eastAsia="Times New Roman" w:hAnsi="Times New Roman" w:cs="Times New Roman"/>
                <w:noProof/>
                <w:color w:val="006100"/>
                <w:sz w:val="20"/>
                <w:szCs w:val="20"/>
                <w:lang w:val="en-GB"/>
              </w:rPr>
            </w:pPr>
          </w:p>
        </w:tc>
        <w:tc>
          <w:tcPr>
            <w:tcW w:w="1134" w:type="dxa"/>
            <w:shd w:val="clear" w:color="auto" w:fill="C6EFCE"/>
            <w:noWrap/>
            <w:vAlign w:val="center"/>
          </w:tcPr>
          <w:p w14:paraId="0BE4993A" w14:textId="77777777" w:rsidR="000D1388" w:rsidRPr="00102530" w:rsidRDefault="000D1388">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5BD6FA98" w14:textId="77777777" w:rsidR="000D1388" w:rsidRPr="00102530" w:rsidRDefault="000D1388">
            <w:pPr>
              <w:spacing w:after="0"/>
              <w:rPr>
                <w:rFonts w:ascii="Times New Roman" w:eastAsia="Times New Roman" w:hAnsi="Times New Roman" w:cs="Times New Roman"/>
                <w:noProof/>
                <w:color w:val="006100"/>
                <w:sz w:val="20"/>
                <w:szCs w:val="20"/>
                <w:lang w:val="en-GB"/>
              </w:rPr>
            </w:pPr>
          </w:p>
        </w:tc>
        <w:tc>
          <w:tcPr>
            <w:tcW w:w="1124" w:type="dxa"/>
            <w:shd w:val="clear" w:color="auto" w:fill="C6EFCE"/>
            <w:noWrap/>
            <w:vAlign w:val="center"/>
          </w:tcPr>
          <w:p w14:paraId="61587FB8"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1B28A244"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2703" w:type="dxa"/>
            <w:shd w:val="clear" w:color="auto" w:fill="C6EFCE"/>
            <w:noWrap/>
            <w:vAlign w:val="center"/>
          </w:tcPr>
          <w:p w14:paraId="00E5DE2D"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Trois services fournis, à savoir i) un soutien de type jumeau numérique, ii) des formations sur l’IA et iii) un ensemble d’activités de partage des connaissances, notamment: </w:t>
            </w:r>
          </w:p>
          <w:p w14:paraId="0D89252A" w14:textId="77777777" w:rsidR="000D1388" w:rsidRPr="00102530" w:rsidRDefault="00E71057" w:rsidP="00F70F65">
            <w:pPr>
              <w:pStyle w:val="ListParagraph"/>
              <w:numPr>
                <w:ilvl w:val="0"/>
                <w:numId w:val="37"/>
              </w:numPr>
              <w:spacing w:after="0" w:line="259" w:lineRule="auto"/>
              <w:rPr>
                <w:rFonts w:ascii="Times New Roman" w:eastAsia="Calibri" w:hAnsi="Times New Roman" w:cs="Arial"/>
                <w:noProof/>
                <w:color w:val="006100"/>
                <w:sz w:val="20"/>
                <w:szCs w:val="20"/>
              </w:rPr>
            </w:pPr>
            <w:r>
              <w:rPr>
                <w:rFonts w:ascii="Times New Roman" w:hAnsi="Times New Roman"/>
                <w:noProof/>
                <w:color w:val="006100"/>
                <w:sz w:val="20"/>
              </w:rPr>
              <w:t xml:space="preserve">l’élaboration de matériel pédagogique pour soutenir l’organisation de «datawalks» («promenades de données») illustrant les applications basées sur l’IA ou les données dans la vie réelle, dans un environnement urbain; </w:t>
            </w:r>
          </w:p>
          <w:p w14:paraId="6163744E" w14:textId="77777777" w:rsidR="000D1388" w:rsidRPr="00102530" w:rsidRDefault="00E71057" w:rsidP="00F70F65">
            <w:pPr>
              <w:pStyle w:val="ListParagraph"/>
              <w:numPr>
                <w:ilvl w:val="0"/>
                <w:numId w:val="37"/>
              </w:numPr>
              <w:spacing w:after="0"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l’organisation d’ateliers étudiant les applications potentielles des robots de service.</w:t>
            </w:r>
          </w:p>
        </w:tc>
      </w:tr>
      <w:tr w:rsidR="00E71057" w:rsidRPr="00102530" w14:paraId="3F7159E4" w14:textId="77777777" w:rsidTr="002C7502">
        <w:trPr>
          <w:trHeight w:val="309"/>
          <w:jc w:val="center"/>
        </w:trPr>
        <w:tc>
          <w:tcPr>
            <w:tcW w:w="1129" w:type="dxa"/>
            <w:shd w:val="clear" w:color="auto" w:fill="C6EFCE"/>
            <w:noWrap/>
            <w:vAlign w:val="center"/>
          </w:tcPr>
          <w:p w14:paraId="08298B01"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84</w:t>
            </w:r>
          </w:p>
        </w:tc>
        <w:tc>
          <w:tcPr>
            <w:tcW w:w="1560" w:type="dxa"/>
            <w:shd w:val="clear" w:color="auto" w:fill="C6EFCE"/>
            <w:noWrap/>
            <w:vAlign w:val="center"/>
          </w:tcPr>
          <w:p w14:paraId="3CC654CB" w14:textId="5E275BAF" w:rsidR="000D1388" w:rsidRPr="00102530" w:rsidRDefault="004D71EE">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Connectivité de 35 parcs d’activités économiques de Wallonie (I-2.15)</w:t>
            </w:r>
          </w:p>
        </w:tc>
        <w:tc>
          <w:tcPr>
            <w:tcW w:w="1285" w:type="dxa"/>
            <w:shd w:val="clear" w:color="auto" w:fill="C6EFCE"/>
            <w:noWrap/>
            <w:vAlign w:val="center"/>
          </w:tcPr>
          <w:p w14:paraId="1FAFC8C3"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60" w:type="dxa"/>
            <w:shd w:val="clear" w:color="auto" w:fill="C6EFCE"/>
            <w:noWrap/>
            <w:vAlign w:val="center"/>
          </w:tcPr>
          <w:p w14:paraId="35B5B296"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Connectivité par fibre optique de 35 parcs d’activités économiques</w:t>
            </w:r>
          </w:p>
        </w:tc>
        <w:tc>
          <w:tcPr>
            <w:tcW w:w="1842" w:type="dxa"/>
            <w:shd w:val="clear" w:color="auto" w:fill="C6EFCE"/>
            <w:noWrap/>
            <w:vAlign w:val="center"/>
          </w:tcPr>
          <w:p w14:paraId="169104DA"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418" w:type="dxa"/>
            <w:shd w:val="clear" w:color="auto" w:fill="C6EFCE"/>
            <w:noWrap/>
            <w:vAlign w:val="center"/>
          </w:tcPr>
          <w:p w14:paraId="5473E94C"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34" w:type="dxa"/>
            <w:shd w:val="clear" w:color="auto" w:fill="C6EFCE"/>
            <w:noWrap/>
            <w:vAlign w:val="center"/>
          </w:tcPr>
          <w:p w14:paraId="7DC9FB19"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48B2DCE7"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35</w:t>
            </w:r>
          </w:p>
        </w:tc>
        <w:tc>
          <w:tcPr>
            <w:tcW w:w="1124" w:type="dxa"/>
            <w:shd w:val="clear" w:color="auto" w:fill="C6EFCE"/>
            <w:noWrap/>
            <w:vAlign w:val="center"/>
          </w:tcPr>
          <w:p w14:paraId="10D15646"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49E7726D"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703" w:type="dxa"/>
            <w:shd w:val="clear" w:color="auto" w:fill="C6EFCE"/>
            <w:noWrap/>
            <w:vAlign w:val="center"/>
          </w:tcPr>
          <w:p w14:paraId="4F1DA5E0" w14:textId="26F5226A" w:rsidR="000D1388" w:rsidRPr="00102530" w:rsidRDefault="004C5E15">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Des connexions à la fibre optique seront installées dans 35 parcs d’activités.</w:t>
            </w:r>
          </w:p>
        </w:tc>
      </w:tr>
      <w:tr w:rsidR="00E71057" w:rsidRPr="00102530" w14:paraId="3589CC66" w14:textId="77777777" w:rsidTr="002C7502">
        <w:trPr>
          <w:trHeight w:val="309"/>
          <w:jc w:val="center"/>
        </w:trPr>
        <w:tc>
          <w:tcPr>
            <w:tcW w:w="1129" w:type="dxa"/>
            <w:shd w:val="clear" w:color="auto" w:fill="C6EFCE"/>
            <w:noWrap/>
            <w:vAlign w:val="center"/>
          </w:tcPr>
          <w:p w14:paraId="7A925FA8"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89</w:t>
            </w:r>
          </w:p>
        </w:tc>
        <w:tc>
          <w:tcPr>
            <w:tcW w:w="1560" w:type="dxa"/>
            <w:shd w:val="clear" w:color="auto" w:fill="C6EFCE"/>
            <w:noWrap/>
            <w:vAlign w:val="center"/>
          </w:tcPr>
          <w:p w14:paraId="5C6CBC72"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1285" w:type="dxa"/>
            <w:shd w:val="clear" w:color="auto" w:fill="C6EFCE"/>
            <w:noWrap/>
            <w:vAlign w:val="center"/>
          </w:tcPr>
          <w:p w14:paraId="52864A8A"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04E663E8"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Boîte à outils de l’UE pour la connectivité</w:t>
            </w:r>
          </w:p>
        </w:tc>
        <w:tc>
          <w:tcPr>
            <w:tcW w:w="1842" w:type="dxa"/>
            <w:shd w:val="clear" w:color="auto" w:fill="C6EFCE"/>
            <w:noWrap/>
            <w:vAlign w:val="center"/>
          </w:tcPr>
          <w:p w14:paraId="1593719B"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œuvre de la boîte à outils pour la connectivité, y compris la feuille de route</w:t>
            </w:r>
          </w:p>
        </w:tc>
        <w:tc>
          <w:tcPr>
            <w:tcW w:w="1418" w:type="dxa"/>
            <w:shd w:val="clear" w:color="auto" w:fill="C6EFCE"/>
            <w:noWrap/>
            <w:vAlign w:val="center"/>
          </w:tcPr>
          <w:p w14:paraId="547A153C"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A8D7509"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4FCFDD18"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4" w:type="dxa"/>
            <w:shd w:val="clear" w:color="auto" w:fill="C6EFCE"/>
            <w:noWrap/>
            <w:vAlign w:val="center"/>
          </w:tcPr>
          <w:p w14:paraId="7461C119"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6539E50D"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2703" w:type="dxa"/>
            <w:shd w:val="clear" w:color="auto" w:fill="C6EFCE"/>
            <w:noWrap/>
            <w:vAlign w:val="center"/>
          </w:tcPr>
          <w:p w14:paraId="7914FF0F"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plan de mise en œuvre des bonnes pratiques de la boîte à outils de l’UE pour la connectivité, incluant notamment une feuille de route visant à simplifier les procédures d’octroi de licences et de permis pertinentes pour le déploiement de la 5G et des réseaux à très haute capacité, tels que la fibre optique</w:t>
            </w:r>
          </w:p>
        </w:tc>
      </w:tr>
      <w:tr w:rsidR="00E71057" w:rsidRPr="00102530" w14:paraId="556D444F" w14:textId="77777777" w:rsidTr="002C7502">
        <w:trPr>
          <w:trHeight w:val="309"/>
          <w:jc w:val="center"/>
        </w:trPr>
        <w:tc>
          <w:tcPr>
            <w:tcW w:w="1129" w:type="dxa"/>
            <w:shd w:val="clear" w:color="auto" w:fill="C6EFCE"/>
            <w:noWrap/>
            <w:vAlign w:val="center"/>
          </w:tcPr>
          <w:p w14:paraId="027338E7"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90</w:t>
            </w:r>
          </w:p>
        </w:tc>
        <w:tc>
          <w:tcPr>
            <w:tcW w:w="1560" w:type="dxa"/>
            <w:shd w:val="clear" w:color="auto" w:fill="C6EFCE"/>
            <w:noWrap/>
            <w:vAlign w:val="center"/>
          </w:tcPr>
          <w:p w14:paraId="195AB336"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1285" w:type="dxa"/>
            <w:shd w:val="clear" w:color="auto" w:fill="C6EFCE"/>
            <w:noWrap/>
            <w:vAlign w:val="center"/>
          </w:tcPr>
          <w:p w14:paraId="4799E86C"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767664DA"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Publication du cadre législatif sur l’attribution des fréquences 5G </w:t>
            </w:r>
          </w:p>
        </w:tc>
        <w:tc>
          <w:tcPr>
            <w:tcW w:w="1842" w:type="dxa"/>
            <w:shd w:val="clear" w:color="auto" w:fill="C6EFCE"/>
            <w:noWrap/>
            <w:vAlign w:val="center"/>
          </w:tcPr>
          <w:p w14:paraId="3707F56F"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 cadre législatif sur l’attribution des fréquences 5G</w:t>
            </w:r>
          </w:p>
        </w:tc>
        <w:tc>
          <w:tcPr>
            <w:tcW w:w="1418" w:type="dxa"/>
            <w:shd w:val="clear" w:color="auto" w:fill="C6EFCE"/>
            <w:noWrap/>
            <w:vAlign w:val="center"/>
          </w:tcPr>
          <w:p w14:paraId="475F6F14"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33351E3E"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17D61169"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4" w:type="dxa"/>
            <w:shd w:val="clear" w:color="auto" w:fill="C6EFCE"/>
            <w:noWrap/>
            <w:vAlign w:val="center"/>
          </w:tcPr>
          <w:p w14:paraId="0A66974E"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1CC73A9E"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2703" w:type="dxa"/>
            <w:shd w:val="clear" w:color="auto" w:fill="C6EFCE"/>
            <w:noWrap/>
            <w:vAlign w:val="center"/>
          </w:tcPr>
          <w:p w14:paraId="22208A7B"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de la loi sur la 5G et des arrêtés royaux visant à attribuer aux réseaux 5G, dans des conditions favorables aux investissements, les bandes de fréquences radio pionnières de l’UE définies par le groupe pour la politique en matière de spectre radioélectrique</w:t>
            </w:r>
          </w:p>
        </w:tc>
      </w:tr>
      <w:tr w:rsidR="00E71057" w:rsidRPr="00102530" w14:paraId="0C095BBA" w14:textId="77777777" w:rsidTr="002C7502">
        <w:trPr>
          <w:trHeight w:val="309"/>
          <w:jc w:val="center"/>
        </w:trPr>
        <w:tc>
          <w:tcPr>
            <w:tcW w:w="1129" w:type="dxa"/>
            <w:shd w:val="clear" w:color="auto" w:fill="C6EFCE"/>
            <w:noWrap/>
            <w:vAlign w:val="center"/>
          </w:tcPr>
          <w:p w14:paraId="5BE26A4E"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91</w:t>
            </w:r>
          </w:p>
        </w:tc>
        <w:tc>
          <w:tcPr>
            <w:tcW w:w="1560" w:type="dxa"/>
            <w:shd w:val="clear" w:color="auto" w:fill="C6EFCE"/>
            <w:noWrap/>
            <w:vAlign w:val="center"/>
          </w:tcPr>
          <w:p w14:paraId="181529D9"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1285" w:type="dxa"/>
            <w:shd w:val="clear" w:color="auto" w:fill="C6EFCE"/>
            <w:noWrap/>
            <w:vAlign w:val="center"/>
          </w:tcPr>
          <w:p w14:paraId="7EF338CE"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53D721E8"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Enchères de la 5G</w:t>
            </w:r>
          </w:p>
        </w:tc>
        <w:tc>
          <w:tcPr>
            <w:tcW w:w="1842" w:type="dxa"/>
            <w:shd w:val="clear" w:color="auto" w:fill="C6EFCE"/>
            <w:noWrap/>
            <w:vAlign w:val="center"/>
          </w:tcPr>
          <w:p w14:paraId="7F3CB0D9"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Organisation et mise en œuvre des enchères de la 5G par l’Institut belge des services postaux et des télécommunications </w:t>
            </w:r>
          </w:p>
        </w:tc>
        <w:tc>
          <w:tcPr>
            <w:tcW w:w="1418" w:type="dxa"/>
            <w:shd w:val="clear" w:color="auto" w:fill="C6EFCE"/>
            <w:noWrap/>
            <w:vAlign w:val="center"/>
          </w:tcPr>
          <w:p w14:paraId="5659606E"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3DD52F82"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368C5602"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4" w:type="dxa"/>
            <w:shd w:val="clear" w:color="auto" w:fill="C6EFCE"/>
            <w:noWrap/>
            <w:vAlign w:val="center"/>
          </w:tcPr>
          <w:p w14:paraId="40CC6504"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7C4C1F91"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703" w:type="dxa"/>
            <w:shd w:val="clear" w:color="auto" w:fill="C6EFCE"/>
            <w:noWrap/>
            <w:vAlign w:val="center"/>
          </w:tcPr>
          <w:p w14:paraId="0F640B12"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enchères de la 5G par l’autorité nationale de régulation des télécommunications (l’Institut belge des services postaux et des télécommunications), notamment: appel à candidatures, décision d’autorisation de l’Institut belge des services postaux et des télécommunications</w:t>
            </w:r>
          </w:p>
        </w:tc>
      </w:tr>
      <w:tr w:rsidR="00E71057" w:rsidRPr="00102530" w14:paraId="36F804EB" w14:textId="77777777" w:rsidTr="002C7502">
        <w:trPr>
          <w:trHeight w:val="309"/>
          <w:jc w:val="center"/>
        </w:trPr>
        <w:tc>
          <w:tcPr>
            <w:tcW w:w="1129" w:type="dxa"/>
            <w:shd w:val="clear" w:color="auto" w:fill="C6EFCE"/>
            <w:noWrap/>
            <w:vAlign w:val="center"/>
          </w:tcPr>
          <w:p w14:paraId="5E10AC29"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92</w:t>
            </w:r>
          </w:p>
        </w:tc>
        <w:tc>
          <w:tcPr>
            <w:tcW w:w="1560" w:type="dxa"/>
            <w:shd w:val="clear" w:color="auto" w:fill="C6EFCE"/>
            <w:noWrap/>
            <w:vAlign w:val="center"/>
          </w:tcPr>
          <w:p w14:paraId="40A98693"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1285" w:type="dxa"/>
            <w:shd w:val="clear" w:color="auto" w:fill="C6EFCE"/>
            <w:noWrap/>
            <w:vAlign w:val="center"/>
          </w:tcPr>
          <w:p w14:paraId="429C7B89"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083C1136"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œuvre de la boîte à outils pour la connectivité</w:t>
            </w:r>
          </w:p>
        </w:tc>
        <w:tc>
          <w:tcPr>
            <w:tcW w:w="1842" w:type="dxa"/>
            <w:shd w:val="clear" w:color="auto" w:fill="C6EFCE"/>
            <w:noWrap/>
            <w:vAlign w:val="center"/>
          </w:tcPr>
          <w:p w14:paraId="036D0150"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d’un rapport sur l’état d’avancement de la mise en œuvre de la boîte à outils pour la connectivité</w:t>
            </w:r>
          </w:p>
        </w:tc>
        <w:tc>
          <w:tcPr>
            <w:tcW w:w="1418" w:type="dxa"/>
            <w:shd w:val="clear" w:color="auto" w:fill="C6EFCE"/>
            <w:noWrap/>
            <w:vAlign w:val="center"/>
          </w:tcPr>
          <w:p w14:paraId="07D8127D"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749F046"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3A935D03"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4" w:type="dxa"/>
            <w:shd w:val="clear" w:color="auto" w:fill="C6EFCE"/>
            <w:noWrap/>
            <w:vAlign w:val="center"/>
          </w:tcPr>
          <w:p w14:paraId="4263FCAE"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10E168B8"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703" w:type="dxa"/>
            <w:shd w:val="clear" w:color="auto" w:fill="C6EFCE"/>
            <w:noWrap/>
            <w:vAlign w:val="center"/>
          </w:tcPr>
          <w:p w14:paraId="327B1597"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 du ministère fédéral des télécommunications sur l’état d’avancement de la mise en œuvre de la boîte à outils pour la connectivité publié conformément au champ d’application et au processus décrits dans la feuille de route belge pour la mise en œuvre de la boîte à outils pour la connectivité</w:t>
            </w:r>
          </w:p>
        </w:tc>
      </w:tr>
      <w:tr w:rsidR="00E71057" w:rsidRPr="00102530" w14:paraId="4B7F4358" w14:textId="77777777" w:rsidTr="002C7502">
        <w:trPr>
          <w:trHeight w:val="309"/>
          <w:jc w:val="center"/>
        </w:trPr>
        <w:tc>
          <w:tcPr>
            <w:tcW w:w="1129" w:type="dxa"/>
            <w:shd w:val="clear" w:color="auto" w:fill="C6EFCE"/>
            <w:noWrap/>
            <w:vAlign w:val="center"/>
          </w:tcPr>
          <w:p w14:paraId="63E174A6" w14:textId="77777777" w:rsidR="000D1388" w:rsidRPr="00102530" w:rsidRDefault="00E71057">
            <w:pPr>
              <w:rPr>
                <w:rFonts w:ascii="Times New Roman" w:eastAsia="Times New Roman" w:hAnsi="Times New Roman" w:cs="Times New Roman"/>
                <w:noProof/>
                <w:sz w:val="20"/>
                <w:szCs w:val="20"/>
              </w:rPr>
            </w:pPr>
            <w:r>
              <w:rPr>
                <w:rFonts w:ascii="Times New Roman" w:hAnsi="Times New Roman"/>
                <w:noProof/>
                <w:color w:val="006100"/>
                <w:sz w:val="20"/>
              </w:rPr>
              <w:t>93</w:t>
            </w:r>
          </w:p>
        </w:tc>
        <w:tc>
          <w:tcPr>
            <w:tcW w:w="1560" w:type="dxa"/>
            <w:shd w:val="clear" w:color="auto" w:fill="C6EFCE"/>
            <w:noWrap/>
            <w:vAlign w:val="center"/>
          </w:tcPr>
          <w:p w14:paraId="5B44F6DE"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1285" w:type="dxa"/>
            <w:shd w:val="clear" w:color="auto" w:fill="C6EFCE"/>
            <w:noWrap/>
            <w:vAlign w:val="center"/>
          </w:tcPr>
          <w:p w14:paraId="7FBF986F"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7447C8D7"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Révision du cadre législatif des trois régions sur les normes de rayonnement</w:t>
            </w:r>
          </w:p>
        </w:tc>
        <w:tc>
          <w:tcPr>
            <w:tcW w:w="1842" w:type="dxa"/>
            <w:shd w:val="clear" w:color="auto" w:fill="C6EFCE"/>
            <w:noWrap/>
            <w:vAlign w:val="center"/>
          </w:tcPr>
          <w:p w14:paraId="00F0DD51"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Révision des cadres législatifs régionaux sur les normes de rayonnement</w:t>
            </w:r>
          </w:p>
        </w:tc>
        <w:tc>
          <w:tcPr>
            <w:tcW w:w="1418" w:type="dxa"/>
            <w:shd w:val="clear" w:color="auto" w:fill="C6EFCE"/>
            <w:noWrap/>
            <w:vAlign w:val="center"/>
          </w:tcPr>
          <w:p w14:paraId="33670D9F"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3825226"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0996426E"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4" w:type="dxa"/>
            <w:shd w:val="clear" w:color="auto" w:fill="C6EFCE"/>
            <w:noWrap/>
            <w:vAlign w:val="center"/>
          </w:tcPr>
          <w:p w14:paraId="647F1DC9"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1" w:type="dxa"/>
            <w:shd w:val="clear" w:color="auto" w:fill="C6EFCE"/>
            <w:noWrap/>
            <w:vAlign w:val="center"/>
          </w:tcPr>
          <w:p w14:paraId="7BA68377"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703" w:type="dxa"/>
            <w:shd w:val="clear" w:color="auto" w:fill="C6EFCE"/>
            <w:noWrap/>
            <w:vAlign w:val="center"/>
          </w:tcPr>
          <w:p w14:paraId="3E0E73DA"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Adaptation et entrée en vigueur des cadres législatifs respectifs de la Flandre, de la Région de Bruxelles-Capitale et de la Wallonie, modifiant les normes de rayonnement afin de permettre le déploiement effectif du spectre 5G</w:t>
            </w:r>
          </w:p>
        </w:tc>
      </w:tr>
    </w:tbl>
    <w:p w14:paraId="6C4755F1" w14:textId="77777777" w:rsidR="000D1388" w:rsidRPr="00746A1A" w:rsidRDefault="000D1388" w:rsidP="00E71057">
      <w:pPr>
        <w:spacing w:before="120" w:after="120" w:line="240" w:lineRule="auto"/>
        <w:jc w:val="both"/>
        <w:rPr>
          <w:rFonts w:ascii="Times New Roman" w:eastAsia="Calibri" w:hAnsi="Times New Roman" w:cs="Times New Roman"/>
          <w:noProof/>
          <w:sz w:val="24"/>
          <w:lang w:val="fr-BE"/>
        </w:rPr>
        <w:sectPr w:rsidR="000D1388" w:rsidRPr="00746A1A" w:rsidSect="00E71057">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360"/>
        </w:sectPr>
      </w:pPr>
    </w:p>
    <w:p w14:paraId="07B8E9A1"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G. COMPOSANTE 3.1: Infrastructures cyclables et pour les piétons</w:t>
      </w:r>
    </w:p>
    <w:p w14:paraId="5BE7685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cette composante du plan pour la reprise et la résilience de la Belgique visent à étendre et mettre à niveau les infrastructures cyclables et piétonnes en Belgique.</w:t>
      </w:r>
    </w:p>
    <w:p w14:paraId="579A4A1D"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composante contribue à répondre à la recommandation par pays nº 3 de 2020, qui appelle la Belgique à axer les investissements sur la transition écologique et numérique, et en particulier sur les infrastructures de transport durable.</w:t>
      </w:r>
    </w:p>
    <w:p w14:paraId="551A0E1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639B0369" w14:textId="77777777" w:rsidR="000D1388" w:rsidRPr="009D65D8" w:rsidRDefault="00E71057" w:rsidP="00E71057">
      <w:pPr>
        <w:spacing w:before="120" w:after="120"/>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G.1.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4CDEAD6F"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I-3A: «Infrastructure cyclable»</w:t>
      </w:r>
    </w:p>
    <w:p w14:paraId="15B05072"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L’objectif de cet investissement est de créer des infrastructures cyclables supplémentaires et d’améliorer l’infrastructure existante. Cette mesure est constituée des trois sous-mesures suivantes:</w:t>
      </w:r>
    </w:p>
    <w:p w14:paraId="280AE614" w14:textId="77777777" w:rsidR="000D1388" w:rsidRPr="009D65D8" w:rsidRDefault="00E71057" w:rsidP="00F70F65">
      <w:pPr>
        <w:numPr>
          <w:ilvl w:val="0"/>
          <w:numId w:val="38"/>
        </w:numPr>
        <w:tabs>
          <w:tab w:val="left" w:pos="426"/>
        </w:tabs>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I-3.01: «Infrastructure cyclable» de la Région flamande,</w:t>
      </w:r>
    </w:p>
    <w:p w14:paraId="45295DBD" w14:textId="77777777" w:rsidR="000D1388" w:rsidRPr="009D65D8" w:rsidRDefault="00E71057" w:rsidP="00F70F65">
      <w:pPr>
        <w:numPr>
          <w:ilvl w:val="0"/>
          <w:numId w:val="38"/>
        </w:numPr>
        <w:tabs>
          <w:tab w:val="left" w:pos="426"/>
        </w:tabs>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I-3.02: «Infrastructure cyclable – Corridors vélo» de la Région wallonne,</w:t>
      </w:r>
    </w:p>
    <w:p w14:paraId="5EFDF8A5" w14:textId="77777777" w:rsidR="000D1388" w:rsidRPr="009D65D8" w:rsidRDefault="00E71057" w:rsidP="00F70F65">
      <w:pPr>
        <w:numPr>
          <w:ilvl w:val="0"/>
          <w:numId w:val="38"/>
        </w:numPr>
        <w:tabs>
          <w:tab w:val="left" w:pos="426"/>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investissement I-3.03a: «Infrastructure cyclable – Vélo Plus – RBC» de la Région de Bruxelles-Capitale.</w:t>
      </w:r>
    </w:p>
    <w:p w14:paraId="5038BBBD"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I-3.01: «Infrastructure cyclable» de la Région flamande</w:t>
      </w:r>
    </w:p>
    <w:p w14:paraId="2B872DC9"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a vocation à développer les infrastructures cyclables. Il prévoit la construction et la modernisation de pistes cyclables.</w:t>
      </w:r>
    </w:p>
    <w:p w14:paraId="7BF42F9D"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I-3.02: «Infrastructure cyclable – Corridors vélo» de la Région wallonne</w:t>
      </w:r>
    </w:p>
    <w:p w14:paraId="61D391B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a vocation à développer les infrastructures cyclables. Il prévoit la construction de pistes cyclables.</w:t>
      </w:r>
    </w:p>
    <w:p w14:paraId="0C8936A7" w14:textId="14D8FC10" w:rsidR="000D1388" w:rsidRPr="00DD67A6"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I-3.03a: «Infrastructure cyclable – Vélo Plus – RBC» de la Région de Bruxelles-Capitale</w:t>
      </w:r>
    </w:p>
    <w:p w14:paraId="0702681B" w14:textId="418134F2" w:rsidR="000D1388" w:rsidRPr="009D65D8" w:rsidRDefault="00E71057" w:rsidP="00E71057">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 investissement a vocation à développer les infrastructures cyclables. Cet investissement prévoit la construction de places de parking pour vélos et de pistes cyclables, ainsi que la modernisation de pistes cyclables dans la Région de Bruxelles-Capitale.</w:t>
      </w:r>
    </w:p>
    <w:p w14:paraId="0260999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I-3.03b: «Infrastructure cyclable – Vélo Plus – FED» de l’État fédéral</w:t>
      </w:r>
    </w:p>
    <w:p w14:paraId="5A756996" w14:textId="634AA49D" w:rsidR="000D138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a vocation à développer les infrastructures cyclables. Cet investissement prévoit la construction de pistes cyclables dans la Région de Bruxelles-Capitale.</w:t>
      </w:r>
    </w:p>
    <w:p w14:paraId="365CC230" w14:textId="77777777" w:rsidR="005B6317" w:rsidRPr="00DD67A6" w:rsidRDefault="005B6317" w:rsidP="005B631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I-3.04: «Infrastructures cyclable et piétonne – Schuman» de l’État fédéral</w:t>
      </w:r>
    </w:p>
    <w:p w14:paraId="1F927E63" w14:textId="77777777" w:rsidR="005B6317" w:rsidRDefault="005B6317" w:rsidP="005B6317">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Cet investissement vise à développer les infrastructures cyclables et piétonnières. Cet investissement prévoit la modernisation d’espaces publics pour les piétons, les cyclistes et les transports publics à Schuman</w:t>
      </w:r>
    </w:p>
    <w:p w14:paraId="6F139783" w14:textId="77777777" w:rsidR="005B6317" w:rsidRPr="00973474" w:rsidRDefault="005B6317" w:rsidP="00E71057">
      <w:pPr>
        <w:spacing w:before="120" w:after="120" w:line="240" w:lineRule="auto"/>
        <w:jc w:val="both"/>
        <w:rPr>
          <w:rFonts w:ascii="Times New Roman" w:eastAsia="Calibri" w:hAnsi="Times New Roman" w:cs="Times New Roman"/>
          <w:noProof/>
          <w:sz w:val="24"/>
          <w:szCs w:val="24"/>
        </w:rPr>
        <w:sectPr w:rsidR="005B6317" w:rsidRPr="00973474" w:rsidSect="00E71057">
          <w:headerReference w:type="even" r:id="rId96"/>
          <w:headerReference w:type="default" r:id="rId97"/>
          <w:footerReference w:type="even" r:id="rId98"/>
          <w:footerReference w:type="default" r:id="rId99"/>
          <w:headerReference w:type="first" r:id="rId100"/>
          <w:footerReference w:type="first" r:id="rId101"/>
          <w:pgSz w:w="11907" w:h="16839"/>
          <w:pgMar w:top="1134" w:right="1134" w:bottom="1134" w:left="1134" w:header="567" w:footer="567" w:gutter="0"/>
          <w:cols w:space="720"/>
          <w:docGrid w:linePitch="360"/>
        </w:sectPr>
      </w:pPr>
    </w:p>
    <w:p w14:paraId="5DA87081"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G.2.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6297" w:type="dxa"/>
        <w:jc w:val="center"/>
        <w:tblLayout w:type="fixed"/>
        <w:tblLook w:val="04A0" w:firstRow="1" w:lastRow="0" w:firstColumn="1" w:lastColumn="0" w:noHBand="0" w:noVBand="1"/>
      </w:tblPr>
      <w:tblGrid>
        <w:gridCol w:w="1129"/>
        <w:gridCol w:w="1560"/>
        <w:gridCol w:w="708"/>
        <w:gridCol w:w="1638"/>
        <w:gridCol w:w="1680"/>
        <w:gridCol w:w="1320"/>
        <w:gridCol w:w="1080"/>
        <w:gridCol w:w="945"/>
        <w:gridCol w:w="1134"/>
        <w:gridCol w:w="992"/>
        <w:gridCol w:w="22"/>
        <w:gridCol w:w="11"/>
        <w:gridCol w:w="3936"/>
        <w:gridCol w:w="33"/>
        <w:gridCol w:w="109"/>
      </w:tblGrid>
      <w:tr w:rsidR="00E71057" w:rsidRPr="00102530" w14:paraId="3B02B3A1" w14:textId="77777777" w:rsidTr="00C77BBC">
        <w:trPr>
          <w:gridAfter w:val="1"/>
          <w:wAfter w:w="109" w:type="dxa"/>
          <w:trHeight w:val="927"/>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F0DEB4"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9C7110"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AA4C33"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3A351E"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148BA6"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34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F3E51A5"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2159" w:type="dxa"/>
            <w:gridSpan w:val="4"/>
            <w:tcBorders>
              <w:top w:val="single" w:sz="4" w:space="0" w:color="auto"/>
              <w:left w:val="nil"/>
              <w:bottom w:val="single" w:sz="4" w:space="0" w:color="auto"/>
              <w:right w:val="single" w:sz="4" w:space="0" w:color="auto"/>
            </w:tcBorders>
            <w:shd w:val="clear" w:color="auto" w:fill="BDD7EE"/>
            <w:vAlign w:val="center"/>
            <w:hideMark/>
          </w:tcPr>
          <w:p w14:paraId="54CF07D3" w14:textId="77777777" w:rsidR="000D1388" w:rsidRPr="00102530" w:rsidRDefault="00E71057" w:rsidP="002C7502">
            <w:pPr>
              <w:spacing w:after="0"/>
              <w:ind w:right="-114"/>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96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256BFE2C"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E71057" w:rsidRPr="00102530" w14:paraId="1601B936" w14:textId="77777777" w:rsidTr="00C77BBC">
        <w:trPr>
          <w:trHeight w:val="1013"/>
          <w:tblHeader/>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1B1F290"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tcBorders>
              <w:left w:val="single" w:sz="4" w:space="0" w:color="auto"/>
              <w:right w:val="single" w:sz="4" w:space="0" w:color="auto"/>
            </w:tcBorders>
            <w:vAlign w:val="center"/>
            <w:hideMark/>
          </w:tcPr>
          <w:p w14:paraId="52B37EAA"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B0F1F71"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1E360A2B"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680" w:type="dxa"/>
            <w:vMerge/>
            <w:tcBorders>
              <w:left w:val="single" w:sz="4" w:space="0" w:color="auto"/>
            </w:tcBorders>
            <w:vAlign w:val="center"/>
            <w:hideMark/>
          </w:tcPr>
          <w:p w14:paraId="1A30DE7A"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320" w:type="dxa"/>
            <w:tcBorders>
              <w:top w:val="nil"/>
              <w:left w:val="single" w:sz="4" w:space="0" w:color="auto"/>
              <w:bottom w:val="single" w:sz="4" w:space="0" w:color="auto"/>
              <w:right w:val="single" w:sz="4" w:space="0" w:color="auto"/>
            </w:tcBorders>
            <w:shd w:val="clear" w:color="auto" w:fill="BDD7EE"/>
            <w:vAlign w:val="center"/>
            <w:hideMark/>
          </w:tcPr>
          <w:p w14:paraId="5FD3B367"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80" w:type="dxa"/>
            <w:tcBorders>
              <w:top w:val="nil"/>
              <w:left w:val="nil"/>
              <w:bottom w:val="single" w:sz="4" w:space="0" w:color="auto"/>
              <w:right w:val="single" w:sz="4" w:space="0" w:color="auto"/>
            </w:tcBorders>
            <w:shd w:val="clear" w:color="auto" w:fill="BDD7EE"/>
            <w:vAlign w:val="center"/>
            <w:hideMark/>
          </w:tcPr>
          <w:p w14:paraId="57966263"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45" w:type="dxa"/>
            <w:tcBorders>
              <w:top w:val="nil"/>
              <w:left w:val="nil"/>
              <w:bottom w:val="single" w:sz="4" w:space="0" w:color="auto"/>
              <w:right w:val="single" w:sz="4" w:space="0" w:color="auto"/>
            </w:tcBorders>
            <w:shd w:val="clear" w:color="auto" w:fill="BDD7EE"/>
            <w:vAlign w:val="center"/>
            <w:hideMark/>
          </w:tcPr>
          <w:p w14:paraId="3F49665A"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tcBorders>
              <w:top w:val="nil"/>
              <w:left w:val="nil"/>
              <w:bottom w:val="single" w:sz="4" w:space="0" w:color="auto"/>
              <w:right w:val="single" w:sz="4" w:space="0" w:color="auto"/>
            </w:tcBorders>
            <w:shd w:val="clear" w:color="auto" w:fill="BDD7EE"/>
            <w:vAlign w:val="center"/>
            <w:hideMark/>
          </w:tcPr>
          <w:p w14:paraId="7DE8643B"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1014" w:type="dxa"/>
            <w:gridSpan w:val="2"/>
            <w:tcBorders>
              <w:top w:val="nil"/>
              <w:left w:val="nil"/>
              <w:bottom w:val="single" w:sz="4" w:space="0" w:color="auto"/>
              <w:right w:val="single" w:sz="4" w:space="0" w:color="auto"/>
            </w:tcBorders>
            <w:shd w:val="clear" w:color="auto" w:fill="BDD7EE"/>
            <w:vAlign w:val="center"/>
            <w:hideMark/>
          </w:tcPr>
          <w:p w14:paraId="575A2DF5"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4089" w:type="dxa"/>
            <w:gridSpan w:val="4"/>
            <w:tcBorders>
              <w:top w:val="single" w:sz="4" w:space="0" w:color="auto"/>
              <w:bottom w:val="single" w:sz="4" w:space="0" w:color="auto"/>
              <w:right w:val="single" w:sz="4" w:space="0" w:color="auto"/>
            </w:tcBorders>
            <w:vAlign w:val="center"/>
            <w:hideMark/>
          </w:tcPr>
          <w:p w14:paraId="39A1FA07" w14:textId="77777777" w:rsidR="000D1388" w:rsidRPr="00102530" w:rsidRDefault="000D1388" w:rsidP="002C7502">
            <w:pPr>
              <w:spacing w:after="0"/>
              <w:ind w:left="-121" w:hanging="142"/>
              <w:rPr>
                <w:rFonts w:ascii="Times New Roman" w:eastAsia="Times New Roman" w:hAnsi="Times New Roman" w:cs="Times New Roman"/>
                <w:b/>
                <w:bCs/>
                <w:noProof/>
                <w:sz w:val="20"/>
                <w:szCs w:val="20"/>
                <w:lang w:val="en-GB" w:eastAsia="en-GB"/>
              </w:rPr>
            </w:pPr>
          </w:p>
        </w:tc>
      </w:tr>
      <w:tr w:rsidR="00E71057" w:rsidRPr="00102530" w14:paraId="62426E13" w14:textId="77777777" w:rsidTr="00C77BBC">
        <w:trPr>
          <w:gridAfter w:val="2"/>
          <w:wAfter w:w="142" w:type="dxa"/>
          <w:trHeight w:val="107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2AF7D9"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73389E"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(I-3A)</w:t>
            </w:r>
          </w:p>
        </w:tc>
        <w:tc>
          <w:tcPr>
            <w:tcW w:w="708" w:type="dxa"/>
            <w:tcBorders>
              <w:top w:val="single" w:sz="4" w:space="0" w:color="auto"/>
              <w:left w:val="nil"/>
              <w:bottom w:val="single" w:sz="4" w:space="0" w:color="auto"/>
              <w:right w:val="single" w:sz="4" w:space="0" w:color="auto"/>
            </w:tcBorders>
            <w:shd w:val="clear" w:color="auto" w:fill="C6EFCE"/>
            <w:noWrap/>
            <w:vAlign w:val="center"/>
            <w:hideMark/>
          </w:tcPr>
          <w:p w14:paraId="514FD7BE"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638" w:type="dxa"/>
            <w:tcBorders>
              <w:top w:val="single" w:sz="4" w:space="0" w:color="auto"/>
              <w:left w:val="nil"/>
              <w:bottom w:val="single" w:sz="4" w:space="0" w:color="auto"/>
              <w:right w:val="single" w:sz="4" w:space="0" w:color="auto"/>
            </w:tcBorders>
            <w:shd w:val="clear" w:color="auto" w:fill="C6EFCE"/>
            <w:noWrap/>
            <w:vAlign w:val="center"/>
            <w:hideMark/>
          </w:tcPr>
          <w:p w14:paraId="7F1485C3"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Début de tous les projets cyclables et piétons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515C7FB4"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décision ou attribution du marché</w:t>
            </w:r>
          </w:p>
        </w:tc>
        <w:tc>
          <w:tcPr>
            <w:tcW w:w="1320" w:type="dxa"/>
            <w:tcBorders>
              <w:top w:val="nil"/>
              <w:left w:val="nil"/>
              <w:bottom w:val="single" w:sz="4" w:space="0" w:color="auto"/>
              <w:right w:val="single" w:sz="4" w:space="0" w:color="auto"/>
            </w:tcBorders>
            <w:shd w:val="clear" w:color="auto" w:fill="C6EFCE"/>
            <w:noWrap/>
            <w:vAlign w:val="center"/>
            <w:hideMark/>
          </w:tcPr>
          <w:p w14:paraId="649BEB97"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A9D978"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45" w:type="dxa"/>
            <w:tcBorders>
              <w:top w:val="single" w:sz="4" w:space="0" w:color="auto"/>
              <w:left w:val="nil"/>
              <w:bottom w:val="single" w:sz="4" w:space="0" w:color="auto"/>
              <w:right w:val="single" w:sz="4" w:space="0" w:color="auto"/>
            </w:tcBorders>
            <w:shd w:val="clear" w:color="auto" w:fill="C6EFCE"/>
            <w:noWrap/>
            <w:vAlign w:val="center"/>
            <w:hideMark/>
          </w:tcPr>
          <w:p w14:paraId="2B08B3BA"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07E3A5F7" w14:textId="77777777" w:rsidR="000D1388" w:rsidRPr="00102530" w:rsidRDefault="00E71057" w:rsidP="00C77BBC">
            <w:pPr>
              <w:spacing w:after="0"/>
              <w:ind w:right="-255"/>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43629B78"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969"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F320E9" w14:textId="77777777" w:rsidR="000D1388" w:rsidRPr="00102530" w:rsidRDefault="00E71057" w:rsidP="002C7502">
            <w:pPr>
              <w:spacing w:after="120"/>
              <w:ind w:left="-107"/>
              <w:rPr>
                <w:rFonts w:ascii="Times New Roman" w:eastAsia="Times New Roman" w:hAnsi="Times New Roman" w:cs="Times New Roman"/>
                <w:noProof/>
                <w:color w:val="006100"/>
                <w:sz w:val="20"/>
                <w:szCs w:val="20"/>
              </w:rPr>
            </w:pPr>
            <w:r>
              <w:rPr>
                <w:rFonts w:ascii="Times New Roman" w:hAnsi="Times New Roman"/>
                <w:noProof/>
                <w:color w:val="006100"/>
                <w:sz w:val="20"/>
                <w:u w:val="single"/>
              </w:rPr>
              <w:t>Infrastructure cyclable – Corridors vélo – WAL (I-3.02)</w:t>
            </w:r>
            <w:r>
              <w:rPr>
                <w:rFonts w:ascii="Times New Roman" w:hAnsi="Times New Roman"/>
                <w:noProof/>
                <w:color w:val="006100"/>
                <w:sz w:val="20"/>
              </w:rPr>
              <w:t>: Attribution des marchés pour quatre tronçons en Wallonie</w:t>
            </w:r>
          </w:p>
        </w:tc>
      </w:tr>
      <w:tr w:rsidR="00E71057" w:rsidRPr="00102530" w14:paraId="7D5439D6" w14:textId="77777777" w:rsidTr="00C77BBC">
        <w:trPr>
          <w:gridAfter w:val="2"/>
          <w:wAfter w:w="142" w:type="dxa"/>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2985AA2B"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DDF03E"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(I-3A)</w:t>
            </w:r>
          </w:p>
        </w:tc>
        <w:tc>
          <w:tcPr>
            <w:tcW w:w="708" w:type="dxa"/>
            <w:tcBorders>
              <w:top w:val="single" w:sz="4" w:space="0" w:color="auto"/>
              <w:left w:val="nil"/>
              <w:bottom w:val="single" w:sz="4" w:space="0" w:color="auto"/>
              <w:right w:val="single" w:sz="4" w:space="0" w:color="auto"/>
            </w:tcBorders>
            <w:shd w:val="clear" w:color="auto" w:fill="C6EFCE"/>
            <w:noWrap/>
            <w:vAlign w:val="center"/>
            <w:hideMark/>
          </w:tcPr>
          <w:p w14:paraId="68562BF9"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38" w:type="dxa"/>
            <w:tcBorders>
              <w:top w:val="single" w:sz="4" w:space="0" w:color="auto"/>
              <w:left w:val="nil"/>
              <w:bottom w:val="single" w:sz="4" w:space="0" w:color="auto"/>
              <w:right w:val="single" w:sz="4" w:space="0" w:color="auto"/>
            </w:tcBorders>
            <w:shd w:val="clear" w:color="auto" w:fill="C6EFCE"/>
            <w:noWrap/>
            <w:vAlign w:val="center"/>
            <w:hideMark/>
          </w:tcPr>
          <w:p w14:paraId="4CE1EB2A" w14:textId="77777777" w:rsidR="000D1388" w:rsidRPr="00102530"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Pistes cyclables nouvellement construites ou rénovées</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12077FD4"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320" w:type="dxa"/>
            <w:tcBorders>
              <w:top w:val="single" w:sz="4" w:space="0" w:color="auto"/>
              <w:left w:val="nil"/>
              <w:bottom w:val="single" w:sz="4" w:space="0" w:color="auto"/>
              <w:right w:val="single" w:sz="4" w:space="0" w:color="auto"/>
            </w:tcBorders>
            <w:shd w:val="clear" w:color="auto" w:fill="C6EFCE"/>
            <w:noWrap/>
            <w:vAlign w:val="center"/>
            <w:hideMark/>
          </w:tcPr>
          <w:p w14:paraId="44BFAC20"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km</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083B25BD"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45" w:type="dxa"/>
            <w:tcBorders>
              <w:top w:val="nil"/>
              <w:left w:val="nil"/>
              <w:bottom w:val="single" w:sz="4" w:space="0" w:color="auto"/>
              <w:right w:val="single" w:sz="4" w:space="0" w:color="auto"/>
            </w:tcBorders>
            <w:shd w:val="clear" w:color="auto" w:fill="C6EFCE"/>
            <w:noWrap/>
            <w:vAlign w:val="center"/>
            <w:hideMark/>
          </w:tcPr>
          <w:p w14:paraId="60237C87" w14:textId="77777777" w:rsidR="000D1388" w:rsidRPr="00102530"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6,3</w:t>
            </w:r>
          </w:p>
        </w:tc>
        <w:tc>
          <w:tcPr>
            <w:tcW w:w="1134" w:type="dxa"/>
            <w:tcBorders>
              <w:top w:val="nil"/>
              <w:left w:val="nil"/>
              <w:bottom w:val="single" w:sz="4" w:space="0" w:color="auto"/>
              <w:right w:val="single" w:sz="4" w:space="0" w:color="auto"/>
            </w:tcBorders>
            <w:shd w:val="clear" w:color="auto" w:fill="C6EFCE"/>
            <w:noWrap/>
            <w:vAlign w:val="center"/>
            <w:hideMark/>
          </w:tcPr>
          <w:p w14:paraId="4C6D4213"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992" w:type="dxa"/>
            <w:tcBorders>
              <w:top w:val="nil"/>
              <w:left w:val="nil"/>
              <w:bottom w:val="single" w:sz="4" w:space="0" w:color="auto"/>
              <w:right w:val="single" w:sz="4" w:space="0" w:color="auto"/>
            </w:tcBorders>
            <w:shd w:val="clear" w:color="auto" w:fill="C6EFCE"/>
            <w:noWrap/>
            <w:vAlign w:val="center"/>
            <w:hideMark/>
          </w:tcPr>
          <w:p w14:paraId="168CB67C"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969" w:type="dxa"/>
            <w:gridSpan w:val="3"/>
            <w:tcBorders>
              <w:top w:val="nil"/>
              <w:left w:val="single" w:sz="4" w:space="0" w:color="auto"/>
              <w:bottom w:val="single" w:sz="4" w:space="0" w:color="auto"/>
              <w:right w:val="single" w:sz="4" w:space="0" w:color="auto"/>
            </w:tcBorders>
            <w:shd w:val="clear" w:color="auto" w:fill="C6EFCE"/>
            <w:noWrap/>
            <w:vAlign w:val="center"/>
            <w:hideMark/>
          </w:tcPr>
          <w:p w14:paraId="2F4175E2" w14:textId="77777777" w:rsidR="000D1388" w:rsidRPr="00102530"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Région de Bruxelles-Capitale (en lien avec la sous-mesure I-3.03a): 6,3 km de pistes cyclables nouvellement construites ou rénovées</w:t>
            </w:r>
          </w:p>
        </w:tc>
      </w:tr>
      <w:tr w:rsidR="00E71057" w:rsidRPr="00102530" w14:paraId="5578B9D0" w14:textId="77777777" w:rsidTr="00C77BBC">
        <w:trPr>
          <w:gridAfter w:val="2"/>
          <w:wAfter w:w="142" w:type="dxa"/>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233BC5AC"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96</w:t>
            </w:r>
          </w:p>
        </w:tc>
        <w:tc>
          <w:tcPr>
            <w:tcW w:w="1560" w:type="dxa"/>
            <w:tcBorders>
              <w:top w:val="nil"/>
              <w:left w:val="single" w:sz="4" w:space="0" w:color="auto"/>
              <w:bottom w:val="single" w:sz="4" w:space="0" w:color="auto"/>
              <w:right w:val="single" w:sz="4" w:space="0" w:color="auto"/>
            </w:tcBorders>
            <w:shd w:val="clear" w:color="auto" w:fill="C6EFCE"/>
            <w:noWrap/>
            <w:vAlign w:val="center"/>
            <w:hideMark/>
          </w:tcPr>
          <w:p w14:paraId="471B25EF" w14:textId="77777777" w:rsidR="000D1388" w:rsidRPr="00102530"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Infrastructure cyclable (I-3A) </w:t>
            </w:r>
          </w:p>
        </w:tc>
        <w:tc>
          <w:tcPr>
            <w:tcW w:w="708" w:type="dxa"/>
            <w:tcBorders>
              <w:top w:val="nil"/>
              <w:left w:val="nil"/>
              <w:bottom w:val="single" w:sz="4" w:space="0" w:color="auto"/>
              <w:right w:val="single" w:sz="4" w:space="0" w:color="auto"/>
            </w:tcBorders>
            <w:shd w:val="clear" w:color="auto" w:fill="C6EFCE"/>
            <w:noWrap/>
            <w:vAlign w:val="center"/>
            <w:hideMark/>
          </w:tcPr>
          <w:p w14:paraId="778B227B"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38" w:type="dxa"/>
            <w:tcBorders>
              <w:top w:val="nil"/>
              <w:left w:val="nil"/>
              <w:bottom w:val="single" w:sz="4" w:space="0" w:color="auto"/>
              <w:right w:val="single" w:sz="4" w:space="0" w:color="auto"/>
            </w:tcBorders>
            <w:shd w:val="clear" w:color="auto" w:fill="C6EFCE"/>
            <w:noWrap/>
            <w:vAlign w:val="center"/>
            <w:hideMark/>
          </w:tcPr>
          <w:p w14:paraId="2FB6AEAA"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Pistes cyclables nouvellement construites ou rénovées</w:t>
            </w:r>
          </w:p>
        </w:tc>
        <w:tc>
          <w:tcPr>
            <w:tcW w:w="1680" w:type="dxa"/>
            <w:tcBorders>
              <w:top w:val="nil"/>
              <w:left w:val="nil"/>
              <w:bottom w:val="single" w:sz="4" w:space="0" w:color="auto"/>
              <w:right w:val="single" w:sz="4" w:space="0" w:color="auto"/>
            </w:tcBorders>
            <w:shd w:val="clear" w:color="auto" w:fill="C6EFCE"/>
            <w:noWrap/>
            <w:vAlign w:val="center"/>
            <w:hideMark/>
          </w:tcPr>
          <w:p w14:paraId="0E576B7B" w14:textId="77777777" w:rsidR="000D1388" w:rsidRPr="00746A1A" w:rsidRDefault="000D1388">
            <w:pPr>
              <w:spacing w:after="0"/>
              <w:rPr>
                <w:rFonts w:ascii="Times New Roman" w:eastAsia="Calibri" w:hAnsi="Times New Roman" w:cs="Times New Roman"/>
                <w:noProof/>
                <w:color w:val="006100"/>
                <w:sz w:val="20"/>
                <w:szCs w:val="20"/>
                <w:lang w:val="fr-BE" w:eastAsia="en-GB"/>
              </w:rPr>
            </w:pPr>
          </w:p>
        </w:tc>
        <w:tc>
          <w:tcPr>
            <w:tcW w:w="1320" w:type="dxa"/>
            <w:tcBorders>
              <w:top w:val="nil"/>
              <w:left w:val="nil"/>
              <w:bottom w:val="single" w:sz="4" w:space="0" w:color="auto"/>
              <w:right w:val="single" w:sz="4" w:space="0" w:color="auto"/>
            </w:tcBorders>
            <w:shd w:val="clear" w:color="auto" w:fill="C6EFCE"/>
            <w:noWrap/>
            <w:vAlign w:val="center"/>
            <w:hideMark/>
          </w:tcPr>
          <w:p w14:paraId="4AC2F83E"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km</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34BA42F5"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6,3</w:t>
            </w:r>
          </w:p>
        </w:tc>
        <w:tc>
          <w:tcPr>
            <w:tcW w:w="945" w:type="dxa"/>
            <w:tcBorders>
              <w:top w:val="nil"/>
              <w:left w:val="nil"/>
              <w:bottom w:val="single" w:sz="4" w:space="0" w:color="auto"/>
              <w:right w:val="single" w:sz="4" w:space="0" w:color="auto"/>
            </w:tcBorders>
            <w:shd w:val="clear" w:color="auto" w:fill="C6EFCE"/>
            <w:noWrap/>
            <w:vAlign w:val="center"/>
            <w:hideMark/>
          </w:tcPr>
          <w:p w14:paraId="68A78213" w14:textId="77777777" w:rsidR="000D1388" w:rsidRPr="00102530"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432,7</w:t>
            </w:r>
          </w:p>
        </w:tc>
        <w:tc>
          <w:tcPr>
            <w:tcW w:w="1134" w:type="dxa"/>
            <w:tcBorders>
              <w:top w:val="nil"/>
              <w:left w:val="nil"/>
              <w:bottom w:val="single" w:sz="4" w:space="0" w:color="auto"/>
              <w:right w:val="single" w:sz="4" w:space="0" w:color="auto"/>
            </w:tcBorders>
            <w:shd w:val="clear" w:color="auto" w:fill="C6EFCE"/>
            <w:noWrap/>
            <w:vAlign w:val="center"/>
            <w:hideMark/>
          </w:tcPr>
          <w:p w14:paraId="7D360145"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tcBorders>
              <w:top w:val="nil"/>
              <w:left w:val="nil"/>
              <w:bottom w:val="single" w:sz="4" w:space="0" w:color="auto"/>
              <w:right w:val="single" w:sz="4" w:space="0" w:color="auto"/>
            </w:tcBorders>
            <w:shd w:val="clear" w:color="auto" w:fill="C6EFCE"/>
            <w:noWrap/>
            <w:vAlign w:val="center"/>
            <w:hideMark/>
          </w:tcPr>
          <w:p w14:paraId="1BDBA343"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969" w:type="dxa"/>
            <w:gridSpan w:val="3"/>
            <w:tcBorders>
              <w:top w:val="nil"/>
              <w:left w:val="single" w:sz="4" w:space="0" w:color="auto"/>
              <w:bottom w:val="single" w:sz="4" w:space="0" w:color="auto"/>
              <w:right w:val="single" w:sz="4" w:space="0" w:color="auto"/>
            </w:tcBorders>
            <w:shd w:val="clear" w:color="auto" w:fill="C6EFCE"/>
            <w:noWrap/>
            <w:vAlign w:val="center"/>
            <w:hideMark/>
          </w:tcPr>
          <w:p w14:paraId="54130A18" w14:textId="77777777" w:rsidR="000D1388" w:rsidRPr="00102530" w:rsidRDefault="00E71057">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432,7 km supplémentaires de pistes cyclables, nouvellement construites ou rénovées</w:t>
            </w:r>
          </w:p>
          <w:p w14:paraId="797722DE" w14:textId="77777777" w:rsidR="000D1388" w:rsidRPr="00102530" w:rsidRDefault="00E71057">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 xml:space="preserve">Cette cible est ventilée à titre indicatif en sous-cibles suivantes, qui ne doivent pas nécessairement être atteintes individuellement pour autant que les kilomètres de pistes cyclables susmentionnés soient atteints: </w:t>
            </w:r>
          </w:p>
          <w:p w14:paraId="6A818AEB" w14:textId="77777777" w:rsidR="000D1388" w:rsidRPr="00102530"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 Région de Bruxelles-Capitale (en lien avec la sous-mesure I-3.03a): 4,5 km de pistes cyclables rénovées et 11,7 km de pistes cyclables nouvellement construites</w:t>
            </w:r>
          </w:p>
          <w:p w14:paraId="06BB4559" w14:textId="77777777" w:rsidR="000D1388" w:rsidRPr="00102530"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ii) Région flamande (dans le cadre de I-3.01): 365 pistes cyclables rénovées et 40 km de pistes cyclables nouvellement construites</w:t>
            </w:r>
          </w:p>
          <w:p w14:paraId="596010FE" w14:textId="77777777" w:rsidR="000D1388" w:rsidRPr="00102530"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iii) Région wallonne (dans le cadre de I-3.02): 11,5 km de pistes cyclables nouvellement construites</w:t>
            </w:r>
          </w:p>
        </w:tc>
      </w:tr>
      <w:tr w:rsidR="00E71057" w:rsidRPr="00102530" w14:paraId="2CB61213" w14:textId="77777777" w:rsidTr="00C77BBC">
        <w:trPr>
          <w:gridAfter w:val="2"/>
          <w:wAfter w:w="142" w:type="dxa"/>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137D3CBA" w14:textId="77777777" w:rsidR="000D1388" w:rsidRPr="00102530"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96b</w:t>
            </w:r>
          </w:p>
        </w:tc>
        <w:tc>
          <w:tcPr>
            <w:tcW w:w="1560" w:type="dxa"/>
            <w:tcBorders>
              <w:top w:val="nil"/>
              <w:left w:val="single" w:sz="4" w:space="0" w:color="auto"/>
              <w:bottom w:val="single" w:sz="4" w:space="0" w:color="auto"/>
              <w:right w:val="single" w:sz="4" w:space="0" w:color="auto"/>
            </w:tcBorders>
            <w:shd w:val="clear" w:color="auto" w:fill="C6EFCE"/>
            <w:noWrap/>
            <w:vAlign w:val="center"/>
          </w:tcPr>
          <w:p w14:paraId="468F6F15" w14:textId="77777777" w:rsidR="000D1388" w:rsidRPr="00102530" w:rsidRDefault="00E71057">
            <w:pPr>
              <w:spacing w:after="0"/>
              <w:jc w:val="both"/>
              <w:rPr>
                <w:rFonts w:ascii="Times New Roman" w:eastAsia="Calibri" w:hAnsi="Times New Roman" w:cs="Arial"/>
                <w:noProof/>
                <w:color w:val="006100"/>
                <w:sz w:val="20"/>
                <w:szCs w:val="20"/>
              </w:rPr>
            </w:pPr>
            <w:r>
              <w:rPr>
                <w:rFonts w:ascii="Times New Roman" w:hAnsi="Times New Roman"/>
                <w:noProof/>
                <w:color w:val="006100"/>
                <w:sz w:val="20"/>
              </w:rPr>
              <w:t>Infrastructure cyclable – Vélo Plus – État fédéral (I-3.03b)</w:t>
            </w:r>
          </w:p>
        </w:tc>
        <w:tc>
          <w:tcPr>
            <w:tcW w:w="708" w:type="dxa"/>
            <w:tcBorders>
              <w:top w:val="nil"/>
              <w:left w:val="nil"/>
              <w:bottom w:val="single" w:sz="4" w:space="0" w:color="auto"/>
              <w:right w:val="single" w:sz="4" w:space="0" w:color="auto"/>
            </w:tcBorders>
            <w:shd w:val="clear" w:color="auto" w:fill="C6EFCE"/>
            <w:noWrap/>
            <w:vAlign w:val="center"/>
          </w:tcPr>
          <w:p w14:paraId="07A5455C" w14:textId="77777777" w:rsidR="000D1388" w:rsidRPr="00102530"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1638" w:type="dxa"/>
            <w:tcBorders>
              <w:top w:val="nil"/>
              <w:left w:val="nil"/>
              <w:bottom w:val="single" w:sz="4" w:space="0" w:color="auto"/>
              <w:right w:val="single" w:sz="4" w:space="0" w:color="auto"/>
            </w:tcBorders>
            <w:shd w:val="clear" w:color="auto" w:fill="C6EFCE"/>
            <w:noWrap/>
            <w:vAlign w:val="center"/>
          </w:tcPr>
          <w:p w14:paraId="6A628DE5" w14:textId="096B1352" w:rsidR="000D1388" w:rsidRPr="00102530" w:rsidRDefault="73B59D02">
            <w:pPr>
              <w:spacing w:after="0"/>
              <w:rPr>
                <w:rFonts w:ascii="Times New Roman" w:eastAsia="Calibri" w:hAnsi="Times New Roman" w:cs="Arial"/>
                <w:noProof/>
                <w:color w:val="006100"/>
                <w:sz w:val="20"/>
                <w:szCs w:val="20"/>
              </w:rPr>
            </w:pPr>
            <w:r>
              <w:rPr>
                <w:rFonts w:ascii="Times New Roman" w:hAnsi="Times New Roman"/>
                <w:noProof/>
                <w:color w:val="006100"/>
                <w:sz w:val="20"/>
              </w:rPr>
              <w:t>Pistes cyclables nouvellement construites ou rénovées</w:t>
            </w:r>
          </w:p>
        </w:tc>
        <w:tc>
          <w:tcPr>
            <w:tcW w:w="1680" w:type="dxa"/>
            <w:tcBorders>
              <w:top w:val="nil"/>
              <w:left w:val="nil"/>
              <w:bottom w:val="single" w:sz="4" w:space="0" w:color="auto"/>
              <w:right w:val="single" w:sz="4" w:space="0" w:color="auto"/>
            </w:tcBorders>
            <w:shd w:val="clear" w:color="auto" w:fill="C6EFCE"/>
            <w:noWrap/>
            <w:vAlign w:val="center"/>
          </w:tcPr>
          <w:p w14:paraId="61EA823A" w14:textId="77777777" w:rsidR="000D1388" w:rsidRPr="00746A1A" w:rsidRDefault="000D1388">
            <w:pPr>
              <w:spacing w:after="0"/>
              <w:rPr>
                <w:rFonts w:ascii="Times New Roman" w:eastAsia="Calibri" w:hAnsi="Times New Roman" w:cs="Arial"/>
                <w:noProof/>
                <w:color w:val="006100"/>
                <w:sz w:val="20"/>
                <w:szCs w:val="20"/>
                <w:lang w:val="fr-BE"/>
              </w:rPr>
            </w:pPr>
          </w:p>
        </w:tc>
        <w:tc>
          <w:tcPr>
            <w:tcW w:w="1320" w:type="dxa"/>
            <w:tcBorders>
              <w:top w:val="nil"/>
              <w:left w:val="nil"/>
              <w:bottom w:val="single" w:sz="4" w:space="0" w:color="auto"/>
              <w:right w:val="single" w:sz="4" w:space="0" w:color="auto"/>
            </w:tcBorders>
            <w:shd w:val="clear" w:color="auto" w:fill="C6EFCE"/>
            <w:noWrap/>
            <w:vAlign w:val="center"/>
          </w:tcPr>
          <w:p w14:paraId="7C92C475" w14:textId="77777777" w:rsidR="000D1388" w:rsidRPr="00102530"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km</w:t>
            </w:r>
          </w:p>
        </w:tc>
        <w:tc>
          <w:tcPr>
            <w:tcW w:w="1080" w:type="dxa"/>
            <w:tcBorders>
              <w:top w:val="nil"/>
              <w:left w:val="single" w:sz="4" w:space="0" w:color="auto"/>
              <w:bottom w:val="single" w:sz="4" w:space="0" w:color="auto"/>
              <w:right w:val="single" w:sz="4" w:space="0" w:color="auto"/>
            </w:tcBorders>
            <w:shd w:val="clear" w:color="auto" w:fill="C6EFCE"/>
            <w:noWrap/>
            <w:vAlign w:val="center"/>
          </w:tcPr>
          <w:p w14:paraId="2587B118" w14:textId="77777777" w:rsidR="000D1388" w:rsidRPr="00102530"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0</w:t>
            </w:r>
          </w:p>
        </w:tc>
        <w:tc>
          <w:tcPr>
            <w:tcW w:w="945" w:type="dxa"/>
            <w:tcBorders>
              <w:top w:val="nil"/>
              <w:left w:val="nil"/>
              <w:bottom w:val="single" w:sz="4" w:space="0" w:color="auto"/>
              <w:right w:val="single" w:sz="4" w:space="0" w:color="auto"/>
            </w:tcBorders>
            <w:shd w:val="clear" w:color="auto" w:fill="C6EFCE"/>
            <w:noWrap/>
            <w:vAlign w:val="center"/>
          </w:tcPr>
          <w:p w14:paraId="61A1B178" w14:textId="77777777" w:rsidR="000D1388" w:rsidRPr="00102530"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3,1</w:t>
            </w:r>
          </w:p>
        </w:tc>
        <w:tc>
          <w:tcPr>
            <w:tcW w:w="1134" w:type="dxa"/>
            <w:tcBorders>
              <w:top w:val="nil"/>
              <w:left w:val="nil"/>
              <w:bottom w:val="single" w:sz="4" w:space="0" w:color="auto"/>
              <w:right w:val="single" w:sz="4" w:space="0" w:color="auto"/>
            </w:tcBorders>
            <w:shd w:val="clear" w:color="auto" w:fill="C6EFCE"/>
            <w:noWrap/>
            <w:vAlign w:val="center"/>
          </w:tcPr>
          <w:p w14:paraId="13223AF0" w14:textId="77777777" w:rsidR="000D1388" w:rsidRPr="00102530"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992" w:type="dxa"/>
            <w:tcBorders>
              <w:top w:val="nil"/>
              <w:left w:val="nil"/>
              <w:bottom w:val="single" w:sz="4" w:space="0" w:color="auto"/>
              <w:right w:val="single" w:sz="4" w:space="0" w:color="auto"/>
            </w:tcBorders>
            <w:shd w:val="clear" w:color="auto" w:fill="C6EFCE"/>
            <w:noWrap/>
            <w:vAlign w:val="center"/>
          </w:tcPr>
          <w:p w14:paraId="233BC3B5" w14:textId="77777777" w:rsidR="000D1388" w:rsidRPr="00102530"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969" w:type="dxa"/>
            <w:gridSpan w:val="3"/>
            <w:tcBorders>
              <w:top w:val="nil"/>
              <w:left w:val="single" w:sz="4" w:space="0" w:color="auto"/>
              <w:bottom w:val="single" w:sz="4" w:space="0" w:color="auto"/>
              <w:right w:val="single" w:sz="4" w:space="0" w:color="auto"/>
            </w:tcBorders>
            <w:shd w:val="clear" w:color="auto" w:fill="C6EFCE"/>
            <w:noWrap/>
            <w:vAlign w:val="center"/>
          </w:tcPr>
          <w:p w14:paraId="46CFCB46" w14:textId="63364848" w:rsidR="000D1388" w:rsidRPr="00102530" w:rsidRDefault="73B59D02">
            <w:pPr>
              <w:spacing w:after="0"/>
              <w:rPr>
                <w:rFonts w:ascii="Times New Roman" w:eastAsia="Calibri" w:hAnsi="Times New Roman" w:cs="Arial"/>
                <w:noProof/>
                <w:color w:val="006100"/>
                <w:sz w:val="20"/>
                <w:szCs w:val="20"/>
              </w:rPr>
            </w:pPr>
            <w:r>
              <w:rPr>
                <w:rFonts w:ascii="Times New Roman" w:hAnsi="Times New Roman"/>
                <w:noProof/>
                <w:color w:val="006100"/>
                <w:sz w:val="20"/>
              </w:rPr>
              <w:t>3,1 km de pistes cyclables nouvellement construites ou rénovées.</w:t>
            </w:r>
          </w:p>
        </w:tc>
      </w:tr>
      <w:tr w:rsidR="00E71057" w:rsidRPr="00102530" w14:paraId="66C7BB67" w14:textId="77777777" w:rsidTr="00C77BBC">
        <w:trPr>
          <w:gridAfter w:val="2"/>
          <w:wAfter w:w="142" w:type="dxa"/>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5FE02DFB"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50D02C"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 Vélo Plus – BRC (I-3.03a)</w:t>
            </w:r>
          </w:p>
        </w:tc>
        <w:tc>
          <w:tcPr>
            <w:tcW w:w="708" w:type="dxa"/>
            <w:tcBorders>
              <w:top w:val="nil"/>
              <w:left w:val="single" w:sz="4" w:space="0" w:color="auto"/>
              <w:bottom w:val="single" w:sz="4" w:space="0" w:color="auto"/>
              <w:right w:val="single" w:sz="4" w:space="0" w:color="auto"/>
            </w:tcBorders>
            <w:shd w:val="clear" w:color="auto" w:fill="C6EFCE"/>
            <w:noWrap/>
            <w:vAlign w:val="center"/>
            <w:hideMark/>
          </w:tcPr>
          <w:p w14:paraId="554F0798"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38" w:type="dxa"/>
            <w:tcBorders>
              <w:top w:val="nil"/>
              <w:left w:val="nil"/>
              <w:bottom w:val="single" w:sz="4" w:space="0" w:color="auto"/>
              <w:right w:val="single" w:sz="4" w:space="0" w:color="auto"/>
            </w:tcBorders>
            <w:shd w:val="clear" w:color="auto" w:fill="C6EFCE"/>
            <w:noWrap/>
            <w:vAlign w:val="center"/>
            <w:hideMark/>
          </w:tcPr>
          <w:p w14:paraId="53E3235D"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Nouveau parking à vélos public </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4BD09C1F" w14:textId="77777777" w:rsidR="000D1388" w:rsidRPr="00746A1A" w:rsidRDefault="000D1388">
            <w:pPr>
              <w:spacing w:after="0"/>
              <w:rPr>
                <w:rFonts w:ascii="Times New Roman" w:eastAsia="Calibri" w:hAnsi="Times New Roman" w:cs="Times New Roman"/>
                <w:noProof/>
                <w:color w:val="006100"/>
                <w:sz w:val="20"/>
                <w:szCs w:val="20"/>
                <w:lang w:val="fr-BE"/>
              </w:rPr>
            </w:pPr>
          </w:p>
        </w:tc>
        <w:tc>
          <w:tcPr>
            <w:tcW w:w="1320" w:type="dxa"/>
            <w:tcBorders>
              <w:top w:val="nil"/>
              <w:left w:val="nil"/>
              <w:bottom w:val="single" w:sz="4" w:space="0" w:color="auto"/>
              <w:right w:val="single" w:sz="4" w:space="0" w:color="auto"/>
            </w:tcBorders>
            <w:shd w:val="clear" w:color="auto" w:fill="C6EFCE"/>
            <w:noWrap/>
            <w:vAlign w:val="center"/>
            <w:hideMark/>
          </w:tcPr>
          <w:p w14:paraId="1D023C56"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Places de parking pour vélos</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79D1785E"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45" w:type="dxa"/>
            <w:tcBorders>
              <w:top w:val="nil"/>
              <w:left w:val="nil"/>
              <w:bottom w:val="single" w:sz="4" w:space="0" w:color="auto"/>
              <w:right w:val="single" w:sz="4" w:space="0" w:color="auto"/>
            </w:tcBorders>
            <w:shd w:val="clear" w:color="auto" w:fill="C6EFCE"/>
            <w:noWrap/>
            <w:vAlign w:val="center"/>
            <w:hideMark/>
          </w:tcPr>
          <w:p w14:paraId="7403B923"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7 000</w:t>
            </w:r>
          </w:p>
        </w:tc>
        <w:tc>
          <w:tcPr>
            <w:tcW w:w="1134" w:type="dxa"/>
            <w:tcBorders>
              <w:top w:val="nil"/>
              <w:left w:val="nil"/>
              <w:bottom w:val="single" w:sz="4" w:space="0" w:color="auto"/>
              <w:right w:val="single" w:sz="4" w:space="0" w:color="auto"/>
            </w:tcBorders>
            <w:shd w:val="clear" w:color="auto" w:fill="C6EFCE"/>
            <w:noWrap/>
            <w:vAlign w:val="center"/>
            <w:hideMark/>
          </w:tcPr>
          <w:p w14:paraId="4DE271D2"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tcBorders>
              <w:top w:val="nil"/>
              <w:left w:val="nil"/>
              <w:bottom w:val="single" w:sz="4" w:space="0" w:color="auto"/>
              <w:right w:val="single" w:sz="4" w:space="0" w:color="auto"/>
            </w:tcBorders>
            <w:shd w:val="clear" w:color="auto" w:fill="C6EFCE"/>
            <w:noWrap/>
            <w:vAlign w:val="center"/>
            <w:hideMark/>
          </w:tcPr>
          <w:p w14:paraId="033553BE"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969" w:type="dxa"/>
            <w:gridSpan w:val="3"/>
            <w:tcBorders>
              <w:top w:val="nil"/>
              <w:left w:val="single" w:sz="4" w:space="0" w:color="auto"/>
              <w:bottom w:val="single" w:sz="4" w:space="0" w:color="auto"/>
              <w:right w:val="single" w:sz="4" w:space="0" w:color="auto"/>
            </w:tcBorders>
            <w:shd w:val="clear" w:color="auto" w:fill="C6EFCE"/>
            <w:noWrap/>
            <w:vAlign w:val="center"/>
            <w:hideMark/>
          </w:tcPr>
          <w:p w14:paraId="2FDA5A52"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7 000 nouvelles places de parking pour vélos publiques</w:t>
            </w:r>
          </w:p>
        </w:tc>
      </w:tr>
      <w:tr w:rsidR="005B6317" w:rsidRPr="00102530" w14:paraId="58AA6DCE" w14:textId="77777777" w:rsidTr="00C77BBC">
        <w:trPr>
          <w:gridAfter w:val="2"/>
          <w:wAfter w:w="142" w:type="dxa"/>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69F2CE" w14:textId="2E32B0BF" w:rsidR="005B6317" w:rsidRPr="00102530" w:rsidRDefault="00067D65">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98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94982F" w14:textId="15BED675" w:rsidR="005B6317" w:rsidRPr="001458B1" w:rsidRDefault="00067D65" w:rsidP="001B078F">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Infrastructures cyclables et piétonnes – Schuman (I-3.04) </w:t>
            </w:r>
          </w:p>
        </w:tc>
        <w:tc>
          <w:tcPr>
            <w:tcW w:w="708" w:type="dxa"/>
            <w:tcBorders>
              <w:top w:val="single" w:sz="4" w:space="0" w:color="auto"/>
              <w:left w:val="nil"/>
              <w:bottom w:val="single" w:sz="4" w:space="0" w:color="auto"/>
              <w:right w:val="single" w:sz="4" w:space="0" w:color="auto"/>
            </w:tcBorders>
            <w:shd w:val="clear" w:color="auto" w:fill="C6EFCE"/>
            <w:noWrap/>
            <w:vAlign w:val="center"/>
          </w:tcPr>
          <w:p w14:paraId="429F2AA0" w14:textId="0AB4ADBE" w:rsidR="005B6317" w:rsidRPr="00102530" w:rsidRDefault="00067D65">
            <w:pPr>
              <w:spacing w:after="0"/>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1638" w:type="dxa"/>
            <w:tcBorders>
              <w:top w:val="single" w:sz="4" w:space="0" w:color="auto"/>
              <w:left w:val="nil"/>
              <w:bottom w:val="single" w:sz="4" w:space="0" w:color="auto"/>
              <w:right w:val="single" w:sz="4" w:space="0" w:color="auto"/>
            </w:tcBorders>
            <w:shd w:val="clear" w:color="auto" w:fill="C6EFCE"/>
            <w:noWrap/>
            <w:vAlign w:val="center"/>
          </w:tcPr>
          <w:p w14:paraId="6F331703" w14:textId="590EA0B3" w:rsidR="005B6317" w:rsidRPr="00102530" w:rsidRDefault="00067D65">
            <w:pPr>
              <w:spacing w:after="0"/>
              <w:rPr>
                <w:rFonts w:ascii="Times New Roman" w:eastAsia="Calibri" w:hAnsi="Times New Roman" w:cs="Arial"/>
                <w:noProof/>
                <w:color w:val="006100"/>
                <w:sz w:val="20"/>
                <w:szCs w:val="20"/>
              </w:rPr>
            </w:pPr>
            <w:r>
              <w:rPr>
                <w:rFonts w:ascii="Times New Roman" w:hAnsi="Times New Roman"/>
                <w:noProof/>
                <w:color w:val="006100"/>
                <w:sz w:val="20"/>
              </w:rPr>
              <w:t>Espaces publics modernisés pour les piétons, les cyclistes et les transports publics à Schuman</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1606B498" w14:textId="77777777" w:rsidR="005B6317" w:rsidRPr="00746A1A" w:rsidRDefault="005B6317">
            <w:pPr>
              <w:spacing w:after="0"/>
              <w:rPr>
                <w:rFonts w:ascii="Times New Roman" w:eastAsia="Calibri" w:hAnsi="Times New Roman" w:cs="Times New Roman"/>
                <w:noProof/>
                <w:color w:val="006100"/>
                <w:sz w:val="20"/>
                <w:szCs w:val="20"/>
                <w:lang w:val="fr-BE"/>
              </w:rPr>
            </w:pPr>
          </w:p>
        </w:tc>
        <w:tc>
          <w:tcPr>
            <w:tcW w:w="1320" w:type="dxa"/>
            <w:tcBorders>
              <w:top w:val="single" w:sz="4" w:space="0" w:color="auto"/>
              <w:left w:val="nil"/>
              <w:bottom w:val="single" w:sz="4" w:space="0" w:color="auto"/>
              <w:right w:val="single" w:sz="4" w:space="0" w:color="auto"/>
            </w:tcBorders>
            <w:shd w:val="clear" w:color="auto" w:fill="C6EFCE"/>
            <w:noWrap/>
            <w:vAlign w:val="center"/>
          </w:tcPr>
          <w:p w14:paraId="1A4AF148" w14:textId="5DC3594A" w:rsidR="005B6317" w:rsidRPr="00102530" w:rsidRDefault="00067D65">
            <w:pPr>
              <w:spacing w:after="0"/>
              <w:rPr>
                <w:rFonts w:ascii="Times New Roman" w:eastAsia="Calibri" w:hAnsi="Times New Roman" w:cs="Arial"/>
                <w:noProof/>
                <w:color w:val="006100"/>
                <w:sz w:val="20"/>
                <w:szCs w:val="20"/>
              </w:rPr>
            </w:pPr>
            <w:r>
              <w:rPr>
                <w:rFonts w:ascii="Times New Roman" w:hAnsi="Times New Roman"/>
                <w:noProof/>
                <w:color w:val="006100"/>
                <w:sz w:val="20"/>
              </w:rPr>
              <w:t>m²</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70443" w14:textId="40914B5C" w:rsidR="005B6317" w:rsidRPr="00102530" w:rsidRDefault="00067D65">
            <w:pPr>
              <w:spacing w:after="0"/>
              <w:rPr>
                <w:rFonts w:ascii="Times New Roman" w:eastAsia="Calibri" w:hAnsi="Times New Roman" w:cs="Arial"/>
                <w:noProof/>
                <w:color w:val="006100"/>
                <w:sz w:val="20"/>
                <w:szCs w:val="20"/>
              </w:rPr>
            </w:pPr>
            <w:r>
              <w:rPr>
                <w:rFonts w:ascii="Times New Roman" w:hAnsi="Times New Roman"/>
                <w:noProof/>
                <w:color w:val="006100"/>
                <w:sz w:val="20"/>
              </w:rPr>
              <w:t>0</w:t>
            </w:r>
          </w:p>
        </w:tc>
        <w:tc>
          <w:tcPr>
            <w:tcW w:w="945" w:type="dxa"/>
            <w:tcBorders>
              <w:top w:val="single" w:sz="4" w:space="0" w:color="auto"/>
              <w:left w:val="nil"/>
              <w:bottom w:val="single" w:sz="4" w:space="0" w:color="auto"/>
              <w:right w:val="single" w:sz="4" w:space="0" w:color="auto"/>
            </w:tcBorders>
            <w:shd w:val="clear" w:color="auto" w:fill="C6EFCE"/>
            <w:noWrap/>
            <w:vAlign w:val="center"/>
          </w:tcPr>
          <w:p w14:paraId="360B6584" w14:textId="36C76052" w:rsidR="005B6317" w:rsidRPr="00102530" w:rsidRDefault="00067D65">
            <w:pPr>
              <w:spacing w:after="0"/>
              <w:rPr>
                <w:rFonts w:ascii="Times New Roman" w:eastAsia="Calibri" w:hAnsi="Times New Roman" w:cs="Arial"/>
                <w:noProof/>
                <w:color w:val="006100"/>
                <w:sz w:val="20"/>
                <w:szCs w:val="20"/>
              </w:rPr>
            </w:pPr>
            <w:r>
              <w:rPr>
                <w:rFonts w:ascii="Times New Roman" w:hAnsi="Times New Roman"/>
                <w:noProof/>
                <w:color w:val="006100"/>
                <w:sz w:val="20"/>
              </w:rPr>
              <w:t>18 000</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6E42575C" w14:textId="288AB45B" w:rsidR="005B6317" w:rsidRPr="00102530" w:rsidRDefault="00067D65">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021E5F88" w14:textId="68DDF0EA" w:rsidR="005B6317" w:rsidRPr="00102530" w:rsidRDefault="00067D65">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969"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6243A8AA" w14:textId="3030D6FE" w:rsidR="005B6317" w:rsidRPr="00102530" w:rsidRDefault="00067D65">
            <w:pPr>
              <w:spacing w:after="0"/>
              <w:rPr>
                <w:rFonts w:ascii="Times New Roman" w:eastAsia="Calibri" w:hAnsi="Times New Roman" w:cs="Arial"/>
                <w:noProof/>
                <w:color w:val="006100"/>
                <w:sz w:val="20"/>
                <w:szCs w:val="20"/>
              </w:rPr>
            </w:pPr>
            <w:r>
              <w:rPr>
                <w:rFonts w:ascii="Times New Roman" w:hAnsi="Times New Roman"/>
                <w:noProof/>
                <w:color w:val="006100"/>
                <w:sz w:val="20"/>
              </w:rPr>
              <w:t>18 000 m² d’espaces publics modernisés pour les piétons, les cyclistes et les transports publics à Schuman</w:t>
            </w:r>
          </w:p>
        </w:tc>
      </w:tr>
    </w:tbl>
    <w:p w14:paraId="58BFD7D9" w14:textId="77777777" w:rsidR="000D1388" w:rsidRPr="00746A1A" w:rsidRDefault="000D1388" w:rsidP="00E71057">
      <w:pPr>
        <w:ind w:left="709"/>
        <w:rPr>
          <w:rFonts w:ascii="Times New Roman" w:eastAsia="Calibri" w:hAnsi="Times New Roman" w:cs="Times New Roman"/>
          <w:noProof/>
          <w:lang w:val="fr-BE"/>
        </w:rPr>
        <w:sectPr w:rsidR="000D1388" w:rsidRPr="00746A1A" w:rsidSect="00E71057">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360"/>
        </w:sectPr>
      </w:pPr>
    </w:p>
    <w:p w14:paraId="0481872E"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H. COMPOSANTE 3.2: Transfert modal</w:t>
      </w:r>
    </w:p>
    <w:p w14:paraId="782BA60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le cadre de cette composante du plan pour la reprise et la résilience de la Belgique visent à soutenir le transfert modal en investissant dans le rail, les transports publics locaux, la mobilité intelligente et les voies navigables.</w:t>
      </w:r>
    </w:p>
    <w:p w14:paraId="3D8D7532"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Cette composante contribue à répondre à la recommandation par pays nº 3 de 2019 appelant la Belgique à «axer la politique économique liée aux investissements sur les transports durables, y compris l’amélioration de l’infrastructure ferroviaire, sur la transition énergétique et vers une économie à faible intensité de carbone, ainsi que sur la recherche et l’innovation, en particulier dans le domaine de la numérisation, en tenant compte des disparités régionales; à s’attaquer aux problèmes croissants de mobilité en renforçant les mesures d’incitation et en supprimant les entraves à l’augmentation de l’offre et de la demande de transports collectifs et à faibles émissions», et la recommandation par pays nº 3 de 2020, appelant la Belgique à «axer les investissements sur la transition écologique et numérique, en particulier sur les infrastructures de transport durable».</w:t>
      </w:r>
    </w:p>
    <w:p w14:paraId="76D5D567"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0468D33F" w14:textId="77777777" w:rsidR="000D1388" w:rsidRPr="009D65D8" w:rsidRDefault="00E71057" w:rsidP="00E71057">
      <w:pPr>
        <w:spacing w:before="120" w:after="120"/>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H.1.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447CD10F"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R-3.01: «Performance Infrabel/SNCB» de l’État fédéral</w:t>
      </w:r>
    </w:p>
    <w:p w14:paraId="036CF6A2"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Cette réforme consiste à adopter les nouveaux contrats de performance de la SNCB et d’Infrabel et le plan d’investissement pluriannuel, qui devraient au moins garantir ce qui suit: </w:t>
      </w:r>
    </w:p>
    <w:p w14:paraId="063E5196" w14:textId="77777777" w:rsidR="000D1388" w:rsidRPr="009D65D8" w:rsidRDefault="00E71057" w:rsidP="00F70F65">
      <w:pPr>
        <w:numPr>
          <w:ilvl w:val="0"/>
          <w:numId w:val="39"/>
        </w:numPr>
        <w:tabs>
          <w:tab w:val="left" w:pos="426"/>
        </w:tabs>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rPr>
        <w:t>l’exécution en temps utile des investissements du «Réseau suburbain bruxellois – Geweestelijk ExpressNet» (RER-GEN) jusqu’en 2031 conformément à la loi portant assentiment à l’accord de coopération interrégional</w:t>
      </w:r>
      <w:r w:rsidRPr="009D65D8">
        <w:rPr>
          <w:rFonts w:ascii="Times New Roman" w:eastAsia="Calibri" w:hAnsi="Times New Roman" w:cs="Times New Roman"/>
          <w:noProof/>
          <w:sz w:val="24"/>
          <w:szCs w:val="24"/>
          <w:vertAlign w:val="superscript"/>
          <w:lang w:val="en-GB"/>
        </w:rPr>
        <w:footnoteReference w:id="2"/>
      </w:r>
      <w:r>
        <w:rPr>
          <w:rFonts w:ascii="Times New Roman" w:hAnsi="Times New Roman"/>
          <w:noProof/>
          <w:sz w:val="24"/>
        </w:rPr>
        <w:t xml:space="preserve"> relatif au financement des infrastructures ferroviaires stratégiques</w:t>
      </w:r>
      <w:r w:rsidRPr="009D65D8">
        <w:rPr>
          <w:rFonts w:ascii="Times New Roman" w:eastAsia="Calibri" w:hAnsi="Times New Roman" w:cs="Times New Roman"/>
          <w:noProof/>
          <w:sz w:val="24"/>
          <w:szCs w:val="24"/>
          <w:vertAlign w:val="superscript"/>
          <w:lang w:val="en-GB"/>
        </w:rPr>
        <w:footnoteReference w:id="3"/>
      </w:r>
      <w:r>
        <w:rPr>
          <w:rFonts w:ascii="Times New Roman" w:hAnsi="Times New Roman"/>
          <w:noProof/>
          <w:sz w:val="24"/>
        </w:rPr>
        <w:t>;</w:t>
      </w:r>
    </w:p>
    <w:p w14:paraId="1FCCABD4" w14:textId="77777777" w:rsidR="000D1388" w:rsidRPr="009D65D8" w:rsidRDefault="00E71057" w:rsidP="00F70F65">
      <w:pPr>
        <w:numPr>
          <w:ilvl w:val="0"/>
          <w:numId w:val="39"/>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l’intégration d’incitations appropriées pour l’efficacité et la qualité du service dans le contrat;</w:t>
      </w:r>
    </w:p>
    <w:p w14:paraId="09E8B0AC" w14:textId="7ECE6477" w:rsidR="000D1388" w:rsidRPr="009577C3" w:rsidRDefault="00E71057" w:rsidP="00F70F65">
      <w:pPr>
        <w:numPr>
          <w:ilvl w:val="0"/>
          <w:numId w:val="39"/>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l’inclusion des investissements I-3.09 «Rail – gares accessibles et multimodales – FED», I-3.10 «Rail – un réseau efficace – FED» et «</w:t>
      </w:r>
      <w:r>
        <w:rPr>
          <w:rFonts w:ascii="Times New Roman" w:hAnsi="Times New Roman"/>
          <w:noProof/>
          <w:color w:val="000000" w:themeColor="text1"/>
          <w:sz w:val="24"/>
        </w:rPr>
        <w:t xml:space="preserve">Rail – systèmes informatiques </w:t>
      </w:r>
      <w:r>
        <w:rPr>
          <w:rFonts w:ascii="Times New Roman" w:hAnsi="Times New Roman"/>
          <w:noProof/>
          <w:sz w:val="24"/>
        </w:rPr>
        <w:t>– FED» dans cette composante du PRR.</w:t>
      </w:r>
    </w:p>
    <w:p w14:paraId="3ECE62FE"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Le contrat devrait être conclu au plus tard le 30 juin 2023.</w:t>
      </w:r>
    </w:p>
    <w:p w14:paraId="0EB88012"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R-3.02: «Budget mobilité» de l’État fédéral</w:t>
      </w:r>
    </w:p>
    <w:p w14:paraId="5715E531"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Cette réforme vise à renforcer les incitations destinées à accroître la demande de modes de transport entre le domicile et le lieu de travail qui constituent une solution de substitution durable aux voitures de société (par ex., transports en commun et vélo), le système actuel de «budget mobilité» restant très peu utilisé. L’objectif est d’encourager un transfert modal des voitures vers d’autres modes de transport. La réforme vise à faire adopter la législation définissant un budget mobilité révisé. Le chapitre de la loi portant révision du budget mobilité entrera en vigueur le 1</w:t>
      </w:r>
      <w:r>
        <w:rPr>
          <w:rFonts w:ascii="Times New Roman" w:hAnsi="Times New Roman"/>
          <w:noProof/>
          <w:sz w:val="24"/>
          <w:vertAlign w:val="superscript"/>
        </w:rPr>
        <w:t>er</w:t>
      </w:r>
      <w:r>
        <w:rPr>
          <w:rFonts w:ascii="Times New Roman" w:hAnsi="Times New Roman"/>
          <w:noProof/>
          <w:sz w:val="24"/>
        </w:rPr>
        <w:t> septembre 2021.</w:t>
      </w:r>
    </w:p>
    <w:p w14:paraId="7E065A8B"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I-3B: «Améliorer le transport public en Wallonie»</w:t>
      </w:r>
    </w:p>
    <w:p w14:paraId="54CC8D37"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L’objectif de l’investissement est d’améliorer le transport public en Wallonie. Cette mesure est constituée des deux sous-mesures suivantes:</w:t>
      </w:r>
    </w:p>
    <w:p w14:paraId="46526799" w14:textId="77777777" w:rsidR="000D1388" w:rsidRPr="009D65D8" w:rsidRDefault="00E71057" w:rsidP="00F70F65">
      <w:pPr>
        <w:numPr>
          <w:ilvl w:val="0"/>
          <w:numId w:val="40"/>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I-3.07: «Extension du métro» de la Région wallonne,</w:t>
      </w:r>
    </w:p>
    <w:p w14:paraId="625D32A5" w14:textId="77777777" w:rsidR="000D1388" w:rsidRPr="009D65D8" w:rsidRDefault="00E71057" w:rsidP="00F70F65">
      <w:pPr>
        <w:numPr>
          <w:ilvl w:val="0"/>
          <w:numId w:val="40"/>
        </w:numPr>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Investissement I-3.08: «Feux de circulation intelligents» de la Région wallonne</w:t>
      </w:r>
    </w:p>
    <w:p w14:paraId="2C6CCA85" w14:textId="77777777" w:rsidR="000D1388" w:rsidRPr="00746A1A" w:rsidRDefault="000D1388" w:rsidP="00E71057">
      <w:pPr>
        <w:spacing w:before="120" w:after="120" w:line="240" w:lineRule="auto"/>
        <w:contextualSpacing/>
        <w:jc w:val="both"/>
        <w:rPr>
          <w:rFonts w:ascii="Times New Roman" w:eastAsia="Calibri" w:hAnsi="Times New Roman" w:cs="Times New Roman"/>
          <w:noProof/>
          <w:sz w:val="24"/>
          <w:szCs w:val="24"/>
          <w:lang w:val="fr-BE"/>
        </w:rPr>
      </w:pPr>
    </w:p>
    <w:p w14:paraId="5AD58B43" w14:textId="4EF12B75" w:rsidR="00AC3BFF" w:rsidRDefault="00AC3BFF" w:rsidP="00AC3BFF">
      <w:pPr>
        <w:spacing w:before="120" w:after="120" w:line="240" w:lineRule="auto"/>
        <w:contextualSpacing/>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Investissement I-3C: «Travaux d’infrastructure ferroviaire et travaux d’accessibilité des gares»</w:t>
      </w:r>
    </w:p>
    <w:p w14:paraId="3A4C8852" w14:textId="77777777" w:rsidR="000D1388" w:rsidRPr="009D65D8" w:rsidRDefault="00E71057" w:rsidP="00E71057">
      <w:p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L’objectif de l’investissement est de rénover les chemins de fer et d’améliorer l’accessibilité des gares. Cette mesure est constituée des deux sous-mesures suivantes:</w:t>
      </w:r>
    </w:p>
    <w:p w14:paraId="251672FB" w14:textId="77777777" w:rsidR="000D1388" w:rsidRPr="009D65D8" w:rsidRDefault="00E71057" w:rsidP="00F70F65">
      <w:pPr>
        <w:numPr>
          <w:ilvl w:val="0"/>
          <w:numId w:val="41"/>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I-3.09: «Rail – gares accessibles et multimodales» de l’État fédéral,</w:t>
      </w:r>
    </w:p>
    <w:p w14:paraId="6945BBB5" w14:textId="77777777" w:rsidR="000D1388" w:rsidRPr="009D65D8" w:rsidRDefault="00E71057" w:rsidP="00F70F65">
      <w:pPr>
        <w:numPr>
          <w:ilvl w:val="0"/>
          <w:numId w:val="41"/>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I-3.10: «Rail – un réseau efficace» de l’État fédéral.</w:t>
      </w:r>
    </w:p>
    <w:p w14:paraId="333EF542" w14:textId="77777777" w:rsidR="000D1388" w:rsidRPr="00746A1A" w:rsidRDefault="000D1388" w:rsidP="00E71057">
      <w:pPr>
        <w:spacing w:before="120" w:after="120" w:line="240" w:lineRule="auto"/>
        <w:contextualSpacing/>
        <w:jc w:val="both"/>
        <w:rPr>
          <w:rFonts w:ascii="Times New Roman" w:eastAsia="Calibri" w:hAnsi="Times New Roman" w:cs="Times New Roman"/>
          <w:noProof/>
          <w:sz w:val="24"/>
          <w:szCs w:val="24"/>
          <w:lang w:val="fr-BE"/>
        </w:rPr>
      </w:pPr>
    </w:p>
    <w:p w14:paraId="1153AB0A" w14:textId="77777777" w:rsidR="000D1388" w:rsidRPr="009D65D8" w:rsidRDefault="00E71057" w:rsidP="00E71057">
      <w:pPr>
        <w:spacing w:before="120" w:after="120" w:line="240" w:lineRule="auto"/>
        <w:contextualSpacing/>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I-3D: «Stockage, analyse et visualisation des données relatives à la mobilité sur une plateforme numérique»</w:t>
      </w:r>
    </w:p>
    <w:p w14:paraId="51D54BBD" w14:textId="77777777" w:rsidR="000D1388" w:rsidRPr="009D65D8" w:rsidRDefault="00E71057" w:rsidP="00E71057">
      <w:pPr>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Cet investissement a pour objectif d’accroître l’utilisation des outils numériques dans le domaine de la mobilité. Cette mesure se compose des quatre sous-mesures suivantes:</w:t>
      </w:r>
    </w:p>
    <w:p w14:paraId="7EC778D5" w14:textId="77777777" w:rsidR="000D1388" w:rsidRPr="009D65D8" w:rsidRDefault="00E71057" w:rsidP="00F70F65">
      <w:pPr>
        <w:numPr>
          <w:ilvl w:val="0"/>
          <w:numId w:val="42"/>
        </w:numPr>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Investissement I-3.13: «Cas d’utilisation des données de mobilité» de la Région de Bruxelles-Capitale</w:t>
      </w:r>
    </w:p>
    <w:p w14:paraId="45738827" w14:textId="77777777" w:rsidR="000D1388" w:rsidRPr="00746A1A" w:rsidRDefault="000D1388" w:rsidP="00E71057">
      <w:pPr>
        <w:spacing w:before="120" w:after="120" w:line="240" w:lineRule="auto"/>
        <w:contextualSpacing/>
        <w:jc w:val="both"/>
        <w:rPr>
          <w:rFonts w:ascii="Times New Roman" w:eastAsia="Calibri" w:hAnsi="Times New Roman" w:cs="Times New Roman"/>
          <w:noProof/>
          <w:sz w:val="24"/>
          <w:lang w:val="fr-BE"/>
        </w:rPr>
      </w:pPr>
    </w:p>
    <w:p w14:paraId="6DC3B157" w14:textId="59580C06" w:rsidR="003735BB" w:rsidRDefault="003735BB" w:rsidP="003735BB">
      <w:pPr>
        <w:spacing w:before="120" w:after="120" w:line="240" w:lineRule="auto"/>
        <w:contextualSpacing/>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Investissement I-3E: «Systèmes informatiques ferroviaires»</w:t>
      </w:r>
    </w:p>
    <w:p w14:paraId="019E1932" w14:textId="21D222B1" w:rsidR="000D1388" w:rsidRPr="009D65D8" w:rsidRDefault="00E71057" w:rsidP="00E71057">
      <w:p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 xml:space="preserve">L’objectif de l’investissement est d’opérationnaliser </w:t>
      </w:r>
      <w:r>
        <w:rPr>
          <w:rFonts w:ascii="Times New Roman" w:hAnsi="Times New Roman"/>
          <w:noProof/>
          <w:color w:val="000000" w:themeColor="text1"/>
          <w:sz w:val="24"/>
        </w:rPr>
        <w:t>les systèmes informatiques</w:t>
      </w:r>
      <w:r>
        <w:rPr>
          <w:rFonts w:ascii="Times New Roman" w:hAnsi="Times New Roman"/>
          <w:noProof/>
          <w:sz w:val="24"/>
        </w:rPr>
        <w:t xml:space="preserve"> améliorant la gestion du trafic et la billetterie. Cette mesure est constituée des deux sous-mesures suivantes:</w:t>
      </w:r>
    </w:p>
    <w:p w14:paraId="29395208" w14:textId="77777777" w:rsidR="000D1388" w:rsidRPr="009D65D8" w:rsidRDefault="00E71057" w:rsidP="00F70F65">
      <w:pPr>
        <w:numPr>
          <w:ilvl w:val="0"/>
          <w:numId w:val="43"/>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I-3.10: «Rail – un réseau efficace» de l’État fédéral</w:t>
      </w:r>
    </w:p>
    <w:p w14:paraId="170CBF99" w14:textId="59B20E11" w:rsidR="000D1388" w:rsidRPr="009D65D8" w:rsidRDefault="00E71057" w:rsidP="00F70F65">
      <w:pPr>
        <w:numPr>
          <w:ilvl w:val="0"/>
          <w:numId w:val="43"/>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 xml:space="preserve">Investissement I-3.12: </w:t>
      </w:r>
      <w:r>
        <w:rPr>
          <w:rFonts w:ascii="Times New Roman" w:hAnsi="Times New Roman"/>
          <w:noProof/>
          <w:color w:val="000000" w:themeColor="text1"/>
          <w:sz w:val="24"/>
        </w:rPr>
        <w:t>«Rail – systèmes informatiques» de l’État fédéral</w:t>
      </w:r>
    </w:p>
    <w:p w14:paraId="5F1F0285" w14:textId="77777777" w:rsidR="000D1388" w:rsidRPr="00746A1A" w:rsidRDefault="000D1388" w:rsidP="00E71057">
      <w:pPr>
        <w:spacing w:before="120" w:after="120" w:line="240" w:lineRule="auto"/>
        <w:ind w:left="720"/>
        <w:contextualSpacing/>
        <w:jc w:val="both"/>
        <w:rPr>
          <w:rFonts w:ascii="Times New Roman" w:eastAsia="Calibri" w:hAnsi="Times New Roman" w:cs="Times New Roman"/>
          <w:noProof/>
          <w:sz w:val="24"/>
          <w:lang w:val="fr-BE"/>
        </w:rPr>
      </w:pPr>
    </w:p>
    <w:p w14:paraId="43B097C6" w14:textId="77777777" w:rsidR="000D1388" w:rsidRPr="009D65D8" w:rsidRDefault="00E71057" w:rsidP="00E71057">
      <w:pPr>
        <w:spacing w:before="120" w:after="120" w:line="240" w:lineRule="auto"/>
        <w:contextualSpacing/>
        <w:jc w:val="both"/>
        <w:rPr>
          <w:rFonts w:ascii="Times New Roman" w:eastAsia="Calibri" w:hAnsi="Times New Roman" w:cs="Times New Roman"/>
          <w:noProof/>
          <w:sz w:val="24"/>
          <w:u w:val="single"/>
        </w:rPr>
      </w:pPr>
      <w:r>
        <w:rPr>
          <w:rFonts w:ascii="Times New Roman" w:hAnsi="Times New Roman"/>
          <w:noProof/>
          <w:sz w:val="24"/>
          <w:u w:val="single"/>
        </w:rPr>
        <w:t>Investissement I-3H: «Outils de mobilité intelligente» de la Région de Bruxelles-Capitale</w:t>
      </w:r>
    </w:p>
    <w:p w14:paraId="68BB54DA" w14:textId="77777777" w:rsidR="000D1388" w:rsidRPr="009D65D8" w:rsidRDefault="00E71057" w:rsidP="00E71057">
      <w:p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Cet investissement vise à faciliter la transition vers des modes de transport plus écologiques. Cette mesure est constituée des deux sous-mesures suivantes:</w:t>
      </w:r>
    </w:p>
    <w:p w14:paraId="75B32BCC" w14:textId="77777777" w:rsidR="000D1388" w:rsidRPr="009D65D8" w:rsidRDefault="00E71057" w:rsidP="00F70F65">
      <w:pPr>
        <w:numPr>
          <w:ilvl w:val="0"/>
          <w:numId w:val="44"/>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I-3.15a: application FLOYA</w:t>
      </w:r>
    </w:p>
    <w:p w14:paraId="75A433EE" w14:textId="77777777" w:rsidR="000D1388" w:rsidRPr="009D65D8" w:rsidRDefault="00E71057" w:rsidP="00F70F65">
      <w:pPr>
        <w:numPr>
          <w:ilvl w:val="0"/>
          <w:numId w:val="44"/>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I-3.15b: extension du réseau de caméras ANPR de la Région de Bruxelles-Capitale</w:t>
      </w:r>
    </w:p>
    <w:p w14:paraId="3769375C" w14:textId="77777777" w:rsidR="000D1388" w:rsidRPr="00746A1A" w:rsidRDefault="000D1388" w:rsidP="00E71057">
      <w:pPr>
        <w:spacing w:before="120" w:after="120" w:line="240" w:lineRule="auto"/>
        <w:contextualSpacing/>
        <w:jc w:val="both"/>
        <w:rPr>
          <w:rFonts w:ascii="Times New Roman" w:eastAsia="Calibri" w:hAnsi="Times New Roman" w:cs="Times New Roman"/>
          <w:noProof/>
          <w:sz w:val="24"/>
          <w:szCs w:val="24"/>
          <w:lang w:val="fr-BE"/>
        </w:rPr>
      </w:pPr>
    </w:p>
    <w:p w14:paraId="5A7D8EAD" w14:textId="77777777" w:rsidR="000D1388" w:rsidRPr="00DD67A6"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I-3.07: «Extension du métro» de la Région wallonne</w:t>
      </w:r>
    </w:p>
    <w:p w14:paraId="1DD75CEA" w14:textId="1ED291BF" w:rsidR="000D1388" w:rsidRPr="00DD67A6"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a pour objectif d’accroître la couverture des transports publics en Wallonie. Il consiste à poser ou a réhabiliter des voies sur la ligne de métro Charleroi.</w:t>
      </w:r>
    </w:p>
    <w:p w14:paraId="6A143D38" w14:textId="77777777" w:rsidR="000D1388" w:rsidRPr="00DD67A6"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I-3.08: «Feux de circulation intelligents» de la Région wallonne</w:t>
      </w:r>
    </w:p>
    <w:p w14:paraId="257D80BC" w14:textId="77777777" w:rsidR="000D1388" w:rsidRPr="00DD67A6" w:rsidRDefault="00E71057" w:rsidP="00E71057">
      <w:pPr>
        <w:spacing w:before="120" w:after="120"/>
        <w:jc w:val="both"/>
        <w:rPr>
          <w:rFonts w:ascii="Times New Roman" w:eastAsia="Calibri" w:hAnsi="Times New Roman" w:cs="Times New Roman"/>
          <w:noProof/>
          <w:sz w:val="24"/>
          <w:szCs w:val="24"/>
        </w:rPr>
      </w:pPr>
      <w:r>
        <w:rPr>
          <w:rFonts w:ascii="Times New Roman" w:hAnsi="Times New Roman"/>
          <w:noProof/>
          <w:sz w:val="24"/>
        </w:rPr>
        <w:t>Cet investissement a pour objectif d’accroître l’efficacité des transports publics en Wallonie. Il consiste à installer des feux de circulation intelligents en Wallonie.</w:t>
      </w:r>
    </w:p>
    <w:p w14:paraId="5AC07BA5"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I-3.09: «Rail – gares accessibles et multimodales» de l’État fédéral,</w:t>
      </w:r>
    </w:p>
    <w:p w14:paraId="3410DAEE" w14:textId="0F2E11A0" w:rsidR="00AF2EC7" w:rsidRDefault="00AF2EC7" w:rsidP="00AF2EC7">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Cet investissement a pour objectif d’améliorer l’accessibilité du transport ferroviaire. Il prévoit des travaux visant à améliorer l’accessibilité dans les gares ferroviaires et l’ajout de places de parking pour vélos.</w:t>
      </w:r>
    </w:p>
    <w:p w14:paraId="2EA0CCAA" w14:textId="77777777" w:rsidR="000D1388" w:rsidRPr="009D65D8" w:rsidRDefault="00E71057" w:rsidP="00E71057">
      <w:pPr>
        <w:spacing w:before="120" w:after="120" w:line="240" w:lineRule="auto"/>
        <w:jc w:val="both"/>
        <w:rPr>
          <w:rFonts w:ascii="Calibri" w:eastAsia="Calibri" w:hAnsi="Calibri" w:cs="Arial"/>
          <w:noProof/>
          <w:u w:val="single"/>
        </w:rPr>
      </w:pPr>
      <w:r>
        <w:rPr>
          <w:rFonts w:ascii="Times New Roman" w:hAnsi="Times New Roman"/>
          <w:noProof/>
          <w:sz w:val="24"/>
          <w:u w:val="single"/>
        </w:rPr>
        <w:t>Investissement I-3.10: «Rail – un réseau efficace» de l’État fédéral.</w:t>
      </w:r>
    </w:p>
    <w:p w14:paraId="2025D9C8" w14:textId="04EBA27C" w:rsidR="00175DEC" w:rsidRDefault="00175DEC" w:rsidP="00175DEC">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Cet investissement a pour objectif de développer le transport ferroviaire. Cet investissement prévoit des interventions sur l’infrastructure ferroviaire. Certains projets comprennent des coûts qui sont supportés par le mécanisme pour l’interconnexion en Europe dans le cadre de conventions de subvention préexistantes, et ces coûts ne sont dès lors pas pris en charge par la FRR. Il s’agit des lignes ferroviaires L154 (travaux de voie, travaux de caténaires et adaptation d’un aiguillage) et L166 (pose de rails et de ballast sur un pont sur la Lesse et un pont sur la route nationale, travaux de voie et de caténaires et enlèvement de deux passages à niveau).</w:t>
      </w:r>
    </w:p>
    <w:p w14:paraId="2B641E9D" w14:textId="77777777" w:rsidR="000D1388" w:rsidRPr="00DD67A6"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I-3.11: «Canal Albert et Trilogiport» de la Région wallonne</w:t>
      </w:r>
    </w:p>
    <w:p w14:paraId="3AF74082" w14:textId="77777777" w:rsidR="000D1388" w:rsidRPr="00DD67A6"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a pour objectif d’accroître la capacité de circulation du fret. Il vise à étendre la plateforme multimodale de Trilogiport à Liège, à augmenter la hauteur des ponts et à installer une signalisation complémentaire sur le canal Albert.</w:t>
      </w:r>
    </w:p>
    <w:p w14:paraId="77A5066C" w14:textId="09D419D8" w:rsidR="0056409A" w:rsidRDefault="0056409A" w:rsidP="0056409A">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Investissement I-3.12: «Rail – systèmes informatiques» de l’État fédéral</w:t>
      </w:r>
    </w:p>
    <w:p w14:paraId="0CCD90A8" w14:textId="0740C3C9" w:rsidR="006D6CFF" w:rsidRDefault="006D6CFF" w:rsidP="006D6CFF">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Cet investissement a pour objectif d’accroître l’utilisation des outils numériques dans le domaine de la mobilité. Cet investissement consiste à publier un rapport de visite sur place du système de gestion du trafic d’Infrabel et à rendre l’application SNCB-NMBS accessible en ligne.</w:t>
      </w:r>
    </w:p>
    <w:p w14:paraId="7EA9FCBD" w14:textId="77777777" w:rsidR="000D1388" w:rsidRPr="00DD67A6"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I-3.13: «Cas d’utilisation des données de mobilité» de la Région de Bruxelles-Capitale</w:t>
      </w:r>
    </w:p>
    <w:p w14:paraId="5A51C935" w14:textId="77777777" w:rsidR="000D1388" w:rsidRPr="009D65D8" w:rsidRDefault="00E71057" w:rsidP="00E71057">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 investissement a pour objectif d’accroître l’utilisation des outils numériques dans le domaine de la mobilité. Il consiste à créer des cas d’utilisation des données de mobilité sur une plateforme numérique.</w:t>
      </w:r>
    </w:p>
    <w:p w14:paraId="0EA0DB7C"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I-3.14: «Subventions pour le transfert modal» de la Région de Bruxelles-Capitale</w:t>
      </w:r>
    </w:p>
    <w:p w14:paraId="4C10E6BC"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vise à soutenir une nouvelle subvention révisée pour le transfert modal en l’étendant à tous les nouveaux types de modes de transport durables (covoiturage, vélos en libre-service, trottinettes) afin de renforcer les incitations visant à accroître la demande de transports collectifs et à faibles émissions. Sa mise en œuvre devrait être achevée au plus tard le 31 décembre 2024.</w:t>
      </w:r>
    </w:p>
    <w:p w14:paraId="3F708719"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I-3.15a: «application FLOYA» de la Région de Bruxelles-Capitale</w:t>
      </w:r>
    </w:p>
    <w:p w14:paraId="5AFBAAE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consiste en l’entrée en fonctionnement d’une application gratuite pour appareils mobiles («FLOYA»). L’application fournit aux utilisateurs des informations complètes et précises sur les modes de transport disponibles, y compris leur coût respectif. Sa mise en œuvre devrait être achevée au plus tard le 31 décembre 2023.</w:t>
      </w:r>
    </w:p>
    <w:p w14:paraId="03D7BA6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I-3.15b: «extension du réseau de caméras ANPR de la Région de Bruxelles-Capitale»</w:t>
      </w:r>
    </w:p>
    <w:p w14:paraId="0615F50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sectPr w:rsidR="000D1388" w:rsidRPr="009D65D8" w:rsidSect="00E71057">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360"/>
        </w:sectPr>
      </w:pPr>
      <w:r>
        <w:rPr>
          <w:rFonts w:ascii="Times New Roman" w:hAnsi="Times New Roman"/>
          <w:noProof/>
          <w:sz w:val="24"/>
        </w:rPr>
        <w:t>Cet investissement vise à étendre le réseau de caméras de reconnaissance automatique des plaques minéralogiques («ANPR») de la Région de Bruxelles-Capitale en lui ajoutant 159 caméras. L’objectif est d’améliorer le respect de la zone basses émissions (LEZ) et des zones à accès limité (ZAL), dans le but de réduire l’encombrement de la circulation et de faciliter la transition vers d’autres modes de transport. Sa mise en œuvre devrait être achevée au plus tard le 31 décembre 2023.</w:t>
      </w:r>
    </w:p>
    <w:p w14:paraId="1364F21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u w:val="single"/>
        </w:rPr>
        <w:t xml:space="preserve">H.2.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708"/>
        <w:gridCol w:w="1638"/>
        <w:gridCol w:w="1680"/>
        <w:gridCol w:w="1440"/>
        <w:gridCol w:w="1080"/>
        <w:gridCol w:w="966"/>
        <w:gridCol w:w="1134"/>
        <w:gridCol w:w="851"/>
        <w:gridCol w:w="3283"/>
        <w:gridCol w:w="33"/>
      </w:tblGrid>
      <w:tr w:rsidR="00E71057" w:rsidRPr="00102530" w14:paraId="65E09A9A" w14:textId="77777777" w:rsidTr="00C77BBC">
        <w:trPr>
          <w:gridAfter w:val="1"/>
          <w:wAfter w:w="33" w:type="dxa"/>
          <w:trHeight w:val="927"/>
          <w:tblHeader/>
          <w:jc w:val="center"/>
        </w:trPr>
        <w:tc>
          <w:tcPr>
            <w:tcW w:w="1129" w:type="dxa"/>
            <w:vMerge w:val="restart"/>
            <w:shd w:val="clear" w:color="auto" w:fill="BDD7EE"/>
            <w:vAlign w:val="center"/>
            <w:hideMark/>
          </w:tcPr>
          <w:p w14:paraId="22A753B0"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084254CB"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708" w:type="dxa"/>
            <w:vMerge w:val="restart"/>
            <w:shd w:val="clear" w:color="auto" w:fill="BDD7EE"/>
            <w:vAlign w:val="center"/>
            <w:hideMark/>
          </w:tcPr>
          <w:p w14:paraId="73BB98A7"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638" w:type="dxa"/>
            <w:vMerge w:val="restart"/>
            <w:shd w:val="clear" w:color="auto" w:fill="BDD7EE"/>
            <w:vAlign w:val="center"/>
            <w:hideMark/>
          </w:tcPr>
          <w:p w14:paraId="7EDC459C"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680" w:type="dxa"/>
            <w:vMerge w:val="restart"/>
            <w:shd w:val="clear" w:color="auto" w:fill="BDD7EE"/>
            <w:vAlign w:val="center"/>
            <w:hideMark/>
          </w:tcPr>
          <w:p w14:paraId="6367771E"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486" w:type="dxa"/>
            <w:gridSpan w:val="3"/>
            <w:shd w:val="clear" w:color="auto" w:fill="BDD7EE"/>
            <w:vAlign w:val="center"/>
            <w:hideMark/>
          </w:tcPr>
          <w:p w14:paraId="1351A712"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85" w:type="dxa"/>
            <w:gridSpan w:val="2"/>
            <w:shd w:val="clear" w:color="auto" w:fill="BDD7EE"/>
            <w:vAlign w:val="center"/>
            <w:hideMark/>
          </w:tcPr>
          <w:p w14:paraId="3E8329F7"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283" w:type="dxa"/>
            <w:vMerge w:val="restart"/>
            <w:shd w:val="clear" w:color="auto" w:fill="BDD7EE"/>
            <w:vAlign w:val="center"/>
            <w:hideMark/>
          </w:tcPr>
          <w:p w14:paraId="48EDCD0F" w14:textId="77777777" w:rsidR="000D1388" w:rsidRPr="00102530"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E71057" w:rsidRPr="00102530" w14:paraId="24123DF7" w14:textId="77777777" w:rsidTr="00C77BBC">
        <w:trPr>
          <w:gridAfter w:val="1"/>
          <w:wAfter w:w="33" w:type="dxa"/>
          <w:trHeight w:val="1013"/>
          <w:jc w:val="center"/>
        </w:trPr>
        <w:tc>
          <w:tcPr>
            <w:tcW w:w="1129" w:type="dxa"/>
            <w:vMerge/>
            <w:vAlign w:val="center"/>
            <w:hideMark/>
          </w:tcPr>
          <w:p w14:paraId="74980432"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06E5F4D8"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708" w:type="dxa"/>
            <w:vMerge/>
            <w:vAlign w:val="center"/>
            <w:hideMark/>
          </w:tcPr>
          <w:p w14:paraId="3EEEAD8E"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638" w:type="dxa"/>
            <w:vMerge/>
            <w:vAlign w:val="center"/>
            <w:hideMark/>
          </w:tcPr>
          <w:p w14:paraId="6584E512"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680" w:type="dxa"/>
            <w:vMerge/>
            <w:vAlign w:val="center"/>
            <w:hideMark/>
          </w:tcPr>
          <w:p w14:paraId="3654BE21"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440" w:type="dxa"/>
            <w:shd w:val="clear" w:color="auto" w:fill="BDD7EE"/>
            <w:vAlign w:val="center"/>
            <w:hideMark/>
          </w:tcPr>
          <w:p w14:paraId="6C0EC29D"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80" w:type="dxa"/>
            <w:shd w:val="clear" w:color="auto" w:fill="BDD7EE"/>
            <w:vAlign w:val="center"/>
            <w:hideMark/>
          </w:tcPr>
          <w:p w14:paraId="0D4CFDF2"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66" w:type="dxa"/>
            <w:shd w:val="clear" w:color="auto" w:fill="BDD7EE"/>
            <w:vAlign w:val="center"/>
            <w:hideMark/>
          </w:tcPr>
          <w:p w14:paraId="5DB6D899"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shd w:val="clear" w:color="auto" w:fill="BDD7EE"/>
            <w:vAlign w:val="center"/>
            <w:hideMark/>
          </w:tcPr>
          <w:p w14:paraId="4AA03B73"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hideMark/>
          </w:tcPr>
          <w:p w14:paraId="00158AC4" w14:textId="77777777" w:rsidR="000D1388" w:rsidRPr="00102530"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283" w:type="dxa"/>
            <w:vMerge/>
            <w:vAlign w:val="center"/>
            <w:hideMark/>
          </w:tcPr>
          <w:p w14:paraId="55792877" w14:textId="77777777" w:rsidR="000D1388" w:rsidRPr="00102530" w:rsidRDefault="000D1388">
            <w:pPr>
              <w:spacing w:after="0"/>
              <w:rPr>
                <w:rFonts w:ascii="Times New Roman" w:eastAsia="Times New Roman" w:hAnsi="Times New Roman" w:cs="Times New Roman"/>
                <w:b/>
                <w:bCs/>
                <w:noProof/>
                <w:sz w:val="20"/>
                <w:szCs w:val="20"/>
                <w:lang w:val="en-GB" w:eastAsia="en-GB"/>
              </w:rPr>
            </w:pPr>
          </w:p>
        </w:tc>
      </w:tr>
      <w:tr w:rsidR="00E71057" w:rsidRPr="00102530" w14:paraId="5001B880" w14:textId="77777777" w:rsidTr="00C77BBC">
        <w:trPr>
          <w:gridAfter w:val="1"/>
          <w:wAfter w:w="33" w:type="dxa"/>
          <w:trHeight w:val="309"/>
          <w:jc w:val="center"/>
        </w:trPr>
        <w:tc>
          <w:tcPr>
            <w:tcW w:w="1129" w:type="dxa"/>
            <w:shd w:val="clear" w:color="auto" w:fill="C6EFCE"/>
            <w:noWrap/>
            <w:vAlign w:val="center"/>
            <w:hideMark/>
          </w:tcPr>
          <w:p w14:paraId="6AE000F3"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99</w:t>
            </w:r>
          </w:p>
        </w:tc>
        <w:tc>
          <w:tcPr>
            <w:tcW w:w="1560" w:type="dxa"/>
            <w:shd w:val="clear" w:color="auto" w:fill="C6EFCE"/>
            <w:noWrap/>
            <w:vAlign w:val="center"/>
            <w:hideMark/>
          </w:tcPr>
          <w:p w14:paraId="2E914A69"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le transport public en Wallonie (I-3B)</w:t>
            </w:r>
          </w:p>
        </w:tc>
        <w:tc>
          <w:tcPr>
            <w:tcW w:w="708" w:type="dxa"/>
            <w:shd w:val="clear" w:color="auto" w:fill="C6EFCE"/>
            <w:noWrap/>
            <w:vAlign w:val="center"/>
            <w:hideMark/>
          </w:tcPr>
          <w:p w14:paraId="16E079C9"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38" w:type="dxa"/>
            <w:shd w:val="clear" w:color="auto" w:fill="C6EFCE"/>
            <w:noWrap/>
            <w:vAlign w:val="center"/>
            <w:hideMark/>
          </w:tcPr>
          <w:p w14:paraId="3CACCD1E"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Début de grands travaux d’infrastructure concernant le bus (feux de circulation intelligents) et le métro léger (Charleroi)</w:t>
            </w:r>
          </w:p>
        </w:tc>
        <w:tc>
          <w:tcPr>
            <w:tcW w:w="1680" w:type="dxa"/>
            <w:shd w:val="clear" w:color="auto" w:fill="C6EFCE"/>
            <w:noWrap/>
            <w:vAlign w:val="center"/>
            <w:hideMark/>
          </w:tcPr>
          <w:p w14:paraId="4C45BB1C"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440" w:type="dxa"/>
            <w:shd w:val="clear" w:color="auto" w:fill="C6EFCE"/>
            <w:noWrap/>
            <w:vAlign w:val="center"/>
            <w:hideMark/>
          </w:tcPr>
          <w:p w14:paraId="2A27F864"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080" w:type="dxa"/>
            <w:shd w:val="clear" w:color="auto" w:fill="C6EFCE"/>
            <w:noWrap/>
            <w:vAlign w:val="center"/>
            <w:hideMark/>
          </w:tcPr>
          <w:p w14:paraId="5A70D849" w14:textId="77777777" w:rsidR="000D1388" w:rsidRPr="00102530"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66" w:type="dxa"/>
            <w:shd w:val="clear" w:color="auto" w:fill="C6EFCE"/>
            <w:noWrap/>
            <w:vAlign w:val="center"/>
            <w:hideMark/>
          </w:tcPr>
          <w:p w14:paraId="36265F0F" w14:textId="77777777" w:rsidR="000D1388" w:rsidRPr="00102530"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2</w:t>
            </w:r>
          </w:p>
        </w:tc>
        <w:tc>
          <w:tcPr>
            <w:tcW w:w="1134" w:type="dxa"/>
            <w:shd w:val="clear" w:color="auto" w:fill="C6EFCE"/>
            <w:noWrap/>
            <w:vAlign w:val="center"/>
            <w:hideMark/>
          </w:tcPr>
          <w:p w14:paraId="7919838F"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1" w:type="dxa"/>
            <w:shd w:val="clear" w:color="auto" w:fill="C6EFCE"/>
            <w:noWrap/>
            <w:vAlign w:val="center"/>
            <w:hideMark/>
          </w:tcPr>
          <w:p w14:paraId="62D8FF3B" w14:textId="77777777" w:rsidR="000D1388" w:rsidRPr="00102530"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283" w:type="dxa"/>
            <w:shd w:val="clear" w:color="auto" w:fill="C6EFCE"/>
            <w:noWrap/>
            <w:vAlign w:val="center"/>
            <w:hideMark/>
          </w:tcPr>
          <w:p w14:paraId="39C4650F" w14:textId="77777777" w:rsidR="000D1388" w:rsidRPr="00102530" w:rsidRDefault="00E71057">
            <w:pPr>
              <w:spacing w:after="0"/>
              <w:rPr>
                <w:rFonts w:ascii="Times New Roman" w:eastAsia="Calibri" w:hAnsi="Times New Roman" w:cs="Times New Roman"/>
                <w:noProof/>
                <w:color w:val="006100"/>
                <w:sz w:val="20"/>
                <w:szCs w:val="20"/>
                <w:u w:val="single"/>
              </w:rPr>
            </w:pPr>
            <w:r>
              <w:rPr>
                <w:rFonts w:ascii="Times New Roman" w:hAnsi="Times New Roman"/>
                <w:noProof/>
                <w:color w:val="006100"/>
                <w:sz w:val="20"/>
                <w:u w:val="single"/>
              </w:rPr>
              <w:t>Extension du métro Charleroi – WAL (I-3.07)</w:t>
            </w:r>
          </w:p>
          <w:p w14:paraId="3E65B622" w14:textId="77777777" w:rsidR="000D1388" w:rsidRPr="00102530" w:rsidRDefault="00E71057" w:rsidP="00F70F65">
            <w:pPr>
              <w:numPr>
                <w:ilvl w:val="0"/>
                <w:numId w:val="45"/>
              </w:numPr>
              <w:spacing w:after="0" w:line="240" w:lineRule="auto"/>
              <w:ind w:left="584" w:hanging="357"/>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Délivrance des permis de construire</w:t>
            </w:r>
          </w:p>
          <w:p w14:paraId="5F090D57" w14:textId="77777777" w:rsidR="000D1388" w:rsidRPr="00102530" w:rsidRDefault="00E71057">
            <w:pPr>
              <w:spacing w:after="0"/>
              <w:rPr>
                <w:rFonts w:ascii="Times New Roman" w:eastAsia="Calibri" w:hAnsi="Times New Roman" w:cs="Times New Roman"/>
                <w:noProof/>
                <w:color w:val="006100"/>
                <w:sz w:val="20"/>
                <w:szCs w:val="20"/>
                <w:u w:val="single"/>
              </w:rPr>
            </w:pPr>
            <w:r>
              <w:rPr>
                <w:rFonts w:ascii="Times New Roman" w:hAnsi="Times New Roman"/>
                <w:noProof/>
                <w:color w:val="006100"/>
                <w:sz w:val="20"/>
                <w:u w:val="single"/>
              </w:rPr>
              <w:t>Feux de circulation intelligents – WAL (I-3.08)</w:t>
            </w:r>
          </w:p>
          <w:p w14:paraId="7951BE62" w14:textId="77777777" w:rsidR="000D1388" w:rsidRPr="00102530" w:rsidRDefault="00E71057" w:rsidP="00F70F65">
            <w:pPr>
              <w:numPr>
                <w:ilvl w:val="0"/>
                <w:numId w:val="45"/>
              </w:numPr>
              <w:spacing w:after="0" w:line="240" w:lineRule="auto"/>
              <w:ind w:left="584" w:hanging="357"/>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pour les travaux publics (l’avis d’attribution de marché a été publié)</w:t>
            </w:r>
          </w:p>
        </w:tc>
      </w:tr>
      <w:tr w:rsidR="00E71057" w:rsidRPr="00102530" w14:paraId="43948F38" w14:textId="77777777" w:rsidTr="00C77BBC">
        <w:trPr>
          <w:gridAfter w:val="1"/>
          <w:wAfter w:w="33" w:type="dxa"/>
          <w:trHeight w:val="309"/>
          <w:jc w:val="center"/>
        </w:trPr>
        <w:tc>
          <w:tcPr>
            <w:tcW w:w="1129" w:type="dxa"/>
            <w:shd w:val="clear" w:color="auto" w:fill="C6EFCE"/>
            <w:noWrap/>
            <w:vAlign w:val="center"/>
            <w:hideMark/>
          </w:tcPr>
          <w:p w14:paraId="6D0FECED" w14:textId="77777777" w:rsidR="000D1388" w:rsidRPr="00102530"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100</w:t>
            </w:r>
          </w:p>
        </w:tc>
        <w:tc>
          <w:tcPr>
            <w:tcW w:w="1560" w:type="dxa"/>
            <w:shd w:val="clear" w:color="auto" w:fill="C6EFCE"/>
            <w:noWrap/>
            <w:vAlign w:val="center"/>
            <w:hideMark/>
          </w:tcPr>
          <w:p w14:paraId="1701258E" w14:textId="77777777" w:rsidR="000D1388" w:rsidRPr="00102530"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Améliorer le transport public en Wallonie (I-3B)</w:t>
            </w:r>
          </w:p>
        </w:tc>
        <w:tc>
          <w:tcPr>
            <w:tcW w:w="708" w:type="dxa"/>
            <w:shd w:val="clear" w:color="auto" w:fill="C6EFCE"/>
            <w:noWrap/>
            <w:vAlign w:val="center"/>
            <w:hideMark/>
          </w:tcPr>
          <w:p w14:paraId="220A69F7" w14:textId="77777777" w:rsidR="000D1388" w:rsidRPr="00102530"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1638" w:type="dxa"/>
            <w:shd w:val="clear" w:color="auto" w:fill="C6EFCE"/>
            <w:noWrap/>
            <w:vAlign w:val="center"/>
            <w:hideMark/>
          </w:tcPr>
          <w:p w14:paraId="048FF71C" w14:textId="77777777" w:rsidR="000D1388" w:rsidRPr="00102530"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Équiper les carrefours de feux de circulation intelligents</w:t>
            </w:r>
          </w:p>
        </w:tc>
        <w:tc>
          <w:tcPr>
            <w:tcW w:w="1680" w:type="dxa"/>
            <w:shd w:val="clear" w:color="auto" w:fill="C6EFCE"/>
            <w:noWrap/>
            <w:vAlign w:val="center"/>
            <w:hideMark/>
          </w:tcPr>
          <w:p w14:paraId="2207A080" w14:textId="77777777" w:rsidR="000D1388" w:rsidRPr="00746A1A" w:rsidRDefault="000D1388">
            <w:pPr>
              <w:spacing w:after="0"/>
              <w:rPr>
                <w:rFonts w:ascii="Times New Roman" w:eastAsia="Calibri" w:hAnsi="Times New Roman" w:cs="Arial"/>
                <w:noProof/>
                <w:color w:val="006100"/>
                <w:sz w:val="20"/>
                <w:szCs w:val="20"/>
                <w:lang w:val="fr-BE"/>
              </w:rPr>
            </w:pPr>
          </w:p>
        </w:tc>
        <w:tc>
          <w:tcPr>
            <w:tcW w:w="1440" w:type="dxa"/>
            <w:shd w:val="clear" w:color="auto" w:fill="C6EFCE"/>
            <w:noWrap/>
            <w:vAlign w:val="center"/>
            <w:hideMark/>
          </w:tcPr>
          <w:p w14:paraId="19A5123D" w14:textId="77777777" w:rsidR="000D1388" w:rsidRPr="00102530"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Nombre de carrefours équipés de feux de circulation intelligents </w:t>
            </w:r>
          </w:p>
        </w:tc>
        <w:tc>
          <w:tcPr>
            <w:tcW w:w="1080" w:type="dxa"/>
            <w:shd w:val="clear" w:color="auto" w:fill="C6EFCE"/>
            <w:noWrap/>
            <w:vAlign w:val="center"/>
            <w:hideMark/>
          </w:tcPr>
          <w:p w14:paraId="6CB9696D" w14:textId="77777777" w:rsidR="000D1388" w:rsidRPr="00746A1A" w:rsidRDefault="000D1388">
            <w:pPr>
              <w:rPr>
                <w:rFonts w:ascii="Times New Roman" w:eastAsia="Calibri" w:hAnsi="Times New Roman" w:cs="Arial"/>
                <w:noProof/>
                <w:color w:val="006100"/>
                <w:sz w:val="20"/>
                <w:szCs w:val="20"/>
                <w:lang w:val="fr-BE"/>
              </w:rPr>
            </w:pPr>
          </w:p>
          <w:p w14:paraId="200E6E70" w14:textId="77777777" w:rsidR="000D1388" w:rsidRPr="00102530" w:rsidRDefault="00E71057">
            <w:pPr>
              <w:rPr>
                <w:rFonts w:ascii="Times New Roman" w:eastAsia="Calibri" w:hAnsi="Times New Roman" w:cs="Arial"/>
                <w:noProof/>
                <w:color w:val="006100"/>
                <w:sz w:val="20"/>
                <w:szCs w:val="20"/>
              </w:rPr>
            </w:pPr>
            <w:r>
              <w:rPr>
                <w:rFonts w:ascii="Times New Roman" w:hAnsi="Times New Roman"/>
                <w:noProof/>
                <w:color w:val="006100"/>
                <w:sz w:val="20"/>
              </w:rPr>
              <w:t>0</w:t>
            </w:r>
          </w:p>
          <w:p w14:paraId="64AF91A2" w14:textId="77777777" w:rsidR="000D1388" w:rsidRPr="00102530" w:rsidRDefault="000D1388">
            <w:pPr>
              <w:spacing w:after="0"/>
              <w:rPr>
                <w:rFonts w:ascii="Times New Roman" w:eastAsia="Calibri" w:hAnsi="Times New Roman" w:cs="Arial"/>
                <w:noProof/>
                <w:color w:val="006100"/>
                <w:sz w:val="20"/>
                <w:szCs w:val="20"/>
                <w:lang w:val="en-GB"/>
              </w:rPr>
            </w:pPr>
          </w:p>
        </w:tc>
        <w:tc>
          <w:tcPr>
            <w:tcW w:w="966" w:type="dxa"/>
            <w:shd w:val="clear" w:color="auto" w:fill="C6EFCE"/>
            <w:noWrap/>
            <w:vAlign w:val="center"/>
            <w:hideMark/>
          </w:tcPr>
          <w:p w14:paraId="3E72D09D" w14:textId="77777777" w:rsidR="000D1388" w:rsidRPr="00102530" w:rsidRDefault="00E71057">
            <w:pPr>
              <w:spacing w:after="0"/>
              <w:jc w:val="right"/>
              <w:rPr>
                <w:rFonts w:ascii="Times New Roman" w:eastAsia="Calibri" w:hAnsi="Times New Roman" w:cs="Arial"/>
                <w:noProof/>
                <w:color w:val="006100"/>
                <w:sz w:val="20"/>
                <w:szCs w:val="20"/>
              </w:rPr>
            </w:pPr>
            <w:r>
              <w:rPr>
                <w:rFonts w:ascii="Times New Roman" w:hAnsi="Times New Roman"/>
                <w:noProof/>
                <w:color w:val="006100"/>
                <w:sz w:val="20"/>
              </w:rPr>
              <w:t>260</w:t>
            </w:r>
          </w:p>
        </w:tc>
        <w:tc>
          <w:tcPr>
            <w:tcW w:w="1134" w:type="dxa"/>
            <w:shd w:val="clear" w:color="auto" w:fill="C6EFCE"/>
            <w:noWrap/>
            <w:vAlign w:val="center"/>
            <w:hideMark/>
          </w:tcPr>
          <w:p w14:paraId="55B9EBEE" w14:textId="77777777" w:rsidR="000D1388" w:rsidRPr="00102530"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51" w:type="dxa"/>
            <w:shd w:val="clear" w:color="auto" w:fill="C6EFCE"/>
            <w:noWrap/>
            <w:vAlign w:val="center"/>
            <w:hideMark/>
          </w:tcPr>
          <w:p w14:paraId="589CDB95" w14:textId="77777777" w:rsidR="000D1388" w:rsidRPr="00102530"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2025</w:t>
            </w:r>
          </w:p>
        </w:tc>
        <w:tc>
          <w:tcPr>
            <w:tcW w:w="3283" w:type="dxa"/>
            <w:shd w:val="clear" w:color="auto" w:fill="C6EFCE"/>
            <w:noWrap/>
            <w:vAlign w:val="center"/>
            <w:hideMark/>
          </w:tcPr>
          <w:p w14:paraId="14A0BFF8" w14:textId="77777777" w:rsidR="000D1388" w:rsidRPr="00102530" w:rsidRDefault="00E71057">
            <w:pPr>
              <w:rPr>
                <w:rFonts w:ascii="Times New Roman" w:eastAsia="Calibri" w:hAnsi="Times New Roman" w:cs="Arial"/>
                <w:noProof/>
                <w:color w:val="006100"/>
                <w:sz w:val="20"/>
                <w:szCs w:val="20"/>
                <w:u w:val="single"/>
              </w:rPr>
            </w:pPr>
            <w:r>
              <w:rPr>
                <w:rFonts w:ascii="Times New Roman" w:hAnsi="Times New Roman"/>
                <w:noProof/>
                <w:color w:val="006100"/>
                <w:sz w:val="20"/>
                <w:u w:val="single"/>
              </w:rPr>
              <w:t>Feux de circulation intelligents – WAL (I-3.08)</w:t>
            </w:r>
          </w:p>
          <w:p w14:paraId="75F14297" w14:textId="77777777" w:rsidR="000D1388" w:rsidRPr="00102530" w:rsidRDefault="00E71057">
            <w:pPr>
              <w:rPr>
                <w:rFonts w:ascii="Times New Roman" w:eastAsia="Calibri" w:hAnsi="Times New Roman" w:cs="Arial"/>
                <w:noProof/>
                <w:color w:val="006100"/>
                <w:sz w:val="20"/>
                <w:szCs w:val="20"/>
              </w:rPr>
            </w:pPr>
            <w:r>
              <w:rPr>
                <w:rFonts w:ascii="Times New Roman" w:hAnsi="Times New Roman"/>
                <w:noProof/>
                <w:color w:val="006100"/>
                <w:sz w:val="20"/>
              </w:rPr>
              <w:t>260 carrefours seront équipés de feux de circulation intelligents.</w:t>
            </w:r>
          </w:p>
        </w:tc>
      </w:tr>
      <w:tr w:rsidR="00A23D5D" w:rsidRPr="00102530" w14:paraId="0B003D88" w14:textId="77777777" w:rsidTr="00C77BBC">
        <w:trPr>
          <w:gridAfter w:val="1"/>
          <w:wAfter w:w="33" w:type="dxa"/>
          <w:trHeight w:val="309"/>
          <w:jc w:val="center"/>
        </w:trPr>
        <w:tc>
          <w:tcPr>
            <w:tcW w:w="1129" w:type="dxa"/>
            <w:shd w:val="clear" w:color="auto" w:fill="C6EFCE"/>
            <w:noWrap/>
            <w:vAlign w:val="center"/>
            <w:hideMark/>
          </w:tcPr>
          <w:p w14:paraId="354734A1" w14:textId="77777777" w:rsidR="00A23D5D" w:rsidRPr="00102530" w:rsidRDefault="00A23D5D" w:rsidP="00A23D5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101</w:t>
            </w:r>
          </w:p>
        </w:tc>
        <w:tc>
          <w:tcPr>
            <w:tcW w:w="1560" w:type="dxa"/>
            <w:shd w:val="clear" w:color="auto" w:fill="C6EFCE"/>
            <w:noWrap/>
            <w:vAlign w:val="center"/>
            <w:hideMark/>
          </w:tcPr>
          <w:p w14:paraId="07BAE3CD"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Améliorer le transport public en Wallonie (I-3B)</w:t>
            </w:r>
          </w:p>
        </w:tc>
        <w:tc>
          <w:tcPr>
            <w:tcW w:w="708" w:type="dxa"/>
            <w:shd w:val="clear" w:color="auto" w:fill="C6EFCE"/>
            <w:noWrap/>
            <w:vAlign w:val="center"/>
            <w:hideMark/>
          </w:tcPr>
          <w:p w14:paraId="27C1E4C0"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1638" w:type="dxa"/>
            <w:shd w:val="clear" w:color="auto" w:fill="C6EFCE"/>
            <w:noWrap/>
            <w:vAlign w:val="center"/>
            <w:hideMark/>
          </w:tcPr>
          <w:p w14:paraId="547152D8" w14:textId="5AA3B914" w:rsidR="00A23D5D" w:rsidRPr="00102530" w:rsidRDefault="005963A4"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Voies du métro de Charleroi posées ou réhabilitées et équipements de carrefours de feux de circulation intelligents</w:t>
            </w:r>
          </w:p>
        </w:tc>
        <w:tc>
          <w:tcPr>
            <w:tcW w:w="1680" w:type="dxa"/>
            <w:shd w:val="clear" w:color="auto" w:fill="C6EFCE"/>
            <w:noWrap/>
            <w:vAlign w:val="center"/>
            <w:hideMark/>
          </w:tcPr>
          <w:p w14:paraId="1A84120C" w14:textId="77777777" w:rsidR="00A23D5D" w:rsidRPr="00746A1A" w:rsidRDefault="00A23D5D" w:rsidP="00A23D5D">
            <w:pPr>
              <w:spacing w:after="0"/>
              <w:rPr>
                <w:rFonts w:ascii="Times New Roman" w:eastAsia="Calibri" w:hAnsi="Times New Roman" w:cs="Arial"/>
                <w:noProof/>
                <w:color w:val="006100"/>
                <w:sz w:val="20"/>
                <w:szCs w:val="20"/>
                <w:lang w:val="fr-BE"/>
              </w:rPr>
            </w:pPr>
          </w:p>
        </w:tc>
        <w:tc>
          <w:tcPr>
            <w:tcW w:w="1440" w:type="dxa"/>
            <w:shd w:val="clear" w:color="auto" w:fill="C6EFCE"/>
            <w:noWrap/>
            <w:vAlign w:val="center"/>
            <w:hideMark/>
          </w:tcPr>
          <w:p w14:paraId="57B50736" w14:textId="560023E8" w:rsidR="00A23D5D" w:rsidRPr="00746A1A" w:rsidRDefault="00A23D5D" w:rsidP="00A23D5D">
            <w:pPr>
              <w:rPr>
                <w:rFonts w:ascii="Times New Roman" w:eastAsia="Calibri" w:hAnsi="Times New Roman" w:cs="Arial"/>
                <w:noProof/>
                <w:color w:val="006100"/>
                <w:sz w:val="20"/>
                <w:szCs w:val="20"/>
                <w:lang w:val="fr-BE"/>
              </w:rPr>
            </w:pPr>
          </w:p>
          <w:p w14:paraId="56E28CF0"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Nombre de carrefours équipés de feux de circulation intelligents </w:t>
            </w:r>
          </w:p>
        </w:tc>
        <w:tc>
          <w:tcPr>
            <w:tcW w:w="1080" w:type="dxa"/>
            <w:shd w:val="clear" w:color="auto" w:fill="C6EFCE"/>
            <w:noWrap/>
            <w:vAlign w:val="center"/>
            <w:hideMark/>
          </w:tcPr>
          <w:p w14:paraId="4C45C9B9" w14:textId="5E6E6DD8" w:rsidR="00A23D5D" w:rsidRPr="00D6503A" w:rsidRDefault="00A23D5D" w:rsidP="00A23D5D">
            <w:pPr>
              <w:rPr>
                <w:rFonts w:ascii="Times New Roman" w:eastAsia="Times New Roman" w:hAnsi="Times New Roman" w:cs="Times New Roman"/>
                <w:noProof/>
                <w:color w:val="006100"/>
                <w:sz w:val="20"/>
                <w:szCs w:val="20"/>
              </w:rPr>
            </w:pPr>
          </w:p>
          <w:p w14:paraId="2C58A5AF" w14:textId="77777777" w:rsidR="00A23D5D" w:rsidRPr="00D6503A"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260</w:t>
            </w:r>
          </w:p>
        </w:tc>
        <w:tc>
          <w:tcPr>
            <w:tcW w:w="966" w:type="dxa"/>
            <w:shd w:val="clear" w:color="auto" w:fill="C6EFCE"/>
            <w:noWrap/>
            <w:vAlign w:val="center"/>
            <w:hideMark/>
          </w:tcPr>
          <w:p w14:paraId="22A81266" w14:textId="3DC1801E" w:rsidR="00A23D5D" w:rsidRPr="00D6503A"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425</w:t>
            </w:r>
          </w:p>
        </w:tc>
        <w:tc>
          <w:tcPr>
            <w:tcW w:w="1134" w:type="dxa"/>
            <w:shd w:val="clear" w:color="auto" w:fill="C6EFCE"/>
            <w:noWrap/>
            <w:vAlign w:val="center"/>
            <w:hideMark/>
          </w:tcPr>
          <w:p w14:paraId="24D698BD" w14:textId="77777777" w:rsidR="00A23D5D" w:rsidRPr="00102530" w:rsidRDefault="00A23D5D" w:rsidP="00A23D5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51" w:type="dxa"/>
            <w:shd w:val="clear" w:color="auto" w:fill="C6EFCE"/>
            <w:noWrap/>
            <w:vAlign w:val="center"/>
            <w:hideMark/>
          </w:tcPr>
          <w:p w14:paraId="57AE61A7" w14:textId="77777777" w:rsidR="00A23D5D" w:rsidRPr="00102530" w:rsidRDefault="00A23D5D" w:rsidP="00A23D5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283" w:type="dxa"/>
            <w:shd w:val="clear" w:color="auto" w:fill="C6EFCE"/>
            <w:noWrap/>
            <w:vAlign w:val="center"/>
            <w:hideMark/>
          </w:tcPr>
          <w:p w14:paraId="21F86C7E" w14:textId="6C72E1C5" w:rsidR="00A23D5D" w:rsidRPr="00CA40C5"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5,5 km de voies de métro (Charleroi) seront posés ou réhabilités, ce dont attestera un certificat de géomètre.</w:t>
            </w:r>
          </w:p>
          <w:p w14:paraId="5266D5F8" w14:textId="77777777" w:rsidR="00A23D5D" w:rsidRPr="00746A1A" w:rsidRDefault="00A23D5D" w:rsidP="00A23D5D">
            <w:pPr>
              <w:spacing w:after="0"/>
              <w:rPr>
                <w:rFonts w:ascii="Times New Roman" w:eastAsia="Times New Roman" w:hAnsi="Times New Roman" w:cs="Times New Roman"/>
                <w:noProof/>
                <w:color w:val="006100"/>
                <w:sz w:val="20"/>
                <w:szCs w:val="20"/>
                <w:lang w:val="fr-BE"/>
              </w:rPr>
            </w:pPr>
          </w:p>
          <w:p w14:paraId="57E51916" w14:textId="71740C4F"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425 carrefours seront équipés de feux de circulation intelligents.</w:t>
            </w:r>
          </w:p>
        </w:tc>
      </w:tr>
      <w:tr w:rsidR="00A23D5D" w:rsidRPr="00102530" w14:paraId="584A79E7" w14:textId="77777777" w:rsidTr="00C77BBC">
        <w:trPr>
          <w:gridAfter w:val="1"/>
          <w:wAfter w:w="33" w:type="dxa"/>
          <w:trHeight w:val="309"/>
          <w:jc w:val="center"/>
        </w:trPr>
        <w:tc>
          <w:tcPr>
            <w:tcW w:w="1129" w:type="dxa"/>
            <w:shd w:val="clear" w:color="auto" w:fill="C6EFCE"/>
            <w:noWrap/>
            <w:vAlign w:val="center"/>
            <w:hideMark/>
          </w:tcPr>
          <w:p w14:paraId="23454A66"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102</w:t>
            </w:r>
          </w:p>
        </w:tc>
        <w:tc>
          <w:tcPr>
            <w:tcW w:w="1560" w:type="dxa"/>
            <w:shd w:val="clear" w:color="auto" w:fill="C6EFCE"/>
            <w:noWrap/>
            <w:vAlign w:val="center"/>
            <w:hideMark/>
          </w:tcPr>
          <w:p w14:paraId="3443E32D"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le transport public en Wallonie (I-3B)</w:t>
            </w:r>
          </w:p>
        </w:tc>
        <w:tc>
          <w:tcPr>
            <w:tcW w:w="708" w:type="dxa"/>
            <w:shd w:val="clear" w:color="auto" w:fill="C6EFCE"/>
            <w:noWrap/>
            <w:vAlign w:val="center"/>
            <w:hideMark/>
          </w:tcPr>
          <w:p w14:paraId="2B6F1110"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638" w:type="dxa"/>
            <w:shd w:val="clear" w:color="auto" w:fill="C6EFCE"/>
            <w:noWrap/>
            <w:vAlign w:val="center"/>
            <w:hideMark/>
          </w:tcPr>
          <w:p w14:paraId="5EEE52E0"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du contrat de service public de l’OTW («Opérateur de transport de Wallonie»)</w:t>
            </w:r>
          </w:p>
        </w:tc>
        <w:tc>
          <w:tcPr>
            <w:tcW w:w="1680" w:type="dxa"/>
            <w:shd w:val="clear" w:color="auto" w:fill="C6EFCE"/>
            <w:noWrap/>
            <w:vAlign w:val="center"/>
            <w:hideMark/>
          </w:tcPr>
          <w:p w14:paraId="77EE40D3"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contrat de service public de l’OTW («Opérateur de transport de Wallonie»)</w:t>
            </w:r>
          </w:p>
        </w:tc>
        <w:tc>
          <w:tcPr>
            <w:tcW w:w="1440" w:type="dxa"/>
            <w:shd w:val="clear" w:color="auto" w:fill="C6EFCE"/>
            <w:noWrap/>
            <w:vAlign w:val="center"/>
            <w:hideMark/>
          </w:tcPr>
          <w:p w14:paraId="0A39DC9C" w14:textId="77777777" w:rsidR="00A23D5D" w:rsidRPr="00102530" w:rsidRDefault="00A23D5D" w:rsidP="00A23D5D">
            <w:pPr>
              <w:spacing w:after="0"/>
              <w:rPr>
                <w:rFonts w:ascii="Times New Roman" w:eastAsia="Times New Roman" w:hAnsi="Times New Roman" w:cs="Times New Roman"/>
                <w:noProof/>
                <w:color w:val="006100"/>
                <w:sz w:val="20"/>
                <w:szCs w:val="20"/>
                <w:lang w:val="fr-BE" w:eastAsia="en-GB"/>
              </w:rPr>
            </w:pPr>
          </w:p>
        </w:tc>
        <w:tc>
          <w:tcPr>
            <w:tcW w:w="1080" w:type="dxa"/>
            <w:shd w:val="clear" w:color="auto" w:fill="C6EFCE"/>
            <w:noWrap/>
            <w:vAlign w:val="center"/>
            <w:hideMark/>
          </w:tcPr>
          <w:p w14:paraId="68D10D2F" w14:textId="77777777" w:rsidR="00A23D5D" w:rsidRPr="00102530" w:rsidRDefault="00A23D5D" w:rsidP="00A23D5D">
            <w:pPr>
              <w:spacing w:after="0"/>
              <w:rPr>
                <w:rFonts w:ascii="Times New Roman" w:eastAsia="Times New Roman" w:hAnsi="Times New Roman" w:cs="Times New Roman"/>
                <w:noProof/>
                <w:color w:val="006100"/>
                <w:sz w:val="20"/>
                <w:szCs w:val="20"/>
                <w:lang w:val="fr-BE" w:eastAsia="en-GB"/>
              </w:rPr>
            </w:pPr>
          </w:p>
        </w:tc>
        <w:tc>
          <w:tcPr>
            <w:tcW w:w="966" w:type="dxa"/>
            <w:shd w:val="clear" w:color="auto" w:fill="C6EFCE"/>
            <w:noWrap/>
            <w:vAlign w:val="center"/>
            <w:hideMark/>
          </w:tcPr>
          <w:p w14:paraId="36F3ACFA" w14:textId="77777777" w:rsidR="00A23D5D" w:rsidRPr="00102530" w:rsidRDefault="00A23D5D" w:rsidP="00A23D5D">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hideMark/>
          </w:tcPr>
          <w:p w14:paraId="3D3FB1B0"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hideMark/>
          </w:tcPr>
          <w:p w14:paraId="4F906FA0"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283" w:type="dxa"/>
            <w:shd w:val="clear" w:color="auto" w:fill="C6EFCE"/>
            <w:noWrap/>
            <w:vAlign w:val="center"/>
            <w:hideMark/>
          </w:tcPr>
          <w:p w14:paraId="731719EC"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du contrat de service public de l’OTW (« Opérateur de transport de Wallonie») avec prise en compte des coûts d’exploitation supplémentaires du métro de Charleroi</w:t>
            </w:r>
          </w:p>
        </w:tc>
      </w:tr>
      <w:tr w:rsidR="00A23D5D" w:rsidRPr="00102530" w14:paraId="38E16D5B" w14:textId="77777777" w:rsidTr="00C77BBC">
        <w:trPr>
          <w:trHeight w:val="309"/>
          <w:jc w:val="center"/>
        </w:trPr>
        <w:tc>
          <w:tcPr>
            <w:tcW w:w="1129" w:type="dxa"/>
            <w:shd w:val="clear" w:color="auto" w:fill="C6EFCE"/>
            <w:vAlign w:val="center"/>
            <w:hideMark/>
          </w:tcPr>
          <w:p w14:paraId="3C3386D5"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103</w:t>
            </w:r>
          </w:p>
        </w:tc>
        <w:tc>
          <w:tcPr>
            <w:tcW w:w="1560" w:type="dxa"/>
            <w:shd w:val="clear" w:color="auto" w:fill="C6EFCE"/>
            <w:vAlign w:val="center"/>
            <w:hideMark/>
          </w:tcPr>
          <w:p w14:paraId="1FC87325" w14:textId="0622885E"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d’infrastructure ferroviaire et travaux d’accessibilité des gares (I-3C)</w:t>
            </w:r>
          </w:p>
        </w:tc>
        <w:tc>
          <w:tcPr>
            <w:tcW w:w="708" w:type="dxa"/>
            <w:shd w:val="clear" w:color="auto" w:fill="C6EFCE"/>
            <w:vAlign w:val="center"/>
            <w:hideMark/>
          </w:tcPr>
          <w:p w14:paraId="67F61D25"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38" w:type="dxa"/>
            <w:shd w:val="clear" w:color="auto" w:fill="C6EFCE"/>
            <w:vAlign w:val="center"/>
            <w:hideMark/>
          </w:tcPr>
          <w:p w14:paraId="67C8F1F3"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de rénovation et de modernisation des chemins de fer et des travaux d’accessibilité des gares (étape 1)</w:t>
            </w:r>
          </w:p>
        </w:tc>
        <w:tc>
          <w:tcPr>
            <w:tcW w:w="1680" w:type="dxa"/>
            <w:shd w:val="clear" w:color="auto" w:fill="C6EFCE"/>
            <w:vAlign w:val="center"/>
            <w:hideMark/>
          </w:tcPr>
          <w:p w14:paraId="22F6EB7E" w14:textId="77777777" w:rsidR="00A23D5D" w:rsidRPr="00746A1A" w:rsidRDefault="00A23D5D" w:rsidP="00A23D5D">
            <w:pPr>
              <w:spacing w:after="0"/>
              <w:rPr>
                <w:rFonts w:ascii="Times New Roman" w:eastAsia="Calibri" w:hAnsi="Times New Roman" w:cs="Times New Roman"/>
                <w:noProof/>
                <w:color w:val="006100"/>
                <w:sz w:val="20"/>
                <w:szCs w:val="20"/>
                <w:lang w:val="fr-BE" w:eastAsia="en-GB"/>
              </w:rPr>
            </w:pPr>
          </w:p>
        </w:tc>
        <w:tc>
          <w:tcPr>
            <w:tcW w:w="1440" w:type="dxa"/>
            <w:shd w:val="clear" w:color="auto" w:fill="C6EFCE"/>
            <w:vAlign w:val="center"/>
            <w:hideMark/>
          </w:tcPr>
          <w:p w14:paraId="75B5100B"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achevés</w:t>
            </w:r>
          </w:p>
        </w:tc>
        <w:tc>
          <w:tcPr>
            <w:tcW w:w="1080" w:type="dxa"/>
            <w:shd w:val="clear" w:color="auto" w:fill="C6EFCE"/>
            <w:vAlign w:val="center"/>
            <w:hideMark/>
          </w:tcPr>
          <w:p w14:paraId="3E357CF1"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66" w:type="dxa"/>
            <w:shd w:val="clear" w:color="auto" w:fill="C6EFCE"/>
            <w:vAlign w:val="center"/>
            <w:hideMark/>
          </w:tcPr>
          <w:p w14:paraId="250708A3"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32</w:t>
            </w:r>
          </w:p>
        </w:tc>
        <w:tc>
          <w:tcPr>
            <w:tcW w:w="1134" w:type="dxa"/>
            <w:shd w:val="clear" w:color="auto" w:fill="C6EFCE"/>
            <w:vAlign w:val="center"/>
            <w:hideMark/>
          </w:tcPr>
          <w:p w14:paraId="19E31BF3"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1" w:type="dxa"/>
            <w:shd w:val="clear" w:color="auto" w:fill="C6EFCE"/>
            <w:vAlign w:val="center"/>
            <w:hideMark/>
          </w:tcPr>
          <w:p w14:paraId="38B3FEBD"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316" w:type="dxa"/>
            <w:gridSpan w:val="2"/>
            <w:shd w:val="clear" w:color="auto" w:fill="C6EFCE"/>
            <w:vAlign w:val="center"/>
            <w:hideMark/>
          </w:tcPr>
          <w:p w14:paraId="6C405ABF" w14:textId="77777777" w:rsidR="00A23D5D" w:rsidRPr="00102530" w:rsidRDefault="00A23D5D" w:rsidP="00A23D5D">
            <w:pPr>
              <w:spacing w:after="0" w:line="240" w:lineRule="auto"/>
              <w:textAlignment w:val="baseline"/>
              <w:rPr>
                <w:rFonts w:ascii="Times New Roman" w:eastAsia="Calibri" w:hAnsi="Times New Roman" w:cs="Times New Roman"/>
                <w:noProof/>
                <w:color w:val="006100"/>
                <w:sz w:val="20"/>
                <w:szCs w:val="20"/>
              </w:rPr>
            </w:pPr>
            <w:r>
              <w:rPr>
                <w:rFonts w:ascii="Times New Roman" w:hAnsi="Times New Roman"/>
                <w:noProof/>
                <w:color w:val="006100"/>
                <w:sz w:val="20"/>
              </w:rPr>
              <w:t>Achèvement de 27 interventions destinées à moderniser l’infrastructure ferroviaire (I-3.10) et à rendre 5 gares accessibles (I-3.09) conformément au règlement (UE) nº 1300/2014 de la Commission, au regard d’au moins 4 critères:</w:t>
            </w:r>
          </w:p>
          <w:p w14:paraId="7BE6332A" w14:textId="77777777" w:rsidR="00A23D5D" w:rsidRPr="00102530" w:rsidRDefault="00A23D5D" w:rsidP="00A23D5D">
            <w:pPr>
              <w:spacing w:after="0" w:line="240" w:lineRule="auto"/>
              <w:textAlignment w:val="baseline"/>
              <w:rPr>
                <w:rFonts w:ascii="Times New Roman" w:eastAsia="Calibri" w:hAnsi="Times New Roman" w:cs="Times New Roman"/>
                <w:noProof/>
                <w:color w:val="006100"/>
                <w:sz w:val="20"/>
                <w:szCs w:val="20"/>
              </w:rPr>
            </w:pPr>
            <w:r>
              <w:rPr>
                <w:rFonts w:ascii="Times New Roman" w:hAnsi="Times New Roman"/>
                <w:noProof/>
                <w:color w:val="006100"/>
                <w:sz w:val="20"/>
              </w:rPr>
              <w:t>- la hauteur des quais (76 cm)</w:t>
            </w:r>
          </w:p>
          <w:p w14:paraId="4945D41C" w14:textId="77777777" w:rsidR="00A23D5D" w:rsidRPr="00102530" w:rsidRDefault="00A23D5D" w:rsidP="00A23D5D">
            <w:pPr>
              <w:spacing w:after="0" w:line="240" w:lineRule="auto"/>
              <w:textAlignment w:val="baseline"/>
              <w:rPr>
                <w:rFonts w:ascii="Times New Roman" w:eastAsia="Calibri" w:hAnsi="Times New Roman" w:cs="Times New Roman"/>
                <w:noProof/>
                <w:color w:val="006100"/>
                <w:sz w:val="20"/>
                <w:szCs w:val="20"/>
              </w:rPr>
            </w:pPr>
            <w:r>
              <w:rPr>
                <w:rFonts w:ascii="Times New Roman" w:hAnsi="Times New Roman"/>
                <w:noProof/>
                <w:color w:val="006100"/>
                <w:sz w:val="20"/>
              </w:rPr>
              <w:t>- l’accessibilité des quais par rampes ou ascenseurs</w:t>
            </w:r>
          </w:p>
          <w:p w14:paraId="16E707C6" w14:textId="77777777" w:rsidR="00A23D5D" w:rsidRPr="00102530" w:rsidRDefault="00A23D5D" w:rsidP="00A23D5D">
            <w:pPr>
              <w:spacing w:after="0" w:line="240" w:lineRule="auto"/>
              <w:textAlignment w:val="baseline"/>
              <w:rPr>
                <w:rFonts w:ascii="Times New Roman" w:eastAsia="Calibri" w:hAnsi="Times New Roman" w:cs="Times New Roman"/>
                <w:noProof/>
                <w:color w:val="006100"/>
                <w:sz w:val="20"/>
                <w:szCs w:val="20"/>
              </w:rPr>
            </w:pPr>
            <w:r>
              <w:rPr>
                <w:rFonts w:ascii="Times New Roman" w:hAnsi="Times New Roman"/>
                <w:noProof/>
                <w:color w:val="006100"/>
                <w:sz w:val="20"/>
              </w:rPr>
              <w:t>- la présence d’un système de guidage podotactile et</w:t>
            </w:r>
          </w:p>
          <w:p w14:paraId="3821E2FD" w14:textId="77777777" w:rsidR="00A23D5D" w:rsidRPr="00102530" w:rsidRDefault="00A23D5D" w:rsidP="00A23D5D">
            <w:pPr>
              <w:spacing w:after="0" w:line="240" w:lineRule="auto"/>
              <w:textAlignment w:val="baseline"/>
              <w:rPr>
                <w:rFonts w:ascii="Times New Roman" w:eastAsia="Calibri" w:hAnsi="Times New Roman" w:cs="Times New Roman"/>
                <w:noProof/>
                <w:color w:val="006100"/>
                <w:sz w:val="20"/>
                <w:szCs w:val="20"/>
              </w:rPr>
            </w:pPr>
            <w:r>
              <w:rPr>
                <w:rFonts w:ascii="Times New Roman" w:hAnsi="Times New Roman"/>
                <w:noProof/>
                <w:color w:val="006100"/>
                <w:sz w:val="20"/>
              </w:rPr>
              <w:t xml:space="preserve">- la présence d’au moins un distributeur de billets accessible aux personnes à mobilité réduite </w:t>
            </w:r>
          </w:p>
          <w:p w14:paraId="070DD643" w14:textId="77777777" w:rsidR="00A23D5D" w:rsidRPr="00102530" w:rsidRDefault="00A23D5D" w:rsidP="00A23D5D">
            <w:pPr>
              <w:spacing w:after="0" w:line="240" w:lineRule="auto"/>
              <w:textAlignment w:val="baseline"/>
              <w:rPr>
                <w:rFonts w:ascii="Times New Roman" w:eastAsia="Calibri" w:hAnsi="Times New Roman" w:cs="Times New Roman"/>
                <w:noProof/>
                <w:color w:val="006100"/>
                <w:sz w:val="20"/>
                <w:szCs w:val="20"/>
              </w:rPr>
            </w:pPr>
            <w:r>
              <w:rPr>
                <w:rFonts w:ascii="Times New Roman" w:hAnsi="Times New Roman"/>
                <w:noProof/>
                <w:color w:val="006100"/>
                <w:sz w:val="20"/>
              </w:rPr>
              <w:t>et l’ajout de 6 000 places de parking pour vélos.</w:t>
            </w:r>
          </w:p>
        </w:tc>
      </w:tr>
      <w:tr w:rsidR="00A23D5D" w:rsidRPr="00102530" w14:paraId="4034B36F" w14:textId="77777777" w:rsidTr="00C77BBC">
        <w:trPr>
          <w:trHeight w:val="309"/>
          <w:jc w:val="center"/>
        </w:trPr>
        <w:tc>
          <w:tcPr>
            <w:tcW w:w="1129" w:type="dxa"/>
            <w:shd w:val="clear" w:color="auto" w:fill="C6EFCE"/>
            <w:vAlign w:val="center"/>
          </w:tcPr>
          <w:p w14:paraId="3B2D0B8F"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104</w:t>
            </w:r>
          </w:p>
        </w:tc>
        <w:tc>
          <w:tcPr>
            <w:tcW w:w="1560" w:type="dxa"/>
            <w:shd w:val="clear" w:color="auto" w:fill="C6EFCE"/>
            <w:vAlign w:val="center"/>
          </w:tcPr>
          <w:p w14:paraId="4A213C13" w14:textId="75D6318C"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Travaux d’infrastructure ferroviaire et travaux d’accessibilité des gares (I-3C)</w:t>
            </w:r>
          </w:p>
        </w:tc>
        <w:tc>
          <w:tcPr>
            <w:tcW w:w="708" w:type="dxa"/>
            <w:shd w:val="clear" w:color="auto" w:fill="C6EFCE"/>
            <w:vAlign w:val="center"/>
          </w:tcPr>
          <w:p w14:paraId="780A778C"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638" w:type="dxa"/>
            <w:shd w:val="clear" w:color="auto" w:fill="C6EFCE"/>
            <w:vAlign w:val="center"/>
          </w:tcPr>
          <w:p w14:paraId="44991D1C"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Achèvement des travaux de rénovation et de modernisation des chemins de fer et des travaux d’accessibilité des gares (étape 2)</w:t>
            </w:r>
          </w:p>
        </w:tc>
        <w:tc>
          <w:tcPr>
            <w:tcW w:w="1680" w:type="dxa"/>
            <w:shd w:val="clear" w:color="auto" w:fill="C6EFCE"/>
            <w:vAlign w:val="center"/>
          </w:tcPr>
          <w:p w14:paraId="40FEA0B3" w14:textId="77777777" w:rsidR="00A23D5D" w:rsidRPr="00746A1A" w:rsidRDefault="00A23D5D" w:rsidP="00A23D5D">
            <w:pPr>
              <w:spacing w:after="0"/>
              <w:rPr>
                <w:rFonts w:ascii="Times New Roman" w:eastAsia="Calibri" w:hAnsi="Times New Roman" w:cs="Times New Roman"/>
                <w:noProof/>
                <w:color w:val="006100"/>
                <w:sz w:val="20"/>
                <w:szCs w:val="20"/>
                <w:lang w:val="fr-BE" w:eastAsia="en-GB"/>
              </w:rPr>
            </w:pPr>
          </w:p>
        </w:tc>
        <w:tc>
          <w:tcPr>
            <w:tcW w:w="1440" w:type="dxa"/>
            <w:shd w:val="clear" w:color="auto" w:fill="C6EFCE"/>
            <w:vAlign w:val="center"/>
          </w:tcPr>
          <w:p w14:paraId="0367D197"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achevés</w:t>
            </w:r>
          </w:p>
        </w:tc>
        <w:tc>
          <w:tcPr>
            <w:tcW w:w="1080" w:type="dxa"/>
            <w:shd w:val="clear" w:color="auto" w:fill="C6EFCE"/>
            <w:vAlign w:val="center"/>
          </w:tcPr>
          <w:p w14:paraId="40E04A2C"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32</w:t>
            </w:r>
          </w:p>
        </w:tc>
        <w:tc>
          <w:tcPr>
            <w:tcW w:w="966" w:type="dxa"/>
            <w:shd w:val="clear" w:color="auto" w:fill="C6EFCE"/>
            <w:vAlign w:val="center"/>
          </w:tcPr>
          <w:p w14:paraId="778A5C4A"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62</w:t>
            </w:r>
          </w:p>
        </w:tc>
        <w:tc>
          <w:tcPr>
            <w:tcW w:w="1134" w:type="dxa"/>
            <w:shd w:val="clear" w:color="auto" w:fill="C6EFCE"/>
            <w:vAlign w:val="center"/>
          </w:tcPr>
          <w:p w14:paraId="120368B7"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1" w:type="dxa"/>
            <w:shd w:val="clear" w:color="auto" w:fill="C6EFCE"/>
            <w:vAlign w:val="center"/>
          </w:tcPr>
          <w:p w14:paraId="27D4E243"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316" w:type="dxa"/>
            <w:gridSpan w:val="2"/>
            <w:shd w:val="clear" w:color="auto" w:fill="C6EFCE"/>
            <w:vAlign w:val="center"/>
          </w:tcPr>
          <w:p w14:paraId="2CF8FD82"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Achèvement de 50 interventions destinées à moderniser l’infrastructure ferroviaire (I-3.10) et à rendre 12 gares accessibles (I-3.09) conformément au règlement (UE) nº 1300/2014 de la Commission, au regard d’au moins 4 critères:</w:t>
            </w:r>
          </w:p>
          <w:p w14:paraId="67221D8B"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 hauteur des quais (76 cm)</w:t>
            </w:r>
          </w:p>
          <w:p w14:paraId="22D45BFA"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l’accessibilité des quais par rampes ou ascenseurs</w:t>
            </w:r>
          </w:p>
          <w:p w14:paraId="47D950AC"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 présence d’un système de guidage podotactile et</w:t>
            </w:r>
          </w:p>
          <w:p w14:paraId="76F8C1EE"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 présence d’au moins un distributeur de billets accessible aux personnes à mobilité réduite</w:t>
            </w:r>
          </w:p>
        </w:tc>
      </w:tr>
      <w:tr w:rsidR="00A23D5D" w:rsidRPr="00102530" w14:paraId="6121014B" w14:textId="77777777" w:rsidTr="00C77BBC">
        <w:trPr>
          <w:gridAfter w:val="1"/>
          <w:wAfter w:w="33" w:type="dxa"/>
          <w:trHeight w:val="309"/>
          <w:jc w:val="center"/>
        </w:trPr>
        <w:tc>
          <w:tcPr>
            <w:tcW w:w="1129" w:type="dxa"/>
            <w:shd w:val="clear" w:color="auto" w:fill="C6EFCE"/>
            <w:noWrap/>
            <w:vAlign w:val="center"/>
          </w:tcPr>
          <w:p w14:paraId="40D4796C"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105</w:t>
            </w:r>
          </w:p>
        </w:tc>
        <w:tc>
          <w:tcPr>
            <w:tcW w:w="1560" w:type="dxa"/>
            <w:shd w:val="clear" w:color="auto" w:fill="C6EFCE"/>
            <w:noWrap/>
            <w:vAlign w:val="center"/>
          </w:tcPr>
          <w:p w14:paraId="324304BE" w14:textId="0C09330E"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Travaux d’infrastructure ferroviaire et travaux d’accessibilité des gares (I-3C)</w:t>
            </w:r>
          </w:p>
        </w:tc>
        <w:tc>
          <w:tcPr>
            <w:tcW w:w="708" w:type="dxa"/>
            <w:shd w:val="clear" w:color="auto" w:fill="C6EFCE"/>
            <w:noWrap/>
            <w:vAlign w:val="center"/>
          </w:tcPr>
          <w:p w14:paraId="5019C510"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638" w:type="dxa"/>
            <w:shd w:val="clear" w:color="auto" w:fill="C6EFCE"/>
            <w:noWrap/>
            <w:vAlign w:val="center"/>
          </w:tcPr>
          <w:p w14:paraId="07A9E111" w14:textId="303FCD4E" w:rsidR="00A23D5D" w:rsidRPr="00660AB2"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Interventions ferroviaires et travaux d’accessibilité des gares (étape 3)</w:t>
            </w:r>
          </w:p>
        </w:tc>
        <w:tc>
          <w:tcPr>
            <w:tcW w:w="1680" w:type="dxa"/>
            <w:shd w:val="clear" w:color="auto" w:fill="C6EFCE"/>
            <w:noWrap/>
            <w:vAlign w:val="center"/>
          </w:tcPr>
          <w:p w14:paraId="1B2BEC05" w14:textId="77777777" w:rsidR="00A23D5D" w:rsidRPr="00746A1A" w:rsidRDefault="00A23D5D" w:rsidP="00A23D5D">
            <w:pPr>
              <w:spacing w:after="0"/>
              <w:rPr>
                <w:rFonts w:ascii="Times New Roman" w:eastAsia="Calibri" w:hAnsi="Times New Roman" w:cs="Times New Roman"/>
                <w:noProof/>
                <w:color w:val="006100"/>
                <w:sz w:val="20"/>
                <w:szCs w:val="20"/>
                <w:lang w:val="fr-BE" w:eastAsia="en-GB"/>
              </w:rPr>
            </w:pPr>
          </w:p>
        </w:tc>
        <w:tc>
          <w:tcPr>
            <w:tcW w:w="1440" w:type="dxa"/>
            <w:shd w:val="clear" w:color="auto" w:fill="C6EFCE"/>
            <w:noWrap/>
            <w:vAlign w:val="center"/>
          </w:tcPr>
          <w:p w14:paraId="7F0A410C" w14:textId="04F0BDC9" w:rsidR="00A23D5D" w:rsidRPr="00652168"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sur l’infrastructure ferroviaire et les gares</w:t>
            </w:r>
          </w:p>
        </w:tc>
        <w:tc>
          <w:tcPr>
            <w:tcW w:w="1080" w:type="dxa"/>
            <w:shd w:val="clear" w:color="auto" w:fill="C6EFCE"/>
            <w:noWrap/>
            <w:vAlign w:val="center"/>
          </w:tcPr>
          <w:p w14:paraId="476E6345"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62</w:t>
            </w:r>
          </w:p>
        </w:tc>
        <w:tc>
          <w:tcPr>
            <w:tcW w:w="966" w:type="dxa"/>
            <w:shd w:val="clear" w:color="auto" w:fill="C6EFCE"/>
            <w:noWrap/>
            <w:vAlign w:val="center"/>
          </w:tcPr>
          <w:p w14:paraId="70E315EC"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90</w:t>
            </w:r>
          </w:p>
        </w:tc>
        <w:tc>
          <w:tcPr>
            <w:tcW w:w="1134" w:type="dxa"/>
            <w:shd w:val="clear" w:color="auto" w:fill="C6EFCE"/>
            <w:noWrap/>
            <w:vAlign w:val="center"/>
          </w:tcPr>
          <w:p w14:paraId="52CCDFFE"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18B9E46C"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283" w:type="dxa"/>
            <w:shd w:val="clear" w:color="auto" w:fill="C6EFCE"/>
            <w:noWrap/>
            <w:vAlign w:val="center"/>
          </w:tcPr>
          <w:p w14:paraId="6F739DAF" w14:textId="22AD7774" w:rsidR="00A23D5D" w:rsidRPr="00652168"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 de visite sur place ou rapport (provisoire) de réception pour 63 interventions</w:t>
            </w:r>
          </w:p>
          <w:p w14:paraId="41753AE9" w14:textId="5991D7C5" w:rsidR="00A23D5D" w:rsidRPr="00652168" w:rsidRDefault="00C60391"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de modernisation de l’infrastructure ferroviaire, notamment: cinq interventions sur l’axe bruxellois du Luxembourg (Eurocap rail – L162) et quatre interventions dans la zone bruxelloise (L50, L60, L161 et les voies d’approche de la gare de Bruxelles-Midi).</w:t>
            </w:r>
          </w:p>
          <w:p w14:paraId="4961CBB2" w14:textId="77777777" w:rsidR="00A23D5D" w:rsidRPr="00652168" w:rsidRDefault="00A23D5D" w:rsidP="00A23D5D">
            <w:pPr>
              <w:spacing w:after="0"/>
              <w:rPr>
                <w:rFonts w:ascii="Times New Roman" w:eastAsia="Times New Roman" w:hAnsi="Times New Roman" w:cs="Times New Roman"/>
                <w:noProof/>
                <w:color w:val="006100"/>
                <w:sz w:val="20"/>
                <w:szCs w:val="20"/>
              </w:rPr>
            </w:pPr>
          </w:p>
          <w:p w14:paraId="3134F35A" w14:textId="58A84D92" w:rsidR="00A23D5D" w:rsidRPr="00652168"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 de visite sur place ou rapport (provisoire) de réception pour des travaux d’accessibilité dans 27 gares.</w:t>
            </w:r>
          </w:p>
          <w:p w14:paraId="576883FC" w14:textId="77777777" w:rsidR="00A23D5D" w:rsidRPr="00652168" w:rsidRDefault="00A23D5D" w:rsidP="00A23D5D">
            <w:pPr>
              <w:spacing w:after="0"/>
              <w:rPr>
                <w:rFonts w:ascii="Times New Roman" w:eastAsia="Times New Roman" w:hAnsi="Times New Roman" w:cs="Times New Roman"/>
                <w:noProof/>
                <w:color w:val="006100"/>
                <w:sz w:val="20"/>
                <w:szCs w:val="20"/>
              </w:rPr>
            </w:pPr>
          </w:p>
          <w:p w14:paraId="062C00A2" w14:textId="043AA26B" w:rsidR="00A23D5D" w:rsidRPr="00652168" w:rsidRDefault="00A23D5D" w:rsidP="003C1FB8">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Rapport de visite sur place ou rapport (provisoire) de réception pour 9 000 places de parking pour vélos.</w:t>
            </w:r>
          </w:p>
        </w:tc>
      </w:tr>
      <w:tr w:rsidR="00A23D5D" w:rsidRPr="00102530" w14:paraId="2004070B" w14:textId="77777777" w:rsidTr="00C77BBC">
        <w:trPr>
          <w:gridAfter w:val="1"/>
          <w:wAfter w:w="33" w:type="dxa"/>
          <w:trHeight w:val="309"/>
          <w:jc w:val="center"/>
        </w:trPr>
        <w:tc>
          <w:tcPr>
            <w:tcW w:w="1129" w:type="dxa"/>
            <w:shd w:val="clear" w:color="auto" w:fill="C6EFCE"/>
            <w:noWrap/>
            <w:vAlign w:val="center"/>
          </w:tcPr>
          <w:p w14:paraId="4A3B8E29"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106</w:t>
            </w:r>
          </w:p>
        </w:tc>
        <w:tc>
          <w:tcPr>
            <w:tcW w:w="1560" w:type="dxa"/>
            <w:shd w:val="clear" w:color="auto" w:fill="C6EFCE"/>
            <w:noWrap/>
            <w:vAlign w:val="center"/>
          </w:tcPr>
          <w:p w14:paraId="69C994A8"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Canal Albert et Trilogiport (I-3.11)</w:t>
            </w:r>
          </w:p>
        </w:tc>
        <w:tc>
          <w:tcPr>
            <w:tcW w:w="708" w:type="dxa"/>
            <w:shd w:val="clear" w:color="auto" w:fill="C6EFCE"/>
            <w:noWrap/>
            <w:vAlign w:val="center"/>
          </w:tcPr>
          <w:p w14:paraId="7558E218"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638" w:type="dxa"/>
            <w:shd w:val="clear" w:color="auto" w:fill="C6EFCE"/>
            <w:noWrap/>
            <w:vAlign w:val="center"/>
          </w:tcPr>
          <w:p w14:paraId="6DE6B697"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Attribution des marchés pour les travaux des ponts sur le Canal Albert/extension de la plateforme Trilogiport </w:t>
            </w:r>
          </w:p>
        </w:tc>
        <w:tc>
          <w:tcPr>
            <w:tcW w:w="1680" w:type="dxa"/>
            <w:shd w:val="clear" w:color="auto" w:fill="C6EFCE"/>
            <w:noWrap/>
            <w:vAlign w:val="center"/>
          </w:tcPr>
          <w:p w14:paraId="46F7B312"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écrit des marchés</w:t>
            </w:r>
          </w:p>
        </w:tc>
        <w:tc>
          <w:tcPr>
            <w:tcW w:w="1440" w:type="dxa"/>
            <w:shd w:val="clear" w:color="auto" w:fill="C6EFCE"/>
            <w:noWrap/>
            <w:vAlign w:val="center"/>
          </w:tcPr>
          <w:p w14:paraId="279D88E4" w14:textId="77777777" w:rsidR="00A23D5D" w:rsidRPr="00746A1A" w:rsidRDefault="00A23D5D" w:rsidP="00A23D5D">
            <w:pPr>
              <w:spacing w:after="0"/>
              <w:rPr>
                <w:rFonts w:ascii="Times New Roman" w:eastAsia="Times New Roman" w:hAnsi="Times New Roman" w:cs="Times New Roman"/>
                <w:noProof/>
                <w:color w:val="006100"/>
                <w:sz w:val="20"/>
                <w:szCs w:val="20"/>
                <w:lang w:val="fr-BE" w:eastAsia="en-GB"/>
              </w:rPr>
            </w:pPr>
          </w:p>
        </w:tc>
        <w:tc>
          <w:tcPr>
            <w:tcW w:w="1080" w:type="dxa"/>
            <w:shd w:val="clear" w:color="auto" w:fill="C6EFCE"/>
            <w:noWrap/>
            <w:vAlign w:val="center"/>
          </w:tcPr>
          <w:p w14:paraId="61995404" w14:textId="77777777" w:rsidR="00A23D5D" w:rsidRPr="00746A1A" w:rsidRDefault="00A23D5D" w:rsidP="00A23D5D">
            <w:pPr>
              <w:spacing w:after="0"/>
              <w:rPr>
                <w:rFonts w:ascii="Times New Roman" w:eastAsia="Times New Roman" w:hAnsi="Times New Roman" w:cs="Times New Roman"/>
                <w:noProof/>
                <w:color w:val="006100"/>
                <w:sz w:val="20"/>
                <w:szCs w:val="20"/>
                <w:lang w:val="fr-BE" w:eastAsia="en-GB"/>
              </w:rPr>
            </w:pPr>
          </w:p>
        </w:tc>
        <w:tc>
          <w:tcPr>
            <w:tcW w:w="966" w:type="dxa"/>
            <w:shd w:val="clear" w:color="auto" w:fill="C6EFCE"/>
            <w:noWrap/>
            <w:vAlign w:val="center"/>
          </w:tcPr>
          <w:p w14:paraId="5238F857" w14:textId="77777777" w:rsidR="00A23D5D" w:rsidRPr="00746A1A" w:rsidRDefault="00A23D5D" w:rsidP="00A23D5D">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E9C081B"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1" w:type="dxa"/>
            <w:shd w:val="clear" w:color="auto" w:fill="C6EFCE"/>
            <w:noWrap/>
            <w:vAlign w:val="center"/>
          </w:tcPr>
          <w:p w14:paraId="72EFE03A"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283" w:type="dxa"/>
            <w:shd w:val="clear" w:color="auto" w:fill="C6EFCE"/>
            <w:noWrap/>
            <w:vAlign w:val="center"/>
          </w:tcPr>
          <w:p w14:paraId="777A0AFA"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tous les contrats relatifs aux travaux d’extension de la plateforme multimodale Trilogiport à Liège et des 3 ponts sur le Canal Albert (ponts de Lanaye, Lixhe et Hermalle-sous-Argenteau)</w:t>
            </w:r>
          </w:p>
        </w:tc>
      </w:tr>
      <w:tr w:rsidR="00A23D5D" w:rsidRPr="00102530" w14:paraId="1F2750DD" w14:textId="77777777" w:rsidTr="00C77BBC">
        <w:trPr>
          <w:gridAfter w:val="1"/>
          <w:wAfter w:w="33" w:type="dxa"/>
          <w:trHeight w:val="309"/>
          <w:jc w:val="center"/>
        </w:trPr>
        <w:tc>
          <w:tcPr>
            <w:tcW w:w="1129" w:type="dxa"/>
            <w:shd w:val="clear" w:color="auto" w:fill="C6EFCE"/>
            <w:noWrap/>
            <w:vAlign w:val="center"/>
          </w:tcPr>
          <w:p w14:paraId="558EEBF7"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107</w:t>
            </w:r>
          </w:p>
        </w:tc>
        <w:tc>
          <w:tcPr>
            <w:tcW w:w="1560" w:type="dxa"/>
            <w:shd w:val="clear" w:color="auto" w:fill="C6EFCE"/>
            <w:noWrap/>
            <w:vAlign w:val="center"/>
          </w:tcPr>
          <w:p w14:paraId="66FF3AB2"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Canal Albert et Trilogiport (I-3.11)</w:t>
            </w:r>
          </w:p>
        </w:tc>
        <w:tc>
          <w:tcPr>
            <w:tcW w:w="708" w:type="dxa"/>
            <w:shd w:val="clear" w:color="auto" w:fill="C6EFCE"/>
            <w:noWrap/>
            <w:vAlign w:val="center"/>
          </w:tcPr>
          <w:p w14:paraId="687BA1F1"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638" w:type="dxa"/>
            <w:shd w:val="clear" w:color="auto" w:fill="C6EFCE"/>
            <w:noWrap/>
            <w:vAlign w:val="center"/>
          </w:tcPr>
          <w:p w14:paraId="6A008E3D" w14:textId="6F9362D4"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Augmentation de la hauteur des ponts sur le canal Albert et installation d’une signalisation complémentaire sur un pont/extension de la plateforme Trilogiport</w:t>
            </w:r>
          </w:p>
        </w:tc>
        <w:tc>
          <w:tcPr>
            <w:tcW w:w="1680" w:type="dxa"/>
            <w:shd w:val="clear" w:color="auto" w:fill="C6EFCE"/>
            <w:noWrap/>
            <w:vAlign w:val="center"/>
          </w:tcPr>
          <w:p w14:paraId="325DA562" w14:textId="77777777" w:rsidR="00A23D5D" w:rsidRPr="00746A1A" w:rsidRDefault="00A23D5D" w:rsidP="00A23D5D">
            <w:pPr>
              <w:spacing w:after="0"/>
              <w:rPr>
                <w:rFonts w:ascii="Times New Roman" w:eastAsia="Times New Roman" w:hAnsi="Times New Roman" w:cs="Times New Roman"/>
                <w:noProof/>
                <w:color w:val="006100"/>
                <w:sz w:val="20"/>
                <w:szCs w:val="20"/>
                <w:lang w:val="fr-BE" w:eastAsia="en-GB"/>
              </w:rPr>
            </w:pPr>
          </w:p>
        </w:tc>
        <w:tc>
          <w:tcPr>
            <w:tcW w:w="1440" w:type="dxa"/>
            <w:shd w:val="clear" w:color="auto" w:fill="C6EFCE"/>
            <w:noWrap/>
            <w:vAlign w:val="center"/>
          </w:tcPr>
          <w:p w14:paraId="4D9E77AB"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 de travaux</w:t>
            </w:r>
          </w:p>
        </w:tc>
        <w:tc>
          <w:tcPr>
            <w:tcW w:w="1080" w:type="dxa"/>
            <w:shd w:val="clear" w:color="auto" w:fill="C6EFCE"/>
            <w:noWrap/>
            <w:vAlign w:val="center"/>
          </w:tcPr>
          <w:p w14:paraId="5361B782"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66" w:type="dxa"/>
            <w:shd w:val="clear" w:color="auto" w:fill="C6EFCE"/>
            <w:noWrap/>
            <w:vAlign w:val="center"/>
          </w:tcPr>
          <w:p w14:paraId="66C9CEA4"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4</w:t>
            </w:r>
          </w:p>
        </w:tc>
        <w:tc>
          <w:tcPr>
            <w:tcW w:w="1134" w:type="dxa"/>
            <w:shd w:val="clear" w:color="auto" w:fill="C6EFCE"/>
            <w:noWrap/>
            <w:vAlign w:val="center"/>
          </w:tcPr>
          <w:p w14:paraId="6709504E"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6B5A9B4C"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283" w:type="dxa"/>
            <w:shd w:val="clear" w:color="auto" w:fill="C6EFCE"/>
            <w:noWrap/>
            <w:vAlign w:val="center"/>
          </w:tcPr>
          <w:p w14:paraId="7C361B3B" w14:textId="77777777" w:rsidR="00A23D5D" w:rsidRDefault="00A23D5D" w:rsidP="00A23D5D">
            <w:pPr>
              <w:pStyle w:val="ListParagraph"/>
              <w:numPr>
                <w:ilvl w:val="0"/>
                <w:numId w:val="46"/>
              </w:numPr>
              <w:spacing w:after="0"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Extension de la plateforme multimodale de Trilogiport à Liège </w:t>
            </w:r>
          </w:p>
          <w:p w14:paraId="17F7F965" w14:textId="25FC6C70" w:rsidR="00A23D5D" w:rsidRPr="00102530" w:rsidRDefault="00A23D5D" w:rsidP="00A23D5D">
            <w:pPr>
              <w:numPr>
                <w:ilvl w:val="0"/>
                <w:numId w:val="46"/>
              </w:numPr>
              <w:spacing w:after="0"/>
              <w:contextualSpacing/>
              <w:rPr>
                <w:rFonts w:ascii="Times New Roman" w:eastAsia="Calibri" w:hAnsi="Times New Roman" w:cs="Times New Roman"/>
                <w:noProof/>
                <w:color w:val="006100"/>
                <w:sz w:val="20"/>
                <w:szCs w:val="20"/>
              </w:rPr>
            </w:pPr>
            <w:r>
              <w:rPr>
                <w:rFonts w:ascii="Times New Roman" w:hAnsi="Times New Roman"/>
                <w:noProof/>
                <w:color w:val="006100"/>
                <w:sz w:val="20"/>
              </w:rPr>
              <w:t>Augmentation de la hauteur de deux ponts sur le canal Albert (ponts de Lixhe et d’Hermalle-sous-Argenteau) et installation d’une signalisation complémentaire sur un pont sur le canal Albert (Lanaye) afin de permettre aux barges de transporter des marchandises d’une hauteur pouvant aller jusqu’à 9,1 m (quatre couches de chargement)</w:t>
            </w:r>
          </w:p>
        </w:tc>
      </w:tr>
      <w:tr w:rsidR="00A23D5D" w:rsidRPr="00102530" w14:paraId="2D5EBCAB" w14:textId="77777777" w:rsidTr="00C77BBC">
        <w:trPr>
          <w:gridAfter w:val="1"/>
          <w:wAfter w:w="33" w:type="dxa"/>
          <w:trHeight w:val="309"/>
          <w:jc w:val="center"/>
        </w:trPr>
        <w:tc>
          <w:tcPr>
            <w:tcW w:w="1129" w:type="dxa"/>
            <w:shd w:val="clear" w:color="auto" w:fill="C6EFCE"/>
            <w:noWrap/>
            <w:vAlign w:val="center"/>
          </w:tcPr>
          <w:p w14:paraId="4255F877" w14:textId="77777777" w:rsidR="00A23D5D" w:rsidRPr="00102530" w:rsidRDefault="00A23D5D" w:rsidP="00A23D5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108</w:t>
            </w:r>
          </w:p>
        </w:tc>
        <w:tc>
          <w:tcPr>
            <w:tcW w:w="1560" w:type="dxa"/>
            <w:shd w:val="clear" w:color="auto" w:fill="C6EFCE"/>
            <w:noWrap/>
            <w:vAlign w:val="center"/>
          </w:tcPr>
          <w:p w14:paraId="7729C053"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Stockage, analyse et visualisation des données relatives à la mobilité sur une plateforme numérique (I-3D) </w:t>
            </w:r>
          </w:p>
        </w:tc>
        <w:tc>
          <w:tcPr>
            <w:tcW w:w="708" w:type="dxa"/>
            <w:shd w:val="clear" w:color="auto" w:fill="C6EFCE"/>
            <w:noWrap/>
            <w:vAlign w:val="center"/>
          </w:tcPr>
          <w:p w14:paraId="17C41ADA"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1638" w:type="dxa"/>
            <w:shd w:val="clear" w:color="auto" w:fill="C6EFCE"/>
            <w:noWrap/>
            <w:vAlign w:val="center"/>
          </w:tcPr>
          <w:p w14:paraId="5946E9D9"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Établissement de cas d’utilisation des données relatives à la mobilité</w:t>
            </w:r>
          </w:p>
        </w:tc>
        <w:tc>
          <w:tcPr>
            <w:tcW w:w="1680" w:type="dxa"/>
            <w:shd w:val="clear" w:color="auto" w:fill="C6EFCE"/>
            <w:noWrap/>
            <w:vAlign w:val="center"/>
          </w:tcPr>
          <w:p w14:paraId="1085FCB5" w14:textId="77777777" w:rsidR="00A23D5D" w:rsidRPr="00746A1A" w:rsidRDefault="00A23D5D" w:rsidP="00A23D5D">
            <w:pPr>
              <w:spacing w:after="0"/>
              <w:rPr>
                <w:rFonts w:ascii="Times New Roman" w:eastAsia="Calibri" w:hAnsi="Times New Roman" w:cs="Arial"/>
                <w:noProof/>
                <w:color w:val="006100"/>
                <w:sz w:val="20"/>
                <w:szCs w:val="20"/>
                <w:lang w:val="fr-BE"/>
              </w:rPr>
            </w:pPr>
          </w:p>
        </w:tc>
        <w:tc>
          <w:tcPr>
            <w:tcW w:w="1440" w:type="dxa"/>
            <w:shd w:val="clear" w:color="auto" w:fill="C6EFCE"/>
            <w:noWrap/>
            <w:vAlign w:val="center"/>
          </w:tcPr>
          <w:p w14:paraId="7F3C5B2E"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Cas d’utilisation de la mobilité </w:t>
            </w:r>
          </w:p>
        </w:tc>
        <w:tc>
          <w:tcPr>
            <w:tcW w:w="1080" w:type="dxa"/>
            <w:shd w:val="clear" w:color="auto" w:fill="C6EFCE"/>
            <w:noWrap/>
            <w:vAlign w:val="center"/>
          </w:tcPr>
          <w:p w14:paraId="4982F317"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0</w:t>
            </w:r>
          </w:p>
        </w:tc>
        <w:tc>
          <w:tcPr>
            <w:tcW w:w="966" w:type="dxa"/>
            <w:shd w:val="clear" w:color="auto" w:fill="C6EFCE"/>
            <w:noWrap/>
            <w:vAlign w:val="center"/>
          </w:tcPr>
          <w:p w14:paraId="3FB48B1A"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15</w:t>
            </w:r>
          </w:p>
        </w:tc>
        <w:tc>
          <w:tcPr>
            <w:tcW w:w="1134" w:type="dxa"/>
            <w:shd w:val="clear" w:color="auto" w:fill="C6EFCE"/>
            <w:noWrap/>
            <w:vAlign w:val="center"/>
          </w:tcPr>
          <w:p w14:paraId="0C4944CE" w14:textId="77777777" w:rsidR="00A23D5D" w:rsidRPr="00102530" w:rsidRDefault="00A23D5D" w:rsidP="00A23D5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T1</w:t>
            </w:r>
          </w:p>
        </w:tc>
        <w:tc>
          <w:tcPr>
            <w:tcW w:w="851" w:type="dxa"/>
            <w:shd w:val="clear" w:color="auto" w:fill="C6EFCE"/>
            <w:noWrap/>
            <w:vAlign w:val="center"/>
          </w:tcPr>
          <w:p w14:paraId="71E15CF0" w14:textId="77777777" w:rsidR="00A23D5D" w:rsidRPr="00102530" w:rsidRDefault="00A23D5D" w:rsidP="00A23D5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2025</w:t>
            </w:r>
          </w:p>
        </w:tc>
        <w:tc>
          <w:tcPr>
            <w:tcW w:w="3283" w:type="dxa"/>
            <w:shd w:val="clear" w:color="auto" w:fill="C6EFCE"/>
            <w:noWrap/>
            <w:vAlign w:val="center"/>
          </w:tcPr>
          <w:p w14:paraId="6DB755AD" w14:textId="77777777" w:rsidR="00A23D5D" w:rsidRPr="00456262" w:rsidRDefault="00A23D5D" w:rsidP="00A23D5D">
            <w:pPr>
              <w:spacing w:after="0"/>
              <w:rPr>
                <w:rFonts w:ascii="Times New Roman" w:eastAsia="Calibri" w:hAnsi="Times New Roman" w:cs="Arial"/>
                <w:noProof/>
                <w:color w:val="006100"/>
                <w:sz w:val="20"/>
                <w:szCs w:val="20"/>
              </w:rPr>
            </w:pPr>
            <w:bookmarkStart w:id="9" w:name="_Hlk210833564"/>
            <w:r>
              <w:rPr>
                <w:rFonts w:ascii="Times New Roman" w:hAnsi="Times New Roman"/>
                <w:noProof/>
                <w:color w:val="006100"/>
                <w:sz w:val="20"/>
              </w:rPr>
              <w:t xml:space="preserve">Création de 15 cas d’utilisation des données de mobilité sur une plateforme numérique permettant le stockage, l’analyse et la visualisation des données de mobilité </w:t>
            </w:r>
            <w:bookmarkEnd w:id="9"/>
          </w:p>
        </w:tc>
      </w:tr>
      <w:tr w:rsidR="00A23D5D" w:rsidRPr="00102530" w14:paraId="4AB12D49" w14:textId="77777777" w:rsidTr="00C77BBC">
        <w:trPr>
          <w:gridAfter w:val="1"/>
          <w:wAfter w:w="33" w:type="dxa"/>
          <w:trHeight w:val="309"/>
          <w:jc w:val="center"/>
        </w:trPr>
        <w:tc>
          <w:tcPr>
            <w:tcW w:w="1129" w:type="dxa"/>
            <w:shd w:val="clear" w:color="auto" w:fill="C6EFCE"/>
            <w:noWrap/>
            <w:vAlign w:val="center"/>
          </w:tcPr>
          <w:p w14:paraId="2678B87A"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109</w:t>
            </w:r>
          </w:p>
        </w:tc>
        <w:tc>
          <w:tcPr>
            <w:tcW w:w="1560" w:type="dxa"/>
            <w:shd w:val="clear" w:color="auto" w:fill="C6EFCE"/>
            <w:noWrap/>
            <w:vAlign w:val="center"/>
          </w:tcPr>
          <w:p w14:paraId="0049D752" w14:textId="1A2BFD44"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Systèmes informatiques ferroviaires (I-3E)</w:t>
            </w:r>
          </w:p>
        </w:tc>
        <w:tc>
          <w:tcPr>
            <w:tcW w:w="708" w:type="dxa"/>
            <w:shd w:val="clear" w:color="auto" w:fill="C6EFCE"/>
            <w:noWrap/>
            <w:vAlign w:val="center"/>
          </w:tcPr>
          <w:p w14:paraId="2BD624B4" w14:textId="249FD9D8"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638" w:type="dxa"/>
            <w:shd w:val="clear" w:color="auto" w:fill="C6EFCE"/>
            <w:noWrap/>
            <w:vAlign w:val="center"/>
          </w:tcPr>
          <w:p w14:paraId="514AE4E8" w14:textId="57E31FC4"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B6A0B"/>
                <w:sz w:val="20"/>
              </w:rPr>
              <w:t>Systèmes informatiques ferroviaires</w:t>
            </w:r>
          </w:p>
        </w:tc>
        <w:tc>
          <w:tcPr>
            <w:tcW w:w="1680" w:type="dxa"/>
            <w:shd w:val="clear" w:color="auto" w:fill="C6EFCE"/>
            <w:noWrap/>
            <w:vAlign w:val="center"/>
          </w:tcPr>
          <w:p w14:paraId="413C8680" w14:textId="6DDE188A"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Système de gestion du trafic et application et site web SNCB-NMBS</w:t>
            </w:r>
          </w:p>
        </w:tc>
        <w:tc>
          <w:tcPr>
            <w:tcW w:w="1440" w:type="dxa"/>
            <w:shd w:val="clear" w:color="auto" w:fill="C6EFCE"/>
            <w:noWrap/>
            <w:vAlign w:val="center"/>
          </w:tcPr>
          <w:p w14:paraId="4A00BDC2" w14:textId="3F46809D" w:rsidR="00A23D5D" w:rsidRPr="00746A1A" w:rsidRDefault="00A23D5D" w:rsidP="00A23D5D">
            <w:pPr>
              <w:spacing w:after="0"/>
              <w:rPr>
                <w:rFonts w:ascii="Times New Roman" w:eastAsia="Calibri" w:hAnsi="Times New Roman" w:cs="Times New Roman"/>
                <w:noProof/>
                <w:color w:val="006100"/>
                <w:sz w:val="20"/>
                <w:szCs w:val="20"/>
                <w:lang w:val="fr-BE"/>
              </w:rPr>
            </w:pPr>
          </w:p>
        </w:tc>
        <w:tc>
          <w:tcPr>
            <w:tcW w:w="1080" w:type="dxa"/>
            <w:shd w:val="clear" w:color="auto" w:fill="C6EFCE"/>
            <w:noWrap/>
            <w:vAlign w:val="center"/>
          </w:tcPr>
          <w:p w14:paraId="197C8C7A" w14:textId="0EC0DBC8" w:rsidR="00A23D5D" w:rsidRPr="00746A1A" w:rsidRDefault="00A23D5D" w:rsidP="00A23D5D">
            <w:pPr>
              <w:spacing w:after="0"/>
              <w:rPr>
                <w:rFonts w:ascii="Times New Roman" w:eastAsia="Times New Roman" w:hAnsi="Times New Roman" w:cs="Times New Roman"/>
                <w:noProof/>
                <w:color w:val="006100"/>
                <w:sz w:val="20"/>
                <w:szCs w:val="20"/>
                <w:lang w:val="fr-BE"/>
              </w:rPr>
            </w:pPr>
          </w:p>
        </w:tc>
        <w:tc>
          <w:tcPr>
            <w:tcW w:w="966" w:type="dxa"/>
            <w:shd w:val="clear" w:color="auto" w:fill="C6EFCE"/>
            <w:noWrap/>
            <w:vAlign w:val="center"/>
          </w:tcPr>
          <w:p w14:paraId="7ADCC75F" w14:textId="77777777" w:rsidR="00A23D5D" w:rsidRPr="00746A1A" w:rsidRDefault="00A23D5D" w:rsidP="00A23D5D">
            <w:pPr>
              <w:spacing w:after="0"/>
              <w:rPr>
                <w:rFonts w:ascii="Times New Roman" w:eastAsia="Times New Roman" w:hAnsi="Times New Roman" w:cs="Times New Roman"/>
                <w:noProof/>
                <w:color w:val="006100"/>
                <w:sz w:val="20"/>
                <w:szCs w:val="20"/>
                <w:lang w:val="fr-BE"/>
              </w:rPr>
            </w:pPr>
          </w:p>
        </w:tc>
        <w:tc>
          <w:tcPr>
            <w:tcW w:w="1134" w:type="dxa"/>
            <w:shd w:val="clear" w:color="auto" w:fill="C6EFCE"/>
            <w:noWrap/>
            <w:vAlign w:val="center"/>
          </w:tcPr>
          <w:p w14:paraId="02D97643"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6B9A876F"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283" w:type="dxa"/>
            <w:shd w:val="clear" w:color="auto" w:fill="C6EFCE"/>
            <w:noWrap/>
            <w:vAlign w:val="center"/>
          </w:tcPr>
          <w:p w14:paraId="06280E1B" w14:textId="3A93622A" w:rsidR="00A250B2" w:rsidRDefault="00A250B2" w:rsidP="00A250B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rapport d’inspection sur place («</w:t>
            </w:r>
            <w:r>
              <w:rPr>
                <w:rFonts w:ascii="Times New Roman" w:hAnsi="Times New Roman"/>
                <w:i/>
                <w:noProof/>
                <w:color w:val="006100"/>
                <w:sz w:val="20"/>
              </w:rPr>
              <w:t>Verslag werfbezoek</w:t>
            </w:r>
            <w:r>
              <w:rPr>
                <w:rFonts w:ascii="Times New Roman" w:hAnsi="Times New Roman"/>
                <w:noProof/>
                <w:color w:val="006100"/>
                <w:sz w:val="20"/>
              </w:rPr>
              <w:t>») du système de gestion du trafic d’Infrabel est établi par le ministère de la mobilité et des transports.</w:t>
            </w:r>
          </w:p>
          <w:p w14:paraId="49B1D549" w14:textId="77777777" w:rsidR="00A250B2" w:rsidRDefault="00A250B2" w:rsidP="00A250B2">
            <w:pPr>
              <w:spacing w:after="0"/>
              <w:rPr>
                <w:rFonts w:ascii="Times New Roman" w:eastAsia="Times New Roman" w:hAnsi="Times New Roman" w:cs="Times New Roman"/>
                <w:noProof/>
                <w:color w:val="006100"/>
                <w:sz w:val="20"/>
                <w:szCs w:val="20"/>
              </w:rPr>
            </w:pPr>
          </w:p>
          <w:p w14:paraId="0B62E832" w14:textId="19B37AFA" w:rsidR="00A250B2" w:rsidRPr="00B9749D" w:rsidRDefault="00A250B2" w:rsidP="00A250B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L’application SNCB-NMBS est en ligne et:</w:t>
            </w:r>
          </w:p>
          <w:p w14:paraId="6C726E06" w14:textId="25E02662" w:rsidR="00A250B2" w:rsidRPr="00B9749D" w:rsidRDefault="00A250B2" w:rsidP="00A250B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inclut les données des opérateurs de transport régionaux belges dans le planificateur de voyages;</w:t>
            </w:r>
          </w:p>
          <w:p w14:paraId="7CF3CE4B" w14:textId="77777777" w:rsidR="00A250B2" w:rsidRPr="00B9749D" w:rsidRDefault="00A250B2" w:rsidP="00A250B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permet l’achat de billets De Lijn et de billets numériques Brupass;</w:t>
            </w:r>
          </w:p>
          <w:p w14:paraId="303E05AA" w14:textId="71288D1F" w:rsidR="00A250B2" w:rsidRPr="00746A1A" w:rsidRDefault="00A250B2" w:rsidP="00A250B2">
            <w:pPr>
              <w:spacing w:after="0"/>
              <w:rPr>
                <w:rFonts w:ascii="Times New Roman" w:eastAsia="Times New Roman" w:hAnsi="Times New Roman" w:cs="Times New Roman"/>
                <w:noProof/>
                <w:color w:val="006100"/>
                <w:sz w:val="20"/>
                <w:szCs w:val="20"/>
                <w:lang w:val="fr-BE"/>
              </w:rPr>
            </w:pPr>
          </w:p>
          <w:p w14:paraId="566C0C52" w14:textId="3BBACEA8" w:rsidR="00A250B2" w:rsidRPr="00E63BBE" w:rsidRDefault="00A250B2" w:rsidP="00A250B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permet l’achat du produit Flex Abo;</w:t>
            </w:r>
          </w:p>
          <w:p w14:paraId="0A217D29" w14:textId="0896C832" w:rsidR="00A250B2" w:rsidRDefault="00A250B2" w:rsidP="00A250B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permet de stocker dans le cloud les billets achetés.</w:t>
            </w:r>
          </w:p>
          <w:p w14:paraId="41CB396E" w14:textId="77777777" w:rsidR="00A250B2" w:rsidRPr="00746A1A" w:rsidRDefault="00A250B2" w:rsidP="00A250B2">
            <w:pPr>
              <w:spacing w:after="0"/>
              <w:rPr>
                <w:rFonts w:ascii="Times New Roman" w:eastAsia="Times New Roman" w:hAnsi="Times New Roman" w:cs="Times New Roman"/>
                <w:noProof/>
                <w:color w:val="006100"/>
                <w:sz w:val="20"/>
                <w:szCs w:val="20"/>
                <w:lang w:val="fr-BE"/>
              </w:rPr>
            </w:pPr>
          </w:p>
          <w:p w14:paraId="7590AFB2" w14:textId="694E8D1E" w:rsidR="00A23D5D" w:rsidRPr="00456262" w:rsidRDefault="00A250B2" w:rsidP="00A250B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 site web de la SNCB-NMBS permet d’acheter des abonnements combinés de la SNCB-NMBS et des opérateurs de transport régionaux belges.</w:t>
            </w:r>
          </w:p>
        </w:tc>
      </w:tr>
      <w:tr w:rsidR="00A23D5D" w:rsidRPr="00102530" w14:paraId="575B4BC5" w14:textId="77777777" w:rsidTr="00C77BBC">
        <w:trPr>
          <w:gridAfter w:val="1"/>
          <w:wAfter w:w="33" w:type="dxa"/>
          <w:trHeight w:val="309"/>
          <w:jc w:val="center"/>
        </w:trPr>
        <w:tc>
          <w:tcPr>
            <w:tcW w:w="1129" w:type="dxa"/>
            <w:shd w:val="clear" w:color="auto" w:fill="C6EFCE"/>
            <w:noWrap/>
            <w:vAlign w:val="center"/>
          </w:tcPr>
          <w:p w14:paraId="0A231979"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110</w:t>
            </w:r>
          </w:p>
        </w:tc>
        <w:tc>
          <w:tcPr>
            <w:tcW w:w="1560" w:type="dxa"/>
            <w:shd w:val="clear" w:color="auto" w:fill="C6EFCE"/>
            <w:noWrap/>
            <w:vAlign w:val="center"/>
          </w:tcPr>
          <w:p w14:paraId="7F94E329"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Budget mobilité (R-3.02)</w:t>
            </w:r>
          </w:p>
        </w:tc>
        <w:tc>
          <w:tcPr>
            <w:tcW w:w="708" w:type="dxa"/>
            <w:shd w:val="clear" w:color="auto" w:fill="C6EFCE"/>
            <w:noWrap/>
            <w:vAlign w:val="center"/>
          </w:tcPr>
          <w:p w14:paraId="0DDBA28B"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638" w:type="dxa"/>
            <w:shd w:val="clear" w:color="auto" w:fill="C6EFCE"/>
            <w:noWrap/>
            <w:vAlign w:val="center"/>
          </w:tcPr>
          <w:p w14:paraId="3DF771B5"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du budget mobilité</w:t>
            </w:r>
          </w:p>
        </w:tc>
        <w:tc>
          <w:tcPr>
            <w:tcW w:w="1680" w:type="dxa"/>
            <w:shd w:val="clear" w:color="auto" w:fill="C6EFCE"/>
            <w:noWrap/>
            <w:vAlign w:val="center"/>
          </w:tcPr>
          <w:p w14:paraId="58D203F8"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budget mobilité</w:t>
            </w:r>
          </w:p>
        </w:tc>
        <w:tc>
          <w:tcPr>
            <w:tcW w:w="1440" w:type="dxa"/>
            <w:shd w:val="clear" w:color="auto" w:fill="C6EFCE"/>
            <w:noWrap/>
            <w:vAlign w:val="center"/>
          </w:tcPr>
          <w:p w14:paraId="0BEF2B6C"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080" w:type="dxa"/>
            <w:shd w:val="clear" w:color="auto" w:fill="C6EFCE"/>
            <w:noWrap/>
            <w:vAlign w:val="center"/>
          </w:tcPr>
          <w:p w14:paraId="7161780B"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66" w:type="dxa"/>
            <w:shd w:val="clear" w:color="auto" w:fill="C6EFCE"/>
            <w:noWrap/>
            <w:vAlign w:val="center"/>
          </w:tcPr>
          <w:p w14:paraId="43472579"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shd w:val="clear" w:color="auto" w:fill="C6EFCE"/>
            <w:noWrap/>
            <w:vAlign w:val="center"/>
          </w:tcPr>
          <w:p w14:paraId="1B7566F4"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1" w:type="dxa"/>
            <w:shd w:val="clear" w:color="auto" w:fill="C6EFCE"/>
            <w:noWrap/>
            <w:vAlign w:val="center"/>
          </w:tcPr>
          <w:p w14:paraId="01FB69DF"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283" w:type="dxa"/>
            <w:shd w:val="clear" w:color="auto" w:fill="C6EFCE"/>
            <w:noWrap/>
            <w:vAlign w:val="center"/>
          </w:tcPr>
          <w:p w14:paraId="25195193"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budget mobilité</w:t>
            </w:r>
          </w:p>
        </w:tc>
      </w:tr>
      <w:tr w:rsidR="00A23D5D" w:rsidRPr="00102530" w14:paraId="01D95946" w14:textId="77777777" w:rsidTr="00C77BBC">
        <w:trPr>
          <w:gridAfter w:val="1"/>
          <w:wAfter w:w="33" w:type="dxa"/>
          <w:trHeight w:val="309"/>
          <w:jc w:val="center"/>
        </w:trPr>
        <w:tc>
          <w:tcPr>
            <w:tcW w:w="1129" w:type="dxa"/>
            <w:tcBorders>
              <w:bottom w:val="single" w:sz="4" w:space="0" w:color="auto"/>
            </w:tcBorders>
            <w:shd w:val="clear" w:color="auto" w:fill="C6EFCE"/>
            <w:noWrap/>
            <w:vAlign w:val="center"/>
          </w:tcPr>
          <w:p w14:paraId="6476AD77"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111</w:t>
            </w:r>
          </w:p>
        </w:tc>
        <w:tc>
          <w:tcPr>
            <w:tcW w:w="1560" w:type="dxa"/>
            <w:tcBorders>
              <w:bottom w:val="single" w:sz="4" w:space="0" w:color="auto"/>
            </w:tcBorders>
            <w:shd w:val="clear" w:color="auto" w:fill="C6EFCE"/>
            <w:noWrap/>
            <w:vAlign w:val="center"/>
          </w:tcPr>
          <w:p w14:paraId="37E99376"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Performance Infrabel/SNCB de l’État fédéral (R-3.01)</w:t>
            </w:r>
          </w:p>
        </w:tc>
        <w:tc>
          <w:tcPr>
            <w:tcW w:w="708" w:type="dxa"/>
            <w:tcBorders>
              <w:bottom w:val="single" w:sz="4" w:space="0" w:color="auto"/>
            </w:tcBorders>
            <w:shd w:val="clear" w:color="auto" w:fill="C6EFCE"/>
            <w:noWrap/>
            <w:vAlign w:val="center"/>
          </w:tcPr>
          <w:p w14:paraId="16CAD88E"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638" w:type="dxa"/>
            <w:tcBorders>
              <w:bottom w:val="single" w:sz="4" w:space="0" w:color="auto"/>
            </w:tcBorders>
            <w:shd w:val="clear" w:color="auto" w:fill="C6EFCE"/>
            <w:noWrap/>
            <w:vAlign w:val="center"/>
          </w:tcPr>
          <w:p w14:paraId="7EE28C62"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Approbation des nouveaux contrats de performance Infrabel/SNCB et du plan d’investissement pluriannuel</w:t>
            </w:r>
          </w:p>
        </w:tc>
        <w:tc>
          <w:tcPr>
            <w:tcW w:w="1680" w:type="dxa"/>
            <w:tcBorders>
              <w:bottom w:val="single" w:sz="4" w:space="0" w:color="auto"/>
            </w:tcBorders>
            <w:shd w:val="clear" w:color="auto" w:fill="C6EFCE"/>
            <w:noWrap/>
            <w:vAlign w:val="center"/>
          </w:tcPr>
          <w:p w14:paraId="543092C5"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Approbation des contrats</w:t>
            </w:r>
          </w:p>
        </w:tc>
        <w:tc>
          <w:tcPr>
            <w:tcW w:w="1440" w:type="dxa"/>
            <w:tcBorders>
              <w:bottom w:val="single" w:sz="4" w:space="0" w:color="auto"/>
            </w:tcBorders>
            <w:shd w:val="clear" w:color="auto" w:fill="C6EFCE"/>
            <w:noWrap/>
            <w:vAlign w:val="center"/>
          </w:tcPr>
          <w:p w14:paraId="667B837A"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080" w:type="dxa"/>
            <w:tcBorders>
              <w:bottom w:val="single" w:sz="4" w:space="0" w:color="auto"/>
            </w:tcBorders>
            <w:shd w:val="clear" w:color="auto" w:fill="C6EFCE"/>
            <w:noWrap/>
            <w:vAlign w:val="center"/>
          </w:tcPr>
          <w:p w14:paraId="2B6FDF73"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66" w:type="dxa"/>
            <w:tcBorders>
              <w:bottom w:val="single" w:sz="4" w:space="0" w:color="auto"/>
            </w:tcBorders>
            <w:shd w:val="clear" w:color="auto" w:fill="C6EFCE"/>
            <w:noWrap/>
            <w:vAlign w:val="center"/>
          </w:tcPr>
          <w:p w14:paraId="7DDC097A"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tcBorders>
              <w:bottom w:val="single" w:sz="4" w:space="0" w:color="auto"/>
            </w:tcBorders>
            <w:shd w:val="clear" w:color="auto" w:fill="C6EFCE"/>
            <w:noWrap/>
            <w:vAlign w:val="center"/>
          </w:tcPr>
          <w:p w14:paraId="7D649131"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tcBorders>
              <w:bottom w:val="single" w:sz="4" w:space="0" w:color="auto"/>
            </w:tcBorders>
            <w:shd w:val="clear" w:color="auto" w:fill="C6EFCE"/>
            <w:noWrap/>
            <w:vAlign w:val="center"/>
          </w:tcPr>
          <w:p w14:paraId="1622F904"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283" w:type="dxa"/>
            <w:tcBorders>
              <w:bottom w:val="single" w:sz="4" w:space="0" w:color="auto"/>
            </w:tcBorders>
            <w:shd w:val="clear" w:color="auto" w:fill="C6EFCE"/>
            <w:noWrap/>
            <w:vAlign w:val="center"/>
          </w:tcPr>
          <w:p w14:paraId="56B7DDCD"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Le nouveau contrat de performance devrait inclure des dispositions visant à garantir:</w:t>
            </w:r>
          </w:p>
          <w:p w14:paraId="66C4E906"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que les travaux du RER-GEN sont exécutés en temps utile conformément à la loi portant assentiment à l’accord de coopération interrégional relatif au financement des infrastructures ferroviaires stratégiques (annexe Ia de la loi portant assentiment à l’accord de coopération du 5 octobre 2018 entre l’État fédéral, la Région flamande, la Région wallonne et la Région de Bruxelles-Capitale relatif au financement des infrastructures ferroviaires stratégiques/Wet houdende instemming met het samenwerkingsakkoord van 5 oktober 2018 tussen de Federale Staat, het Vlaamse Gewest, het Waalse Gewest en het Brusselse Hoofdstedelijke Gewest betreffende de financiering van de strategische spoorweginfrastructuren, Moniteur belge – 11.3.2019 – Belgisch Staatsblad)</w:t>
            </w:r>
          </w:p>
          <w:p w14:paraId="2B2C6612"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que des incitations appropriées pour l’efficacité et la qualité du service sont intégrées dans le contrat</w:t>
            </w:r>
          </w:p>
          <w:p w14:paraId="615480AD" w14:textId="35BE39AF"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que les investissements I-3.09 «Rail – gares accessibles et multimodales – FED», I-3.10 «Rail – un réseau efficace – FED» et I-3.12 «Rail – mobilité intelligente – FED» sont inclus dans cette composante du PRR</w:t>
            </w:r>
          </w:p>
        </w:tc>
      </w:tr>
      <w:tr w:rsidR="00A23D5D" w:rsidRPr="00102530" w14:paraId="40091A97" w14:textId="77777777" w:rsidTr="00C77BBC">
        <w:trPr>
          <w:gridAfter w:val="1"/>
          <w:wAfter w:w="33" w:type="dxa"/>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427F8A"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2391F3"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«Outils de mobilité intelligente» de la Région de Bruxelles-Capitale (I-3H) </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2E651"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63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A9438"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Outils de mobilité intelligente en fonctionnement </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C501F6" w14:textId="77777777" w:rsidR="00A23D5D" w:rsidRPr="00746A1A" w:rsidRDefault="00A23D5D" w:rsidP="00A23D5D">
            <w:pPr>
              <w:spacing w:after="0"/>
              <w:rPr>
                <w:rFonts w:ascii="Times New Roman" w:eastAsia="Times New Roman" w:hAnsi="Times New Roman" w:cs="Times New Roman"/>
                <w:noProof/>
                <w:color w:val="006100"/>
                <w:sz w:val="20"/>
                <w:szCs w:val="20"/>
                <w:lang w:val="fr-BE"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8F722"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Caméras</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DB91A"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930DE9"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159</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979F7"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8B5CD" w14:textId="77777777" w:rsidR="00A23D5D" w:rsidRPr="00102530" w:rsidRDefault="00A23D5D" w:rsidP="00A23D5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2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32E5F" w14:textId="77777777" w:rsidR="00A23D5D" w:rsidRPr="00102530" w:rsidRDefault="00A23D5D" w:rsidP="00A23D5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159 caméras ANPR sont installées et opérationnelles (I-3.15b).</w:t>
            </w:r>
          </w:p>
          <w:p w14:paraId="0D16D57F" w14:textId="77777777" w:rsidR="00A23D5D" w:rsidRPr="00102530" w:rsidRDefault="00A23D5D" w:rsidP="00A23D5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En outre, l’application FLOYA est opérationnelle (I-3.15a). </w:t>
            </w:r>
          </w:p>
        </w:tc>
      </w:tr>
      <w:tr w:rsidR="00A23D5D" w:rsidRPr="00102530" w14:paraId="46BB2066" w14:textId="77777777" w:rsidTr="00C77BBC">
        <w:trPr>
          <w:gridAfter w:val="1"/>
          <w:wAfter w:w="33" w:type="dxa"/>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4DE833" w14:textId="77777777" w:rsidR="00A23D5D" w:rsidRPr="00102530" w:rsidRDefault="00A23D5D" w:rsidP="00A23D5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1C219"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Subventions pour le transfert modal (I-3.14)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FFD31"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163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711EE8"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4 676 nouvelles subventions ont été attribuées pour le transfert modal</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BAFE2" w14:textId="77777777" w:rsidR="00A23D5D" w:rsidRPr="00746A1A" w:rsidRDefault="00A23D5D" w:rsidP="00A23D5D">
            <w:pPr>
              <w:spacing w:after="0"/>
              <w:rPr>
                <w:rFonts w:ascii="Times New Roman" w:eastAsia="Times New Roman" w:hAnsi="Times New Roman" w:cs="Times New Roman"/>
                <w:noProof/>
                <w:color w:val="006100"/>
                <w:sz w:val="20"/>
                <w:szCs w:val="20"/>
                <w:lang w:val="fr-BE"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571F7B"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Nombre</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5F9C3B"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0</w:t>
            </w:r>
          </w:p>
        </w:tc>
        <w:tc>
          <w:tcPr>
            <w:tcW w:w="9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F96883"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4 676</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B44C7" w14:textId="77777777" w:rsidR="00A23D5D" w:rsidRPr="00102530" w:rsidRDefault="00A23D5D" w:rsidP="00A23D5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FA624E" w14:textId="77777777" w:rsidR="00A23D5D" w:rsidRPr="00102530" w:rsidRDefault="00A23D5D" w:rsidP="00A23D5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2024</w:t>
            </w:r>
          </w:p>
        </w:tc>
        <w:tc>
          <w:tcPr>
            <w:tcW w:w="328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9A2646" w14:textId="77777777" w:rsidR="00A23D5D" w:rsidRPr="00102530" w:rsidRDefault="00A23D5D" w:rsidP="00A23D5D">
            <w:pPr>
              <w:spacing w:after="0"/>
              <w:rPr>
                <w:rFonts w:ascii="Times New Roman" w:eastAsia="Calibri" w:hAnsi="Times New Roman" w:cs="Arial"/>
                <w:noProof/>
                <w:color w:val="006100"/>
                <w:sz w:val="20"/>
                <w:szCs w:val="20"/>
              </w:rPr>
            </w:pPr>
            <w:r>
              <w:rPr>
                <w:rFonts w:ascii="Times New Roman" w:hAnsi="Times New Roman"/>
                <w:noProof/>
                <w:color w:val="006100"/>
                <w:sz w:val="20"/>
              </w:rPr>
              <w:t>4 676 nouvelles subventions ont été attribuées pour le transfert modal</w:t>
            </w:r>
          </w:p>
        </w:tc>
      </w:tr>
    </w:tbl>
    <w:p w14:paraId="13D6C226" w14:textId="77777777" w:rsidR="000D1388" w:rsidRPr="00746A1A" w:rsidRDefault="000D1388" w:rsidP="00E71057">
      <w:pPr>
        <w:ind w:left="709"/>
        <w:rPr>
          <w:rFonts w:ascii="Times New Roman" w:eastAsia="Calibri" w:hAnsi="Times New Roman" w:cs="Times New Roman"/>
          <w:noProof/>
          <w:lang w:val="fr-BE"/>
        </w:rPr>
        <w:sectPr w:rsidR="000D1388" w:rsidRPr="00746A1A" w:rsidSect="00E71057">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360"/>
        </w:sectPr>
      </w:pPr>
    </w:p>
    <w:p w14:paraId="30E2DE28"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I. COMPOSANTE 3.3: Verdir le transport routier</w:t>
      </w:r>
    </w:p>
    <w:p w14:paraId="0A7180C6"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le cadre de cette composante du plan pour la reprise et la résilience de la Belgique visent à soutenir le transport routier à faibles émissions.</w:t>
      </w:r>
    </w:p>
    <w:p w14:paraId="3F65D00C"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Cette composante contribue à répondre à la recommandation par pays nº 3 de 2019 appelant la Belgique à axer la politique économique liée aux investissements sur les transports durables, y compris l’amélioration de l’infrastructure ferroviaire, sur la transition énergétique et vers une économie à faible intensité de carbone […], à s’attaquer aux problèmes croissants de mobilité en renforçant les mesures d’incitation et en supprimant les entraves à l’augmentation de l’offre et de la demande de transports collectifs et à faibles émissions et à la recommandation par pays nº 3 de 2020 appelant le pays à axer les investissements sur la transition écologique et numérique, en particulier sur les infrastructures de transport durable.</w:t>
      </w:r>
    </w:p>
    <w:p w14:paraId="3FEB24F7"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3AF5F1F2" w14:textId="77777777" w:rsidR="000D1388" w:rsidRPr="009D65D8" w:rsidRDefault="00E71057" w:rsidP="00E71057">
      <w:pPr>
        <w:jc w:val="both"/>
        <w:rPr>
          <w:rFonts w:ascii="Times New Roman" w:eastAsia="Calibri" w:hAnsi="Times New Roman" w:cs="Times New Roman"/>
          <w:b/>
          <w:bCs/>
          <w:noProof/>
          <w:u w:val="single"/>
        </w:rPr>
      </w:pPr>
      <w:r>
        <w:rPr>
          <w:rFonts w:ascii="Times New Roman" w:hAnsi="Times New Roman"/>
          <w:b/>
          <w:noProof/>
          <w:u w:val="single"/>
        </w:rPr>
        <w:t xml:space="preserve">I.1. </w:t>
      </w:r>
      <w:r>
        <w:rPr>
          <w:rFonts w:ascii="Calibri" w:hAnsi="Calibri"/>
          <w:noProof/>
        </w:rPr>
        <w:tab/>
      </w:r>
      <w:r>
        <w:rPr>
          <w:rFonts w:ascii="Times New Roman" w:hAnsi="Times New Roman"/>
          <w:b/>
          <w:noProof/>
          <w:u w:val="single"/>
        </w:rPr>
        <w:t>Description des réformes et des investissements en vue du soutien financier non remboursable</w:t>
      </w:r>
    </w:p>
    <w:p w14:paraId="084F9F11"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I-3F: «Bornes de recharge»</w:t>
      </w:r>
    </w:p>
    <w:p w14:paraId="719613F5"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themeColor="text1"/>
          <w:sz w:val="24"/>
        </w:rPr>
        <w:t>Les objectifs de l’investissement sont de déployer des bornes de recharge électrique. Cette mesure est constituée des trois sous-mesures suivantes:</w:t>
      </w:r>
    </w:p>
    <w:p w14:paraId="25889478" w14:textId="77777777" w:rsidR="000D1388" w:rsidRPr="009D65D8" w:rsidRDefault="00E71057" w:rsidP="00F70F65">
      <w:pPr>
        <w:numPr>
          <w:ilvl w:val="0"/>
          <w:numId w:val="47"/>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Réforme R-3.04: «Bornes de recharge – WAL» de la Région wallonne,</w:t>
      </w:r>
    </w:p>
    <w:p w14:paraId="03B479D1" w14:textId="77777777" w:rsidR="000D1388" w:rsidRPr="009D65D8" w:rsidRDefault="00E71057" w:rsidP="00F70F65">
      <w:pPr>
        <w:numPr>
          <w:ilvl w:val="0"/>
          <w:numId w:val="47"/>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Réforme R-3.05: «Bornes de recharge – RBC» de la Région de Bruxelles-Capitale,</w:t>
      </w:r>
    </w:p>
    <w:p w14:paraId="3DB1FF92" w14:textId="77777777" w:rsidR="000D1388" w:rsidRPr="009D65D8" w:rsidRDefault="00E71057" w:rsidP="00F70F65">
      <w:pPr>
        <w:numPr>
          <w:ilvl w:val="0"/>
          <w:numId w:val="47"/>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I-3.19: «Bornes de recharge – VLA» de la Région flamande.</w:t>
      </w:r>
    </w:p>
    <w:p w14:paraId="70A66A2A" w14:textId="77777777" w:rsidR="000D1388" w:rsidRPr="00746A1A" w:rsidRDefault="000D1388" w:rsidP="00E71057">
      <w:pPr>
        <w:spacing w:before="120" w:after="120" w:line="240" w:lineRule="auto"/>
        <w:jc w:val="both"/>
        <w:rPr>
          <w:rFonts w:ascii="Times New Roman" w:eastAsia="Calibri" w:hAnsi="Times New Roman" w:cs="Times New Roman"/>
          <w:noProof/>
          <w:color w:val="000000"/>
          <w:sz w:val="24"/>
          <w:lang w:val="fr-BE"/>
        </w:rPr>
      </w:pPr>
    </w:p>
    <w:p w14:paraId="3B43BD34"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I-3G: «Verdir la flotte de bus»</w:t>
      </w:r>
    </w:p>
    <w:p w14:paraId="30BE35C1" w14:textId="77777777" w:rsidR="000D1388" w:rsidRPr="009D65D8" w:rsidRDefault="00E71057" w:rsidP="00F70F65">
      <w:pPr>
        <w:numPr>
          <w:ilvl w:val="0"/>
          <w:numId w:val="48"/>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I-3.16: «Verdir la flotte de bus – VLA» de la Région flamande</w:t>
      </w:r>
    </w:p>
    <w:p w14:paraId="0C20F9FE" w14:textId="77777777" w:rsidR="000D1388" w:rsidRPr="009D65D8" w:rsidRDefault="00E71057" w:rsidP="00F70F65">
      <w:pPr>
        <w:numPr>
          <w:ilvl w:val="0"/>
          <w:numId w:val="48"/>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I-3.17: «Verdir la flotte de bus – RBC» de la Région de Bruxelles-Capitale</w:t>
      </w:r>
    </w:p>
    <w:p w14:paraId="682346AF" w14:textId="77777777" w:rsidR="000D1388" w:rsidRPr="009D65D8" w:rsidRDefault="00E71057" w:rsidP="00F70F65">
      <w:pPr>
        <w:numPr>
          <w:ilvl w:val="0"/>
          <w:numId w:val="48"/>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I-3.20: «Verdir la flotte de bus – WAL» de la Région wallonne</w:t>
      </w:r>
    </w:p>
    <w:p w14:paraId="2C5B975E" w14:textId="77777777" w:rsidR="000D1388" w:rsidRPr="00746A1A" w:rsidRDefault="000D1388" w:rsidP="00E71057">
      <w:pPr>
        <w:spacing w:before="120" w:after="120" w:line="240" w:lineRule="auto"/>
        <w:jc w:val="both"/>
        <w:rPr>
          <w:rFonts w:ascii="Times New Roman" w:eastAsia="Calibri" w:hAnsi="Times New Roman" w:cs="Times New Roman"/>
          <w:noProof/>
          <w:sz w:val="24"/>
          <w:u w:val="single"/>
          <w:lang w:val="fr-BE"/>
        </w:rPr>
      </w:pPr>
    </w:p>
    <w:p w14:paraId="50CACB49"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R-3.03: «Voitures de société à zéro émission – FED» de l’État fédéral</w:t>
      </w:r>
    </w:p>
    <w:p w14:paraId="0EE59D11"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réforme vise à retirer progressivement aux voitures de société classiques le régime fiscal dont elles bénéficient actuellement et à le limiter, à compter de 2026, aux voitures électriques. Le régime fiscal réformé des voitures de société devra prévoir: 1) l’absence de déductibilité des voitures de société classiques acquises à partir de 2026, 2) une réduction progressive du taux de déductibilité fiscale des voitures de société classiques, acquises entre le 1</w:t>
      </w:r>
      <w:r>
        <w:rPr>
          <w:rFonts w:ascii="Times New Roman" w:hAnsi="Times New Roman"/>
          <w:noProof/>
          <w:sz w:val="24"/>
          <w:vertAlign w:val="superscript"/>
        </w:rPr>
        <w:t>er</w:t>
      </w:r>
      <w:r>
        <w:rPr>
          <w:rFonts w:ascii="Times New Roman" w:hAnsi="Times New Roman"/>
          <w:noProof/>
          <w:sz w:val="24"/>
        </w:rPr>
        <w:t xml:space="preserve"> juillet et le 31 décembre 2025, pour atteindre 0 % en 2028, 3) une réduction progressive du taux de déductibilité fiscale des voitures de société à zéro émission pour atteindre au maximum 67,5 % en 2031, et 4) une déductibilité fiscale de l’essence et du diesel pour les voitures de société hybrides, acquises entre 2023 et 2025, réduite à 50 % en janvier 2023. </w:t>
      </w:r>
      <w:r>
        <w:rPr>
          <w:rFonts w:ascii="Times New Roman" w:hAnsi="Times New Roman"/>
          <w:noProof/>
        </w:rPr>
        <w:t>En outre, 5) pour les voitures classiques acquises à partir du 1</w:t>
      </w:r>
      <w:r>
        <w:rPr>
          <w:rFonts w:ascii="Times New Roman" w:hAnsi="Times New Roman"/>
          <w:noProof/>
          <w:vertAlign w:val="superscript"/>
        </w:rPr>
        <w:t>er</w:t>
      </w:r>
      <w:r>
        <w:rPr>
          <w:rFonts w:ascii="Times New Roman" w:hAnsi="Times New Roman"/>
          <w:noProof/>
        </w:rPr>
        <w:t> juillet 2023, la cotisation CO</w:t>
      </w:r>
      <w:r>
        <w:rPr>
          <w:rFonts w:ascii="Times New Roman" w:hAnsi="Times New Roman"/>
          <w:noProof/>
          <w:vertAlign w:val="subscript"/>
        </w:rPr>
        <w:t>2</w:t>
      </w:r>
      <w:r>
        <w:rPr>
          <w:rFonts w:ascii="Times New Roman" w:hAnsi="Times New Roman"/>
          <w:noProof/>
        </w:rPr>
        <w:t xml:space="preserve"> augmentera à un taux de 2,25 à partir du 1</w:t>
      </w:r>
      <w:r>
        <w:rPr>
          <w:rFonts w:ascii="Times New Roman" w:hAnsi="Times New Roman"/>
          <w:noProof/>
          <w:vertAlign w:val="superscript"/>
        </w:rPr>
        <w:t>er</w:t>
      </w:r>
      <w:r>
        <w:rPr>
          <w:rFonts w:ascii="Times New Roman" w:hAnsi="Times New Roman"/>
          <w:noProof/>
        </w:rPr>
        <w:t> juillet 2023 et augmentera progressivement en 2025 et 2026 pour atteindre un facteur de 5,50 en 2027.</w:t>
      </w:r>
      <w:r>
        <w:rPr>
          <w:rFonts w:ascii="Times New Roman" w:hAnsi="Times New Roman"/>
          <w:noProof/>
          <w:sz w:val="24"/>
        </w:rPr>
        <w:t xml:space="preserve"> 6) Pour les voitures de société à zéro émission acquises à partir du 1</w:t>
      </w:r>
      <w:r>
        <w:rPr>
          <w:rFonts w:ascii="Times New Roman" w:hAnsi="Times New Roman"/>
          <w:noProof/>
          <w:sz w:val="24"/>
          <w:vertAlign w:val="superscript"/>
        </w:rPr>
        <w:t>er</w:t>
      </w:r>
      <w:r>
        <w:rPr>
          <w:rFonts w:ascii="Times New Roman" w:hAnsi="Times New Roman"/>
          <w:noProof/>
          <w:sz w:val="24"/>
        </w:rPr>
        <w:t> juillet 2023, la cotisation minimale de solidarité augmentera à partir de l’année 2025 pour atteindre, à terme, pour une voiture de société moyenne, le même montant de cotisations sociales que celui dû au moment de l’adoption du plan. La réforme, y compris les périodes de transition et les phases de mise en œuvre précitées, devrait être adoptée le 30 septembre 2021 au plus tard et entrer en vigueur le 1</w:t>
      </w:r>
      <w:r>
        <w:rPr>
          <w:rFonts w:ascii="Times New Roman" w:hAnsi="Times New Roman"/>
          <w:noProof/>
          <w:sz w:val="24"/>
          <w:vertAlign w:val="superscript"/>
        </w:rPr>
        <w:t>er</w:t>
      </w:r>
      <w:r>
        <w:rPr>
          <w:rFonts w:ascii="Times New Roman" w:hAnsi="Times New Roman"/>
          <w:noProof/>
          <w:sz w:val="24"/>
        </w:rPr>
        <w:t> janvier 2023.</w:t>
      </w:r>
    </w:p>
    <w:p w14:paraId="19C75E15" w14:textId="77777777" w:rsidR="000D1388" w:rsidRPr="00DD67A6"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R-3.04: «Bornes de recharge – WAL» de la Région wallonne</w:t>
      </w:r>
    </w:p>
    <w:p w14:paraId="10711B5B" w14:textId="77777777" w:rsidR="000D1388" w:rsidRPr="00DD67A6"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Cette réforme a pour objectif d’accroître la disponibilité des bornes de recharge pour véhicules électriques. Elle vise à adopter un cadre législatif, à attribuer des concessions pour les infrastructures de recharge en Région wallonne. </w:t>
      </w:r>
    </w:p>
    <w:p w14:paraId="5E332FB9"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R-3.05: «Bornes de recharge – RBC» de la Région de Bruxelles-Capitale,</w:t>
      </w:r>
    </w:p>
    <w:p w14:paraId="6CBAB8DA"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consiste en l’adoption d’un cadre législatif et en l’attribution de concessions pour les infrastructures de recharge dans la Région de Bruxelles-Capitale d’ici au 31 décembre 2023, ainsi que dans le raccordement de 180 nouvelles bornes de recharge publiques au réseau électrique. Ce plan sera conforme à la directive 2014/94/UE sur le déploiement d’une infrastructure pour carburants alternatifs. L’arrêté précisant les normes de sécurité applicables à l’installation de bornes de recharge hors voirie dans la Région de Bruxelles-Capitale devrait être adopté le 1</w:t>
      </w:r>
      <w:r>
        <w:rPr>
          <w:rFonts w:ascii="Times New Roman" w:hAnsi="Times New Roman"/>
          <w:noProof/>
          <w:sz w:val="24"/>
          <w:vertAlign w:val="superscript"/>
        </w:rPr>
        <w:t>er</w:t>
      </w:r>
      <w:r>
        <w:rPr>
          <w:rFonts w:ascii="Times New Roman" w:hAnsi="Times New Roman"/>
          <w:noProof/>
          <w:sz w:val="24"/>
        </w:rPr>
        <w:t xml:space="preserve"> mars 2022 au plus tard et entrer en vigueur le 31 juillet 2022 au plus tard. La mise en œuvre de la mesure dans son ensemble devrait être achevée d’ici au 30 juin 2026. </w:t>
      </w:r>
    </w:p>
    <w:p w14:paraId="52526B92"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R-3.06: «Stimuler le transport à zéro émission – VLA» de la Région flamande</w:t>
      </w:r>
    </w:p>
    <w:p w14:paraId="3EF59AE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mesure vise à adopter un cadre législatif pour stimuler le déploiement d’un réseau public de points de recharge par l’attribution de concessions, et d’un réseau semi-public de points de recharge par l’attribution de subventions en Région flamande. Le cadre législatif permettra de cartographier les futurs points de recharge, de lancer les appels d’offres de concession pour les points de recharge publics, de stimuler le déploiement de points de recharge semi-publics sur les propriétés privées, de réduire la charge administrative afin de raccourcir les délais d’installation des points de recharge et de stimuler la recharge électrique intelligente pour équilibrer l’offre et la demande d’électricité. Le cadre législatif devrait entrer en vigueur le 1</w:t>
      </w:r>
      <w:r>
        <w:rPr>
          <w:rFonts w:ascii="Times New Roman" w:hAnsi="Times New Roman"/>
          <w:noProof/>
          <w:sz w:val="24"/>
          <w:vertAlign w:val="superscript"/>
        </w:rPr>
        <w:t>er</w:t>
      </w:r>
      <w:r>
        <w:rPr>
          <w:rFonts w:ascii="Times New Roman" w:hAnsi="Times New Roman"/>
          <w:noProof/>
          <w:sz w:val="24"/>
        </w:rPr>
        <w:t> janvier 2022 au plus tard.</w:t>
      </w:r>
    </w:p>
    <w:p w14:paraId="6F455C99"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 xml:space="preserve">Réforme R-3.07: Extension du cadre flamand relatif à la surveillance des émissions des véhicules </w:t>
      </w:r>
    </w:p>
    <w:p w14:paraId="52FE4601" w14:textId="77777777" w:rsidR="000D1388" w:rsidRPr="009D65D8" w:rsidRDefault="00E71057" w:rsidP="00E71057">
      <w:pPr>
        <w:spacing w:after="0"/>
        <w:jc w:val="both"/>
        <w:rPr>
          <w:rFonts w:ascii="Times New Roman" w:eastAsia="Calibri" w:hAnsi="Times New Roman" w:cs="Arial"/>
          <w:noProof/>
          <w:sz w:val="24"/>
          <w:szCs w:val="24"/>
        </w:rPr>
      </w:pPr>
      <w:r>
        <w:rPr>
          <w:rFonts w:ascii="Times New Roman" w:hAnsi="Times New Roman"/>
          <w:noProof/>
          <w:sz w:val="24"/>
        </w:rPr>
        <w:t>Cette réforme vise à étendre le cadre flamand relatif à la surveillance des émissions des véhicules. Elle consiste en l’adoption de cadres juridiques et en la création d’une base de données comprenant les données de compteurs de particules d’émission. Elle entrera en vigueur le 31 août 2026 au plus tard.</w:t>
      </w:r>
    </w:p>
    <w:p w14:paraId="7FD067E8" w14:textId="77777777" w:rsidR="000D1388" w:rsidRPr="009D65D8" w:rsidRDefault="00E71057" w:rsidP="00E71057">
      <w:pPr>
        <w:spacing w:before="120" w:after="120" w:line="240" w:lineRule="auto"/>
        <w:jc w:val="both"/>
        <w:rPr>
          <w:rFonts w:ascii="Times New Roman" w:eastAsia="Calibri" w:hAnsi="Times New Roman" w:cs="Arial"/>
          <w:noProof/>
          <w:sz w:val="24"/>
          <w:szCs w:val="24"/>
          <w:u w:val="single"/>
        </w:rPr>
      </w:pPr>
      <w:r>
        <w:rPr>
          <w:rFonts w:ascii="Times New Roman" w:hAnsi="Times New Roman"/>
          <w:noProof/>
          <w:sz w:val="24"/>
          <w:u w:val="single"/>
        </w:rPr>
        <w:t>Réforme R-3.08: Réforme de la taxe de circulation des véhicules de la Région wallonne</w:t>
      </w:r>
    </w:p>
    <w:p w14:paraId="792F1D6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réforme consiste en l’entrée en vigueur d’un acte juridique révisant la réforme de 2023 du gouvernement wallon relative à la taxe de circulation des véhicules. Elle a pour objectif de réduire le niveau de taxation des véhicules électriques et d’améliorer le coefficient d’aide pour les familles nombreuses et monoparentales lors de l’achat d’un véhicule.</w:t>
      </w:r>
    </w:p>
    <w:p w14:paraId="1F88B90A" w14:textId="77777777" w:rsidR="000D1388" w:rsidRPr="002C60D4"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I-3.16: «Verdir la flotte de bus – VLA» de la Région flamande</w:t>
      </w:r>
    </w:p>
    <w:p w14:paraId="5B2F7166" w14:textId="77777777" w:rsidR="000D1388" w:rsidRPr="002C60D4"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a pour objectif de verdir la flotte de bus en Flandre. Il consiste en l’achat ou la conversion de bus hybrides et électriques, ainsi que l’achat de bornes de recharge pour les bus.</w:t>
      </w:r>
      <w:bookmarkStart w:id="10" w:name="_Hlk210979566"/>
    </w:p>
    <w:p w14:paraId="461E3BCF"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 xml:space="preserve">Investissement I-3.17: «Verdir la flotte de bus – BCR» de la Région de Bruxelles-Capitale </w:t>
      </w:r>
    </w:p>
    <w:bookmarkEnd w:id="10"/>
    <w:p w14:paraId="10E9414E"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a pour objectif de verdir la flotte de bus dans la Région de Bruxelles-Capitale. Il consiste en l’achat de bus électriques.</w:t>
      </w:r>
    </w:p>
    <w:p w14:paraId="5F7AFD4A"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I-3.19: «Bornes de recharge – VLA» de la Région flamande.</w:t>
      </w:r>
    </w:p>
    <w:p w14:paraId="0C53E351" w14:textId="77777777" w:rsidR="000D1388" w:rsidRPr="009D65D8" w:rsidRDefault="00E71057" w:rsidP="00E71057">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 investissement a pour objectif de déployer des points de recharge. Il consiste en l’installation de nouveaux points de recharge (publics et semi-publics) accessibles dans l’ensemble de la Région flamande.</w:t>
      </w:r>
    </w:p>
    <w:p w14:paraId="09444F54" w14:textId="77777777" w:rsidR="000D1388" w:rsidRPr="00DD67A6"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I-3.20: «Verdir la flotte de bus – WAL» de la Région wallonne</w:t>
      </w:r>
    </w:p>
    <w:p w14:paraId="1CA40623" w14:textId="5DB7C364" w:rsidR="000D1388" w:rsidRDefault="00E71057" w:rsidP="00E71057">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 investissement a pour objectif de verdir la flotte de bus dans la Région wallonne. Il prévoit la livraison de bus électriques et l’installation de bornes de recharge.</w:t>
      </w:r>
    </w:p>
    <w:p w14:paraId="5B8C1E2B"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I-3.21: «Infrastructure de recharge pour bus» de la Région de Bruxelles-Capitale</w:t>
      </w:r>
    </w:p>
    <w:p w14:paraId="296E2CF7" w14:textId="4B8C1147" w:rsidR="000D1388" w:rsidRPr="009D65D8" w:rsidRDefault="00E71057" w:rsidP="00E71057">
      <w:pPr>
        <w:jc w:val="both"/>
        <w:rPr>
          <w:rFonts w:ascii="Times New Roman" w:eastAsia="Yu Gothic Light" w:hAnsi="Times New Roman" w:cs="Times New Roman"/>
          <w:noProof/>
          <w:sz w:val="24"/>
          <w:szCs w:val="24"/>
        </w:rPr>
        <w:sectPr w:rsidR="000D1388" w:rsidRPr="009D65D8" w:rsidSect="00E71057">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360"/>
        </w:sectPr>
      </w:pPr>
      <w:r>
        <w:rPr>
          <w:rFonts w:ascii="Times New Roman" w:hAnsi="Times New Roman"/>
          <w:noProof/>
          <w:sz w:val="24"/>
        </w:rPr>
        <w:t xml:space="preserve">Cet investissement a pour objectif de verdir la flotte de bus dans la Région de Bruxelles-Capitale. Il prévoit </w:t>
      </w:r>
      <w:r>
        <w:rPr>
          <w:rFonts w:ascii="Times New Roman" w:hAnsi="Times New Roman"/>
          <w:noProof/>
          <w:color w:val="000000" w:themeColor="text1"/>
          <w:sz w:val="24"/>
        </w:rPr>
        <w:t>la livraison ou la réception sur site d’une infrastructure</w:t>
      </w:r>
      <w:r>
        <w:rPr>
          <w:rFonts w:ascii="Times New Roman" w:hAnsi="Times New Roman"/>
          <w:noProof/>
          <w:sz w:val="24"/>
        </w:rPr>
        <w:t xml:space="preserve"> de recharge pour les bus électriques dans la Région de Bruxelles-Capitale.</w:t>
      </w:r>
    </w:p>
    <w:p w14:paraId="02BFD54D"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u w:val="single"/>
        </w:rPr>
      </w:pPr>
      <w:r>
        <w:rPr>
          <w:rFonts w:ascii="Times New Roman" w:hAnsi="Times New Roman"/>
          <w:b/>
          <w:noProof/>
          <w:sz w:val="24"/>
          <w:u w:val="single"/>
        </w:rPr>
        <w:t xml:space="preserve">I.2.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714"/>
        <w:gridCol w:w="1701"/>
        <w:gridCol w:w="1417"/>
        <w:gridCol w:w="1388"/>
        <w:gridCol w:w="1158"/>
        <w:gridCol w:w="993"/>
        <w:gridCol w:w="1134"/>
        <w:gridCol w:w="850"/>
        <w:gridCol w:w="3662"/>
      </w:tblGrid>
      <w:tr w:rsidR="00E71057" w:rsidRPr="006662C0" w14:paraId="15B2294A" w14:textId="77777777" w:rsidTr="00C77BBC">
        <w:trPr>
          <w:trHeight w:val="927"/>
          <w:tblHeader/>
          <w:jc w:val="center"/>
        </w:trPr>
        <w:tc>
          <w:tcPr>
            <w:tcW w:w="1129" w:type="dxa"/>
            <w:vMerge w:val="restart"/>
            <w:shd w:val="clear" w:color="auto" w:fill="BDD7EE"/>
            <w:vAlign w:val="center"/>
            <w:hideMark/>
          </w:tcPr>
          <w:p w14:paraId="1466AF16" w14:textId="77777777" w:rsidR="000D1388" w:rsidRPr="006662C0"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425796BE" w14:textId="77777777" w:rsidR="000D1388" w:rsidRPr="006662C0"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714" w:type="dxa"/>
            <w:vMerge w:val="restart"/>
            <w:shd w:val="clear" w:color="auto" w:fill="BDD7EE"/>
            <w:vAlign w:val="center"/>
            <w:hideMark/>
          </w:tcPr>
          <w:p w14:paraId="353EC6E6" w14:textId="77777777" w:rsidR="000D1388" w:rsidRPr="006662C0"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701" w:type="dxa"/>
            <w:vMerge w:val="restart"/>
            <w:shd w:val="clear" w:color="auto" w:fill="BDD7EE"/>
            <w:vAlign w:val="center"/>
            <w:hideMark/>
          </w:tcPr>
          <w:p w14:paraId="44613128" w14:textId="77777777" w:rsidR="000D1388" w:rsidRPr="006662C0"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417" w:type="dxa"/>
            <w:vMerge w:val="restart"/>
            <w:shd w:val="clear" w:color="auto" w:fill="BDD7EE"/>
            <w:vAlign w:val="center"/>
            <w:hideMark/>
          </w:tcPr>
          <w:p w14:paraId="5FA7AFEF" w14:textId="77777777" w:rsidR="000D1388" w:rsidRPr="006662C0"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539" w:type="dxa"/>
            <w:gridSpan w:val="3"/>
            <w:shd w:val="clear" w:color="auto" w:fill="BDD7EE"/>
            <w:vAlign w:val="center"/>
            <w:hideMark/>
          </w:tcPr>
          <w:p w14:paraId="3F154CF3" w14:textId="77777777" w:rsidR="000D1388" w:rsidRPr="006662C0"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84" w:type="dxa"/>
            <w:gridSpan w:val="2"/>
            <w:shd w:val="clear" w:color="auto" w:fill="BDD7EE"/>
            <w:vAlign w:val="center"/>
            <w:hideMark/>
          </w:tcPr>
          <w:p w14:paraId="2F35DA0C" w14:textId="77777777" w:rsidR="000D1388" w:rsidRPr="006662C0"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662" w:type="dxa"/>
            <w:vMerge w:val="restart"/>
            <w:shd w:val="clear" w:color="auto" w:fill="BDD7EE"/>
            <w:vAlign w:val="center"/>
            <w:hideMark/>
          </w:tcPr>
          <w:p w14:paraId="3FFADB0C" w14:textId="77777777" w:rsidR="000D1388" w:rsidRPr="006662C0" w:rsidRDefault="00E71057" w:rsidP="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E71057" w:rsidRPr="006662C0" w14:paraId="06A62D4F" w14:textId="77777777" w:rsidTr="00C77BBC">
        <w:trPr>
          <w:trHeight w:val="1013"/>
          <w:jc w:val="center"/>
        </w:trPr>
        <w:tc>
          <w:tcPr>
            <w:tcW w:w="1129" w:type="dxa"/>
            <w:vMerge/>
            <w:vAlign w:val="center"/>
            <w:hideMark/>
          </w:tcPr>
          <w:p w14:paraId="6EE6ABC2" w14:textId="77777777" w:rsidR="000D1388" w:rsidRPr="00746A1A" w:rsidRDefault="000D1388" w:rsidP="00E71057">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2258344E" w14:textId="77777777" w:rsidR="000D1388" w:rsidRPr="00746A1A" w:rsidRDefault="000D1388" w:rsidP="00E71057">
            <w:pPr>
              <w:spacing w:after="0"/>
              <w:rPr>
                <w:rFonts w:ascii="Times New Roman" w:eastAsia="Times New Roman" w:hAnsi="Times New Roman" w:cs="Times New Roman"/>
                <w:b/>
                <w:bCs/>
                <w:noProof/>
                <w:sz w:val="20"/>
                <w:szCs w:val="20"/>
                <w:lang w:val="fr-BE" w:eastAsia="en-GB"/>
              </w:rPr>
            </w:pPr>
          </w:p>
        </w:tc>
        <w:tc>
          <w:tcPr>
            <w:tcW w:w="714" w:type="dxa"/>
            <w:vMerge/>
            <w:vAlign w:val="center"/>
            <w:hideMark/>
          </w:tcPr>
          <w:p w14:paraId="2CDB4D82" w14:textId="77777777" w:rsidR="000D1388" w:rsidRPr="00746A1A" w:rsidRDefault="000D1388" w:rsidP="00E71057">
            <w:pPr>
              <w:spacing w:after="0"/>
              <w:rPr>
                <w:rFonts w:ascii="Times New Roman" w:eastAsia="Times New Roman" w:hAnsi="Times New Roman" w:cs="Times New Roman"/>
                <w:b/>
                <w:bCs/>
                <w:noProof/>
                <w:sz w:val="20"/>
                <w:szCs w:val="20"/>
                <w:lang w:val="fr-BE" w:eastAsia="en-GB"/>
              </w:rPr>
            </w:pPr>
          </w:p>
        </w:tc>
        <w:tc>
          <w:tcPr>
            <w:tcW w:w="1701" w:type="dxa"/>
            <w:vMerge/>
            <w:vAlign w:val="center"/>
            <w:hideMark/>
          </w:tcPr>
          <w:p w14:paraId="74393E67" w14:textId="77777777" w:rsidR="000D1388" w:rsidRPr="00746A1A" w:rsidRDefault="000D1388" w:rsidP="00E71057">
            <w:pPr>
              <w:spacing w:after="0"/>
              <w:rPr>
                <w:rFonts w:ascii="Times New Roman" w:eastAsia="Times New Roman" w:hAnsi="Times New Roman" w:cs="Times New Roman"/>
                <w:b/>
                <w:bCs/>
                <w:noProof/>
                <w:sz w:val="20"/>
                <w:szCs w:val="20"/>
                <w:lang w:val="fr-BE" w:eastAsia="en-GB"/>
              </w:rPr>
            </w:pPr>
          </w:p>
        </w:tc>
        <w:tc>
          <w:tcPr>
            <w:tcW w:w="1417" w:type="dxa"/>
            <w:vMerge/>
            <w:vAlign w:val="center"/>
            <w:hideMark/>
          </w:tcPr>
          <w:p w14:paraId="531BEEE0" w14:textId="77777777" w:rsidR="000D1388" w:rsidRPr="00746A1A" w:rsidRDefault="000D1388" w:rsidP="00E71057">
            <w:pPr>
              <w:spacing w:after="0"/>
              <w:rPr>
                <w:rFonts w:ascii="Times New Roman" w:eastAsia="Times New Roman" w:hAnsi="Times New Roman" w:cs="Times New Roman"/>
                <w:b/>
                <w:bCs/>
                <w:noProof/>
                <w:sz w:val="20"/>
                <w:szCs w:val="20"/>
                <w:lang w:val="fr-BE" w:eastAsia="en-GB"/>
              </w:rPr>
            </w:pPr>
          </w:p>
        </w:tc>
        <w:tc>
          <w:tcPr>
            <w:tcW w:w="1388" w:type="dxa"/>
            <w:shd w:val="clear" w:color="auto" w:fill="BDD7EE"/>
            <w:vAlign w:val="center"/>
            <w:hideMark/>
          </w:tcPr>
          <w:p w14:paraId="71A7F225" w14:textId="77777777" w:rsidR="000D1388" w:rsidRPr="006662C0" w:rsidRDefault="00E71057" w:rsidP="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58" w:type="dxa"/>
            <w:shd w:val="clear" w:color="auto" w:fill="BDD7EE"/>
            <w:vAlign w:val="center"/>
            <w:hideMark/>
          </w:tcPr>
          <w:p w14:paraId="53016F6C" w14:textId="77777777" w:rsidR="000D1388" w:rsidRPr="006662C0" w:rsidRDefault="00E71057" w:rsidP="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Référence</w:t>
            </w:r>
          </w:p>
        </w:tc>
        <w:tc>
          <w:tcPr>
            <w:tcW w:w="993" w:type="dxa"/>
            <w:shd w:val="clear" w:color="auto" w:fill="BDD7EE"/>
            <w:vAlign w:val="center"/>
            <w:hideMark/>
          </w:tcPr>
          <w:p w14:paraId="791C7758" w14:textId="77777777" w:rsidR="000D1388" w:rsidRPr="006662C0" w:rsidRDefault="00E71057" w:rsidP="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Objectif</w:t>
            </w:r>
          </w:p>
        </w:tc>
        <w:tc>
          <w:tcPr>
            <w:tcW w:w="1134" w:type="dxa"/>
            <w:shd w:val="clear" w:color="auto" w:fill="BDD7EE"/>
            <w:vAlign w:val="center"/>
            <w:hideMark/>
          </w:tcPr>
          <w:p w14:paraId="541B6780" w14:textId="77777777" w:rsidR="000D1388" w:rsidRPr="006662C0" w:rsidRDefault="00E71057" w:rsidP="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0" w:type="dxa"/>
            <w:shd w:val="clear" w:color="auto" w:fill="BDD7EE"/>
            <w:vAlign w:val="center"/>
            <w:hideMark/>
          </w:tcPr>
          <w:p w14:paraId="3A5E6F25" w14:textId="77777777" w:rsidR="000D1388" w:rsidRPr="006662C0" w:rsidRDefault="00E71057" w:rsidP="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662" w:type="dxa"/>
            <w:vMerge/>
            <w:vAlign w:val="center"/>
            <w:hideMark/>
          </w:tcPr>
          <w:p w14:paraId="53DAA985" w14:textId="77777777" w:rsidR="000D1388" w:rsidRPr="006662C0" w:rsidRDefault="000D1388" w:rsidP="00E71057">
            <w:pPr>
              <w:spacing w:after="0"/>
              <w:rPr>
                <w:rFonts w:ascii="Times New Roman" w:eastAsia="Times New Roman" w:hAnsi="Times New Roman" w:cs="Times New Roman"/>
                <w:b/>
                <w:bCs/>
                <w:noProof/>
                <w:sz w:val="20"/>
                <w:szCs w:val="20"/>
                <w:lang w:val="en-GB" w:eastAsia="en-GB"/>
              </w:rPr>
            </w:pPr>
          </w:p>
        </w:tc>
      </w:tr>
      <w:tr w:rsidR="00E71057" w:rsidRPr="006662C0" w14:paraId="230165FB" w14:textId="77777777" w:rsidTr="00C77BBC">
        <w:trPr>
          <w:trHeight w:val="309"/>
          <w:jc w:val="center"/>
        </w:trPr>
        <w:tc>
          <w:tcPr>
            <w:tcW w:w="1129" w:type="dxa"/>
            <w:shd w:val="clear" w:color="auto" w:fill="C6EFCE"/>
            <w:noWrap/>
            <w:vAlign w:val="center"/>
            <w:hideMark/>
          </w:tcPr>
          <w:p w14:paraId="3024E8F2"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115</w:t>
            </w:r>
          </w:p>
        </w:tc>
        <w:tc>
          <w:tcPr>
            <w:tcW w:w="1560" w:type="dxa"/>
            <w:shd w:val="clear" w:color="auto" w:fill="C6EFCE"/>
            <w:noWrap/>
            <w:vAlign w:val="center"/>
            <w:hideMark/>
          </w:tcPr>
          <w:p w14:paraId="13095D11"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Verdir la flotte de bus – (I-3G)</w:t>
            </w:r>
          </w:p>
        </w:tc>
        <w:tc>
          <w:tcPr>
            <w:tcW w:w="714" w:type="dxa"/>
            <w:shd w:val="clear" w:color="auto" w:fill="C6EFCE"/>
            <w:noWrap/>
            <w:vAlign w:val="center"/>
            <w:hideMark/>
          </w:tcPr>
          <w:p w14:paraId="6943FDC9"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01" w:type="dxa"/>
            <w:shd w:val="clear" w:color="auto" w:fill="C6EFCE"/>
            <w:noWrap/>
            <w:vAlign w:val="center"/>
            <w:hideMark/>
          </w:tcPr>
          <w:p w14:paraId="706BF317"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Bus verts livrés en Flandre, à Bruxelles et en Wallonie et infrastructures de recharge livrées en Flandre</w:t>
            </w:r>
          </w:p>
        </w:tc>
        <w:tc>
          <w:tcPr>
            <w:tcW w:w="1417" w:type="dxa"/>
            <w:shd w:val="clear" w:color="auto" w:fill="C6EFCE"/>
            <w:noWrap/>
            <w:vAlign w:val="center"/>
            <w:hideMark/>
          </w:tcPr>
          <w:p w14:paraId="7859A8D8" w14:textId="77777777" w:rsidR="000D1388" w:rsidRPr="00746A1A" w:rsidRDefault="000D1388" w:rsidP="00E71057">
            <w:pPr>
              <w:spacing w:after="0"/>
              <w:rPr>
                <w:rFonts w:ascii="Times New Roman" w:eastAsia="Calibri" w:hAnsi="Times New Roman" w:cs="Times New Roman"/>
                <w:noProof/>
                <w:color w:val="006100"/>
                <w:sz w:val="20"/>
                <w:szCs w:val="20"/>
                <w:lang w:val="fr-BE" w:eastAsia="en-GB"/>
              </w:rPr>
            </w:pPr>
          </w:p>
        </w:tc>
        <w:tc>
          <w:tcPr>
            <w:tcW w:w="1388" w:type="dxa"/>
            <w:shd w:val="clear" w:color="auto" w:fill="C6EFCE"/>
            <w:noWrap/>
            <w:vAlign w:val="center"/>
            <w:hideMark/>
          </w:tcPr>
          <w:p w14:paraId="22AF7176"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Véhicules et infrastructures de recharge</w:t>
            </w:r>
          </w:p>
        </w:tc>
        <w:tc>
          <w:tcPr>
            <w:tcW w:w="1158" w:type="dxa"/>
            <w:shd w:val="clear" w:color="auto" w:fill="C6EFCE"/>
            <w:noWrap/>
            <w:vAlign w:val="center"/>
            <w:hideMark/>
          </w:tcPr>
          <w:p w14:paraId="3FA0939C" w14:textId="77777777" w:rsidR="000D1388" w:rsidRPr="006662C0" w:rsidRDefault="00E71057" w:rsidP="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hideMark/>
          </w:tcPr>
          <w:p w14:paraId="0E4B960D" w14:textId="77777777" w:rsidR="000D1388" w:rsidRPr="006662C0" w:rsidRDefault="00E71057" w:rsidP="00E71057">
            <w:pPr>
              <w:spacing w:after="0"/>
              <w:jc w:val="right"/>
              <w:rPr>
                <w:rFonts w:ascii="Times New Roman" w:hAnsi="Times New Roman" w:cs="Times New Roman"/>
                <w:noProof/>
                <w:color w:val="006100"/>
                <w:sz w:val="20"/>
                <w:szCs w:val="20"/>
              </w:rPr>
            </w:pPr>
            <w:r>
              <w:rPr>
                <w:rFonts w:ascii="Times New Roman" w:hAnsi="Times New Roman"/>
                <w:noProof/>
                <w:color w:val="006100"/>
                <w:sz w:val="20"/>
              </w:rPr>
              <w:t>538</w:t>
            </w:r>
          </w:p>
        </w:tc>
        <w:tc>
          <w:tcPr>
            <w:tcW w:w="1134" w:type="dxa"/>
            <w:shd w:val="clear" w:color="auto" w:fill="C6EFCE"/>
            <w:noWrap/>
            <w:vAlign w:val="center"/>
            <w:hideMark/>
          </w:tcPr>
          <w:p w14:paraId="04C8240D"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hideMark/>
          </w:tcPr>
          <w:p w14:paraId="0D1BCA76"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662" w:type="dxa"/>
            <w:shd w:val="clear" w:color="auto" w:fill="C6EFCE"/>
            <w:noWrap/>
            <w:vAlign w:val="center"/>
            <w:hideMark/>
          </w:tcPr>
          <w:p w14:paraId="7E32CC22" w14:textId="77777777" w:rsidR="000D1388" w:rsidRPr="006662C0" w:rsidRDefault="00E71057" w:rsidP="00E71057">
            <w:pPr>
              <w:spacing w:after="0"/>
              <w:rPr>
                <w:rFonts w:ascii="Times New Roman" w:hAnsi="Times New Roman" w:cs="Times New Roman"/>
                <w:noProof/>
                <w:color w:val="006100"/>
                <w:sz w:val="20"/>
                <w:szCs w:val="20"/>
              </w:rPr>
            </w:pPr>
            <w:r>
              <w:rPr>
                <w:rFonts w:ascii="Times New Roman" w:hAnsi="Times New Roman"/>
                <w:noProof/>
                <w:color w:val="006100"/>
                <w:sz w:val="20"/>
              </w:rPr>
              <w:t>Verdir la flotte de bus – VLA</w:t>
            </w:r>
          </w:p>
          <w:p w14:paraId="7DCE2830" w14:textId="77777777" w:rsidR="000D1388" w:rsidRPr="00746A1A" w:rsidRDefault="00E71057" w:rsidP="00F70F65">
            <w:pPr>
              <w:numPr>
                <w:ilvl w:val="0"/>
                <w:numId w:val="49"/>
              </w:numPr>
              <w:spacing w:after="0" w:line="240" w:lineRule="auto"/>
              <w:contextualSpacing/>
              <w:rPr>
                <w:rFonts w:ascii="Times New Roman" w:hAnsi="Times New Roman" w:cs="Times New Roman"/>
                <w:noProof/>
                <w:color w:val="006100"/>
                <w:sz w:val="20"/>
                <w:szCs w:val="20"/>
                <w:lang w:val="en-IE"/>
              </w:rPr>
            </w:pPr>
            <w:r w:rsidRPr="00746A1A">
              <w:rPr>
                <w:rFonts w:ascii="Times New Roman" w:hAnsi="Times New Roman"/>
                <w:noProof/>
                <w:color w:val="006100"/>
                <w:sz w:val="20"/>
                <w:lang w:val="en-IE"/>
              </w:rPr>
              <w:t xml:space="preserve">84 bus plug-in e-hybrides livrés </w:t>
            </w:r>
          </w:p>
          <w:p w14:paraId="68E8B2BF" w14:textId="77777777" w:rsidR="000D1388" w:rsidRPr="006662C0" w:rsidRDefault="00E71057" w:rsidP="00F70F65">
            <w:pPr>
              <w:numPr>
                <w:ilvl w:val="0"/>
                <w:numId w:val="49"/>
              </w:numPr>
              <w:spacing w:after="0" w:line="240" w:lineRule="auto"/>
              <w:contextualSpacing/>
              <w:rPr>
                <w:rFonts w:ascii="Times New Roman" w:hAnsi="Times New Roman" w:cs="Times New Roman"/>
                <w:noProof/>
                <w:color w:val="006100"/>
                <w:sz w:val="20"/>
                <w:szCs w:val="20"/>
              </w:rPr>
            </w:pPr>
            <w:r>
              <w:rPr>
                <w:rFonts w:ascii="Times New Roman" w:hAnsi="Times New Roman"/>
                <w:noProof/>
                <w:color w:val="006100"/>
                <w:sz w:val="20"/>
              </w:rPr>
              <w:t>80 bus plug-in hybrides reconvertis</w:t>
            </w:r>
          </w:p>
          <w:p w14:paraId="421E2639" w14:textId="77777777" w:rsidR="000D1388" w:rsidRPr="006662C0" w:rsidRDefault="00E71057" w:rsidP="00F70F65">
            <w:pPr>
              <w:numPr>
                <w:ilvl w:val="0"/>
                <w:numId w:val="49"/>
              </w:numPr>
              <w:spacing w:after="0" w:line="240" w:lineRule="auto"/>
              <w:contextualSpacing/>
              <w:rPr>
                <w:rFonts w:ascii="Times New Roman" w:hAnsi="Times New Roman" w:cs="Times New Roman"/>
                <w:noProof/>
                <w:color w:val="006100"/>
                <w:sz w:val="20"/>
                <w:szCs w:val="20"/>
              </w:rPr>
            </w:pPr>
            <w:r>
              <w:rPr>
                <w:rFonts w:ascii="Times New Roman" w:hAnsi="Times New Roman"/>
                <w:noProof/>
                <w:color w:val="006100"/>
                <w:sz w:val="20"/>
              </w:rPr>
              <w:t xml:space="preserve">54 bus électriques livrés </w:t>
            </w:r>
          </w:p>
          <w:p w14:paraId="19AD3492" w14:textId="77777777" w:rsidR="000D1388" w:rsidRPr="006662C0" w:rsidRDefault="00E71057" w:rsidP="00F70F65">
            <w:pPr>
              <w:numPr>
                <w:ilvl w:val="0"/>
                <w:numId w:val="49"/>
              </w:numPr>
              <w:spacing w:after="0" w:line="240" w:lineRule="auto"/>
              <w:contextualSpacing/>
              <w:rPr>
                <w:rFonts w:ascii="Times New Roman" w:hAnsi="Times New Roman" w:cs="Times New Roman"/>
                <w:noProof/>
                <w:color w:val="006100"/>
                <w:sz w:val="20"/>
                <w:szCs w:val="20"/>
              </w:rPr>
            </w:pPr>
            <w:r>
              <w:rPr>
                <w:rFonts w:ascii="Times New Roman" w:hAnsi="Times New Roman"/>
                <w:noProof/>
                <w:color w:val="006100"/>
                <w:sz w:val="20"/>
              </w:rPr>
              <w:t xml:space="preserve">273 infrastructures de recharge livrées </w:t>
            </w:r>
          </w:p>
          <w:p w14:paraId="24C6930B" w14:textId="77777777" w:rsidR="000D1388" w:rsidRPr="006662C0" w:rsidRDefault="00E71057" w:rsidP="00E71057">
            <w:pPr>
              <w:spacing w:after="0"/>
              <w:rPr>
                <w:rFonts w:ascii="Times New Roman" w:hAnsi="Times New Roman" w:cs="Times New Roman"/>
                <w:noProof/>
                <w:color w:val="006100"/>
                <w:sz w:val="20"/>
                <w:szCs w:val="20"/>
              </w:rPr>
            </w:pPr>
            <w:r>
              <w:rPr>
                <w:rFonts w:ascii="Times New Roman" w:hAnsi="Times New Roman"/>
                <w:noProof/>
                <w:color w:val="006100"/>
                <w:sz w:val="20"/>
              </w:rPr>
              <w:t>Verdir la flotte de bus – RBC</w:t>
            </w:r>
          </w:p>
          <w:p w14:paraId="7103C3D7" w14:textId="77777777" w:rsidR="000D1388" w:rsidRPr="006662C0" w:rsidRDefault="00E71057" w:rsidP="00F70F65">
            <w:pPr>
              <w:numPr>
                <w:ilvl w:val="0"/>
                <w:numId w:val="49"/>
              </w:numPr>
              <w:spacing w:after="0" w:line="240"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Livraison de 33 bus articulés électriques </w:t>
            </w:r>
          </w:p>
          <w:p w14:paraId="387D0DCF" w14:textId="77777777" w:rsidR="000D1388" w:rsidRPr="006662C0" w:rsidRDefault="00E71057" w:rsidP="00E71057">
            <w:pPr>
              <w:spacing w:after="0"/>
              <w:rPr>
                <w:rFonts w:ascii="Times New Roman" w:hAnsi="Times New Roman" w:cs="Times New Roman"/>
                <w:noProof/>
                <w:color w:val="006100"/>
                <w:sz w:val="20"/>
                <w:szCs w:val="20"/>
              </w:rPr>
            </w:pPr>
            <w:r>
              <w:rPr>
                <w:rFonts w:ascii="Times New Roman" w:hAnsi="Times New Roman"/>
                <w:noProof/>
                <w:color w:val="006100"/>
                <w:sz w:val="20"/>
              </w:rPr>
              <w:t>Verdir la flotte de bus – WAL</w:t>
            </w:r>
          </w:p>
          <w:p w14:paraId="30879E09" w14:textId="77777777" w:rsidR="000D1388" w:rsidRPr="006662C0" w:rsidRDefault="00E71057" w:rsidP="00F70F65">
            <w:pPr>
              <w:numPr>
                <w:ilvl w:val="0"/>
                <w:numId w:val="49"/>
              </w:numPr>
              <w:spacing w:after="0" w:line="240" w:lineRule="auto"/>
              <w:contextualSpacing/>
              <w:rPr>
                <w:rFonts w:ascii="Times New Roman" w:hAnsi="Times New Roman" w:cs="Times New Roman"/>
                <w:noProof/>
                <w:color w:val="006100"/>
                <w:sz w:val="20"/>
                <w:szCs w:val="20"/>
              </w:rPr>
            </w:pPr>
            <w:r>
              <w:rPr>
                <w:rFonts w:ascii="Times New Roman" w:hAnsi="Times New Roman"/>
                <w:noProof/>
                <w:color w:val="006100"/>
                <w:sz w:val="20"/>
              </w:rPr>
              <w:t>Livraison de 14 bus articulés électriques</w:t>
            </w:r>
          </w:p>
          <w:p w14:paraId="5DC67EF5" w14:textId="77777777" w:rsidR="000D1388" w:rsidRPr="006662C0" w:rsidRDefault="000D1388" w:rsidP="00E71057">
            <w:pPr>
              <w:spacing w:after="0" w:line="240" w:lineRule="auto"/>
              <w:ind w:left="527" w:hanging="357"/>
              <w:contextualSpacing/>
              <w:rPr>
                <w:rFonts w:ascii="Times New Roman" w:eastAsia="Times New Roman" w:hAnsi="Times New Roman" w:cs="Times New Roman"/>
                <w:noProof/>
                <w:color w:val="006100"/>
                <w:sz w:val="20"/>
                <w:szCs w:val="20"/>
                <w:lang w:val="en-GB"/>
              </w:rPr>
            </w:pPr>
          </w:p>
        </w:tc>
      </w:tr>
      <w:tr w:rsidR="00E71057" w:rsidRPr="006662C0" w14:paraId="10064632" w14:textId="77777777" w:rsidTr="00C77BBC">
        <w:trPr>
          <w:trHeight w:val="309"/>
          <w:jc w:val="center"/>
        </w:trPr>
        <w:tc>
          <w:tcPr>
            <w:tcW w:w="1129" w:type="dxa"/>
            <w:shd w:val="clear" w:color="auto" w:fill="C6EFCE"/>
            <w:noWrap/>
            <w:vAlign w:val="center"/>
          </w:tcPr>
          <w:p w14:paraId="07B21405"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115 </w:t>
            </w:r>
            <w:r>
              <w:rPr>
                <w:rFonts w:ascii="Times New Roman" w:hAnsi="Times New Roman"/>
                <w:i/>
                <w:iCs/>
                <w:noProof/>
                <w:color w:val="006100"/>
                <w:sz w:val="20"/>
              </w:rPr>
              <w:t>ter</w:t>
            </w:r>
          </w:p>
        </w:tc>
        <w:tc>
          <w:tcPr>
            <w:tcW w:w="1560" w:type="dxa"/>
            <w:shd w:val="clear" w:color="auto" w:fill="C6EFCE"/>
            <w:noWrap/>
            <w:vAlign w:val="center"/>
          </w:tcPr>
          <w:p w14:paraId="55B6C261"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Verdir la flotte de bus – (I-3G)</w:t>
            </w:r>
          </w:p>
        </w:tc>
        <w:tc>
          <w:tcPr>
            <w:tcW w:w="714" w:type="dxa"/>
            <w:shd w:val="clear" w:color="auto" w:fill="C6EFCE"/>
            <w:noWrap/>
            <w:vAlign w:val="center"/>
          </w:tcPr>
          <w:p w14:paraId="5F4BF6C7"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701" w:type="dxa"/>
            <w:shd w:val="clear" w:color="auto" w:fill="C6EFCE"/>
            <w:noWrap/>
            <w:vAlign w:val="center"/>
          </w:tcPr>
          <w:p w14:paraId="00470D95" w14:textId="6DCFC4D8"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Bus verts, infrastructures de recharge et un dépôt de bus en Wallonie</w:t>
            </w:r>
          </w:p>
        </w:tc>
        <w:tc>
          <w:tcPr>
            <w:tcW w:w="1417" w:type="dxa"/>
            <w:shd w:val="clear" w:color="auto" w:fill="C6EFCE"/>
            <w:noWrap/>
            <w:vAlign w:val="center"/>
          </w:tcPr>
          <w:p w14:paraId="40E0C613" w14:textId="77777777" w:rsidR="000D1388" w:rsidRPr="00746A1A" w:rsidRDefault="000D1388" w:rsidP="00E71057">
            <w:pPr>
              <w:spacing w:after="0"/>
              <w:rPr>
                <w:rFonts w:ascii="Times New Roman" w:eastAsia="Calibri" w:hAnsi="Times New Roman" w:cs="Times New Roman"/>
                <w:noProof/>
                <w:color w:val="006100"/>
                <w:sz w:val="20"/>
                <w:szCs w:val="20"/>
                <w:lang w:val="fr-BE" w:eastAsia="en-GB"/>
              </w:rPr>
            </w:pPr>
          </w:p>
        </w:tc>
        <w:tc>
          <w:tcPr>
            <w:tcW w:w="1388" w:type="dxa"/>
            <w:shd w:val="clear" w:color="auto" w:fill="C6EFCE"/>
            <w:noWrap/>
            <w:vAlign w:val="center"/>
          </w:tcPr>
          <w:p w14:paraId="0A1BA28B"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Véhicules et infrastructures de recharge</w:t>
            </w:r>
          </w:p>
        </w:tc>
        <w:tc>
          <w:tcPr>
            <w:tcW w:w="1158" w:type="dxa"/>
            <w:shd w:val="clear" w:color="auto" w:fill="C6EFCE"/>
            <w:noWrap/>
            <w:vAlign w:val="center"/>
          </w:tcPr>
          <w:p w14:paraId="613775FA" w14:textId="77777777" w:rsidR="000D1388" w:rsidRPr="006662C0" w:rsidRDefault="00E71057" w:rsidP="00E71057">
            <w:pPr>
              <w:spacing w:after="0"/>
              <w:jc w:val="right"/>
              <w:rPr>
                <w:rFonts w:ascii="Times New Roman" w:hAnsi="Times New Roman" w:cs="Times New Roman"/>
                <w:noProof/>
                <w:color w:val="006100"/>
                <w:sz w:val="20"/>
                <w:szCs w:val="20"/>
              </w:rPr>
            </w:pPr>
            <w:r>
              <w:rPr>
                <w:rFonts w:ascii="Times New Roman" w:hAnsi="Times New Roman"/>
                <w:noProof/>
                <w:color w:val="006100"/>
                <w:sz w:val="20"/>
              </w:rPr>
              <w:t>538</w:t>
            </w:r>
          </w:p>
        </w:tc>
        <w:tc>
          <w:tcPr>
            <w:tcW w:w="993" w:type="dxa"/>
            <w:shd w:val="clear" w:color="auto" w:fill="C6EFCE"/>
            <w:noWrap/>
            <w:vAlign w:val="center"/>
          </w:tcPr>
          <w:p w14:paraId="27B5DC9A" w14:textId="77777777" w:rsidR="000D1388" w:rsidRPr="006662C0" w:rsidRDefault="00E71057" w:rsidP="00E71057">
            <w:pPr>
              <w:spacing w:after="0"/>
              <w:jc w:val="right"/>
              <w:rPr>
                <w:rFonts w:ascii="Times New Roman" w:hAnsi="Times New Roman" w:cs="Times New Roman"/>
                <w:noProof/>
                <w:color w:val="006100"/>
                <w:sz w:val="20"/>
                <w:szCs w:val="20"/>
              </w:rPr>
            </w:pPr>
            <w:r>
              <w:rPr>
                <w:rFonts w:ascii="Times New Roman" w:hAnsi="Times New Roman"/>
                <w:noProof/>
                <w:color w:val="006100"/>
                <w:sz w:val="20"/>
              </w:rPr>
              <w:t>591</w:t>
            </w:r>
          </w:p>
        </w:tc>
        <w:tc>
          <w:tcPr>
            <w:tcW w:w="1134" w:type="dxa"/>
            <w:shd w:val="clear" w:color="auto" w:fill="C6EFCE"/>
            <w:noWrap/>
            <w:vAlign w:val="center"/>
          </w:tcPr>
          <w:p w14:paraId="06DCBF30" w14:textId="77777777" w:rsidR="000D1388" w:rsidRPr="006662C0" w:rsidRDefault="00E71057" w:rsidP="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tcPr>
          <w:p w14:paraId="5D9F539A" w14:textId="77777777" w:rsidR="000D1388" w:rsidRPr="006662C0" w:rsidRDefault="00E71057" w:rsidP="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3662" w:type="dxa"/>
            <w:shd w:val="clear" w:color="auto" w:fill="C6EFCE"/>
            <w:noWrap/>
            <w:vAlign w:val="center"/>
          </w:tcPr>
          <w:p w14:paraId="5BE7E6F9" w14:textId="77777777" w:rsidR="00014814" w:rsidRPr="00E63BBE" w:rsidRDefault="00014814" w:rsidP="00014814">
            <w:pPr>
              <w:pStyle w:val="ListParagraph"/>
              <w:numPr>
                <w:ilvl w:val="0"/>
                <w:numId w:val="69"/>
              </w:num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Livraison de 18 bus biarticulés électriques</w:t>
            </w:r>
          </w:p>
          <w:p w14:paraId="6A94B393" w14:textId="1568C89C" w:rsidR="00014814" w:rsidRPr="00E63BBE" w:rsidRDefault="00014814" w:rsidP="00014814">
            <w:pPr>
              <w:pStyle w:val="ListParagraph"/>
              <w:numPr>
                <w:ilvl w:val="0"/>
                <w:numId w:val="69"/>
              </w:num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de 32 bornes de recharge de 150 kW et de 2 bornes de recharge de 300 kW</w:t>
            </w:r>
          </w:p>
          <w:p w14:paraId="6BFE260A" w14:textId="0B2EF542" w:rsidR="000D1388" w:rsidRPr="00AC7314" w:rsidRDefault="00014814" w:rsidP="00A70894">
            <w:pPr>
              <w:spacing w:after="0" w:line="240" w:lineRule="auto"/>
              <w:ind w:left="527" w:hanging="357"/>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(iii) Un rapport de prévention des incendies favorable est émis par l’autorité de prévention des incendies du dépôt de bus.</w:t>
            </w:r>
          </w:p>
        </w:tc>
      </w:tr>
      <w:tr w:rsidR="00E71057" w:rsidRPr="006662C0" w14:paraId="3C06A329" w14:textId="77777777" w:rsidTr="00C77BBC">
        <w:trPr>
          <w:trHeight w:val="309"/>
          <w:jc w:val="center"/>
        </w:trPr>
        <w:tc>
          <w:tcPr>
            <w:tcW w:w="1129" w:type="dxa"/>
            <w:shd w:val="clear" w:color="auto" w:fill="C6EFCE"/>
            <w:noWrap/>
            <w:vAlign w:val="center"/>
            <w:hideMark/>
          </w:tcPr>
          <w:p w14:paraId="5BBFA9AE"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116</w:t>
            </w:r>
          </w:p>
        </w:tc>
        <w:tc>
          <w:tcPr>
            <w:tcW w:w="1560" w:type="dxa"/>
            <w:shd w:val="clear" w:color="auto" w:fill="C6EFCE"/>
            <w:noWrap/>
            <w:vAlign w:val="center"/>
            <w:hideMark/>
          </w:tcPr>
          <w:p w14:paraId="62DD56EB"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Stimuler le transport à zéro émission – VLA (R-3.06)</w:t>
            </w:r>
          </w:p>
        </w:tc>
        <w:tc>
          <w:tcPr>
            <w:tcW w:w="714" w:type="dxa"/>
            <w:shd w:val="clear" w:color="auto" w:fill="C6EFCE"/>
            <w:noWrap/>
            <w:vAlign w:val="center"/>
            <w:hideMark/>
          </w:tcPr>
          <w:p w14:paraId="605C65FD"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hideMark/>
          </w:tcPr>
          <w:p w14:paraId="53C174F9"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cadre pour le déploiement de l’infrastructure de recharge en Région flamande</w:t>
            </w:r>
          </w:p>
        </w:tc>
        <w:tc>
          <w:tcPr>
            <w:tcW w:w="1417" w:type="dxa"/>
            <w:shd w:val="clear" w:color="auto" w:fill="C6EFCE"/>
            <w:noWrap/>
            <w:vAlign w:val="center"/>
            <w:hideMark/>
          </w:tcPr>
          <w:p w14:paraId="3FB15B09"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cadre</w:t>
            </w:r>
          </w:p>
        </w:tc>
        <w:tc>
          <w:tcPr>
            <w:tcW w:w="1388" w:type="dxa"/>
            <w:shd w:val="clear" w:color="auto" w:fill="C6EFCE"/>
            <w:noWrap/>
            <w:vAlign w:val="center"/>
            <w:hideMark/>
          </w:tcPr>
          <w:p w14:paraId="11FE354D"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158" w:type="dxa"/>
            <w:shd w:val="clear" w:color="auto" w:fill="C6EFCE"/>
            <w:noWrap/>
            <w:vAlign w:val="center"/>
            <w:hideMark/>
          </w:tcPr>
          <w:p w14:paraId="604F73F5"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hideMark/>
          </w:tcPr>
          <w:p w14:paraId="6320658E"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hideMark/>
          </w:tcPr>
          <w:p w14:paraId="6CE4D379"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hideMark/>
          </w:tcPr>
          <w:p w14:paraId="2191AF76"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662" w:type="dxa"/>
            <w:shd w:val="clear" w:color="auto" w:fill="C6EFCE"/>
            <w:noWrap/>
            <w:vAlign w:val="center"/>
            <w:hideMark/>
          </w:tcPr>
          <w:p w14:paraId="6D0507EC"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d’un cadre d’action pour le déploiement de l’infrastructure de recharge en Région flamande. Le cadre d’action devrait permettre de:</w:t>
            </w:r>
          </w:p>
          <w:p w14:paraId="750DE291"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cartographier les futurs points de recharge</w:t>
            </w:r>
          </w:p>
          <w:p w14:paraId="30B9BC01"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lancer des marchés de concession pour les points de recharge sur le domaine public</w:t>
            </w:r>
          </w:p>
          <w:p w14:paraId="606E386B"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stimuler le déploiement de points de recharge (semi-) publics sur le domaine privé</w:t>
            </w:r>
          </w:p>
          <w:p w14:paraId="7F775AB3"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raccourcir le délai d’installation des points de recharge en réduisant la charge administrative</w:t>
            </w:r>
          </w:p>
          <w:p w14:paraId="20DF9292"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stimuler la recharge électrique intelligente</w:t>
            </w:r>
          </w:p>
        </w:tc>
      </w:tr>
      <w:tr w:rsidR="00E71057" w:rsidRPr="006662C0" w14:paraId="12A4FC75" w14:textId="77777777" w:rsidTr="00C77BBC">
        <w:trPr>
          <w:trHeight w:val="309"/>
          <w:jc w:val="center"/>
        </w:trPr>
        <w:tc>
          <w:tcPr>
            <w:tcW w:w="1129" w:type="dxa"/>
            <w:shd w:val="clear" w:color="auto" w:fill="C6EFCE"/>
            <w:noWrap/>
            <w:vAlign w:val="center"/>
            <w:hideMark/>
          </w:tcPr>
          <w:p w14:paraId="65AE379B"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117</w:t>
            </w:r>
          </w:p>
        </w:tc>
        <w:tc>
          <w:tcPr>
            <w:tcW w:w="1560" w:type="dxa"/>
            <w:shd w:val="clear" w:color="auto" w:fill="C6EFCE"/>
            <w:noWrap/>
            <w:vAlign w:val="center"/>
            <w:hideMark/>
          </w:tcPr>
          <w:p w14:paraId="67981BBC"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Bornes de recharge – VLA (I-3.19)</w:t>
            </w:r>
          </w:p>
        </w:tc>
        <w:tc>
          <w:tcPr>
            <w:tcW w:w="714" w:type="dxa"/>
            <w:shd w:val="clear" w:color="auto" w:fill="C6EFCE"/>
            <w:noWrap/>
            <w:vAlign w:val="center"/>
            <w:hideMark/>
          </w:tcPr>
          <w:p w14:paraId="516CE0C0"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hideMark/>
          </w:tcPr>
          <w:p w14:paraId="58F6FD57"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concessions pour l’infrastructure de recharge</w:t>
            </w:r>
          </w:p>
        </w:tc>
        <w:tc>
          <w:tcPr>
            <w:tcW w:w="1417" w:type="dxa"/>
            <w:shd w:val="clear" w:color="auto" w:fill="C6EFCE"/>
            <w:noWrap/>
            <w:vAlign w:val="center"/>
            <w:hideMark/>
          </w:tcPr>
          <w:p w14:paraId="1661D969"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388" w:type="dxa"/>
            <w:shd w:val="clear" w:color="auto" w:fill="C6EFCE"/>
            <w:noWrap/>
            <w:vAlign w:val="center"/>
            <w:hideMark/>
          </w:tcPr>
          <w:p w14:paraId="42DE4CB6"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1158" w:type="dxa"/>
            <w:shd w:val="clear" w:color="auto" w:fill="C6EFCE"/>
            <w:noWrap/>
            <w:vAlign w:val="center"/>
            <w:hideMark/>
          </w:tcPr>
          <w:p w14:paraId="6531CB77"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hideMark/>
          </w:tcPr>
          <w:p w14:paraId="42577CE8"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hideMark/>
          </w:tcPr>
          <w:p w14:paraId="315FA09B"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hideMark/>
          </w:tcPr>
          <w:p w14:paraId="3CA1295C"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662" w:type="dxa"/>
            <w:shd w:val="clear" w:color="auto" w:fill="C6EFCE"/>
            <w:noWrap/>
            <w:vAlign w:val="center"/>
            <w:hideMark/>
          </w:tcPr>
          <w:p w14:paraId="0DBC7A1A"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concessions pour l’infrastructure de recharge. Le cadre pour le déploiement de l’infrastructure de recharge publique est assuré par des concessions attribuées par le gouvernement flamand, tandis que le déploiement est laissé aux opérateurs privés</w:t>
            </w:r>
          </w:p>
        </w:tc>
      </w:tr>
      <w:tr w:rsidR="00E71057" w:rsidRPr="006662C0" w14:paraId="0FA5FC34" w14:textId="77777777" w:rsidTr="00C77BBC">
        <w:trPr>
          <w:trHeight w:val="309"/>
          <w:jc w:val="center"/>
        </w:trPr>
        <w:tc>
          <w:tcPr>
            <w:tcW w:w="1129" w:type="dxa"/>
            <w:shd w:val="clear" w:color="auto" w:fill="C6EFCE"/>
            <w:noWrap/>
            <w:vAlign w:val="center"/>
            <w:hideMark/>
          </w:tcPr>
          <w:p w14:paraId="5E75D324"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118</w:t>
            </w:r>
          </w:p>
        </w:tc>
        <w:tc>
          <w:tcPr>
            <w:tcW w:w="1560" w:type="dxa"/>
            <w:shd w:val="clear" w:color="auto" w:fill="C6EFCE"/>
            <w:noWrap/>
            <w:vAlign w:val="center"/>
            <w:hideMark/>
          </w:tcPr>
          <w:p w14:paraId="69320695"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Bornes de recharge – RBC (R-3.05)</w:t>
            </w:r>
          </w:p>
        </w:tc>
        <w:tc>
          <w:tcPr>
            <w:tcW w:w="714" w:type="dxa"/>
            <w:shd w:val="clear" w:color="auto" w:fill="C6EFCE"/>
            <w:noWrap/>
            <w:vAlign w:val="center"/>
            <w:hideMark/>
          </w:tcPr>
          <w:p w14:paraId="3F3381A8"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hideMark/>
          </w:tcPr>
          <w:p w14:paraId="3601E9B7"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arrêté précisant les normes de sécurité et d’un plan de livraison de l’infrastructure</w:t>
            </w:r>
          </w:p>
        </w:tc>
        <w:tc>
          <w:tcPr>
            <w:tcW w:w="1417" w:type="dxa"/>
            <w:shd w:val="clear" w:color="auto" w:fill="C6EFCE"/>
            <w:noWrap/>
            <w:vAlign w:val="center"/>
            <w:hideMark/>
          </w:tcPr>
          <w:p w14:paraId="026FE99A"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l’arrêté précisant les normes de sécurité et d’un plan de livraison de l’infrastructure</w:t>
            </w:r>
          </w:p>
        </w:tc>
        <w:tc>
          <w:tcPr>
            <w:tcW w:w="1388" w:type="dxa"/>
            <w:shd w:val="clear" w:color="auto" w:fill="C6EFCE"/>
            <w:noWrap/>
            <w:vAlign w:val="center"/>
            <w:hideMark/>
          </w:tcPr>
          <w:p w14:paraId="1A615D70" w14:textId="77777777" w:rsidR="000D1388" w:rsidRPr="00746A1A" w:rsidRDefault="000D1388" w:rsidP="00E71057">
            <w:pPr>
              <w:spacing w:after="0"/>
              <w:jc w:val="both"/>
              <w:rPr>
                <w:rFonts w:ascii="Times New Roman" w:eastAsia="Times New Roman" w:hAnsi="Times New Roman" w:cs="Times New Roman"/>
                <w:noProof/>
                <w:color w:val="006100"/>
                <w:sz w:val="20"/>
                <w:szCs w:val="20"/>
                <w:lang w:val="fr-BE" w:eastAsia="en-GB"/>
              </w:rPr>
            </w:pPr>
          </w:p>
        </w:tc>
        <w:tc>
          <w:tcPr>
            <w:tcW w:w="1158" w:type="dxa"/>
            <w:shd w:val="clear" w:color="auto" w:fill="C6EFCE"/>
            <w:noWrap/>
            <w:vAlign w:val="center"/>
            <w:hideMark/>
          </w:tcPr>
          <w:p w14:paraId="244A56C7" w14:textId="77777777" w:rsidR="000D1388" w:rsidRPr="00746A1A" w:rsidRDefault="000D1388" w:rsidP="00E71057">
            <w:pPr>
              <w:jc w:val="both"/>
              <w:rPr>
                <w:rFonts w:ascii="Times New Roman" w:eastAsia="Times New Roman" w:hAnsi="Times New Roman" w:cs="Times New Roman"/>
                <w:noProof/>
                <w:sz w:val="20"/>
                <w:szCs w:val="20"/>
                <w:lang w:val="fr-BE" w:eastAsia="en-GB"/>
              </w:rPr>
            </w:pPr>
          </w:p>
        </w:tc>
        <w:tc>
          <w:tcPr>
            <w:tcW w:w="993" w:type="dxa"/>
            <w:shd w:val="clear" w:color="auto" w:fill="C6EFCE"/>
            <w:noWrap/>
            <w:vAlign w:val="center"/>
            <w:hideMark/>
          </w:tcPr>
          <w:p w14:paraId="52EFC68A" w14:textId="77777777" w:rsidR="000D1388" w:rsidRPr="00746A1A" w:rsidRDefault="000D1388" w:rsidP="00E71057">
            <w:pPr>
              <w:spacing w:after="0"/>
              <w:jc w:val="both"/>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hideMark/>
          </w:tcPr>
          <w:p w14:paraId="53A08974"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0" w:type="dxa"/>
            <w:shd w:val="clear" w:color="auto" w:fill="C6EFCE"/>
            <w:noWrap/>
            <w:vAlign w:val="center"/>
            <w:hideMark/>
          </w:tcPr>
          <w:p w14:paraId="50C60181"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375623"/>
                <w:sz w:val="20"/>
              </w:rPr>
              <w:t>2022</w:t>
            </w:r>
          </w:p>
        </w:tc>
        <w:tc>
          <w:tcPr>
            <w:tcW w:w="3662" w:type="dxa"/>
            <w:shd w:val="clear" w:color="auto" w:fill="C6EFCE"/>
            <w:noWrap/>
            <w:vAlign w:val="center"/>
            <w:hideMark/>
          </w:tcPr>
          <w:p w14:paraId="57348DF3"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d’un arrêté précisant les normes de sécurité applicables à l’installation de bornes de recharge hors voirie dans la Région de Bruxelles-Capitale, ainsi que le ratio minimal de bornes à installer sur chaque parking d’ici le 31</w:t>
            </w:r>
            <w:r>
              <w:rPr>
                <w:rFonts w:ascii="Times New Roman" w:hAnsi="Times New Roman"/>
                <w:noProof/>
                <w:sz w:val="20"/>
              </w:rPr>
              <w:t> </w:t>
            </w:r>
            <w:r>
              <w:rPr>
                <w:rFonts w:ascii="Times New Roman" w:hAnsi="Times New Roman"/>
                <w:noProof/>
                <w:color w:val="006100"/>
                <w:sz w:val="20"/>
              </w:rPr>
              <w:t xml:space="preserve">décembre 2025 au plus tard. Adoption d’un plan de livraison de l’infrastructure incluant: </w:t>
            </w:r>
          </w:p>
          <w:p w14:paraId="16368630"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 une répartition géographique des points de recharge publics à installer à Bruxelles, qui sera revue ultérieurement </w:t>
            </w:r>
            <w:r>
              <w:rPr>
                <w:rFonts w:ascii="Calibri" w:hAnsi="Calibri"/>
                <w:noProof/>
                <w:sz w:val="20"/>
              </w:rPr>
              <w:br/>
            </w:r>
            <w:r>
              <w:rPr>
                <w:rFonts w:ascii="Times New Roman" w:hAnsi="Times New Roman"/>
                <w:noProof/>
                <w:color w:val="006100"/>
                <w:sz w:val="20"/>
              </w:rPr>
              <w:t>- un objectif de points de recharge publics à installer au cours de la période 2022-2024</w:t>
            </w:r>
            <w:r>
              <w:rPr>
                <w:rFonts w:ascii="Calibri" w:hAnsi="Calibri"/>
                <w:noProof/>
                <w:sz w:val="20"/>
              </w:rPr>
              <w:t xml:space="preserve"> </w:t>
            </w:r>
            <w:r>
              <w:rPr>
                <w:rFonts w:ascii="Calibri" w:hAnsi="Calibri"/>
                <w:noProof/>
                <w:sz w:val="20"/>
              </w:rPr>
              <w:br/>
            </w:r>
            <w:r>
              <w:rPr>
                <w:rFonts w:ascii="Times New Roman" w:hAnsi="Times New Roman"/>
                <w:noProof/>
                <w:color w:val="006100"/>
                <w:sz w:val="20"/>
              </w:rPr>
              <w:t>- un plan d’installation de points de recharge rapide dans la ville</w:t>
            </w:r>
            <w:r>
              <w:rPr>
                <w:rFonts w:ascii="Calibri" w:hAnsi="Calibri"/>
                <w:noProof/>
                <w:sz w:val="20"/>
              </w:rPr>
              <w:t xml:space="preserve"> </w:t>
            </w:r>
            <w:r>
              <w:rPr>
                <w:rFonts w:ascii="Calibri" w:hAnsi="Calibri"/>
                <w:noProof/>
                <w:sz w:val="20"/>
              </w:rPr>
              <w:br/>
            </w:r>
            <w:r>
              <w:rPr>
                <w:rFonts w:ascii="Times New Roman" w:hAnsi="Times New Roman"/>
                <w:noProof/>
                <w:color w:val="006100"/>
                <w:sz w:val="20"/>
              </w:rPr>
              <w:t>- un plan d’installation de l’infrastructure de recharge hors voirie, examiné avec toutes les parties prenantes concernées (telles que les parkings publics, le secteur du commerce de détail, le secteur du logement, le secteur des immeubles de bureaux).</w:t>
            </w:r>
          </w:p>
          <w:p w14:paraId="44C689EC"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Ce plan sera conforme à la directive sur le déploiement d’une infrastructure pour carburants alternatifs.</w:t>
            </w:r>
          </w:p>
        </w:tc>
      </w:tr>
      <w:tr w:rsidR="00E71057" w:rsidRPr="006662C0" w14:paraId="28715CCC" w14:textId="77777777" w:rsidTr="00C77BBC">
        <w:trPr>
          <w:trHeight w:val="309"/>
          <w:jc w:val="center"/>
        </w:trPr>
        <w:tc>
          <w:tcPr>
            <w:tcW w:w="1129" w:type="dxa"/>
            <w:shd w:val="clear" w:color="auto" w:fill="C6EFCE"/>
            <w:noWrap/>
            <w:vAlign w:val="center"/>
          </w:tcPr>
          <w:p w14:paraId="6DC905B8"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119</w:t>
            </w:r>
          </w:p>
        </w:tc>
        <w:tc>
          <w:tcPr>
            <w:tcW w:w="1560" w:type="dxa"/>
            <w:shd w:val="clear" w:color="auto" w:fill="C6EFCE"/>
            <w:noWrap/>
            <w:vAlign w:val="center"/>
          </w:tcPr>
          <w:p w14:paraId="53ED51D6"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Bornes de recharge – WAL (R-3.04)</w:t>
            </w:r>
          </w:p>
        </w:tc>
        <w:tc>
          <w:tcPr>
            <w:tcW w:w="714" w:type="dxa"/>
            <w:shd w:val="clear" w:color="auto" w:fill="C6EFCE"/>
            <w:noWrap/>
            <w:vAlign w:val="center"/>
          </w:tcPr>
          <w:p w14:paraId="52697175"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tcPr>
          <w:p w14:paraId="323272DE"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d’un plan de déploiement de bornes de recharge électrique</w:t>
            </w:r>
          </w:p>
        </w:tc>
        <w:tc>
          <w:tcPr>
            <w:tcW w:w="1417" w:type="dxa"/>
            <w:shd w:val="clear" w:color="auto" w:fill="C6EFCE"/>
            <w:noWrap/>
            <w:vAlign w:val="center"/>
          </w:tcPr>
          <w:p w14:paraId="546D6E90"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d’un plan de déploiement de bornes de recharge électrique</w:t>
            </w:r>
          </w:p>
        </w:tc>
        <w:tc>
          <w:tcPr>
            <w:tcW w:w="1388" w:type="dxa"/>
            <w:shd w:val="clear" w:color="auto" w:fill="C6EFCE"/>
            <w:noWrap/>
            <w:vAlign w:val="center"/>
          </w:tcPr>
          <w:p w14:paraId="053761D5" w14:textId="77777777" w:rsidR="000D1388" w:rsidRPr="00746A1A" w:rsidRDefault="000D1388" w:rsidP="00E71057">
            <w:pPr>
              <w:spacing w:after="0"/>
              <w:rPr>
                <w:rFonts w:ascii="Times New Roman" w:eastAsia="Calibri" w:hAnsi="Times New Roman" w:cs="Times New Roman"/>
                <w:noProof/>
                <w:color w:val="006100"/>
                <w:sz w:val="20"/>
                <w:szCs w:val="20"/>
                <w:lang w:val="fr-BE"/>
              </w:rPr>
            </w:pPr>
          </w:p>
        </w:tc>
        <w:tc>
          <w:tcPr>
            <w:tcW w:w="1158" w:type="dxa"/>
            <w:shd w:val="clear" w:color="auto" w:fill="C6EFCE"/>
            <w:noWrap/>
            <w:vAlign w:val="center"/>
          </w:tcPr>
          <w:p w14:paraId="38B0E1DA" w14:textId="77777777" w:rsidR="000D1388" w:rsidRPr="00746A1A" w:rsidRDefault="000D1388" w:rsidP="00E71057">
            <w:pPr>
              <w:spacing w:after="0"/>
              <w:rPr>
                <w:rFonts w:ascii="Times New Roman" w:eastAsia="Calibri" w:hAnsi="Times New Roman" w:cs="Times New Roman"/>
                <w:noProof/>
                <w:color w:val="006100"/>
                <w:sz w:val="20"/>
                <w:szCs w:val="20"/>
                <w:lang w:val="fr-BE"/>
              </w:rPr>
            </w:pPr>
          </w:p>
        </w:tc>
        <w:tc>
          <w:tcPr>
            <w:tcW w:w="993" w:type="dxa"/>
            <w:shd w:val="clear" w:color="auto" w:fill="C6EFCE"/>
            <w:noWrap/>
            <w:vAlign w:val="center"/>
          </w:tcPr>
          <w:p w14:paraId="74D527E2" w14:textId="77777777" w:rsidR="000D1388" w:rsidRPr="00746A1A" w:rsidRDefault="000D1388" w:rsidP="00E71057">
            <w:pPr>
              <w:spacing w:after="0"/>
              <w:rPr>
                <w:rFonts w:ascii="Times New Roman" w:eastAsia="Calibri" w:hAnsi="Times New Roman" w:cs="Times New Roman"/>
                <w:noProof/>
                <w:color w:val="006100"/>
                <w:sz w:val="20"/>
                <w:szCs w:val="20"/>
                <w:lang w:val="fr-BE"/>
              </w:rPr>
            </w:pPr>
          </w:p>
        </w:tc>
        <w:tc>
          <w:tcPr>
            <w:tcW w:w="1134" w:type="dxa"/>
            <w:shd w:val="clear" w:color="auto" w:fill="C6EFCE"/>
            <w:noWrap/>
            <w:vAlign w:val="center"/>
          </w:tcPr>
          <w:p w14:paraId="3067F214" w14:textId="77777777" w:rsidR="000D1388" w:rsidRPr="006662C0" w:rsidRDefault="00E71057" w:rsidP="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T3</w:t>
            </w:r>
          </w:p>
        </w:tc>
        <w:tc>
          <w:tcPr>
            <w:tcW w:w="850" w:type="dxa"/>
            <w:shd w:val="clear" w:color="auto" w:fill="C6EFCE"/>
            <w:noWrap/>
            <w:vAlign w:val="center"/>
          </w:tcPr>
          <w:p w14:paraId="1EBEAF2D" w14:textId="77777777" w:rsidR="000D1388" w:rsidRPr="006662C0" w:rsidRDefault="00E71057" w:rsidP="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2022</w:t>
            </w:r>
          </w:p>
        </w:tc>
        <w:tc>
          <w:tcPr>
            <w:tcW w:w="3662" w:type="dxa"/>
            <w:shd w:val="clear" w:color="auto" w:fill="C6EFCE"/>
            <w:noWrap/>
            <w:vAlign w:val="center"/>
          </w:tcPr>
          <w:p w14:paraId="145316E2"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d’un plan de déploiement de bornes de recharge incluant:</w:t>
            </w:r>
          </w:p>
          <w:p w14:paraId="52A1A528"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le nombre de bornes de recharge devant être installées d’ici le 31</w:t>
            </w:r>
            <w:r>
              <w:rPr>
                <w:rFonts w:ascii="Times New Roman" w:hAnsi="Times New Roman"/>
                <w:noProof/>
                <w:sz w:val="20"/>
              </w:rPr>
              <w:t> </w:t>
            </w:r>
            <w:r>
              <w:rPr>
                <w:rFonts w:ascii="Times New Roman" w:hAnsi="Times New Roman"/>
                <w:noProof/>
                <w:color w:val="006100"/>
                <w:sz w:val="20"/>
              </w:rPr>
              <w:t>août 2026 au plus tard</w:t>
            </w:r>
          </w:p>
          <w:p w14:paraId="1E49CD32"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les procédures relatives au déploiement de l’infrastructure</w:t>
            </w:r>
          </w:p>
          <w:p w14:paraId="1051AC97"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 base nécessaire pour lancer les appels d’offres</w:t>
            </w:r>
          </w:p>
          <w:p w14:paraId="2856E3E4"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l’objectif du nombre d’équivalents point de recharge à installer d’ici 2026, qui tiendra compte de l’objectif indicatif d’un équivalent point de recharge pour dix véhicules électriques</w:t>
            </w:r>
          </w:p>
        </w:tc>
      </w:tr>
      <w:tr w:rsidR="00E71057" w:rsidRPr="006662C0" w14:paraId="7A2C24C6" w14:textId="77777777" w:rsidTr="00C77BBC">
        <w:trPr>
          <w:trHeight w:val="309"/>
          <w:jc w:val="center"/>
        </w:trPr>
        <w:tc>
          <w:tcPr>
            <w:tcW w:w="1129" w:type="dxa"/>
            <w:shd w:val="clear" w:color="auto" w:fill="C6EFCE"/>
            <w:noWrap/>
            <w:vAlign w:val="center"/>
          </w:tcPr>
          <w:p w14:paraId="2001D614"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120</w:t>
            </w:r>
          </w:p>
        </w:tc>
        <w:tc>
          <w:tcPr>
            <w:tcW w:w="1560" w:type="dxa"/>
            <w:shd w:val="clear" w:color="auto" w:fill="C6EFCE"/>
            <w:noWrap/>
            <w:vAlign w:val="center"/>
          </w:tcPr>
          <w:p w14:paraId="017E7A30"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Bornes de recharge – FED (I-3.18)</w:t>
            </w:r>
          </w:p>
        </w:tc>
        <w:tc>
          <w:tcPr>
            <w:tcW w:w="714" w:type="dxa"/>
            <w:shd w:val="clear" w:color="auto" w:fill="C6EFCE"/>
            <w:noWrap/>
            <w:vAlign w:val="center"/>
          </w:tcPr>
          <w:p w14:paraId="6C222A66"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tcPr>
          <w:p w14:paraId="75C17646"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Adoption de la mesure d’incitation fiscale pour installer des points de recharge privés et semi-publics </w:t>
            </w:r>
          </w:p>
        </w:tc>
        <w:tc>
          <w:tcPr>
            <w:tcW w:w="1417" w:type="dxa"/>
            <w:shd w:val="clear" w:color="auto" w:fill="C6EFCE"/>
            <w:noWrap/>
            <w:vAlign w:val="center"/>
          </w:tcPr>
          <w:p w14:paraId="19E3647A"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de la mesure d’incitation fiscale</w:t>
            </w:r>
          </w:p>
        </w:tc>
        <w:tc>
          <w:tcPr>
            <w:tcW w:w="1388" w:type="dxa"/>
            <w:shd w:val="clear" w:color="auto" w:fill="C6EFCE"/>
            <w:noWrap/>
            <w:vAlign w:val="center"/>
          </w:tcPr>
          <w:p w14:paraId="43925857" w14:textId="77777777" w:rsidR="000D1388" w:rsidRPr="00746A1A" w:rsidRDefault="000D1388" w:rsidP="00E71057">
            <w:pPr>
              <w:spacing w:after="0"/>
              <w:rPr>
                <w:rFonts w:ascii="Times New Roman" w:eastAsia="Calibri" w:hAnsi="Times New Roman" w:cs="Times New Roman"/>
                <w:noProof/>
                <w:color w:val="006100"/>
                <w:sz w:val="20"/>
                <w:szCs w:val="20"/>
                <w:lang w:val="fr-BE"/>
              </w:rPr>
            </w:pPr>
          </w:p>
        </w:tc>
        <w:tc>
          <w:tcPr>
            <w:tcW w:w="1158" w:type="dxa"/>
            <w:shd w:val="clear" w:color="auto" w:fill="C6EFCE"/>
            <w:noWrap/>
            <w:vAlign w:val="center"/>
          </w:tcPr>
          <w:p w14:paraId="6053C809" w14:textId="77777777" w:rsidR="000D1388" w:rsidRPr="00746A1A" w:rsidRDefault="000D1388" w:rsidP="00E71057">
            <w:pPr>
              <w:spacing w:after="0"/>
              <w:rPr>
                <w:rFonts w:ascii="Times New Roman" w:eastAsia="Calibri" w:hAnsi="Times New Roman" w:cs="Times New Roman"/>
                <w:noProof/>
                <w:color w:val="006100"/>
                <w:sz w:val="20"/>
                <w:szCs w:val="20"/>
                <w:lang w:val="fr-BE"/>
              </w:rPr>
            </w:pPr>
          </w:p>
        </w:tc>
        <w:tc>
          <w:tcPr>
            <w:tcW w:w="993" w:type="dxa"/>
            <w:shd w:val="clear" w:color="auto" w:fill="C6EFCE"/>
            <w:noWrap/>
            <w:vAlign w:val="center"/>
          </w:tcPr>
          <w:p w14:paraId="092DF796" w14:textId="77777777" w:rsidR="000D1388" w:rsidRPr="00746A1A" w:rsidRDefault="000D1388" w:rsidP="00E71057">
            <w:pPr>
              <w:spacing w:after="0"/>
              <w:rPr>
                <w:rFonts w:ascii="Times New Roman" w:eastAsia="Calibri" w:hAnsi="Times New Roman" w:cs="Times New Roman"/>
                <w:noProof/>
                <w:color w:val="006100"/>
                <w:sz w:val="20"/>
                <w:szCs w:val="20"/>
                <w:lang w:val="fr-BE"/>
              </w:rPr>
            </w:pPr>
          </w:p>
        </w:tc>
        <w:tc>
          <w:tcPr>
            <w:tcW w:w="1134" w:type="dxa"/>
            <w:shd w:val="clear" w:color="auto" w:fill="C6EFCE"/>
            <w:noWrap/>
            <w:vAlign w:val="center"/>
          </w:tcPr>
          <w:p w14:paraId="437FE1B3" w14:textId="77777777" w:rsidR="000D1388" w:rsidRPr="006662C0" w:rsidRDefault="00E71057" w:rsidP="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1C027050" w14:textId="77777777" w:rsidR="000D1388" w:rsidRPr="006662C0" w:rsidRDefault="00E71057" w:rsidP="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2021</w:t>
            </w:r>
          </w:p>
        </w:tc>
        <w:tc>
          <w:tcPr>
            <w:tcW w:w="3662" w:type="dxa"/>
            <w:shd w:val="clear" w:color="auto" w:fill="C6EFCE"/>
            <w:noWrap/>
            <w:vAlign w:val="center"/>
          </w:tcPr>
          <w:p w14:paraId="249B7033"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de la mesure d’incitation fiscale pour installer des points de recharge privés et semi-publics</w:t>
            </w:r>
          </w:p>
        </w:tc>
      </w:tr>
      <w:tr w:rsidR="00E71057" w:rsidRPr="006662C0" w14:paraId="1A75171C" w14:textId="77777777" w:rsidTr="00C77BBC">
        <w:trPr>
          <w:trHeight w:val="309"/>
          <w:jc w:val="center"/>
        </w:trPr>
        <w:tc>
          <w:tcPr>
            <w:tcW w:w="1129" w:type="dxa"/>
            <w:shd w:val="clear" w:color="auto" w:fill="C6EFCE"/>
            <w:noWrap/>
            <w:vAlign w:val="center"/>
          </w:tcPr>
          <w:p w14:paraId="0A8BAE61"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121</w:t>
            </w:r>
          </w:p>
        </w:tc>
        <w:tc>
          <w:tcPr>
            <w:tcW w:w="1560" w:type="dxa"/>
            <w:shd w:val="clear" w:color="auto" w:fill="C6EFCE"/>
            <w:noWrap/>
            <w:vAlign w:val="center"/>
          </w:tcPr>
          <w:p w14:paraId="2BAD68D3"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Bornes de recharge RBC (R-3.05) </w:t>
            </w:r>
          </w:p>
        </w:tc>
        <w:tc>
          <w:tcPr>
            <w:tcW w:w="714" w:type="dxa"/>
            <w:shd w:val="clear" w:color="auto" w:fill="C6EFCE"/>
            <w:noWrap/>
            <w:vAlign w:val="center"/>
          </w:tcPr>
          <w:p w14:paraId="369B3939"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01" w:type="dxa"/>
            <w:shd w:val="clear" w:color="auto" w:fill="C6EFCE"/>
            <w:noWrap/>
            <w:vAlign w:val="center"/>
          </w:tcPr>
          <w:p w14:paraId="7BEF1FFD"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Nouvelles bornes de recharge publiques raccordées au réseau électrique </w:t>
            </w:r>
          </w:p>
        </w:tc>
        <w:tc>
          <w:tcPr>
            <w:tcW w:w="1417" w:type="dxa"/>
            <w:shd w:val="clear" w:color="auto" w:fill="C6EFCE"/>
            <w:noWrap/>
            <w:vAlign w:val="center"/>
          </w:tcPr>
          <w:p w14:paraId="1FAB1669" w14:textId="77777777" w:rsidR="000D1388" w:rsidRPr="00746A1A" w:rsidRDefault="000D1388" w:rsidP="00E71057">
            <w:pPr>
              <w:spacing w:after="0"/>
              <w:rPr>
                <w:rFonts w:ascii="Times New Roman" w:eastAsia="Calibri" w:hAnsi="Times New Roman" w:cs="Times New Roman"/>
                <w:noProof/>
                <w:color w:val="006100"/>
                <w:sz w:val="20"/>
                <w:szCs w:val="20"/>
                <w:lang w:val="fr-BE"/>
              </w:rPr>
            </w:pPr>
          </w:p>
        </w:tc>
        <w:tc>
          <w:tcPr>
            <w:tcW w:w="1388" w:type="dxa"/>
            <w:shd w:val="clear" w:color="auto" w:fill="C6EFCE"/>
            <w:noWrap/>
            <w:vAlign w:val="center"/>
          </w:tcPr>
          <w:p w14:paraId="01878A66"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Bornes de recharge</w:t>
            </w:r>
          </w:p>
        </w:tc>
        <w:tc>
          <w:tcPr>
            <w:tcW w:w="1158" w:type="dxa"/>
            <w:shd w:val="clear" w:color="auto" w:fill="C6EFCE"/>
            <w:noWrap/>
            <w:vAlign w:val="center"/>
          </w:tcPr>
          <w:p w14:paraId="47D50CC6"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5357D7BB"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180</w:t>
            </w:r>
          </w:p>
        </w:tc>
        <w:tc>
          <w:tcPr>
            <w:tcW w:w="1134" w:type="dxa"/>
            <w:shd w:val="clear" w:color="auto" w:fill="C6EFCE"/>
            <w:noWrap/>
            <w:vAlign w:val="center"/>
          </w:tcPr>
          <w:p w14:paraId="6BFBF108"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tcPr>
          <w:p w14:paraId="3B5AA06A"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662" w:type="dxa"/>
            <w:shd w:val="clear" w:color="auto" w:fill="C6EFCE"/>
            <w:noWrap/>
            <w:vAlign w:val="center"/>
          </w:tcPr>
          <w:p w14:paraId="1EC8DA8D" w14:textId="77777777" w:rsidR="000D1388" w:rsidRPr="006662C0" w:rsidRDefault="00E71057" w:rsidP="00E71057">
            <w:pPr>
              <w:spacing w:after="0" w:line="240" w:lineRule="auto"/>
              <w:rPr>
                <w:rFonts w:ascii="Times New Roman" w:eastAsia="Calibri" w:hAnsi="Times New Roman" w:cs="Times New Roman"/>
                <w:noProof/>
                <w:color w:val="006100"/>
                <w:sz w:val="20"/>
                <w:szCs w:val="20"/>
              </w:rPr>
            </w:pPr>
            <w:r>
              <w:rPr>
                <w:rFonts w:ascii="Times New Roman" w:hAnsi="Times New Roman"/>
                <w:noProof/>
                <w:color w:val="006100"/>
                <w:sz w:val="20"/>
              </w:rPr>
              <w:t>Région de Bruxelles-Capitale (dans le cadre de R-3.05): 180 nouvelles bornes de recharge publiques raccordées au réseau électrique Chaque borne de recharge dispose de deux points de recharge.</w:t>
            </w:r>
          </w:p>
        </w:tc>
      </w:tr>
      <w:tr w:rsidR="00E71057" w:rsidRPr="006662C0" w14:paraId="6F5C5B60" w14:textId="77777777" w:rsidTr="00C77BBC">
        <w:trPr>
          <w:trHeight w:val="309"/>
          <w:jc w:val="center"/>
        </w:trPr>
        <w:tc>
          <w:tcPr>
            <w:tcW w:w="1129" w:type="dxa"/>
            <w:shd w:val="clear" w:color="auto" w:fill="C6EFCE"/>
            <w:noWrap/>
            <w:vAlign w:val="center"/>
          </w:tcPr>
          <w:p w14:paraId="19045661"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122</w:t>
            </w:r>
          </w:p>
        </w:tc>
        <w:tc>
          <w:tcPr>
            <w:tcW w:w="1560" w:type="dxa"/>
            <w:shd w:val="clear" w:color="auto" w:fill="C6EFCE"/>
            <w:noWrap/>
            <w:vAlign w:val="center"/>
          </w:tcPr>
          <w:p w14:paraId="56728C79"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Bornes de recharge (I-3F)</w:t>
            </w:r>
          </w:p>
        </w:tc>
        <w:tc>
          <w:tcPr>
            <w:tcW w:w="714" w:type="dxa"/>
            <w:shd w:val="clear" w:color="auto" w:fill="C6EFCE"/>
            <w:noWrap/>
            <w:vAlign w:val="center"/>
          </w:tcPr>
          <w:p w14:paraId="0383D182"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01" w:type="dxa"/>
            <w:shd w:val="clear" w:color="auto" w:fill="C6EFCE"/>
            <w:noWrap/>
            <w:vAlign w:val="center"/>
          </w:tcPr>
          <w:p w14:paraId="730909A4"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Nouveaux points de recharge publics et semi-publics accessibles </w:t>
            </w:r>
          </w:p>
        </w:tc>
        <w:tc>
          <w:tcPr>
            <w:tcW w:w="1417" w:type="dxa"/>
            <w:shd w:val="clear" w:color="auto" w:fill="C6EFCE"/>
            <w:noWrap/>
            <w:vAlign w:val="center"/>
          </w:tcPr>
          <w:p w14:paraId="3CC3D93B" w14:textId="77777777" w:rsidR="000D1388" w:rsidRPr="00746A1A" w:rsidRDefault="000D1388" w:rsidP="00E71057">
            <w:pPr>
              <w:spacing w:after="0"/>
              <w:rPr>
                <w:rFonts w:ascii="Times New Roman" w:eastAsia="Calibri" w:hAnsi="Times New Roman" w:cs="Times New Roman"/>
                <w:noProof/>
                <w:color w:val="006100"/>
                <w:sz w:val="20"/>
                <w:szCs w:val="20"/>
                <w:lang w:val="fr-BE" w:eastAsia="en-GB"/>
              </w:rPr>
            </w:pPr>
          </w:p>
        </w:tc>
        <w:tc>
          <w:tcPr>
            <w:tcW w:w="1388" w:type="dxa"/>
            <w:shd w:val="clear" w:color="auto" w:fill="C6EFCE"/>
            <w:noWrap/>
            <w:vAlign w:val="center"/>
          </w:tcPr>
          <w:p w14:paraId="407181A1"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Points de recharge </w:t>
            </w:r>
          </w:p>
        </w:tc>
        <w:tc>
          <w:tcPr>
            <w:tcW w:w="1158" w:type="dxa"/>
            <w:shd w:val="clear" w:color="auto" w:fill="C6EFCE"/>
            <w:noWrap/>
            <w:vAlign w:val="center"/>
          </w:tcPr>
          <w:p w14:paraId="5D86C51E"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1645029E"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27 000</w:t>
            </w:r>
          </w:p>
        </w:tc>
        <w:tc>
          <w:tcPr>
            <w:tcW w:w="1134" w:type="dxa"/>
            <w:shd w:val="clear" w:color="auto" w:fill="C6EFCE"/>
            <w:noWrap/>
            <w:vAlign w:val="center"/>
          </w:tcPr>
          <w:p w14:paraId="70821E65"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tcPr>
          <w:p w14:paraId="4AD4EEF8"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662" w:type="dxa"/>
            <w:shd w:val="clear" w:color="auto" w:fill="C6EFCE"/>
            <w:noWrap/>
            <w:vAlign w:val="center"/>
          </w:tcPr>
          <w:p w14:paraId="65E077AF" w14:textId="77777777" w:rsidR="000D1388" w:rsidRPr="006662C0" w:rsidRDefault="00E71057" w:rsidP="00E71057">
            <w:pPr>
              <w:spacing w:after="0" w:line="240" w:lineRule="auto"/>
              <w:rPr>
                <w:rFonts w:ascii="Times New Roman" w:eastAsia="Calibri" w:hAnsi="Times New Roman" w:cs="Times New Roman"/>
                <w:noProof/>
                <w:color w:val="375623"/>
                <w:sz w:val="20"/>
                <w:szCs w:val="20"/>
              </w:rPr>
            </w:pPr>
            <w:r>
              <w:rPr>
                <w:rFonts w:ascii="Times New Roman" w:hAnsi="Times New Roman"/>
                <w:noProof/>
                <w:color w:val="006100"/>
                <w:sz w:val="20"/>
              </w:rPr>
              <w:t>Région flamande (dans le cadre de I-3.19): 27 000 nouveaux points de recharge accessibles</w:t>
            </w:r>
          </w:p>
        </w:tc>
      </w:tr>
      <w:tr w:rsidR="00E71057" w:rsidRPr="006662C0" w14:paraId="7627B4DE" w14:textId="77777777" w:rsidTr="00C77BBC">
        <w:trPr>
          <w:trHeight w:val="309"/>
          <w:jc w:val="center"/>
        </w:trPr>
        <w:tc>
          <w:tcPr>
            <w:tcW w:w="1129" w:type="dxa"/>
            <w:shd w:val="clear" w:color="auto" w:fill="C6EFCE"/>
            <w:noWrap/>
            <w:vAlign w:val="center"/>
          </w:tcPr>
          <w:p w14:paraId="452A53CE"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124</w:t>
            </w:r>
          </w:p>
        </w:tc>
        <w:tc>
          <w:tcPr>
            <w:tcW w:w="1560" w:type="dxa"/>
            <w:shd w:val="clear" w:color="auto" w:fill="C6EFCE"/>
            <w:noWrap/>
            <w:vAlign w:val="center"/>
          </w:tcPr>
          <w:p w14:paraId="03DDEF44"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Extension du cadre flamand relatif à la surveillance des émissions des véhicules</w:t>
            </w:r>
            <w:r>
              <w:rPr>
                <w:rFonts w:ascii="Times New Roman" w:hAnsi="Times New Roman"/>
                <w:noProof/>
                <w:color w:val="FF0000"/>
                <w:sz w:val="20"/>
              </w:rPr>
              <w:t xml:space="preserve"> </w:t>
            </w:r>
            <w:r>
              <w:rPr>
                <w:rFonts w:ascii="Times New Roman" w:hAnsi="Times New Roman"/>
                <w:noProof/>
                <w:color w:val="006100"/>
                <w:sz w:val="20"/>
              </w:rPr>
              <w:t>(R-3.07)</w:t>
            </w:r>
          </w:p>
        </w:tc>
        <w:tc>
          <w:tcPr>
            <w:tcW w:w="714" w:type="dxa"/>
            <w:shd w:val="clear" w:color="auto" w:fill="C6EFCE"/>
            <w:noWrap/>
            <w:vAlign w:val="center"/>
          </w:tcPr>
          <w:p w14:paraId="7430A69E"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tcPr>
          <w:p w14:paraId="0974EDF8"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des cadres juridiques requis en vue de la mise en oeuvre d’un nouveau test de compteur de particules lors des inspections ainsi que pour la surveillance des émissions des véhicules routiers.</w:t>
            </w:r>
          </w:p>
        </w:tc>
        <w:tc>
          <w:tcPr>
            <w:tcW w:w="1417" w:type="dxa"/>
            <w:shd w:val="clear" w:color="auto" w:fill="C6EFCE"/>
            <w:noWrap/>
            <w:vAlign w:val="center"/>
          </w:tcPr>
          <w:p w14:paraId="65D9EC3A"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des cadres juridiques</w:t>
            </w:r>
          </w:p>
        </w:tc>
        <w:tc>
          <w:tcPr>
            <w:tcW w:w="1388" w:type="dxa"/>
            <w:shd w:val="clear" w:color="auto" w:fill="C6EFCE"/>
            <w:noWrap/>
            <w:vAlign w:val="center"/>
          </w:tcPr>
          <w:p w14:paraId="7448628E"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158" w:type="dxa"/>
            <w:shd w:val="clear" w:color="auto" w:fill="C6EFCE"/>
            <w:noWrap/>
            <w:vAlign w:val="center"/>
          </w:tcPr>
          <w:p w14:paraId="17F9DA99"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6743E08B" w14:textId="77777777" w:rsidR="000D1388" w:rsidRPr="006662C0" w:rsidRDefault="000D1388" w:rsidP="00E71057">
            <w:pPr>
              <w:spacing w:after="0"/>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320A20D8"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0" w:type="dxa"/>
            <w:shd w:val="clear" w:color="auto" w:fill="C6EFCE"/>
            <w:noWrap/>
            <w:vAlign w:val="center"/>
          </w:tcPr>
          <w:p w14:paraId="499ACAF8"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662" w:type="dxa"/>
            <w:shd w:val="clear" w:color="auto" w:fill="C6EFCE"/>
            <w:noWrap/>
            <w:vAlign w:val="center"/>
          </w:tcPr>
          <w:p w14:paraId="52697764"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de:</w:t>
            </w:r>
          </w:p>
          <w:p w14:paraId="3316155D"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 législation requise en vue de</w:t>
            </w:r>
            <w:r>
              <w:rPr>
                <w:rFonts w:ascii="Calibri" w:hAnsi="Calibri"/>
                <w:noProof/>
                <w:sz w:val="20"/>
              </w:rPr>
              <w:t xml:space="preserve"> </w:t>
            </w:r>
            <w:r>
              <w:rPr>
                <w:rFonts w:ascii="Times New Roman" w:hAnsi="Times New Roman"/>
                <w:noProof/>
                <w:color w:val="006100"/>
                <w:sz w:val="20"/>
              </w:rPr>
              <w:t>l’inclusion à partir de juillet</w:t>
            </w:r>
            <w:r>
              <w:rPr>
                <w:rFonts w:ascii="Times New Roman" w:hAnsi="Times New Roman"/>
                <w:noProof/>
                <w:sz w:val="20"/>
              </w:rPr>
              <w:t> </w:t>
            </w:r>
            <w:r>
              <w:rPr>
                <w:rFonts w:ascii="Times New Roman" w:hAnsi="Times New Roman"/>
                <w:noProof/>
                <w:color w:val="006100"/>
                <w:sz w:val="20"/>
              </w:rPr>
              <w:t xml:space="preserve">2022 des nouveaux tests du compteur de particules lors des inspections périodiques et non périodiques; </w:t>
            </w:r>
          </w:p>
          <w:p w14:paraId="713E690C"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la législation requise en vue de l’utilisation des données résultant de la surveillance des émissions routières afin de contrôler et de garantir le respect, par les véhicules, des exigences techniques en matière d’émissions, de mener des recherches et de mettre les propriétaires de véhicules posant des problèmes en demeure de soumettre ceux-ci à une inspection partielle.</w:t>
            </w:r>
          </w:p>
          <w:p w14:paraId="0250F084" w14:textId="77777777" w:rsidR="000D1388" w:rsidRPr="00746A1A" w:rsidRDefault="000D1388" w:rsidP="00E71057">
            <w:pPr>
              <w:spacing w:after="0"/>
              <w:rPr>
                <w:rFonts w:ascii="Times New Roman" w:eastAsia="Times New Roman" w:hAnsi="Times New Roman" w:cs="Times New Roman"/>
                <w:noProof/>
                <w:color w:val="006100"/>
                <w:sz w:val="20"/>
                <w:szCs w:val="20"/>
                <w:lang w:val="fr-BE"/>
              </w:rPr>
            </w:pPr>
          </w:p>
        </w:tc>
      </w:tr>
      <w:tr w:rsidR="00E71057" w:rsidRPr="006662C0" w14:paraId="32D4CFA4" w14:textId="77777777" w:rsidTr="00C77BBC">
        <w:trPr>
          <w:trHeight w:val="882"/>
          <w:jc w:val="center"/>
        </w:trPr>
        <w:tc>
          <w:tcPr>
            <w:tcW w:w="1129" w:type="dxa"/>
            <w:shd w:val="clear" w:color="auto" w:fill="C6EFCE"/>
            <w:noWrap/>
            <w:vAlign w:val="center"/>
          </w:tcPr>
          <w:p w14:paraId="6C529C56"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125</w:t>
            </w:r>
          </w:p>
        </w:tc>
        <w:tc>
          <w:tcPr>
            <w:tcW w:w="1560" w:type="dxa"/>
            <w:shd w:val="clear" w:color="auto" w:fill="C6EFCE"/>
            <w:noWrap/>
            <w:vAlign w:val="center"/>
          </w:tcPr>
          <w:p w14:paraId="3844918B"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Extension du cadre flamand relatif à la surveillance des émissions des véhicules</w:t>
            </w:r>
            <w:r>
              <w:rPr>
                <w:rFonts w:ascii="Times New Roman" w:hAnsi="Times New Roman"/>
                <w:noProof/>
                <w:color w:val="FF0000"/>
                <w:sz w:val="20"/>
              </w:rPr>
              <w:t xml:space="preserve"> </w:t>
            </w:r>
            <w:r>
              <w:rPr>
                <w:rFonts w:ascii="Times New Roman" w:hAnsi="Times New Roman"/>
                <w:noProof/>
                <w:color w:val="006100"/>
                <w:sz w:val="20"/>
              </w:rPr>
              <w:t>(R-3.07)</w:t>
            </w:r>
          </w:p>
        </w:tc>
        <w:tc>
          <w:tcPr>
            <w:tcW w:w="714" w:type="dxa"/>
            <w:shd w:val="clear" w:color="auto" w:fill="C6EFCE"/>
            <w:noWrap/>
            <w:vAlign w:val="center"/>
          </w:tcPr>
          <w:p w14:paraId="3990568A"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tcPr>
          <w:p w14:paraId="7154CC30"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Base de données sur les compteurs de particules et les inspections routières des véhicules utilitaires légers</w:t>
            </w:r>
          </w:p>
        </w:tc>
        <w:tc>
          <w:tcPr>
            <w:tcW w:w="1417" w:type="dxa"/>
            <w:shd w:val="clear" w:color="auto" w:fill="C6EFCE"/>
            <w:noWrap/>
            <w:vAlign w:val="center"/>
          </w:tcPr>
          <w:p w14:paraId="5D2A4865"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service de la base de données Entrée en vigueur du cadre juridique</w:t>
            </w:r>
          </w:p>
        </w:tc>
        <w:tc>
          <w:tcPr>
            <w:tcW w:w="1388" w:type="dxa"/>
            <w:shd w:val="clear" w:color="auto" w:fill="C6EFCE"/>
            <w:noWrap/>
            <w:vAlign w:val="center"/>
          </w:tcPr>
          <w:p w14:paraId="3A282761"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1158" w:type="dxa"/>
            <w:shd w:val="clear" w:color="auto" w:fill="C6EFCE"/>
            <w:noWrap/>
            <w:vAlign w:val="center"/>
          </w:tcPr>
          <w:p w14:paraId="317B822A"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6A3D5B7F"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4EEC19F6"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0" w:type="dxa"/>
            <w:shd w:val="clear" w:color="auto" w:fill="C6EFCE"/>
            <w:noWrap/>
            <w:vAlign w:val="center"/>
          </w:tcPr>
          <w:p w14:paraId="52ACD1C0"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62" w:type="dxa"/>
            <w:shd w:val="clear" w:color="auto" w:fill="C6EFCE"/>
            <w:noWrap/>
            <w:vAlign w:val="center"/>
          </w:tcPr>
          <w:p w14:paraId="4AF7955B"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Mise en service d’une base de données intégrant les données des compteurs de particules résultant des observations réalisées lors des inspections périodiques. </w:t>
            </w:r>
            <w:r>
              <w:rPr>
                <w:rFonts w:ascii="Calibri" w:hAnsi="Calibri"/>
                <w:noProof/>
                <w:sz w:val="20"/>
              </w:rPr>
              <w:br/>
            </w:r>
            <w:r>
              <w:rPr>
                <w:rFonts w:ascii="Times New Roman" w:hAnsi="Times New Roman"/>
                <w:noProof/>
                <w:color w:val="006100"/>
                <w:sz w:val="20"/>
              </w:rPr>
              <w:t>Entrée en vigueur du cadre juridique en vue de l’introduction d’inspections routières des véhicules utilitaires légers.</w:t>
            </w:r>
          </w:p>
          <w:p w14:paraId="17299F66" w14:textId="77777777" w:rsidR="000D1388" w:rsidRPr="00746A1A" w:rsidRDefault="000D1388" w:rsidP="00E71057">
            <w:pPr>
              <w:spacing w:after="0"/>
              <w:rPr>
                <w:rFonts w:ascii="Times New Roman" w:eastAsia="Times New Roman" w:hAnsi="Times New Roman" w:cs="Times New Roman"/>
                <w:noProof/>
                <w:color w:val="006100"/>
                <w:sz w:val="20"/>
                <w:szCs w:val="20"/>
                <w:lang w:val="fr-BE"/>
              </w:rPr>
            </w:pPr>
          </w:p>
        </w:tc>
      </w:tr>
      <w:tr w:rsidR="00E71057" w:rsidRPr="006662C0" w14:paraId="731523C4" w14:textId="77777777" w:rsidTr="00C77BBC">
        <w:trPr>
          <w:trHeight w:val="309"/>
          <w:jc w:val="center"/>
        </w:trPr>
        <w:tc>
          <w:tcPr>
            <w:tcW w:w="1129" w:type="dxa"/>
            <w:shd w:val="clear" w:color="auto" w:fill="C6EFCE"/>
            <w:noWrap/>
            <w:vAlign w:val="center"/>
          </w:tcPr>
          <w:p w14:paraId="292E9A46"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254</w:t>
            </w:r>
          </w:p>
        </w:tc>
        <w:tc>
          <w:tcPr>
            <w:tcW w:w="1560" w:type="dxa"/>
            <w:shd w:val="clear" w:color="auto" w:fill="C6EFCE"/>
            <w:noWrap/>
            <w:vAlign w:val="center"/>
          </w:tcPr>
          <w:p w14:paraId="7BE14525"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Réforme de la taxe de mise en circulation des véhicules de la Région wallonne (R-3.08)</w:t>
            </w:r>
          </w:p>
        </w:tc>
        <w:tc>
          <w:tcPr>
            <w:tcW w:w="714" w:type="dxa"/>
            <w:shd w:val="clear" w:color="auto" w:fill="C6EFCE"/>
            <w:noWrap/>
            <w:vAlign w:val="center"/>
          </w:tcPr>
          <w:p w14:paraId="0C2694DB"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701" w:type="dxa"/>
            <w:shd w:val="clear" w:color="auto" w:fill="C6EFCE"/>
            <w:noWrap/>
            <w:vAlign w:val="center"/>
          </w:tcPr>
          <w:p w14:paraId="3F294523"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Entrée en vigueur de l’acte juridique réformant la taxe de circulation des véhicules</w:t>
            </w:r>
          </w:p>
        </w:tc>
        <w:tc>
          <w:tcPr>
            <w:tcW w:w="1417" w:type="dxa"/>
            <w:shd w:val="clear" w:color="auto" w:fill="C6EFCE"/>
            <w:noWrap/>
            <w:vAlign w:val="center"/>
          </w:tcPr>
          <w:p w14:paraId="2D4E36AB"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Entrée en vigueur de l’acte juridique</w:t>
            </w:r>
          </w:p>
        </w:tc>
        <w:tc>
          <w:tcPr>
            <w:tcW w:w="1388" w:type="dxa"/>
            <w:shd w:val="clear" w:color="auto" w:fill="C6EFCE"/>
            <w:noWrap/>
            <w:vAlign w:val="center"/>
          </w:tcPr>
          <w:p w14:paraId="2C9407A1"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1158" w:type="dxa"/>
            <w:shd w:val="clear" w:color="auto" w:fill="C6EFCE"/>
            <w:noWrap/>
            <w:vAlign w:val="center"/>
          </w:tcPr>
          <w:p w14:paraId="45F5663B"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725FCEDB"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08F9733" w14:textId="77777777" w:rsidR="000D1388" w:rsidRPr="006662C0" w:rsidRDefault="00E71057" w:rsidP="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50" w:type="dxa"/>
            <w:shd w:val="clear" w:color="auto" w:fill="C6EFCE"/>
            <w:noWrap/>
            <w:vAlign w:val="center"/>
          </w:tcPr>
          <w:p w14:paraId="7FA8723D" w14:textId="77777777" w:rsidR="000D1388" w:rsidRPr="006662C0" w:rsidRDefault="00E71057" w:rsidP="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2025</w:t>
            </w:r>
          </w:p>
        </w:tc>
        <w:tc>
          <w:tcPr>
            <w:tcW w:w="3662" w:type="dxa"/>
            <w:shd w:val="clear" w:color="auto" w:fill="C6EFCE"/>
            <w:noWrap/>
            <w:vAlign w:val="center"/>
          </w:tcPr>
          <w:p w14:paraId="7C3391E1"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Entrée en vigueur de l’acte juridique révisant la réforme du gouvernement wallon de 2023 relative à la taxe de circulation des véhicules. L’acte juridique comprendra les dispositions suivantes:</w:t>
            </w:r>
          </w:p>
          <w:p w14:paraId="61707187" w14:textId="77777777" w:rsidR="000D1388" w:rsidRPr="00746A1A" w:rsidRDefault="000D1388" w:rsidP="00E71057">
            <w:pPr>
              <w:spacing w:after="0"/>
              <w:rPr>
                <w:rFonts w:ascii="Times New Roman" w:eastAsia="Calibri" w:hAnsi="Times New Roman" w:cs="Arial"/>
                <w:noProof/>
                <w:color w:val="006100"/>
                <w:sz w:val="20"/>
                <w:szCs w:val="20"/>
                <w:lang w:val="fr-BE"/>
              </w:rPr>
            </w:pPr>
          </w:p>
          <w:p w14:paraId="31C02D92"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 réduire le montant de la taxe de circulation des véhicules pour les familles nombreuses et monoparentales lors de l’achat d’un véhicule; </w:t>
            </w:r>
          </w:p>
          <w:p w14:paraId="34A11899"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 alléger la charge fiscale pesant sur les véhicules électriques en réduisant le niveau de taxation pour les véhicules électriques à 100 % et les véhicules neutres en carbone; </w:t>
            </w:r>
          </w:p>
          <w:p w14:paraId="23398844"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 définir des valeurs par défaut pour permettre la taxation en cas d’absence de données; </w:t>
            </w:r>
          </w:p>
          <w:p w14:paraId="712D54A5" w14:textId="77777777" w:rsidR="000D1388" w:rsidRPr="006662C0"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corriger le régime fiscal applicable aux voitures de collection, aux camping-cars, aux aéronefs, aux bateaux et aux drones immatriculés.</w:t>
            </w:r>
          </w:p>
        </w:tc>
      </w:tr>
      <w:tr w:rsidR="00E71057" w:rsidRPr="006662C0" w14:paraId="0E73AB9A" w14:textId="77777777" w:rsidTr="00C77BBC">
        <w:trPr>
          <w:trHeight w:val="309"/>
          <w:jc w:val="center"/>
        </w:trPr>
        <w:tc>
          <w:tcPr>
            <w:tcW w:w="1129" w:type="dxa"/>
            <w:shd w:val="clear" w:color="auto" w:fill="C6EFCE"/>
            <w:noWrap/>
            <w:vAlign w:val="center"/>
          </w:tcPr>
          <w:p w14:paraId="0D0A10B7"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126</w:t>
            </w:r>
          </w:p>
        </w:tc>
        <w:tc>
          <w:tcPr>
            <w:tcW w:w="1560" w:type="dxa"/>
            <w:shd w:val="clear" w:color="auto" w:fill="C6EFCE"/>
            <w:noWrap/>
            <w:vAlign w:val="center"/>
          </w:tcPr>
          <w:p w14:paraId="562FEF5B"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Voitures de société à zéro émission (R-3.03)</w:t>
            </w:r>
          </w:p>
        </w:tc>
        <w:tc>
          <w:tcPr>
            <w:tcW w:w="714" w:type="dxa"/>
            <w:shd w:val="clear" w:color="auto" w:fill="C6EFCE"/>
            <w:noWrap/>
            <w:vAlign w:val="center"/>
          </w:tcPr>
          <w:p w14:paraId="07FE5CB7"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tcPr>
          <w:p w14:paraId="4437861D"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loi réformant le régime fiscal des voitures de société</w:t>
            </w:r>
          </w:p>
        </w:tc>
        <w:tc>
          <w:tcPr>
            <w:tcW w:w="1417" w:type="dxa"/>
            <w:shd w:val="clear" w:color="auto" w:fill="C6EFCE"/>
            <w:noWrap/>
            <w:vAlign w:val="center"/>
          </w:tcPr>
          <w:p w14:paraId="2120D1C4"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Adoption du projet d’adaptation de la loi réformant le régime fiscal des voitures de société </w:t>
            </w:r>
          </w:p>
        </w:tc>
        <w:tc>
          <w:tcPr>
            <w:tcW w:w="1388" w:type="dxa"/>
            <w:shd w:val="clear" w:color="auto" w:fill="C6EFCE"/>
            <w:noWrap/>
            <w:vAlign w:val="center"/>
          </w:tcPr>
          <w:p w14:paraId="031C0DC5"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1158" w:type="dxa"/>
            <w:shd w:val="clear" w:color="auto" w:fill="C6EFCE"/>
            <w:noWrap/>
            <w:vAlign w:val="center"/>
          </w:tcPr>
          <w:p w14:paraId="6648EF91"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171B85F1" w14:textId="77777777" w:rsidR="000D1388" w:rsidRPr="00746A1A" w:rsidRDefault="000D1388" w:rsidP="00E71057">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5EE2720"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0" w:type="dxa"/>
            <w:shd w:val="clear" w:color="auto" w:fill="C6EFCE"/>
            <w:noWrap/>
            <w:vAlign w:val="center"/>
          </w:tcPr>
          <w:p w14:paraId="6C5FAF6B"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662" w:type="dxa"/>
            <w:shd w:val="clear" w:color="auto" w:fill="C6EFCE"/>
            <w:noWrap/>
            <w:vAlign w:val="center"/>
          </w:tcPr>
          <w:p w14:paraId="2DD98FF0"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par le Parlement fédéral d’un régime fiscal automobile réformé dans lequel les nouvelles voitures de société doivent être à zéro émission à compter de 2026 pour pouvoir bénéficier du régime préférentiel existant. Le régime fiscal réformé des voitures de société devra prévoir 1) l’absence de déductibilité des voitures de société classiques acquises à partir de 2026, 2) une réduction progressive du taux de déductibilité fiscale des voitures de société classiques, acquises entre le 1</w:t>
            </w:r>
            <w:r>
              <w:rPr>
                <w:rFonts w:ascii="Times New Roman" w:hAnsi="Times New Roman"/>
                <w:noProof/>
                <w:color w:val="006100"/>
                <w:sz w:val="20"/>
                <w:vertAlign w:val="superscript"/>
              </w:rPr>
              <w:t>er</w:t>
            </w:r>
            <w:r>
              <w:rPr>
                <w:rFonts w:ascii="Times New Roman" w:hAnsi="Times New Roman"/>
                <w:noProof/>
                <w:color w:val="006100"/>
                <w:sz w:val="20"/>
              </w:rPr>
              <w:t> juillet 2023 et le 31 décembre 2025, pour atteindre 0 % en 2028, 3) une réduction progressive du taux de déductibilité fiscale des voitures de société à zéro émission pour atteindre au maximum 67,5 % en 2031, et 4) une déductibilité fiscale de l’essence et du diesel pour les voitures de société hybrides, acquises entre 2023 et 2025, réduite à 50 % à compter du 1</w:t>
            </w:r>
            <w:r>
              <w:rPr>
                <w:rFonts w:ascii="Times New Roman" w:hAnsi="Times New Roman"/>
                <w:noProof/>
                <w:color w:val="006100"/>
                <w:sz w:val="20"/>
                <w:vertAlign w:val="superscript"/>
              </w:rPr>
              <w:t>er</w:t>
            </w:r>
            <w:r>
              <w:rPr>
                <w:rFonts w:ascii="Times New Roman" w:hAnsi="Times New Roman"/>
                <w:noProof/>
                <w:color w:val="006100"/>
                <w:sz w:val="20"/>
              </w:rPr>
              <w:t> janvier 2023. En outre, 5) pour les voitures classiques acquises à partir du 1</w:t>
            </w:r>
            <w:r>
              <w:rPr>
                <w:rFonts w:ascii="Times New Roman" w:hAnsi="Times New Roman"/>
                <w:noProof/>
                <w:color w:val="006100"/>
                <w:sz w:val="20"/>
                <w:vertAlign w:val="superscript"/>
              </w:rPr>
              <w:t>er</w:t>
            </w:r>
            <w:r>
              <w:rPr>
                <w:rFonts w:ascii="Times New Roman" w:hAnsi="Times New Roman"/>
                <w:noProof/>
                <w:color w:val="006100"/>
                <w:sz w:val="20"/>
              </w:rPr>
              <w:t> juillet 2023, la cotisation CO</w:t>
            </w:r>
            <w:r>
              <w:rPr>
                <w:rFonts w:ascii="Times New Roman" w:hAnsi="Times New Roman"/>
                <w:noProof/>
                <w:color w:val="006100"/>
                <w:sz w:val="20"/>
                <w:vertAlign w:val="subscript"/>
              </w:rPr>
              <w:t>2</w:t>
            </w:r>
            <w:r>
              <w:rPr>
                <w:rFonts w:ascii="Times New Roman" w:hAnsi="Times New Roman"/>
                <w:noProof/>
                <w:color w:val="006100"/>
                <w:sz w:val="20"/>
              </w:rPr>
              <w:t xml:space="preserve"> augmentera à un taux de 2,25 à partir du 1</w:t>
            </w:r>
            <w:r>
              <w:rPr>
                <w:rFonts w:ascii="Times New Roman" w:hAnsi="Times New Roman"/>
                <w:noProof/>
                <w:color w:val="006100"/>
                <w:sz w:val="20"/>
                <w:vertAlign w:val="superscript"/>
              </w:rPr>
              <w:t>er</w:t>
            </w:r>
            <w:r>
              <w:rPr>
                <w:rFonts w:ascii="Times New Roman" w:hAnsi="Times New Roman"/>
                <w:noProof/>
                <w:color w:val="006100"/>
                <w:sz w:val="20"/>
              </w:rPr>
              <w:t> juillet 2023 et augmentera progressivement en 2025 et 2026 pour atteindre un facteur de 5,50 en 2027. 6) Pour les voitures de société à zéro émission acquises à partir du 1</w:t>
            </w:r>
            <w:r>
              <w:rPr>
                <w:rFonts w:ascii="Times New Roman" w:hAnsi="Times New Roman"/>
                <w:noProof/>
                <w:color w:val="006100"/>
                <w:sz w:val="20"/>
                <w:vertAlign w:val="superscript"/>
              </w:rPr>
              <w:t>er</w:t>
            </w:r>
            <w:r>
              <w:rPr>
                <w:rFonts w:ascii="Times New Roman" w:hAnsi="Times New Roman"/>
                <w:noProof/>
                <w:color w:val="006100"/>
                <w:sz w:val="20"/>
              </w:rPr>
              <w:t> juillet 2023, la cotisation minimale de solidarité augmentera à partir de l’année 2025 pour atteindre, à terme, pour une voiture de société moyenne, le même montant de cotisations sociales que celui dû au moment de la soumission du plan.</w:t>
            </w:r>
          </w:p>
        </w:tc>
      </w:tr>
      <w:tr w:rsidR="00E71057" w:rsidRPr="006662C0" w14:paraId="1AF0B6EC" w14:textId="77777777" w:rsidTr="00C77BBC">
        <w:trPr>
          <w:trHeight w:val="309"/>
          <w:jc w:val="center"/>
        </w:trPr>
        <w:tc>
          <w:tcPr>
            <w:tcW w:w="1129" w:type="dxa"/>
            <w:shd w:val="clear" w:color="auto" w:fill="C6EFCE"/>
            <w:noWrap/>
            <w:vAlign w:val="center"/>
          </w:tcPr>
          <w:p w14:paraId="068AFC61" w14:textId="77777777" w:rsidR="000D1388" w:rsidRPr="006662C0" w:rsidRDefault="00E71057" w:rsidP="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246</w:t>
            </w:r>
          </w:p>
        </w:tc>
        <w:tc>
          <w:tcPr>
            <w:tcW w:w="1560" w:type="dxa"/>
            <w:shd w:val="clear" w:color="auto" w:fill="C6EFCE"/>
            <w:noWrap/>
            <w:vAlign w:val="center"/>
          </w:tcPr>
          <w:p w14:paraId="1D00C904"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Infrastructure de recharge pour bus – RBC (I-3.21)</w:t>
            </w:r>
          </w:p>
        </w:tc>
        <w:tc>
          <w:tcPr>
            <w:tcW w:w="714" w:type="dxa"/>
            <w:shd w:val="clear" w:color="auto" w:fill="C6EFCE"/>
            <w:noWrap/>
            <w:vAlign w:val="center"/>
          </w:tcPr>
          <w:p w14:paraId="422C65A3" w14:textId="77777777" w:rsidR="000D1388" w:rsidRPr="006662C0" w:rsidRDefault="00E71057"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701" w:type="dxa"/>
            <w:shd w:val="clear" w:color="auto" w:fill="C6EFCE"/>
            <w:noWrap/>
            <w:vAlign w:val="center"/>
          </w:tcPr>
          <w:p w14:paraId="3C43E71F" w14:textId="57311EA2" w:rsidR="000D1388" w:rsidRPr="006662C0" w:rsidRDefault="00AA00A5" w:rsidP="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Infrastructure de recharge réceptionnée sur site ou livrée </w:t>
            </w:r>
          </w:p>
        </w:tc>
        <w:tc>
          <w:tcPr>
            <w:tcW w:w="1417" w:type="dxa"/>
            <w:shd w:val="clear" w:color="auto" w:fill="C6EFCE"/>
            <w:noWrap/>
            <w:vAlign w:val="center"/>
          </w:tcPr>
          <w:p w14:paraId="14065FFD" w14:textId="77777777" w:rsidR="000D1388" w:rsidRPr="00746A1A" w:rsidRDefault="000D1388" w:rsidP="00E71057">
            <w:pPr>
              <w:spacing w:after="0"/>
              <w:rPr>
                <w:rFonts w:ascii="Times New Roman" w:eastAsia="Calibri" w:hAnsi="Times New Roman" w:cs="Times New Roman"/>
                <w:noProof/>
                <w:color w:val="006100"/>
                <w:sz w:val="20"/>
                <w:szCs w:val="20"/>
                <w:lang w:val="fr-BE"/>
              </w:rPr>
            </w:pPr>
          </w:p>
        </w:tc>
        <w:tc>
          <w:tcPr>
            <w:tcW w:w="1388" w:type="dxa"/>
            <w:shd w:val="clear" w:color="auto" w:fill="C6EFCE"/>
            <w:noWrap/>
            <w:vAlign w:val="center"/>
          </w:tcPr>
          <w:p w14:paraId="539D2A93"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58" w:type="dxa"/>
            <w:shd w:val="clear" w:color="auto" w:fill="C6EFCE"/>
            <w:noWrap/>
            <w:vAlign w:val="center"/>
          </w:tcPr>
          <w:p w14:paraId="4F77360C"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2B6152BC" w14:textId="77777777" w:rsidR="000D1388" w:rsidRPr="006662C0"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66</w:t>
            </w:r>
          </w:p>
        </w:tc>
        <w:tc>
          <w:tcPr>
            <w:tcW w:w="1134" w:type="dxa"/>
            <w:shd w:val="clear" w:color="auto" w:fill="C6EFCE"/>
            <w:noWrap/>
            <w:vAlign w:val="center"/>
          </w:tcPr>
          <w:p w14:paraId="4FAFD11C" w14:textId="77777777" w:rsidR="000D1388" w:rsidRPr="006662C0" w:rsidRDefault="00E71057" w:rsidP="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tcPr>
          <w:p w14:paraId="26F5FEB5" w14:textId="77777777" w:rsidR="000D1388" w:rsidRPr="006662C0" w:rsidRDefault="00E71057" w:rsidP="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3662" w:type="dxa"/>
            <w:shd w:val="clear" w:color="auto" w:fill="C6EFCE"/>
            <w:noWrap/>
            <w:vAlign w:val="center"/>
          </w:tcPr>
          <w:p w14:paraId="5C572563" w14:textId="6ABF3D2C" w:rsidR="008B5F74" w:rsidRPr="00745E2B" w:rsidRDefault="008B5F74" w:rsidP="00F70F65">
            <w:pPr>
              <w:pStyle w:val="ListParagraph"/>
              <w:numPr>
                <w:ilvl w:val="0"/>
                <w:numId w:val="70"/>
              </w:numPr>
              <w:spacing w:after="0"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52 bornes de recharge de nuit (pour un total de 156 points de recharge) seront réceptionnées sur site dans un dépôt de bus.</w:t>
            </w:r>
          </w:p>
          <w:p w14:paraId="46392FEF" w14:textId="5E37A058" w:rsidR="000D1388" w:rsidRPr="00C53555" w:rsidRDefault="008B5F74" w:rsidP="00C53555">
            <w:pPr>
              <w:pStyle w:val="ListParagraph"/>
              <w:numPr>
                <w:ilvl w:val="0"/>
                <w:numId w:val="70"/>
              </w:numPr>
              <w:spacing w:after="0"/>
              <w:rPr>
                <w:rFonts w:ascii="Times New Roman" w:eastAsia="Calibri" w:hAnsi="Times New Roman" w:cs="Times New Roman"/>
                <w:noProof/>
                <w:color w:val="006100"/>
                <w:sz w:val="20"/>
                <w:szCs w:val="20"/>
              </w:rPr>
            </w:pPr>
            <w:r>
              <w:rPr>
                <w:rFonts w:ascii="Times New Roman" w:hAnsi="Times New Roman"/>
                <w:noProof/>
                <w:color w:val="006100"/>
                <w:sz w:val="20"/>
              </w:rPr>
              <w:t>14 bornes de recharge d’opportunité doivent être considérées comme prêtes à fonctionner ou réceptionnées sur site et une infrastructure électrique doit être installée dans deux dépôts de bus et à deux terminus de lignes de bus.</w:t>
            </w:r>
          </w:p>
        </w:tc>
      </w:tr>
    </w:tbl>
    <w:p w14:paraId="1FA64012" w14:textId="77777777" w:rsidR="000D1388" w:rsidRPr="009D65D8" w:rsidRDefault="000D1388" w:rsidP="00E71057">
      <w:pPr>
        <w:spacing w:before="20" w:after="240" w:line="20" w:lineRule="exact"/>
        <w:rPr>
          <w:rFonts w:ascii="Calibri" w:eastAsia="Calibri" w:hAnsi="Calibri" w:cs="Arial"/>
          <w:noProof/>
          <w:sz w:val="2"/>
        </w:rPr>
        <w:sectPr w:rsidR="000D1388" w:rsidRPr="009D65D8" w:rsidSect="00E71057">
          <w:headerReference w:type="even" r:id="rId126"/>
          <w:headerReference w:type="default" r:id="rId127"/>
          <w:footerReference w:type="even" r:id="rId128"/>
          <w:footerReference w:type="default" r:id="rId129"/>
          <w:headerReference w:type="first" r:id="rId130"/>
          <w:footerReference w:type="first" r:id="rId131"/>
          <w:pgSz w:w="16840" w:h="11907" w:orient="landscape" w:code="9"/>
          <w:pgMar w:top="1134" w:right="1134" w:bottom="1134" w:left="1134" w:header="567" w:footer="567" w:gutter="0"/>
          <w:cols w:space="708"/>
          <w:docGrid w:linePitch="360"/>
        </w:sectPr>
      </w:pPr>
    </w:p>
    <w:p w14:paraId="47F4BF31"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J. COMPOSANTE 4.1: Enseignement 2.0</w:t>
      </w:r>
    </w:p>
    <w:p w14:paraId="13578DA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cette composante du plan pour la reprise et la résilience de la Belgique visent à améliorer l’inclusivité des systèmes éducatifs tout en renforçant leur performance afin d’assurer une meilleure adéquation entre les compétences enseignées et celles demandées sur le marché du travail.</w:t>
      </w:r>
    </w:p>
    <w:p w14:paraId="20E2D54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contribue à répondre à la recommandation par pays nº 2 de 2019 appelant la Belgique à améliorer les performances et l’inclusivité des systèmes d’éducation et de formation et à remédier à l’inadéquation des compétences.</w:t>
      </w:r>
    </w:p>
    <w:p w14:paraId="391CDDCF"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23761FF3" w14:textId="77777777" w:rsidR="000D1388" w:rsidRPr="009D65D8" w:rsidRDefault="00E71057" w:rsidP="00E71057">
      <w:pPr>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J.1.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05B46747"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u w:val="single"/>
        </w:rPr>
        <w:t>Réforme R-4.01: «Digisprong» de la Communauté flamande</w:t>
      </w:r>
    </w:p>
    <w:p w14:paraId="74EAB288"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Cette réforme consiste en des actions portant sur quatre piliers: 1) la réforme des programmes scolaires concernant les TIC, l’éducation aux médias et la pensée computationnelle, 2) la promotion d’une politique scolaire efficace en matière de TIC au moyen d’un renforcement du rôle des coordinateurs TIC, 3) le développement des compétences numériques des enseignants et formateurs d’enseignants et 4) la création d’un centre de connaissances et de conseils pour soutenir la numérisation de l’enseignement dans les écoles. La législation relative au nouveau cadre TIC de l’enseignement obligatoire en Flandre devrait entrer en vigueur au plus tard le 31 décembre 2023. </w:t>
      </w:r>
    </w:p>
    <w:p w14:paraId="6ACFFDE5"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R-4.02: «Fonds pour l’avancement de l’enseignement supérieur» de la Communauté flamande</w:t>
      </w:r>
    </w:p>
    <w:p w14:paraId="484C290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réforme vise à produire un document de vision sur les trois objectifs suivants: 1) développer un portefeuille d’enseignement supérieur flamand à l’épreuve du temps et flexible, 2) développer davantage l’apprentissage tout au long de la vie dans l’enseignement supérieur et 3) utiliser pleinement les formes numériques d’enseignement. Concrètement, le document de vision permettra de i) définir un nouveau profil pour l’enseignement supérieur en Flandre afin que les établissements d’enseignement supérieur soient à la pointe du progrès et ii) développer une vision de l’</w:t>
      </w:r>
      <w:r>
        <w:rPr>
          <w:rFonts w:ascii="Times New Roman" w:hAnsi="Times New Roman"/>
          <w:noProof/>
          <w:color w:val="000000"/>
          <w:sz w:val="24"/>
        </w:rPr>
        <w:t>apprentissage</w:t>
      </w:r>
      <w:r>
        <w:rPr>
          <w:rFonts w:ascii="Times New Roman" w:hAnsi="Times New Roman"/>
          <w:noProof/>
          <w:sz w:val="24"/>
        </w:rPr>
        <w:t xml:space="preserve"> tout au long de la vie.</w:t>
      </w:r>
      <w:r>
        <w:rPr>
          <w:rFonts w:ascii="Times New Roman" w:hAnsi="Times New Roman"/>
          <w:noProof/>
          <w:color w:val="000000"/>
          <w:sz w:val="24"/>
        </w:rPr>
        <w:t xml:space="preserve"> Le document de vision sera approuvé par le ministre de l’éducation et de la formation du gouvernement flamand le 31 décembre 2023 au plus tard.</w:t>
      </w:r>
    </w:p>
    <w:p w14:paraId="2CCE2471"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R-4.03: Actes juridiques visant à réduire le décrochage scolaire et l’absentéisme et à lutter contre les exclusions définitives de la Communauté française</w:t>
      </w:r>
    </w:p>
    <w:p w14:paraId="7B58E068" w14:textId="77777777" w:rsidR="000D1388" w:rsidRPr="009D65D8" w:rsidRDefault="00E71057" w:rsidP="00E71057">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Cette réforme vise à réduire le décrochage scolaire. Elle consiste en l’adoption d’actes juridiques visant à réduire le décrochage scolaire et l’absentéisme dans l’enseignement primaire et à lutter contre les exclusions définitives.</w:t>
      </w:r>
    </w:p>
    <w:p w14:paraId="1BA6026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u w:val="single"/>
        </w:rPr>
        <w:t>Investissement I-4.01: «Digisprong» de la Communauté flamande</w:t>
      </w:r>
    </w:p>
    <w:p w14:paraId="4AB7C0D3"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poursuit les deux objectifs suivants: 1) fournir aux écoles un appareil numérique pour chaque élève et 2) fournir aux enseignants des outils d’apprentissage et des formations efficaces pour améliorer leurs compétences numériques. Sa mise en œuvre devrait être achevée au plus tard le 31 décembre 2022.</w:t>
      </w:r>
    </w:p>
    <w:p w14:paraId="066D4575" w14:textId="77777777" w:rsidR="000D1388" w:rsidRPr="009D65D8" w:rsidRDefault="00E71057" w:rsidP="00E71057">
      <w:pPr>
        <w:spacing w:after="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I-4.02: «Fonds pour l’avancement de l’enseignement supérieur» de la Communauté flamande</w:t>
      </w:r>
    </w:p>
    <w:p w14:paraId="290E5513"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vise à 1) développer un portefeuille d’enseignement supérieur flamand à l’épreuve du temps et flexible, 2) développer l’apprentissage tout au long de la vie dans l’enseignement supérieur et 3) soutenir la mise en œuvre durable de nouvelles formes numériques d’enseignement. Sa mise en œuvre devrait être achevée au plus tard le 31 décembre 2023.</w:t>
      </w:r>
    </w:p>
    <w:p w14:paraId="25E27CE4" w14:textId="77777777" w:rsidR="000D1388" w:rsidRPr="009D65D8" w:rsidRDefault="00E71057" w:rsidP="00E71057">
      <w:pPr>
        <w:spacing w:after="0" w:line="240" w:lineRule="auto"/>
        <w:jc w:val="both"/>
        <w:rPr>
          <w:rFonts w:ascii="Times New Roman" w:eastAsia="Calibri" w:hAnsi="Times New Roman" w:cs="Arial"/>
          <w:noProof/>
          <w:sz w:val="24"/>
          <w:szCs w:val="24"/>
          <w:u w:val="single"/>
        </w:rPr>
      </w:pPr>
      <w:r>
        <w:rPr>
          <w:rFonts w:ascii="Times New Roman" w:hAnsi="Times New Roman"/>
          <w:noProof/>
          <w:sz w:val="24"/>
          <w:u w:val="single"/>
        </w:rPr>
        <w:t>Investissement I-4.03: «Accompagnement personnalisé des élèves dans l’enseignement obligatoire» de la Communauté française</w:t>
      </w:r>
    </w:p>
    <w:p w14:paraId="7CDDF92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vise à répondre, dans les écoles du primaire et du secondaire, aux difficultés psychosociales, éducatives et pédagogiques des élèves, ainsi qu’à lutter contre les phénomènes de retard pédagogique et de décrochage scolaire, à la suite de la COVID-19. Sa mise en œuvre devrait être achevée au plus tard le 31 décembre 2022.</w:t>
      </w:r>
    </w:p>
    <w:p w14:paraId="6AABAA66"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bookmarkStart w:id="11" w:name="_Hlk210979693"/>
      <w:r>
        <w:rPr>
          <w:rFonts w:ascii="Times New Roman" w:hAnsi="Times New Roman"/>
          <w:noProof/>
          <w:sz w:val="24"/>
          <w:u w:val="single"/>
        </w:rPr>
        <w:t>Investissement I-4.04: «Stratégie numérique pour l’enseignement supérieur et l’enseignement de promotion sociale» de la Communauté française</w:t>
      </w:r>
    </w:p>
    <w:bookmarkEnd w:id="11"/>
    <w:p w14:paraId="56B50077" w14:textId="77777777" w:rsidR="000D1388" w:rsidRPr="009D65D8" w:rsidRDefault="00E71057" w:rsidP="00E71057">
      <w:pPr>
        <w:spacing w:after="0"/>
        <w:jc w:val="both"/>
        <w:rPr>
          <w:rFonts w:ascii="Times New Roman" w:eastAsia="Times New Roman" w:hAnsi="Times New Roman" w:cs="Times New Roman"/>
          <w:noProof/>
          <w:sz w:val="24"/>
          <w:szCs w:val="24"/>
        </w:rPr>
      </w:pPr>
      <w:r>
        <w:rPr>
          <w:rFonts w:ascii="Times New Roman" w:hAnsi="Times New Roman"/>
          <w:noProof/>
          <w:sz w:val="24"/>
        </w:rPr>
        <w:t>Cet investissement vise à équiper numériquement les établissements d’enseignement supérieur et d’enseignement pour adultes. Il consiste à octroyer aux établissements d’enseignement supérieur et d’enseignement pour adultes des subventions pour l’achat d’équipement numérique.</w:t>
      </w:r>
    </w:p>
    <w:p w14:paraId="78DFC745"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u w:val="single"/>
        </w:rPr>
        <w:t>Investissement I-4.05: «Virage numérique des écoles bruxelloises» de la Région de Bruxelles-Capitale</w:t>
      </w:r>
    </w:p>
    <w:p w14:paraId="3BEC8D70" w14:textId="77777777" w:rsidR="000D1388" w:rsidRPr="00DD67A6"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vise à améliorer les performances des systèmes éducatifs. Il consiste à fournir 1) des dispositifs TIC et 2) des points d’accès Wifi dans les écoles bruxelloises.</w:t>
      </w:r>
    </w:p>
    <w:p w14:paraId="7CFAE6C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u w:val="single"/>
        </w:rPr>
        <w:t>Investissement I-4.06: «Digitalisation de l’enseignement» de la Communauté germanophone.</w:t>
      </w:r>
    </w:p>
    <w:p w14:paraId="4073C851"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vise à équiper d’ordinateurs portables tous les enseignants et étudiants de l’enseignement secondaire. Cela se fait sur une base volontaire pour les enseignants: des ordinateurs portables ne seront achetés que pour les enseignants qui en demandent un. Sa mise en œuvre devrait être achevée au plus tard le 30 juin 2026.</w:t>
      </w:r>
    </w:p>
    <w:p w14:paraId="34D8A07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I-4: «Fourniture de matériel numérique et d’une infrastructure informatique aux écoles»</w:t>
      </w:r>
    </w:p>
    <w:p w14:paraId="7590FBA6"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vise à fournir de l’équipement numérique et de l’infrastructure informatique aux écoles.</w:t>
      </w:r>
    </w:p>
    <w:p w14:paraId="56130A4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L’investissement comporte les sous-mesures/actions suivantes:</w:t>
      </w:r>
    </w:p>
    <w:p w14:paraId="337D8907" w14:textId="77777777" w:rsidR="000D1388" w:rsidRPr="009D65D8" w:rsidRDefault="00E71057" w:rsidP="00F70F65">
      <w:pPr>
        <w:numPr>
          <w:ilvl w:val="0"/>
          <w:numId w:val="50"/>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Investissement I-4.01: «Digisprong» de la Communauté flamande, </w:t>
      </w:r>
    </w:p>
    <w:p w14:paraId="71FE9F77" w14:textId="77777777" w:rsidR="000D1388" w:rsidRPr="009D65D8" w:rsidRDefault="00E71057" w:rsidP="00F70F65">
      <w:pPr>
        <w:numPr>
          <w:ilvl w:val="0"/>
          <w:numId w:val="50"/>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Investissement I-4.06: «Digitalisation de l’enseignement» de la Communauté germanophone.</w:t>
      </w:r>
    </w:p>
    <w:p w14:paraId="503894D6" w14:textId="77777777" w:rsidR="000D1388" w:rsidRPr="00746A1A" w:rsidRDefault="000D1388" w:rsidP="00E71057">
      <w:pPr>
        <w:tabs>
          <w:tab w:val="left" w:pos="426"/>
        </w:tabs>
        <w:spacing w:before="120" w:after="120" w:line="240" w:lineRule="auto"/>
        <w:ind w:left="1210"/>
        <w:contextualSpacing/>
        <w:jc w:val="both"/>
        <w:rPr>
          <w:rFonts w:ascii="Times New Roman" w:eastAsia="Calibri" w:hAnsi="Times New Roman" w:cs="Arial"/>
          <w:noProof/>
          <w:sz w:val="24"/>
          <w:lang w:val="fr-BE"/>
        </w:rPr>
      </w:pPr>
    </w:p>
    <w:p w14:paraId="25B2B248" w14:textId="77777777" w:rsidR="000D1388" w:rsidRPr="00746A1A" w:rsidRDefault="000D1388" w:rsidP="00E71057">
      <w:pPr>
        <w:tabs>
          <w:tab w:val="left" w:pos="426"/>
        </w:tabs>
        <w:spacing w:before="120" w:after="120" w:line="240" w:lineRule="auto"/>
        <w:contextualSpacing/>
        <w:jc w:val="both"/>
        <w:rPr>
          <w:rFonts w:ascii="Times New Roman" w:eastAsia="Calibri" w:hAnsi="Times New Roman" w:cs="Arial"/>
          <w:noProof/>
          <w:sz w:val="24"/>
          <w:lang w:val="fr-BE"/>
        </w:rPr>
      </w:pPr>
    </w:p>
    <w:p w14:paraId="536E3425" w14:textId="77777777" w:rsidR="000D1388" w:rsidRPr="00746A1A" w:rsidRDefault="000D1388" w:rsidP="00E71057">
      <w:pPr>
        <w:tabs>
          <w:tab w:val="left" w:pos="426"/>
        </w:tabs>
        <w:spacing w:before="120" w:after="120" w:line="240" w:lineRule="auto"/>
        <w:contextualSpacing/>
        <w:jc w:val="both"/>
        <w:rPr>
          <w:rFonts w:ascii="Times New Roman" w:eastAsia="Calibri" w:hAnsi="Times New Roman" w:cs="Arial"/>
          <w:noProof/>
          <w:sz w:val="24"/>
          <w:lang w:val="fr-BE"/>
        </w:rPr>
        <w:sectPr w:rsidR="000D1388" w:rsidRPr="00746A1A" w:rsidSect="00E71057">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360"/>
        </w:sectPr>
      </w:pPr>
    </w:p>
    <w:p w14:paraId="45D34DED" w14:textId="77777777" w:rsidR="000D1388" w:rsidRPr="009D65D8" w:rsidRDefault="00E71057" w:rsidP="00E71057">
      <w:pPr>
        <w:tabs>
          <w:tab w:val="left" w:pos="426"/>
        </w:tabs>
        <w:spacing w:before="120" w:after="120" w:line="240" w:lineRule="auto"/>
        <w:jc w:val="both"/>
        <w:rPr>
          <w:rFonts w:ascii="Times New Roman" w:eastAsia="Calibri" w:hAnsi="Times New Roman" w:cs="Arial"/>
          <w:b/>
          <w:noProof/>
          <w:sz w:val="24"/>
          <w:u w:val="single"/>
        </w:rPr>
      </w:pPr>
      <w:r>
        <w:rPr>
          <w:rFonts w:ascii="Times New Roman" w:hAnsi="Times New Roman"/>
          <w:b/>
          <w:noProof/>
          <w:sz w:val="24"/>
          <w:u w:val="single"/>
        </w:rPr>
        <w:t xml:space="preserve">J.2. </w:t>
      </w:r>
      <w:r>
        <w:rPr>
          <w:rFonts w:ascii="Calibri" w:hAnsi="Calibri"/>
          <w:noProof/>
        </w:rPr>
        <w:tab/>
      </w:r>
      <w:r>
        <w:rPr>
          <w:rFonts w:ascii="Times New Roman" w:hAnsi="Times New Roman"/>
          <w:b/>
          <w:noProof/>
          <w:sz w:val="24"/>
          <w:u w:val="single"/>
        </w:rPr>
        <w:t>Jalons, cibles, indicateurs et calendrier de suivi et de mise en œuvre en vue du soutien financier non remboursable</w:t>
      </w:r>
    </w:p>
    <w:tbl>
      <w:tblPr>
        <w:tblW w:w="15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708"/>
        <w:gridCol w:w="1697"/>
        <w:gridCol w:w="1829"/>
        <w:gridCol w:w="1441"/>
        <w:gridCol w:w="1129"/>
        <w:gridCol w:w="992"/>
        <w:gridCol w:w="992"/>
        <w:gridCol w:w="851"/>
        <w:gridCol w:w="3366"/>
      </w:tblGrid>
      <w:tr w:rsidR="005003AB" w:rsidRPr="00033F66" w14:paraId="1DEBE81F" w14:textId="77777777" w:rsidTr="00E87A90">
        <w:trPr>
          <w:trHeight w:val="927"/>
          <w:tblHeader/>
          <w:jc w:val="center"/>
        </w:trPr>
        <w:tc>
          <w:tcPr>
            <w:tcW w:w="1129" w:type="dxa"/>
            <w:vMerge w:val="restart"/>
            <w:shd w:val="clear" w:color="auto" w:fill="BDD7EE"/>
            <w:vAlign w:val="center"/>
            <w:hideMark/>
          </w:tcPr>
          <w:p w14:paraId="566158CF" w14:textId="77777777" w:rsidR="000D1388" w:rsidRPr="00033F6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6F98E3A0" w14:textId="77777777" w:rsidR="000D1388" w:rsidRPr="00033F6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708" w:type="dxa"/>
            <w:vMerge w:val="restart"/>
            <w:shd w:val="clear" w:color="auto" w:fill="BDD7EE"/>
            <w:vAlign w:val="center"/>
            <w:hideMark/>
          </w:tcPr>
          <w:p w14:paraId="57615694" w14:textId="77777777" w:rsidR="000D1388" w:rsidRPr="00033F6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697" w:type="dxa"/>
            <w:vMerge w:val="restart"/>
            <w:shd w:val="clear" w:color="auto" w:fill="BDD7EE"/>
            <w:vAlign w:val="center"/>
            <w:hideMark/>
          </w:tcPr>
          <w:p w14:paraId="4C434382" w14:textId="77777777" w:rsidR="000D1388" w:rsidRPr="00033F6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829" w:type="dxa"/>
            <w:vMerge w:val="restart"/>
            <w:shd w:val="clear" w:color="auto" w:fill="BDD7EE"/>
            <w:vAlign w:val="center"/>
            <w:hideMark/>
          </w:tcPr>
          <w:p w14:paraId="4B81A09A" w14:textId="77777777" w:rsidR="000D1388" w:rsidRPr="00033F6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qualitatifs</w:t>
            </w:r>
            <w:r>
              <w:rPr>
                <w:rFonts w:ascii="Calibri" w:hAnsi="Calibri"/>
                <w:noProof/>
                <w:sz w:val="20"/>
              </w:rPr>
              <w:br/>
            </w:r>
            <w:r>
              <w:rPr>
                <w:rFonts w:ascii="Times New Roman" w:hAnsi="Times New Roman"/>
                <w:b/>
                <w:noProof/>
                <w:sz w:val="20"/>
              </w:rPr>
              <w:t>(pour les jalons)</w:t>
            </w:r>
          </w:p>
        </w:tc>
        <w:tc>
          <w:tcPr>
            <w:tcW w:w="3562" w:type="dxa"/>
            <w:gridSpan w:val="3"/>
            <w:shd w:val="clear" w:color="auto" w:fill="BDD7EE"/>
            <w:vAlign w:val="center"/>
            <w:hideMark/>
          </w:tcPr>
          <w:p w14:paraId="46FB0DA2" w14:textId="77777777" w:rsidR="000D1388" w:rsidRPr="00033F6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quantitatifs</w:t>
            </w:r>
            <w:r>
              <w:rPr>
                <w:rFonts w:ascii="Calibri" w:hAnsi="Calibri"/>
                <w:noProof/>
                <w:sz w:val="20"/>
              </w:rPr>
              <w:br/>
            </w:r>
            <w:r>
              <w:rPr>
                <w:rFonts w:ascii="Times New Roman" w:hAnsi="Times New Roman"/>
                <w:b/>
                <w:noProof/>
                <w:sz w:val="20"/>
              </w:rPr>
              <w:t>(pour les cibles)</w:t>
            </w:r>
          </w:p>
        </w:tc>
        <w:tc>
          <w:tcPr>
            <w:tcW w:w="1843" w:type="dxa"/>
            <w:gridSpan w:val="2"/>
            <w:shd w:val="clear" w:color="auto" w:fill="BDD7EE"/>
            <w:vAlign w:val="center"/>
            <w:hideMark/>
          </w:tcPr>
          <w:p w14:paraId="2846E9F4" w14:textId="77777777" w:rsidR="000D1388" w:rsidRPr="00033F6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366" w:type="dxa"/>
            <w:vMerge w:val="restart"/>
            <w:shd w:val="clear" w:color="auto" w:fill="BDD7EE"/>
            <w:vAlign w:val="center"/>
            <w:hideMark/>
          </w:tcPr>
          <w:p w14:paraId="4389F0E9" w14:textId="77777777" w:rsidR="000D1388" w:rsidRPr="00033F6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F76C04" w:rsidRPr="00033F66" w14:paraId="2448E622" w14:textId="77777777" w:rsidTr="00E87A90">
        <w:trPr>
          <w:trHeight w:val="645"/>
          <w:jc w:val="center"/>
        </w:trPr>
        <w:tc>
          <w:tcPr>
            <w:tcW w:w="1129" w:type="dxa"/>
            <w:vMerge/>
            <w:vAlign w:val="center"/>
            <w:hideMark/>
          </w:tcPr>
          <w:p w14:paraId="7E34C00E" w14:textId="77777777" w:rsidR="000D1388" w:rsidRPr="00746A1A" w:rsidRDefault="000D1388">
            <w:pPr>
              <w:spacing w:after="0"/>
              <w:jc w:val="center"/>
              <w:rPr>
                <w:rFonts w:ascii="Times New Roman" w:eastAsia="Times New Roman" w:hAnsi="Times New Roman" w:cs="Times New Roman"/>
                <w:b/>
                <w:bCs/>
                <w:noProof/>
                <w:sz w:val="20"/>
                <w:szCs w:val="20"/>
                <w:lang w:val="fr-BE" w:eastAsia="en-GB"/>
              </w:rPr>
            </w:pPr>
          </w:p>
        </w:tc>
        <w:tc>
          <w:tcPr>
            <w:tcW w:w="1560" w:type="dxa"/>
            <w:vMerge/>
            <w:vAlign w:val="center"/>
            <w:hideMark/>
          </w:tcPr>
          <w:p w14:paraId="48B8CE46"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708" w:type="dxa"/>
            <w:vMerge/>
            <w:vAlign w:val="center"/>
            <w:hideMark/>
          </w:tcPr>
          <w:p w14:paraId="74CE3090"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697" w:type="dxa"/>
            <w:vMerge/>
            <w:vAlign w:val="center"/>
            <w:hideMark/>
          </w:tcPr>
          <w:p w14:paraId="2529FC0D"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829" w:type="dxa"/>
            <w:vMerge/>
            <w:vAlign w:val="center"/>
            <w:hideMark/>
          </w:tcPr>
          <w:p w14:paraId="56B73C63"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441" w:type="dxa"/>
            <w:shd w:val="clear" w:color="auto" w:fill="BDD7EE"/>
            <w:vAlign w:val="center"/>
            <w:hideMark/>
          </w:tcPr>
          <w:p w14:paraId="4E948E9C" w14:textId="77777777" w:rsidR="000D1388" w:rsidRPr="00033F6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29" w:type="dxa"/>
            <w:shd w:val="clear" w:color="auto" w:fill="BDD7EE"/>
            <w:vAlign w:val="center"/>
            <w:hideMark/>
          </w:tcPr>
          <w:p w14:paraId="342FDF0C" w14:textId="77777777" w:rsidR="000D1388" w:rsidRPr="00033F6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2" w:type="dxa"/>
            <w:shd w:val="clear" w:color="auto" w:fill="BDD7EE"/>
            <w:vAlign w:val="center"/>
            <w:hideMark/>
          </w:tcPr>
          <w:p w14:paraId="2B8CAA2D" w14:textId="77777777" w:rsidR="000D1388" w:rsidRPr="00033F6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2" w:type="dxa"/>
            <w:shd w:val="clear" w:color="auto" w:fill="BDD7EE"/>
            <w:vAlign w:val="center"/>
            <w:hideMark/>
          </w:tcPr>
          <w:p w14:paraId="4E693984" w14:textId="77777777" w:rsidR="000D1388" w:rsidRPr="00033F66" w:rsidRDefault="00E71057" w:rsidP="00E87A90">
            <w:pPr>
              <w:spacing w:after="0"/>
              <w:ind w:right="-106"/>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tcPr>
          <w:p w14:paraId="35D06D7F" w14:textId="77777777" w:rsidR="000D1388" w:rsidRPr="00033F66"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366" w:type="dxa"/>
            <w:vMerge/>
            <w:vAlign w:val="center"/>
          </w:tcPr>
          <w:p w14:paraId="1805743C" w14:textId="77777777" w:rsidR="000D1388" w:rsidRPr="00033F66" w:rsidRDefault="000D1388">
            <w:pPr>
              <w:spacing w:after="0"/>
              <w:rPr>
                <w:rFonts w:ascii="Times New Roman" w:eastAsia="Times New Roman" w:hAnsi="Times New Roman" w:cs="Times New Roman"/>
                <w:b/>
                <w:bCs/>
                <w:noProof/>
                <w:sz w:val="20"/>
                <w:szCs w:val="20"/>
                <w:lang w:val="en-GB" w:eastAsia="en-GB"/>
              </w:rPr>
            </w:pPr>
          </w:p>
        </w:tc>
      </w:tr>
      <w:tr w:rsidR="00F76C04" w:rsidRPr="00033F66" w14:paraId="22C3E56B" w14:textId="77777777" w:rsidTr="00E87A9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17301" w14:textId="77777777" w:rsidR="000D1388" w:rsidRPr="00033F6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5C03D"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Digisprong (R-4.01)</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FC9396"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6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6E0DF"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nouveau cadre TIC pour l’enseignement obligatoire en Flandre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DDA839"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par le Parlement flamand de la nouvelle législation visant à améliorer le cadre TIC</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8B6B0D"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968B1F"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63DCFC"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217647"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C36D9D"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3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1087B"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Adoption par le Parlement flamand de la nouvelle législation visant à améliorer le cadre TIC actuel sur deux aspects: </w:t>
            </w:r>
          </w:p>
          <w:p w14:paraId="40BF5ED4"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le rôle des coordinateurs TIC dans les écoles </w:t>
            </w:r>
          </w:p>
          <w:p w14:paraId="08A5C682"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objectifs minimaux en matière de TIC</w:t>
            </w:r>
          </w:p>
          <w:p w14:paraId="5ABD1462"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législation permettra i) de renforcer le rôle des coordinateurs TIC à tous les niveaux de l’enseignement et d’assurer une meilleure supervision de la politique TIC dans les écoles grâce à la modification du décret 31 et ii) de ratifier les objectifs minimaux pour les 2</w:t>
            </w:r>
            <w:r>
              <w:rPr>
                <w:rFonts w:ascii="Times New Roman" w:hAnsi="Times New Roman"/>
                <w:noProof/>
                <w:color w:val="006100"/>
                <w:sz w:val="20"/>
                <w:vertAlign w:val="superscript"/>
              </w:rPr>
              <w:t>e</w:t>
            </w:r>
            <w:r>
              <w:rPr>
                <w:rFonts w:ascii="Times New Roman" w:hAnsi="Times New Roman"/>
                <w:noProof/>
                <w:color w:val="006100"/>
                <w:sz w:val="20"/>
              </w:rPr>
              <w:t xml:space="preserve"> et 3</w:t>
            </w:r>
            <w:r>
              <w:rPr>
                <w:rFonts w:ascii="Times New Roman" w:hAnsi="Times New Roman"/>
                <w:noProof/>
                <w:color w:val="006100"/>
                <w:sz w:val="20"/>
                <w:vertAlign w:val="superscript"/>
              </w:rPr>
              <w:t>e</w:t>
            </w:r>
            <w:r>
              <w:rPr>
                <w:rFonts w:ascii="Times New Roman" w:hAnsi="Times New Roman"/>
                <w:noProof/>
                <w:color w:val="006100"/>
                <w:sz w:val="20"/>
              </w:rPr>
              <w:t> degrés de l’enseignement secondaire</w:t>
            </w:r>
          </w:p>
        </w:tc>
      </w:tr>
      <w:tr w:rsidR="00F76C04" w:rsidRPr="00033F66" w14:paraId="3864B402" w14:textId="77777777" w:rsidTr="00E87A9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451056" w14:textId="77777777" w:rsidR="000D1388" w:rsidRPr="00033F6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0A49D"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Fonds pour l’avancement de l’enseignement supérieur (R-4.02)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7C7B1"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6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84B509"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Document de vision pour un enseignement supérieur axé sur l’avenir, flexible et numérique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1C4AE"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document de vision par le gouvernement flamand</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8319B5"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7E0E12"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EE8FCD"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0F54FB"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3C1326"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3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B77D35"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Approbation par le ministère de l’enseignement et de la formation d’un document de vision du gouvernement flamand définissant un nouveau profil pour l’enseignement supérieur et l’apprentissage tout au long de la vie en Flandre. Le nouveau texte vise à définir une vision pour développer un portefeuille d’enseignement supérieur flamand à l’épreuve du temps et flexible. Il sera élaboré en concertation avec un large éventail de parties prenantes, notamment les établissements d’enseignement supérieur, le secteur professionnel et les partenaires sociaux. </w:t>
            </w:r>
          </w:p>
          <w:p w14:paraId="4E4B4361"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Concrètement, il permettra de i) définir un nouveau profil pour l’enseignement supérieur en Flandre afin que les établissements d’enseignement supérieur soient à la pointe du progrès et ii) développer une vision de l’apprentissage tout au long de la vie</w:t>
            </w:r>
          </w:p>
        </w:tc>
      </w:tr>
      <w:tr w:rsidR="00F76C04" w:rsidRPr="00033F66" w14:paraId="75E61F70" w14:textId="77777777" w:rsidTr="00E87A9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A8D6B" w14:textId="77777777" w:rsidR="000D1388" w:rsidRPr="00033F6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FE96F"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Actes juridiques visant à réduire le décrochage scolaire et l’absentéisme et à lutter contre les exclusions définitives (R-4.03)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DB1D91"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6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0A2023"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Actes juridiques contre le décrochage scolaire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FBE1A"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actes juridiques</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CA7B0"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A9E647"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F3F561"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195DEF"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356F8A"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3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4F98B"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d’actes juridiques portant dispositions destinées à 1) réduire le décrochage scolaire et l’absentéisme dans l’enseignement primaire et à 2) lutter contre les exclusions définitives et à mettre en place des chambres inter-réseaux pour connaître des recours contre les décisions d’exclusion définitive.</w:t>
            </w:r>
          </w:p>
        </w:tc>
      </w:tr>
      <w:tr w:rsidR="00F76C04" w:rsidRPr="00033F66" w14:paraId="0166CF1B" w14:textId="77777777" w:rsidTr="00E87A9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0F2A4" w14:textId="77777777" w:rsidR="000D1388" w:rsidRPr="00033F6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79473B"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Fourniture de matériel numérique et d’une infrastructure informatique aux écoles (I-4)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E917A"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0FD6A7"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Équiper les écoles/établissements de dispositifs et d’infrastructures TIC adéquats afin d’améliorer les performances globales des systèmes d’éducation</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AA9CB6"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AB600"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Nombre d’écoles/d’établissements recevant des fonds </w:t>
            </w:r>
          </w:p>
        </w:tc>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350D92" w14:textId="77777777" w:rsidR="000D1388" w:rsidRPr="00033F66"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565F5A" w14:textId="77777777" w:rsidR="000D1388" w:rsidRPr="00033F66"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3 828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94B3D8"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44F7F"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3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2A6F84"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3 828 écoles et/ou établissements scolaires en Belgique ont reçu des fonds pour mettre à niveau l’infrastructure TIC, dont:</w:t>
            </w:r>
          </w:p>
          <w:p w14:paraId="2404CD28"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Communauté flamande (I-4.01): 3 785 écoles de l’enseignement obligatoire</w:t>
            </w:r>
          </w:p>
          <w:p w14:paraId="673F45D4"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Communauté germanophone (I-4.06): 43 écoles de l’enseignement obligatoire</w:t>
            </w:r>
          </w:p>
        </w:tc>
      </w:tr>
      <w:tr w:rsidR="00F76C04" w:rsidRPr="00033F66" w14:paraId="3BEAAB7F" w14:textId="77777777" w:rsidTr="00E87A9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3E04D" w14:textId="77777777" w:rsidR="000D1388" w:rsidRPr="00033F6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60CB3B"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numérique pour l’enseignement supérieur et l’enseignement pour adultes (I-4.04)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172E6"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819A93"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pour de l’équipement numérique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3DC03"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C1411"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Subventions octroyées</w:t>
            </w:r>
          </w:p>
        </w:tc>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CA93C2" w14:textId="77777777" w:rsidR="000D1388" w:rsidRPr="00033F66"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93738A" w14:textId="77777777" w:rsidR="000D1388" w:rsidRPr="00033F66" w:rsidDel="00772410" w:rsidRDefault="00E71057">
            <w:pPr>
              <w:spacing w:after="0" w:line="257"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77</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C4247E"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8A176"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3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16DB5F"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Des subventions pour l’achat d’équipement numérique ont été octroyées à 77 établissements d’enseignement supérieur et d’enseignement pour adultes.</w:t>
            </w:r>
          </w:p>
        </w:tc>
      </w:tr>
      <w:tr w:rsidR="00F76C04" w:rsidRPr="00033F66" w14:paraId="08AD85A6" w14:textId="77777777" w:rsidTr="00E87A9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1F4C3" w14:textId="77777777" w:rsidR="000D1388" w:rsidRPr="00033F6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D7BD93"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Fonds pour l’avancement de l’enseignement supérieur (I-4.02)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9076FC"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317F6E"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l’offre d’enseignement supérieur en Flandre pour le rendre plus flexible et à l’épreuve du temps</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28FA8"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7DDAB3"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Nombre d’établissements de l’enseignement supérieur ayant reçu des fonds </w:t>
            </w:r>
          </w:p>
        </w:tc>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3BE77C" w14:textId="77777777" w:rsidR="000D1388" w:rsidRPr="00033F66"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2C4D73" w14:textId="77777777" w:rsidR="000D1388" w:rsidRPr="00033F66"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7</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4009A"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80D41"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3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E1535F"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7 établissements de l’enseignement supérieur ont bénéficié du Fonds pour l’avancement de l’enseignement supérieur</w:t>
            </w:r>
          </w:p>
          <w:p w14:paraId="0E485EC6"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Grâce au Fonds pour l’avancement de l’enseignement supérieur, les établissements d’enseignement supérieur, sur la base des analyses des portefeuilles de formation, élaboreront des plans d’action pour ajuster et réduire les offres existantes et, si nécessaire, en créer de nouvelles. En outre, une attention particulière sera accordée à l’adaptation des programmes aux exigences du marché du travail et de la société</w:t>
            </w:r>
          </w:p>
          <w:p w14:paraId="09687DC4"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Tous les établissements d’enseignement supérieur flamands seront habilités à suggérer et à soumettre des projets dans le cadre de cet appel à projets. Toutefois, la participation à cet appel n’est pas obligatoire pour les établissements d’enseignement supérieur, et la soumission d’un plan ne constitue pas une garantie d’acceptation </w:t>
            </w:r>
          </w:p>
        </w:tc>
      </w:tr>
      <w:tr w:rsidR="00F76C04" w:rsidRPr="00033F66" w14:paraId="6080C143" w14:textId="77777777" w:rsidTr="00E87A9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CE2B0" w14:textId="77777777" w:rsidR="000D1388" w:rsidRPr="00033F6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C121F3"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Accompagnement personnalisé des élèves dans l’enseignement obligatoire (I-4.03)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4040F7"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6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92DD5"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décret-cadre fixant les conditions d’intervention du système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2FFFA6"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Adoption par le Parlement de la Communauté française du décret-cadre fixant les conditions d’intervention du système </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6F50C8"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7ADB74"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41BFF6"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6E43DD"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2E6D18"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3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C1C91"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par le Parlement de la Communauté française d’un nouveau décret-cadre, réglementant un système transitoire comprenant des dispositions relatives: 1) à l’octroi de ressources aux établissements scolaires dans le cadre des stratégies de différenciation-remédiation et de lutte contre le décrochage scolaire, 2) à la modification des contrats PR-FPO/WBE dans le contexte de la crise et 3) aux missions des CPMS dans le contexte de la crise</w:t>
            </w:r>
          </w:p>
        </w:tc>
      </w:tr>
      <w:tr w:rsidR="00F76C04" w:rsidRPr="00033F66" w14:paraId="3F4032F1" w14:textId="77777777" w:rsidTr="00E87A9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831855" w14:textId="77777777" w:rsidR="000D1388" w:rsidRPr="00033F6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94B6C"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Accompagnement personnalisé des élèves dans l’enseignement obligatoire (I-4.03)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F4035"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AF0028"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d’un mécanisme de soutien renforcé pour les élèves en difficulté</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A5BC45"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3496AE"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Écoles (et CPMS) bénéficiant du soutien et de l’accompagnement</w:t>
            </w:r>
          </w:p>
        </w:tc>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85758A" w14:textId="77777777" w:rsidR="000D1388" w:rsidRPr="00033F66"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B114B" w14:textId="77777777" w:rsidR="000D1388" w:rsidRPr="00033F66"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531</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D31BC7"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DD573D"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3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68B6F9"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de ressources supplémentaires (telles que des enseignants, des éducateurs et du personnel de soutien psychologique) pour soutenir 531 écoles/CPMS sur la base des besoins recensés</w:t>
            </w:r>
          </w:p>
        </w:tc>
      </w:tr>
      <w:tr w:rsidR="00F76C04" w:rsidRPr="00033F66" w14:paraId="2B9E800E" w14:textId="77777777" w:rsidTr="00E87A9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EF2224" w14:textId="77777777" w:rsidR="000D1388" w:rsidRPr="00033F6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FD89B6"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Virage numérique des écoles bruxelloises (I-4.05)</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8BB4C"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562496"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Équiper les écoles/établissements de dispositifs et d’infrastructures TIC adéquats afin d’améliorer les performances globales des systèmes d’éducation</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C63706"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9EBA6"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Dispositifs TIC et points d’accès Wifi installés dans les écoles</w:t>
            </w:r>
          </w:p>
        </w:tc>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120C8F" w14:textId="77777777" w:rsidR="000D1388" w:rsidRPr="00033F66"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900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7887D7" w14:textId="77777777" w:rsidR="000D1388" w:rsidRPr="00033F66"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2 200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01E4C"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6FF41"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3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CB62EB"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2 200 dispositifs TIC (tels que des ordinateurs portables, des tablettes et des tableaux interactifs) et points d’accès Wifi seront installés dans les écoles bruxelloises. La distribution sera basée sur les besoins des écoles (les établissements scolaires secondaires bruxellois qui accueillent des élèves avec un indice socio-économique faible seront prioritaires)</w:t>
            </w:r>
          </w:p>
        </w:tc>
      </w:tr>
      <w:tr w:rsidR="00F76C04" w:rsidRPr="00033F66" w14:paraId="7ECC7DF8" w14:textId="77777777" w:rsidTr="00E87A9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352C7" w14:textId="77777777" w:rsidR="000D1388" w:rsidRPr="00033F6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B9740"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Virage numérique des écoles bruxelloises (I-4.05)</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D64EEF"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F1B1D"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Équiper les écoles de dispositifs TIC et de points d’accès Wifi </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DFFDC7"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797C1"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Dispositifs TIC et points d’accès Wifi</w:t>
            </w:r>
          </w:p>
        </w:tc>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5A67F" w14:textId="77777777" w:rsidR="000D1388" w:rsidRPr="00033F66"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2 200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7138BE" w14:textId="77777777" w:rsidR="000D1388" w:rsidRPr="00033F66"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3 500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9AAC5C"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32F5F"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36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CD2334" w14:textId="77777777" w:rsidR="000D1388" w:rsidRPr="00033F66"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3 500 dispositifs TIC et points d’accès Wifi seront installés dans les écoles bruxelloises</w:t>
            </w:r>
          </w:p>
        </w:tc>
      </w:tr>
    </w:tbl>
    <w:p w14:paraId="06098B82" w14:textId="77777777" w:rsidR="000D1388" w:rsidRPr="00746A1A" w:rsidRDefault="000D1388" w:rsidP="00E71057">
      <w:pPr>
        <w:spacing w:before="120" w:after="120" w:line="240" w:lineRule="auto"/>
        <w:ind w:left="709"/>
        <w:jc w:val="both"/>
        <w:rPr>
          <w:rFonts w:ascii="Times New Roman" w:eastAsia="Calibri" w:hAnsi="Times New Roman" w:cs="Times New Roman"/>
          <w:noProof/>
          <w:sz w:val="24"/>
          <w:szCs w:val="24"/>
          <w:lang w:val="fr-BE"/>
        </w:rPr>
      </w:pPr>
    </w:p>
    <w:p w14:paraId="3739A9CF" w14:textId="77777777" w:rsidR="000D1388" w:rsidRPr="00746A1A" w:rsidRDefault="000D1388" w:rsidP="00E71057">
      <w:pPr>
        <w:ind w:left="709"/>
        <w:rPr>
          <w:rFonts w:ascii="Times New Roman" w:eastAsia="Calibri" w:hAnsi="Times New Roman" w:cs="Times New Roman"/>
          <w:noProof/>
          <w:lang w:val="fr-BE"/>
        </w:rPr>
        <w:sectPr w:rsidR="000D1388" w:rsidRPr="00746A1A" w:rsidSect="00E71057">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360"/>
        </w:sectPr>
      </w:pPr>
    </w:p>
    <w:p w14:paraId="3A342ACA"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K. COMPOSANTE 4.2: Formation et emploi pour les groupes vulnérables</w:t>
      </w:r>
    </w:p>
    <w:p w14:paraId="7E5A50E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le cadre de cette composante du plan pour la reprise et la résilience de la Belgique visent à favoriser l’intégration sociale et l’insertion sur le marché de l’emploi des publics vulnérables, notamment les personnes issues de l’immigration, les femmes, les personnes en situation de handicap, les détenus et les personnes en risque d’exclusion numérique. Plusieurs de ces mesures visent à favoriser l’inclusion numérique et à améliorer l’accès aux services essentiels, tels que l’administration en ligne, en combinant la fourniture d’équipements numériques et la formation aux compétences numériques.</w:t>
      </w:r>
    </w:p>
    <w:p w14:paraId="69DDF59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contribue à répondre à la recommandation par pays nº 2 de 2019 appelant la Belgique à favoriser l’insertion sur le marché du travail des groupes vulnérables et à la recommandation par pays nº 2 de 2020 appelant à atténuer les répercussions sur l’emploi et les effets sociaux de la crise.</w:t>
      </w:r>
    </w:p>
    <w:p w14:paraId="0322CB78" w14:textId="77777777" w:rsidR="000D1388" w:rsidRPr="009D65D8" w:rsidRDefault="00E71057" w:rsidP="00E71057">
      <w:pPr>
        <w:spacing w:before="120" w:after="120" w:line="240" w:lineRule="auto"/>
        <w:jc w:val="both"/>
        <w:rPr>
          <w:rFonts w:ascii="Times New Roman" w:eastAsia="Calibri" w:hAnsi="Times New Roman" w:cs="Times New Roman"/>
          <w:b/>
          <w:i/>
          <w:noProof/>
          <w:sz w:val="24"/>
          <w:szCs w:val="24"/>
        </w:rPr>
      </w:pPr>
      <w:r>
        <w:rPr>
          <w:rFonts w:ascii="Times New Roman" w:hAnsi="Times New Roman"/>
          <w:b/>
          <w:noProof/>
          <w:sz w:val="24"/>
          <w:u w:val="single"/>
        </w:rPr>
        <w:t xml:space="preserve">K.1. </w:t>
      </w:r>
      <w:r>
        <w:rPr>
          <w:rFonts w:ascii="Times New Roman" w:hAnsi="Times New Roman"/>
          <w:noProof/>
          <w:sz w:val="24"/>
        </w:rPr>
        <w:tab/>
      </w:r>
      <w:r>
        <w:rPr>
          <w:rFonts w:ascii="Times New Roman" w:hAnsi="Times New Roman"/>
          <w:b/>
          <w:noProof/>
          <w:sz w:val="24"/>
          <w:u w:val="single"/>
        </w:rPr>
        <w:t>Description des réformes et des investissements en vue du soutien financier non remboursable</w:t>
      </w:r>
    </w:p>
    <w:p w14:paraId="68E45D8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R-4.04: «Lutte contre la discrimination sur le marché de l’emploi» de l’État fédéral</w:t>
      </w:r>
    </w:p>
    <w:p w14:paraId="1BE436C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réforme vise à lutter contre la discrimination sur le marché de l’emploi et prévoit: 1) l’amélioration du cadre réglementaire relatif aux tests de discrimination, 2) la publication d’une loi prévoyant la mise en place, au sein du Service public fédéral «Emploi, Travail et concertation sociale», d’un département chargé d’assurer le suivi des questions de diversité et d’élaborer des fiches sectorielles relatives à la structure de l’emploi dans chaque secteur d’activité et 3) la formation des services du contrôle des lois sociales du Service public fédéral «Emploi, travail et concertation sociale» en vue d’améliorer l’efficacité des tests de discrimination. Le cadre réglementaire adapté sur les tests de discrimination devrait entrer en vigueur le 1</w:t>
      </w:r>
      <w:r>
        <w:rPr>
          <w:rFonts w:ascii="Times New Roman" w:hAnsi="Times New Roman"/>
          <w:noProof/>
          <w:sz w:val="24"/>
          <w:vertAlign w:val="superscript"/>
        </w:rPr>
        <w:t>er</w:t>
      </w:r>
      <w:r>
        <w:rPr>
          <w:rFonts w:ascii="Times New Roman" w:hAnsi="Times New Roman"/>
          <w:noProof/>
          <w:sz w:val="24"/>
        </w:rPr>
        <w:t> janvier 2024 au plus tard.</w:t>
      </w:r>
    </w:p>
    <w:p w14:paraId="1D16F02D"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R-4.05: «Stratégie de (re)qualification des compétences» de la Région de Bruxelles-Capitale</w:t>
      </w:r>
    </w:p>
    <w:p w14:paraId="1408AD71"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hd w:val="clear" w:color="auto" w:fill="FFFFFF"/>
        </w:rPr>
      </w:pPr>
      <w:r>
        <w:rPr>
          <w:rFonts w:ascii="Times New Roman" w:hAnsi="Times New Roman"/>
          <w:noProof/>
          <w:sz w:val="24"/>
        </w:rPr>
        <w:t>Cette réforme vise à promouvoir l’intégration durable des groupes défavorisés sur le marché du travail. Elle consiste en l’entrée en vigueur d’actes juridiques et en l’inclusion d’indicateurs stratégiques dans le contrat de gestion 2023-2027 d’Actiris</w:t>
      </w:r>
      <w:r>
        <w:rPr>
          <w:rFonts w:ascii="Times New Roman" w:hAnsi="Times New Roman"/>
          <w:noProof/>
          <w:color w:val="000000"/>
          <w:sz w:val="24"/>
          <w:shd w:val="clear" w:color="auto" w:fill="FFFFFF"/>
        </w:rPr>
        <w:t>.</w:t>
      </w:r>
    </w:p>
    <w:p w14:paraId="2BF27948"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R-4.06: «Un marché du travail plus inclusif» de la Communauté flamande</w:t>
      </w:r>
    </w:p>
    <w:p w14:paraId="10237F99"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réforme a pour objet l’intégration des groupes défavorisés sur le marché du travail et prévoit 1) la révision de la législation en vue de promouvoir l’intégration des migrants sur le marché du travail et 2) des addenda, aux pactes sectoriels, sur la non-discrimination et l’inclusion. La mise en œuvre de la réforme devrait être achevée au plus tard le 31 décembre 2023.</w:t>
      </w:r>
    </w:p>
    <w:p w14:paraId="3CE2CC27"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I-4.07: «Stratégie de (re)qualification des compétences» de la Région de Bruxelles-Capitale</w:t>
      </w:r>
    </w:p>
    <w:p w14:paraId="63BEB727"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Cette réforme vise à promouvoir l’intégration durable des groupes défavorisés sur le marché du travail. Elle prévoit 1) l’introduction d’un parcours de formation systématique axé autour des compétences linguistiques et numériques des chercheurs d’emploi, 2) la fourniture d’une solution rapide de garde d’enfants quand les parents trouvent un emploi ou suivent une formation et 3) un soutien aux projets pilotes en innovation sociale. </w:t>
      </w:r>
    </w:p>
    <w:p w14:paraId="26853BD8"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I-4.08: «E-inclusion for Belgium» de l’État fédéral</w:t>
      </w:r>
    </w:p>
    <w:p w14:paraId="60559DCA"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L’investissement vise à promouvoir l’intégration économique et sociale des groupes vulnérables dans la société en améliorant leurs compétences numériques. L’investissement consiste en un appel à projets pour soutenir l’inclusion numérique des groupes vulnérables. Les projets viseront à 1) sensibiliser les groupes cibles vulnérables pour qu’ils se familiarisent avec les TIC pertinentes afin d’améliorer leur situation personnelle et de renforcer leur intégration sociale, 2) améliorer les compétences numériques des groupes cibles vulnérables afin d’améliorer leur situation personnelle et de renforcer leur intégration sociale, et 3) améliorer les compétences numériques des accompagnateurs des groupes cibles vulnérables. Sa mise en œuvre devrait être achevée au plus tard le 30 juin 2024.</w:t>
      </w:r>
    </w:p>
    <w:p w14:paraId="4F9343CB"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I-4.09: «Plateforme digitale pour les détenus» de l’État fédéral</w:t>
      </w:r>
    </w:p>
    <w:p w14:paraId="5F9CB4C9" w14:textId="70BCEA3F" w:rsidR="000D1388" w:rsidRPr="00114731" w:rsidRDefault="00290092" w:rsidP="3FC37BCA">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L’investissement vise à promouvoir l’intégration économique et sociale des détenus dans la société grâce aux services numériques. Il consiste dans l’installation d’une plateforme numérique au sein des prisons, qui offre des services numériques tels que l’envoi de messages urgents, l’apprentissage en ligne, la traduction et l’utilisation d’une encyclopédie.</w:t>
      </w:r>
    </w:p>
    <w:p w14:paraId="19D06E65"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I-4.10: «Genre et marché du travail» de l’État fédéral</w:t>
      </w:r>
    </w:p>
    <w:p w14:paraId="6C27D754"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L’investissement vise à analyser l’inégalité entre hommes et femmes sur le marché du travail et à promouvoir l’intégration des femmes sur le marché du travail. L’investissement prévoit le lancement d’un appel à projets axé sur l’inclusion des femmes vulnérables sur le marché du travail. Sa mise en œuvre devrait être achevée au plus tard le 31 décembre 2024.</w:t>
      </w:r>
    </w:p>
    <w:p w14:paraId="4F7CAC06"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I-4.11: «Digibanks» de la Région flamande</w:t>
      </w:r>
    </w:p>
    <w:p w14:paraId="7CE03B6A" w14:textId="77777777" w:rsidR="000D1388" w:rsidRPr="009D65D8" w:rsidRDefault="00E71057" w:rsidP="00E71057">
      <w:pPr>
        <w:spacing w:before="120" w:after="120" w:line="240" w:lineRule="auto"/>
        <w:jc w:val="both"/>
        <w:rPr>
          <w:rFonts w:ascii="Times New Roman" w:eastAsia="Calibri" w:hAnsi="Times New Roman" w:cs="Times New Roman"/>
          <w:noProof/>
          <w:sz w:val="24"/>
        </w:rPr>
        <w:sectPr w:rsidR="000D1388" w:rsidRPr="009D65D8" w:rsidSect="00E71057">
          <w:headerReference w:type="even" r:id="rId144"/>
          <w:headerReference w:type="default" r:id="rId145"/>
          <w:footerReference w:type="even" r:id="rId146"/>
          <w:footerReference w:type="default" r:id="rId147"/>
          <w:headerReference w:type="first" r:id="rId148"/>
          <w:footerReference w:type="first" r:id="rId149"/>
          <w:pgSz w:w="11907" w:h="16839"/>
          <w:pgMar w:top="1134" w:right="1134" w:bottom="1134" w:left="1134" w:header="567" w:footer="567" w:gutter="0"/>
          <w:cols w:space="720"/>
          <w:docGrid w:linePitch="360"/>
        </w:sectPr>
      </w:pPr>
      <w:r>
        <w:rPr>
          <w:rFonts w:ascii="Times New Roman" w:hAnsi="Times New Roman"/>
          <w:noProof/>
          <w:sz w:val="24"/>
        </w:rPr>
        <w:t>L’investissement vise à promouvoir l’intégration économique et sociale des groupes vulnérables en favorisant leur inclusion numérique au niveau local. L’investissement vise à 1) garantir un accès équitable à la technologie numérique, 2) permettre des formations et un partage des connaissances pour renforcer les compétences numériques et 3) fournir un accès numérique aux services essentiels. La mise en œuvre de l’investissement devrait être achevée au plus tard le 31 décembre 2022.</w:t>
      </w:r>
    </w:p>
    <w:p w14:paraId="41545E86"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K.2.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708"/>
        <w:gridCol w:w="1658"/>
        <w:gridCol w:w="1640"/>
        <w:gridCol w:w="1527"/>
        <w:gridCol w:w="1134"/>
        <w:gridCol w:w="992"/>
        <w:gridCol w:w="1129"/>
        <w:gridCol w:w="851"/>
        <w:gridCol w:w="3265"/>
      </w:tblGrid>
      <w:tr w:rsidR="005003AB" w:rsidRPr="00307112" w14:paraId="0C3E6588" w14:textId="77777777" w:rsidTr="00E87A90">
        <w:trPr>
          <w:trHeight w:val="927"/>
          <w:tblHeader/>
          <w:jc w:val="center"/>
        </w:trPr>
        <w:tc>
          <w:tcPr>
            <w:tcW w:w="1129" w:type="dxa"/>
            <w:vMerge w:val="restart"/>
            <w:shd w:val="clear" w:color="auto" w:fill="BDD7EE"/>
            <w:vAlign w:val="center"/>
            <w:hideMark/>
          </w:tcPr>
          <w:p w14:paraId="5CBB0ED3"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0F348DD2"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708" w:type="dxa"/>
            <w:vMerge w:val="restart"/>
            <w:shd w:val="clear" w:color="auto" w:fill="BDD7EE"/>
            <w:vAlign w:val="center"/>
            <w:hideMark/>
          </w:tcPr>
          <w:p w14:paraId="6E316A9B"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658" w:type="dxa"/>
            <w:vMerge w:val="restart"/>
            <w:shd w:val="clear" w:color="auto" w:fill="BDD7EE"/>
            <w:vAlign w:val="center"/>
            <w:hideMark/>
          </w:tcPr>
          <w:p w14:paraId="78D3BAC9"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640" w:type="dxa"/>
            <w:vMerge w:val="restart"/>
            <w:shd w:val="clear" w:color="auto" w:fill="BDD7EE"/>
            <w:vAlign w:val="center"/>
            <w:hideMark/>
          </w:tcPr>
          <w:p w14:paraId="6DB1A23C"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qualitatifs</w:t>
            </w:r>
            <w:r>
              <w:rPr>
                <w:rFonts w:ascii="Times New Roman" w:hAnsi="Times New Roman"/>
                <w:noProof/>
                <w:sz w:val="20"/>
              </w:rPr>
              <w:br/>
            </w:r>
            <w:r>
              <w:rPr>
                <w:rFonts w:ascii="Times New Roman" w:hAnsi="Times New Roman"/>
                <w:b/>
                <w:noProof/>
                <w:sz w:val="20"/>
              </w:rPr>
              <w:t>(pour les jalons)</w:t>
            </w:r>
          </w:p>
        </w:tc>
        <w:tc>
          <w:tcPr>
            <w:tcW w:w="3653" w:type="dxa"/>
            <w:gridSpan w:val="3"/>
            <w:shd w:val="clear" w:color="auto" w:fill="BDD7EE"/>
            <w:vAlign w:val="center"/>
            <w:hideMark/>
          </w:tcPr>
          <w:p w14:paraId="52A9C351"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quantitatifs</w:t>
            </w:r>
            <w:r>
              <w:rPr>
                <w:rFonts w:ascii="Times New Roman" w:hAnsi="Times New Roman"/>
                <w:noProof/>
                <w:sz w:val="20"/>
              </w:rPr>
              <w:br/>
            </w:r>
            <w:r>
              <w:rPr>
                <w:rFonts w:ascii="Times New Roman" w:hAnsi="Times New Roman"/>
                <w:b/>
                <w:noProof/>
                <w:sz w:val="20"/>
              </w:rPr>
              <w:t>(pour les cibles)</w:t>
            </w:r>
          </w:p>
        </w:tc>
        <w:tc>
          <w:tcPr>
            <w:tcW w:w="1980" w:type="dxa"/>
            <w:gridSpan w:val="2"/>
            <w:shd w:val="clear" w:color="auto" w:fill="BDD7EE"/>
            <w:vAlign w:val="center"/>
            <w:hideMark/>
          </w:tcPr>
          <w:p w14:paraId="55B6ED71"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265" w:type="dxa"/>
            <w:vMerge w:val="restart"/>
            <w:shd w:val="clear" w:color="auto" w:fill="BDD7EE"/>
            <w:vAlign w:val="center"/>
            <w:hideMark/>
          </w:tcPr>
          <w:p w14:paraId="65BFDAEB"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F76C04" w:rsidRPr="00307112" w14:paraId="2F94D487" w14:textId="77777777" w:rsidTr="00E87A90">
        <w:trPr>
          <w:trHeight w:val="1013"/>
          <w:jc w:val="center"/>
        </w:trPr>
        <w:tc>
          <w:tcPr>
            <w:tcW w:w="1129" w:type="dxa"/>
            <w:vMerge/>
            <w:vAlign w:val="center"/>
            <w:hideMark/>
          </w:tcPr>
          <w:p w14:paraId="50C9C50F" w14:textId="77777777" w:rsidR="000D1388" w:rsidRPr="00746A1A" w:rsidRDefault="000D1388">
            <w:pPr>
              <w:spacing w:after="0"/>
              <w:jc w:val="center"/>
              <w:rPr>
                <w:rFonts w:ascii="Times New Roman" w:eastAsia="Times New Roman" w:hAnsi="Times New Roman" w:cs="Times New Roman"/>
                <w:b/>
                <w:bCs/>
                <w:noProof/>
                <w:sz w:val="20"/>
                <w:szCs w:val="20"/>
                <w:lang w:val="fr-BE" w:eastAsia="en-GB"/>
              </w:rPr>
            </w:pPr>
          </w:p>
        </w:tc>
        <w:tc>
          <w:tcPr>
            <w:tcW w:w="1560" w:type="dxa"/>
            <w:vMerge/>
            <w:vAlign w:val="center"/>
            <w:hideMark/>
          </w:tcPr>
          <w:p w14:paraId="6799A232"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708" w:type="dxa"/>
            <w:vMerge/>
            <w:vAlign w:val="center"/>
            <w:hideMark/>
          </w:tcPr>
          <w:p w14:paraId="0BF03886"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658" w:type="dxa"/>
            <w:vMerge/>
            <w:vAlign w:val="center"/>
            <w:hideMark/>
          </w:tcPr>
          <w:p w14:paraId="19B536C9"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640" w:type="dxa"/>
            <w:vMerge/>
            <w:vAlign w:val="center"/>
            <w:hideMark/>
          </w:tcPr>
          <w:p w14:paraId="58038925"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27" w:type="dxa"/>
            <w:shd w:val="clear" w:color="auto" w:fill="BDD7EE"/>
            <w:vAlign w:val="center"/>
            <w:hideMark/>
          </w:tcPr>
          <w:p w14:paraId="1AB13F43"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34" w:type="dxa"/>
            <w:shd w:val="clear" w:color="auto" w:fill="BDD7EE"/>
            <w:vAlign w:val="center"/>
            <w:hideMark/>
          </w:tcPr>
          <w:p w14:paraId="1CD4B99F"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Référence</w:t>
            </w:r>
          </w:p>
        </w:tc>
        <w:tc>
          <w:tcPr>
            <w:tcW w:w="992" w:type="dxa"/>
            <w:shd w:val="clear" w:color="auto" w:fill="BDD7EE"/>
            <w:vAlign w:val="center"/>
            <w:hideMark/>
          </w:tcPr>
          <w:p w14:paraId="27E1B8CB"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29" w:type="dxa"/>
            <w:shd w:val="clear" w:color="auto" w:fill="BDD7EE"/>
            <w:vAlign w:val="center"/>
            <w:hideMark/>
          </w:tcPr>
          <w:p w14:paraId="197B07C9"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tcPr>
          <w:p w14:paraId="1FE65ACD"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265" w:type="dxa"/>
            <w:vMerge/>
            <w:vAlign w:val="center"/>
          </w:tcPr>
          <w:p w14:paraId="63362776"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r>
      <w:tr w:rsidR="00F76C04" w:rsidRPr="00307112" w14:paraId="480A0A51" w14:textId="77777777" w:rsidTr="00E87A90">
        <w:trPr>
          <w:trHeight w:val="309"/>
          <w:jc w:val="center"/>
        </w:trPr>
        <w:tc>
          <w:tcPr>
            <w:tcW w:w="1129" w:type="dxa"/>
            <w:shd w:val="clear" w:color="auto" w:fill="C6EFCE"/>
            <w:noWrap/>
            <w:vAlign w:val="center"/>
          </w:tcPr>
          <w:p w14:paraId="7BA9FFC7"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139</w:t>
            </w:r>
          </w:p>
        </w:tc>
        <w:tc>
          <w:tcPr>
            <w:tcW w:w="1560" w:type="dxa"/>
            <w:shd w:val="clear" w:color="auto" w:fill="C6EFCE"/>
            <w:noWrap/>
            <w:vAlign w:val="center"/>
          </w:tcPr>
          <w:p w14:paraId="43C67319"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de (re-)qualification (R-4.05)</w:t>
            </w:r>
          </w:p>
        </w:tc>
        <w:tc>
          <w:tcPr>
            <w:tcW w:w="708" w:type="dxa"/>
            <w:shd w:val="clear" w:color="auto" w:fill="C6EFCE"/>
            <w:noWrap/>
            <w:vAlign w:val="center"/>
          </w:tcPr>
          <w:p w14:paraId="2F3A5F06"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658" w:type="dxa"/>
            <w:shd w:val="clear" w:color="auto" w:fill="C6EFCE"/>
            <w:noWrap/>
            <w:vAlign w:val="center"/>
          </w:tcPr>
          <w:p w14:paraId="6D5C33F5"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Actes juridiques visant à promouvoir l’intégration des groupes défavorisés sur le marché du travail</w:t>
            </w:r>
          </w:p>
        </w:tc>
        <w:tc>
          <w:tcPr>
            <w:tcW w:w="1640" w:type="dxa"/>
            <w:shd w:val="clear" w:color="auto" w:fill="C6EFCE"/>
            <w:noWrap/>
            <w:vAlign w:val="center"/>
          </w:tcPr>
          <w:p w14:paraId="0542227D"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d’actes juridiques au Journal officiel</w:t>
            </w:r>
          </w:p>
        </w:tc>
        <w:tc>
          <w:tcPr>
            <w:tcW w:w="1527" w:type="dxa"/>
            <w:shd w:val="clear" w:color="auto" w:fill="C6EFCE"/>
            <w:noWrap/>
            <w:vAlign w:val="center"/>
          </w:tcPr>
          <w:p w14:paraId="5531B8DA"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F8D59CF"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1CBB5981"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1129" w:type="dxa"/>
            <w:shd w:val="clear" w:color="auto" w:fill="C6EFCE"/>
            <w:noWrap/>
            <w:vAlign w:val="center"/>
          </w:tcPr>
          <w:p w14:paraId="5A6574B7"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013B7BEF"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265" w:type="dxa"/>
            <w:shd w:val="clear" w:color="auto" w:fill="C6EFCE"/>
            <w:noWrap/>
            <w:vAlign w:val="center"/>
          </w:tcPr>
          <w:p w14:paraId="620E1F11"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d’actes juridiques 1) introduisant une évaluation systématique des compétences numériques et linguistiques des demandeurs d’emploi et 2) introduisant une prime aux employeurs qui recrutent des demandeurs d’emploi en situation de handicap.</w:t>
            </w:r>
          </w:p>
          <w:p w14:paraId="52CAC590"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Inclure des indicateurs stratégiques, tels que le taux de sortie vers l’emploi, dont Actiris, Bruxelles Formation et VDAB Brussel portent conjointement la responsabilité, dans le contrat de gestion 2023-2027 d’Actiris.</w:t>
            </w:r>
          </w:p>
        </w:tc>
      </w:tr>
      <w:tr w:rsidR="00F76C04" w:rsidRPr="00307112" w14:paraId="4A674038" w14:textId="77777777" w:rsidTr="00E87A90">
        <w:trPr>
          <w:trHeight w:val="309"/>
          <w:jc w:val="center"/>
        </w:trPr>
        <w:tc>
          <w:tcPr>
            <w:tcW w:w="1129" w:type="dxa"/>
            <w:shd w:val="clear" w:color="auto" w:fill="C6EFCE"/>
            <w:noWrap/>
            <w:vAlign w:val="center"/>
          </w:tcPr>
          <w:p w14:paraId="443A9992"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140</w:t>
            </w:r>
          </w:p>
        </w:tc>
        <w:tc>
          <w:tcPr>
            <w:tcW w:w="1560" w:type="dxa"/>
            <w:shd w:val="clear" w:color="auto" w:fill="C6EFCE"/>
            <w:noWrap/>
            <w:vAlign w:val="center"/>
          </w:tcPr>
          <w:p w14:paraId="17224F35"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Lutte contre la discrimination sur le marché de l’emploi (R-4.04)</w:t>
            </w:r>
          </w:p>
        </w:tc>
        <w:tc>
          <w:tcPr>
            <w:tcW w:w="708" w:type="dxa"/>
            <w:shd w:val="clear" w:color="auto" w:fill="C6EFCE"/>
            <w:noWrap/>
            <w:vAlign w:val="center"/>
          </w:tcPr>
          <w:p w14:paraId="1A455D94"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658" w:type="dxa"/>
            <w:shd w:val="clear" w:color="auto" w:fill="C6EFCE"/>
            <w:noWrap/>
            <w:vAlign w:val="center"/>
          </w:tcPr>
          <w:p w14:paraId="7223A884"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Cadre réglementaire adapté et meilleure application des tests de discrimination</w:t>
            </w:r>
          </w:p>
        </w:tc>
        <w:tc>
          <w:tcPr>
            <w:tcW w:w="1640" w:type="dxa"/>
            <w:shd w:val="clear" w:color="auto" w:fill="C6EFCE"/>
            <w:noWrap/>
            <w:vAlign w:val="center"/>
          </w:tcPr>
          <w:p w14:paraId="5D04C12B"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 cadre réglementaire adapté au Moniteur belge</w:t>
            </w:r>
          </w:p>
        </w:tc>
        <w:tc>
          <w:tcPr>
            <w:tcW w:w="1527" w:type="dxa"/>
            <w:shd w:val="clear" w:color="auto" w:fill="C6EFCE"/>
            <w:noWrap/>
            <w:vAlign w:val="center"/>
          </w:tcPr>
          <w:p w14:paraId="1A737A25"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5B21AA04"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35844DB8"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1129" w:type="dxa"/>
            <w:shd w:val="clear" w:color="auto" w:fill="C6EFCE"/>
            <w:noWrap/>
            <w:vAlign w:val="center"/>
          </w:tcPr>
          <w:p w14:paraId="2FA665C2"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1D9A9C1F"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265" w:type="dxa"/>
            <w:shd w:val="clear" w:color="auto" w:fill="C6EFCE"/>
            <w:noWrap/>
            <w:vAlign w:val="center"/>
          </w:tcPr>
          <w:p w14:paraId="4F64002B"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 Publication au Moniteur belge du cadre réglementaire adapté sur les tests de discrimination (article 42/1 du Code pénal social), 2) publication au Moniteur belge d’une loi instituant, au sein du SPF Emploi, travail et concertation sociale, un département chargé d’assurer le suivi des questions de diversité et d’élaborer des fiches sectorielles relatives à la structure de l’emploi dans chaque secteur d’activité et 3) formation à l’intention des services du contrôle des lois sociales du SPF Emploi, travail et concertation sociale en vue d’améliorer l’efficacité des tests de discrimination.</w:t>
            </w:r>
          </w:p>
        </w:tc>
      </w:tr>
      <w:tr w:rsidR="00F76C04" w:rsidRPr="00307112" w14:paraId="433D26AB" w14:textId="77777777" w:rsidTr="00E87A90">
        <w:trPr>
          <w:trHeight w:val="309"/>
          <w:jc w:val="center"/>
        </w:trPr>
        <w:tc>
          <w:tcPr>
            <w:tcW w:w="1129" w:type="dxa"/>
            <w:shd w:val="clear" w:color="auto" w:fill="C6EFCE"/>
            <w:noWrap/>
            <w:vAlign w:val="center"/>
          </w:tcPr>
          <w:p w14:paraId="761792EF"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141</w:t>
            </w:r>
          </w:p>
        </w:tc>
        <w:tc>
          <w:tcPr>
            <w:tcW w:w="1560" w:type="dxa"/>
            <w:shd w:val="clear" w:color="auto" w:fill="C6EFCE"/>
            <w:noWrap/>
            <w:vAlign w:val="center"/>
          </w:tcPr>
          <w:p w14:paraId="016CDEED"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marché du travail plus inclusif (R-4.06)</w:t>
            </w:r>
          </w:p>
        </w:tc>
        <w:tc>
          <w:tcPr>
            <w:tcW w:w="708" w:type="dxa"/>
            <w:shd w:val="clear" w:color="auto" w:fill="C6EFCE"/>
            <w:noWrap/>
            <w:vAlign w:val="center"/>
          </w:tcPr>
          <w:p w14:paraId="48B0E691"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58" w:type="dxa"/>
            <w:shd w:val="clear" w:color="auto" w:fill="C6EFCE"/>
            <w:noWrap/>
            <w:vAlign w:val="center"/>
          </w:tcPr>
          <w:p w14:paraId="458A128E"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actions sectorielles de lutte contre la discrimination</w:t>
            </w:r>
          </w:p>
        </w:tc>
        <w:tc>
          <w:tcPr>
            <w:tcW w:w="1640" w:type="dxa"/>
            <w:shd w:val="clear" w:color="auto" w:fill="C6EFCE"/>
            <w:noWrap/>
            <w:vAlign w:val="center"/>
          </w:tcPr>
          <w:p w14:paraId="5CF6BAA2"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1527" w:type="dxa"/>
            <w:shd w:val="clear" w:color="auto" w:fill="C6EFCE"/>
            <w:noWrap/>
            <w:vAlign w:val="center"/>
          </w:tcPr>
          <w:p w14:paraId="0062CC05"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Secteurs</w:t>
            </w:r>
          </w:p>
        </w:tc>
        <w:tc>
          <w:tcPr>
            <w:tcW w:w="1134" w:type="dxa"/>
            <w:shd w:val="clear" w:color="auto" w:fill="C6EFCE"/>
            <w:noWrap/>
            <w:vAlign w:val="center"/>
          </w:tcPr>
          <w:p w14:paraId="69399642" w14:textId="77777777" w:rsidR="000D1388" w:rsidRPr="00307112"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614655E4" w14:textId="77777777" w:rsidR="000D1388" w:rsidRPr="00307112" w:rsidRDefault="00E71057" w:rsidP="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37</w:t>
            </w:r>
          </w:p>
        </w:tc>
        <w:tc>
          <w:tcPr>
            <w:tcW w:w="1129" w:type="dxa"/>
            <w:shd w:val="clear" w:color="auto" w:fill="C6EFCE"/>
            <w:noWrap/>
            <w:vAlign w:val="center"/>
          </w:tcPr>
          <w:p w14:paraId="6259F3FA" w14:textId="77777777" w:rsidR="000D1388" w:rsidRPr="00307112"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1" w:type="dxa"/>
            <w:shd w:val="clear" w:color="auto" w:fill="C6EFCE"/>
            <w:noWrap/>
            <w:vAlign w:val="center"/>
          </w:tcPr>
          <w:p w14:paraId="2FF1AA18"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265" w:type="dxa"/>
            <w:shd w:val="clear" w:color="auto" w:fill="C6EFCE"/>
            <w:noWrap/>
            <w:vAlign w:val="center"/>
          </w:tcPr>
          <w:p w14:paraId="65172040" w14:textId="77777777" w:rsidR="000D1388" w:rsidRPr="00307112" w:rsidRDefault="00E71057">
            <w:p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1) Entrée en vigueur de l’arrêté révisé flamand sur l’intégration en vue de favoriser l’intégration des migrants sur le marché du travail; 2) 37 secteurs professionnels mettent en œuvre un plan d’action de lutte contre la discrimination (voir les addenda non-discrimination et inclusion 2021-2022).</w:t>
            </w:r>
            <w:r>
              <w:rPr>
                <w:rFonts w:ascii="Times New Roman" w:hAnsi="Times New Roman"/>
                <w:noProof/>
                <w:sz w:val="20"/>
              </w:rPr>
              <w:t xml:space="preserve"> </w:t>
            </w:r>
            <w:r>
              <w:rPr>
                <w:rFonts w:ascii="Times New Roman" w:hAnsi="Times New Roman"/>
                <w:noProof/>
                <w:color w:val="006100"/>
                <w:sz w:val="20"/>
              </w:rPr>
              <w:t>Le gouvernement flamand évalue la mise en œuvre de chaque plan sectoriel.</w:t>
            </w:r>
          </w:p>
        </w:tc>
      </w:tr>
      <w:tr w:rsidR="00F76C04" w:rsidRPr="00307112" w14:paraId="1CB20F17" w14:textId="77777777" w:rsidTr="00E87A90">
        <w:trPr>
          <w:trHeight w:val="309"/>
          <w:jc w:val="center"/>
        </w:trPr>
        <w:tc>
          <w:tcPr>
            <w:tcW w:w="1129" w:type="dxa"/>
            <w:shd w:val="clear" w:color="auto" w:fill="C6EFCE"/>
            <w:noWrap/>
            <w:vAlign w:val="center"/>
          </w:tcPr>
          <w:p w14:paraId="1C014BC9"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143</w:t>
            </w:r>
          </w:p>
        </w:tc>
        <w:tc>
          <w:tcPr>
            <w:tcW w:w="1560" w:type="dxa"/>
            <w:shd w:val="clear" w:color="auto" w:fill="C6EFCE"/>
            <w:noWrap/>
            <w:vAlign w:val="center"/>
          </w:tcPr>
          <w:p w14:paraId="78C51371" w14:textId="77777777" w:rsidR="000D1388" w:rsidRPr="00307112"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Stratégie de (re-)qualification (I-4.07)</w:t>
            </w:r>
          </w:p>
        </w:tc>
        <w:tc>
          <w:tcPr>
            <w:tcW w:w="708" w:type="dxa"/>
            <w:shd w:val="clear" w:color="auto" w:fill="C6EFCE"/>
            <w:noWrap/>
            <w:vAlign w:val="center"/>
          </w:tcPr>
          <w:p w14:paraId="3B87C372"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658" w:type="dxa"/>
            <w:shd w:val="clear" w:color="auto" w:fill="C6EFCE"/>
            <w:noWrap/>
            <w:vAlign w:val="center"/>
          </w:tcPr>
          <w:p w14:paraId="6261CDBE"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des subventions liées aux initiatives d’innovation sociale</w:t>
            </w:r>
          </w:p>
        </w:tc>
        <w:tc>
          <w:tcPr>
            <w:tcW w:w="1640" w:type="dxa"/>
            <w:shd w:val="clear" w:color="auto" w:fill="C6EFCE"/>
            <w:noWrap/>
            <w:vAlign w:val="center"/>
          </w:tcPr>
          <w:p w14:paraId="5D1EF05A"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527" w:type="dxa"/>
            <w:shd w:val="clear" w:color="auto" w:fill="C6EFCE"/>
            <w:noWrap/>
            <w:vAlign w:val="center"/>
          </w:tcPr>
          <w:p w14:paraId="06F78FFB"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1134" w:type="dxa"/>
            <w:shd w:val="clear" w:color="auto" w:fill="C6EFCE"/>
            <w:noWrap/>
            <w:vAlign w:val="center"/>
          </w:tcPr>
          <w:p w14:paraId="625B3725" w14:textId="77777777" w:rsidR="000D1388" w:rsidRPr="00746A1A" w:rsidRDefault="000D1388" w:rsidP="00E71057">
            <w:pPr>
              <w:spacing w:after="0"/>
              <w:rPr>
                <w:rFonts w:ascii="Times New Roman" w:eastAsia="Times New Roman" w:hAnsi="Times New Roman" w:cs="Times New Roman"/>
                <w:noProof/>
                <w:color w:val="006100"/>
                <w:sz w:val="20"/>
                <w:szCs w:val="20"/>
                <w:lang w:val="fr-BE"/>
              </w:rPr>
            </w:pPr>
          </w:p>
        </w:tc>
        <w:tc>
          <w:tcPr>
            <w:tcW w:w="992" w:type="dxa"/>
            <w:shd w:val="clear" w:color="auto" w:fill="C6EFCE"/>
            <w:noWrap/>
            <w:vAlign w:val="center"/>
          </w:tcPr>
          <w:p w14:paraId="605F71AA" w14:textId="77777777" w:rsidR="000D1388" w:rsidRPr="00746A1A" w:rsidRDefault="000D1388" w:rsidP="00E71057">
            <w:pPr>
              <w:spacing w:after="0"/>
              <w:jc w:val="right"/>
              <w:rPr>
                <w:rFonts w:ascii="Times New Roman" w:eastAsia="Times New Roman" w:hAnsi="Times New Roman" w:cs="Times New Roman"/>
                <w:noProof/>
                <w:color w:val="006100"/>
                <w:sz w:val="20"/>
                <w:szCs w:val="20"/>
                <w:lang w:val="fr-BE"/>
              </w:rPr>
            </w:pPr>
          </w:p>
        </w:tc>
        <w:tc>
          <w:tcPr>
            <w:tcW w:w="1129" w:type="dxa"/>
            <w:shd w:val="clear" w:color="auto" w:fill="C6EFCE"/>
            <w:noWrap/>
            <w:vAlign w:val="center"/>
          </w:tcPr>
          <w:p w14:paraId="48985DD3" w14:textId="77777777" w:rsidR="000D1388" w:rsidRPr="00307112"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1854440B"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265" w:type="dxa"/>
            <w:shd w:val="clear" w:color="auto" w:fill="C6EFCE"/>
            <w:noWrap/>
            <w:vAlign w:val="center"/>
          </w:tcPr>
          <w:p w14:paraId="73C30C0C"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des subventions par les services publics de l’emploi aux initiatives d’innovation sociale.</w:t>
            </w:r>
          </w:p>
        </w:tc>
      </w:tr>
      <w:tr w:rsidR="00F76C04" w:rsidRPr="00307112" w14:paraId="3103173D" w14:textId="77777777" w:rsidTr="00E87A90">
        <w:trPr>
          <w:trHeight w:val="1550"/>
          <w:jc w:val="center"/>
        </w:trPr>
        <w:tc>
          <w:tcPr>
            <w:tcW w:w="1129" w:type="dxa"/>
            <w:shd w:val="clear" w:color="auto" w:fill="C6EFCE"/>
            <w:noWrap/>
            <w:vAlign w:val="center"/>
          </w:tcPr>
          <w:p w14:paraId="75F99A07"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144</w:t>
            </w:r>
          </w:p>
        </w:tc>
        <w:tc>
          <w:tcPr>
            <w:tcW w:w="1560" w:type="dxa"/>
            <w:shd w:val="clear" w:color="auto" w:fill="C6EFCE"/>
            <w:noWrap/>
            <w:vAlign w:val="center"/>
          </w:tcPr>
          <w:p w14:paraId="0396F2FC"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de (re-)qualification (I-4.07)</w:t>
            </w:r>
          </w:p>
        </w:tc>
        <w:tc>
          <w:tcPr>
            <w:tcW w:w="708" w:type="dxa"/>
            <w:shd w:val="clear" w:color="auto" w:fill="C6EFCE"/>
            <w:noWrap/>
            <w:vAlign w:val="center"/>
          </w:tcPr>
          <w:p w14:paraId="50F46B83"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58" w:type="dxa"/>
            <w:shd w:val="clear" w:color="auto" w:fill="C6EFCE"/>
            <w:noWrap/>
            <w:vAlign w:val="center"/>
          </w:tcPr>
          <w:p w14:paraId="4BCD62BF"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Conseils en matière de compétences linguistiques et numériques à l’intention des demandeurs d’emploi</w:t>
            </w:r>
          </w:p>
        </w:tc>
        <w:tc>
          <w:tcPr>
            <w:tcW w:w="1640" w:type="dxa"/>
            <w:shd w:val="clear" w:color="auto" w:fill="C6EFCE"/>
            <w:noWrap/>
            <w:vAlign w:val="center"/>
          </w:tcPr>
          <w:p w14:paraId="21521148" w14:textId="77777777" w:rsidR="000D1388" w:rsidRPr="00746A1A" w:rsidRDefault="000D1388">
            <w:pPr>
              <w:spacing w:after="0"/>
              <w:rPr>
                <w:rFonts w:ascii="Times New Roman" w:eastAsia="Times New Roman" w:hAnsi="Times New Roman" w:cs="Times New Roman"/>
                <w:noProof/>
                <w:color w:val="006100"/>
                <w:sz w:val="20"/>
                <w:szCs w:val="20"/>
                <w:lang w:val="fr-BE"/>
              </w:rPr>
            </w:pPr>
          </w:p>
        </w:tc>
        <w:tc>
          <w:tcPr>
            <w:tcW w:w="1527" w:type="dxa"/>
            <w:shd w:val="clear" w:color="auto" w:fill="C6EFCE"/>
            <w:noWrap/>
            <w:vAlign w:val="center"/>
          </w:tcPr>
          <w:p w14:paraId="646DAD1A"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Demandeurs d’emploi</w:t>
            </w:r>
          </w:p>
        </w:tc>
        <w:tc>
          <w:tcPr>
            <w:tcW w:w="1134" w:type="dxa"/>
            <w:shd w:val="clear" w:color="auto" w:fill="C6EFCE"/>
            <w:noWrap/>
            <w:vAlign w:val="center"/>
          </w:tcPr>
          <w:p w14:paraId="5E96B641" w14:textId="77777777" w:rsidR="000D1388" w:rsidRPr="00307112"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56DAC676" w14:textId="77777777" w:rsidR="000D1388" w:rsidRPr="00307112" w:rsidRDefault="00E71057" w:rsidP="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6 000</w:t>
            </w:r>
          </w:p>
        </w:tc>
        <w:tc>
          <w:tcPr>
            <w:tcW w:w="1129" w:type="dxa"/>
            <w:shd w:val="clear" w:color="auto" w:fill="C6EFCE"/>
            <w:noWrap/>
            <w:vAlign w:val="center"/>
          </w:tcPr>
          <w:p w14:paraId="21FC7775" w14:textId="77777777" w:rsidR="000D1388" w:rsidRPr="00307112"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6D7F8E21"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265" w:type="dxa"/>
            <w:shd w:val="clear" w:color="auto" w:fill="C6EFCE"/>
            <w:noWrap/>
            <w:vAlign w:val="center"/>
          </w:tcPr>
          <w:p w14:paraId="517C84E5"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6 000 demandeurs d’emploi ont bénéficié de conseils en matière de compétences numériques et linguistiques, y compris de conseils en formation.</w:t>
            </w:r>
          </w:p>
        </w:tc>
      </w:tr>
      <w:tr w:rsidR="00F76C04" w:rsidRPr="00307112" w14:paraId="32AE9A89" w14:textId="77777777" w:rsidTr="00E87A90">
        <w:trPr>
          <w:trHeight w:val="309"/>
          <w:jc w:val="center"/>
        </w:trPr>
        <w:tc>
          <w:tcPr>
            <w:tcW w:w="1129" w:type="dxa"/>
            <w:shd w:val="clear" w:color="auto" w:fill="C6EFCE"/>
            <w:noWrap/>
            <w:vAlign w:val="center"/>
          </w:tcPr>
          <w:p w14:paraId="5E9F5507"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146</w:t>
            </w:r>
          </w:p>
        </w:tc>
        <w:tc>
          <w:tcPr>
            <w:tcW w:w="1560" w:type="dxa"/>
            <w:shd w:val="clear" w:color="auto" w:fill="C6EFCE"/>
            <w:noWrap/>
            <w:vAlign w:val="center"/>
          </w:tcPr>
          <w:p w14:paraId="218DCD87" w14:textId="77777777" w:rsidR="000D1388" w:rsidRPr="00746A1A" w:rsidRDefault="00E71057">
            <w:pPr>
              <w:spacing w:after="0"/>
              <w:rPr>
                <w:rFonts w:ascii="Times New Roman" w:eastAsia="Times New Roman" w:hAnsi="Times New Roman" w:cs="Times New Roman"/>
                <w:noProof/>
                <w:color w:val="006100"/>
                <w:sz w:val="20"/>
                <w:szCs w:val="20"/>
                <w:lang w:val="en-IE"/>
              </w:rPr>
            </w:pPr>
            <w:r w:rsidRPr="00746A1A">
              <w:rPr>
                <w:rFonts w:ascii="Times New Roman" w:hAnsi="Times New Roman"/>
                <w:noProof/>
                <w:color w:val="006100"/>
                <w:sz w:val="20"/>
                <w:lang w:val="en-IE"/>
              </w:rPr>
              <w:t>E-inclusion for Belgium (I-4.08)</w:t>
            </w:r>
          </w:p>
        </w:tc>
        <w:tc>
          <w:tcPr>
            <w:tcW w:w="708" w:type="dxa"/>
            <w:shd w:val="clear" w:color="auto" w:fill="C6EFCE"/>
            <w:noWrap/>
            <w:vAlign w:val="center"/>
          </w:tcPr>
          <w:p w14:paraId="581281AB"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58" w:type="dxa"/>
            <w:shd w:val="clear" w:color="auto" w:fill="C6EFCE"/>
            <w:noWrap/>
            <w:vAlign w:val="center"/>
          </w:tcPr>
          <w:p w14:paraId="59055DDA"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des subventions</w:t>
            </w:r>
          </w:p>
        </w:tc>
        <w:tc>
          <w:tcPr>
            <w:tcW w:w="1640" w:type="dxa"/>
            <w:shd w:val="clear" w:color="auto" w:fill="C6EFCE"/>
            <w:noWrap/>
            <w:vAlign w:val="center"/>
          </w:tcPr>
          <w:p w14:paraId="3DEE6124" w14:textId="77777777" w:rsidR="000D1388" w:rsidRPr="00307112" w:rsidRDefault="000D1388">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7D117FF6"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Subventions octroyées</w:t>
            </w:r>
          </w:p>
        </w:tc>
        <w:tc>
          <w:tcPr>
            <w:tcW w:w="1134" w:type="dxa"/>
            <w:shd w:val="clear" w:color="auto" w:fill="C6EFCE"/>
            <w:noWrap/>
            <w:vAlign w:val="center"/>
          </w:tcPr>
          <w:p w14:paraId="2366F110" w14:textId="77777777" w:rsidR="000D1388" w:rsidRPr="00307112"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3F3AAD7B" w14:textId="77777777" w:rsidR="000D1388" w:rsidRPr="00307112" w:rsidRDefault="00E71057" w:rsidP="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15</w:t>
            </w:r>
          </w:p>
        </w:tc>
        <w:tc>
          <w:tcPr>
            <w:tcW w:w="1129" w:type="dxa"/>
            <w:shd w:val="clear" w:color="auto" w:fill="C6EFCE"/>
            <w:noWrap/>
            <w:vAlign w:val="center"/>
          </w:tcPr>
          <w:p w14:paraId="491E2A24" w14:textId="77777777" w:rsidR="000D1388" w:rsidRPr="00307112"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2543747B"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265" w:type="dxa"/>
            <w:shd w:val="clear" w:color="auto" w:fill="C6EFCE"/>
            <w:noWrap/>
            <w:vAlign w:val="center"/>
          </w:tcPr>
          <w:p w14:paraId="27D85E83"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15 subventions par l’organisme compétent et le SPP Intégration sociale aux projets répondant aux critères de l’appel à projets E-INCLUSION FOR BELGIUM. Les projets viseront à 1) sensibiliser les groupes cibles vulnérables pour qu’ils se familiarisent avec les TIC pertinentes afin d’améliorer leur situation personnelle et de renforcer leur intégration sociale, 2) améliorer les compétences numériques des groupes cibles vulnérables afin d’améliorer leur situation personnelle et de renforcer leur intégration sociale, et 3) améliorer les compétences numériques des accompagnateurs des groupes cibles vulnérables</w:t>
            </w:r>
          </w:p>
        </w:tc>
      </w:tr>
      <w:tr w:rsidR="00F76C04" w:rsidRPr="00307112" w14:paraId="700DACBE" w14:textId="77777777" w:rsidTr="00E87A90">
        <w:trPr>
          <w:trHeight w:val="309"/>
          <w:jc w:val="center"/>
        </w:trPr>
        <w:tc>
          <w:tcPr>
            <w:tcW w:w="1129" w:type="dxa"/>
            <w:shd w:val="clear" w:color="auto" w:fill="C6EFCE"/>
            <w:noWrap/>
            <w:vAlign w:val="center"/>
          </w:tcPr>
          <w:p w14:paraId="6F6B5687" w14:textId="77777777" w:rsidR="00085CA1" w:rsidRPr="00307112" w:rsidRDefault="00085CA1" w:rsidP="00085CA1">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147</w:t>
            </w:r>
          </w:p>
        </w:tc>
        <w:tc>
          <w:tcPr>
            <w:tcW w:w="1560" w:type="dxa"/>
            <w:shd w:val="clear" w:color="auto" w:fill="C6EFCE"/>
            <w:noWrap/>
            <w:vAlign w:val="center"/>
          </w:tcPr>
          <w:p w14:paraId="03E3744E"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Plateforme numérique pour les détenus (I-4.09)</w:t>
            </w:r>
          </w:p>
        </w:tc>
        <w:tc>
          <w:tcPr>
            <w:tcW w:w="708" w:type="dxa"/>
            <w:shd w:val="clear" w:color="auto" w:fill="C6EFCE"/>
            <w:noWrap/>
            <w:vAlign w:val="center"/>
          </w:tcPr>
          <w:p w14:paraId="47F1802B"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58" w:type="dxa"/>
            <w:shd w:val="clear" w:color="auto" w:fill="C6EFCE"/>
            <w:noWrap/>
            <w:vAlign w:val="center"/>
          </w:tcPr>
          <w:p w14:paraId="16CED56E" w14:textId="2383A830"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d’une plateforme numérique</w:t>
            </w:r>
          </w:p>
        </w:tc>
        <w:tc>
          <w:tcPr>
            <w:tcW w:w="1640" w:type="dxa"/>
            <w:shd w:val="clear" w:color="auto" w:fill="C6EFCE"/>
            <w:noWrap/>
            <w:vAlign w:val="center"/>
          </w:tcPr>
          <w:p w14:paraId="17DE8E57" w14:textId="77777777" w:rsidR="00085CA1" w:rsidRPr="00307112" w:rsidRDefault="00085CA1" w:rsidP="00085CA1">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50076DFB"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Établissements pénitentiaires</w:t>
            </w:r>
          </w:p>
        </w:tc>
        <w:tc>
          <w:tcPr>
            <w:tcW w:w="1134" w:type="dxa"/>
            <w:shd w:val="clear" w:color="auto" w:fill="C6EFCE"/>
            <w:noWrap/>
            <w:vAlign w:val="center"/>
          </w:tcPr>
          <w:p w14:paraId="48130FDF"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1E54C81D"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36</w:t>
            </w:r>
          </w:p>
        </w:tc>
        <w:tc>
          <w:tcPr>
            <w:tcW w:w="1129" w:type="dxa"/>
            <w:shd w:val="clear" w:color="auto" w:fill="C6EFCE"/>
            <w:noWrap/>
            <w:vAlign w:val="center"/>
          </w:tcPr>
          <w:p w14:paraId="358DBBCE"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196A9B51" w14:textId="77777777" w:rsidR="00085CA1" w:rsidRPr="00307112" w:rsidRDefault="00085CA1" w:rsidP="00085CA1">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265" w:type="dxa"/>
            <w:shd w:val="clear" w:color="auto" w:fill="C6EFCE"/>
            <w:noWrap/>
            <w:vAlign w:val="center"/>
          </w:tcPr>
          <w:p w14:paraId="29D51EDC" w14:textId="66850E6E"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dans 36 prisons d’une plateforme numérique fournissant des services numériques, tels que l’envoi de messages urgents, l’apprentissage en ligne, la traduction et l’utilisation d’une encyclopédie.</w:t>
            </w:r>
          </w:p>
        </w:tc>
      </w:tr>
      <w:tr w:rsidR="00F76C04" w:rsidRPr="00307112" w14:paraId="24A58416" w14:textId="77777777" w:rsidTr="00E87A90">
        <w:trPr>
          <w:trHeight w:val="309"/>
          <w:jc w:val="center"/>
        </w:trPr>
        <w:tc>
          <w:tcPr>
            <w:tcW w:w="1129" w:type="dxa"/>
            <w:shd w:val="clear" w:color="auto" w:fill="C6EFCE"/>
            <w:noWrap/>
            <w:vAlign w:val="center"/>
          </w:tcPr>
          <w:p w14:paraId="57A8F885" w14:textId="77777777" w:rsidR="00085CA1" w:rsidRPr="00307112" w:rsidRDefault="00085CA1" w:rsidP="00085CA1">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148</w:t>
            </w:r>
          </w:p>
        </w:tc>
        <w:tc>
          <w:tcPr>
            <w:tcW w:w="1560" w:type="dxa"/>
            <w:shd w:val="clear" w:color="auto" w:fill="C6EFCE"/>
            <w:noWrap/>
            <w:vAlign w:val="center"/>
          </w:tcPr>
          <w:p w14:paraId="0852FE21"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Genre et marché du travail (I-4.10)</w:t>
            </w:r>
          </w:p>
        </w:tc>
        <w:tc>
          <w:tcPr>
            <w:tcW w:w="708" w:type="dxa"/>
            <w:shd w:val="clear" w:color="auto" w:fill="C6EFCE"/>
            <w:noWrap/>
            <w:vAlign w:val="center"/>
          </w:tcPr>
          <w:p w14:paraId="72EBFC78"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58" w:type="dxa"/>
            <w:shd w:val="clear" w:color="auto" w:fill="C6EFCE"/>
            <w:noWrap/>
            <w:vAlign w:val="center"/>
          </w:tcPr>
          <w:p w14:paraId="6241888B"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de conventions de subvention</w:t>
            </w:r>
          </w:p>
        </w:tc>
        <w:tc>
          <w:tcPr>
            <w:tcW w:w="1640" w:type="dxa"/>
            <w:shd w:val="clear" w:color="auto" w:fill="C6EFCE"/>
            <w:noWrap/>
            <w:vAlign w:val="center"/>
          </w:tcPr>
          <w:p w14:paraId="07202D91" w14:textId="77777777" w:rsidR="00085CA1" w:rsidRPr="00746A1A" w:rsidRDefault="00085CA1" w:rsidP="00085CA1">
            <w:pPr>
              <w:spacing w:after="0"/>
              <w:rPr>
                <w:rFonts w:ascii="Times New Roman" w:eastAsia="Times New Roman" w:hAnsi="Times New Roman" w:cs="Times New Roman"/>
                <w:noProof/>
                <w:color w:val="006100"/>
                <w:sz w:val="20"/>
                <w:szCs w:val="20"/>
                <w:lang w:val="fr-BE"/>
              </w:rPr>
            </w:pPr>
          </w:p>
        </w:tc>
        <w:tc>
          <w:tcPr>
            <w:tcW w:w="1527" w:type="dxa"/>
            <w:shd w:val="clear" w:color="auto" w:fill="C6EFCE"/>
            <w:noWrap/>
            <w:vAlign w:val="center"/>
          </w:tcPr>
          <w:p w14:paraId="7880CAD2"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Subventions</w:t>
            </w:r>
          </w:p>
        </w:tc>
        <w:tc>
          <w:tcPr>
            <w:tcW w:w="1134" w:type="dxa"/>
            <w:shd w:val="clear" w:color="auto" w:fill="C6EFCE"/>
            <w:noWrap/>
            <w:vAlign w:val="center"/>
          </w:tcPr>
          <w:p w14:paraId="7FF1CE80"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7A8BFA36"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18</w:t>
            </w:r>
          </w:p>
        </w:tc>
        <w:tc>
          <w:tcPr>
            <w:tcW w:w="1129" w:type="dxa"/>
            <w:shd w:val="clear" w:color="auto" w:fill="C6EFCE"/>
            <w:noWrap/>
            <w:vAlign w:val="center"/>
          </w:tcPr>
          <w:p w14:paraId="670AD13E"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250A1975" w14:textId="77777777" w:rsidR="00085CA1" w:rsidRPr="00307112" w:rsidRDefault="00085CA1" w:rsidP="00085CA1">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265" w:type="dxa"/>
            <w:shd w:val="clear" w:color="auto" w:fill="C6EFCE"/>
            <w:noWrap/>
            <w:vAlign w:val="center"/>
          </w:tcPr>
          <w:p w14:paraId="0F7F607E"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de 18 conventions de subvention à la suite de l’appel à projets «Bread and Roses»</w:t>
            </w:r>
          </w:p>
        </w:tc>
      </w:tr>
      <w:tr w:rsidR="00F76C04" w:rsidRPr="00307112" w14:paraId="40C68E82" w14:textId="77777777" w:rsidTr="00E87A90">
        <w:trPr>
          <w:trHeight w:val="309"/>
          <w:jc w:val="center"/>
        </w:trPr>
        <w:tc>
          <w:tcPr>
            <w:tcW w:w="1129" w:type="dxa"/>
            <w:shd w:val="clear" w:color="auto" w:fill="C6EFCE"/>
            <w:noWrap/>
            <w:vAlign w:val="center"/>
          </w:tcPr>
          <w:p w14:paraId="7CC91050" w14:textId="77777777" w:rsidR="00085CA1" w:rsidRPr="00307112" w:rsidRDefault="00085CA1" w:rsidP="00085CA1">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149</w:t>
            </w:r>
          </w:p>
        </w:tc>
        <w:tc>
          <w:tcPr>
            <w:tcW w:w="1560" w:type="dxa"/>
            <w:shd w:val="clear" w:color="auto" w:fill="C6EFCE"/>
            <w:noWrap/>
            <w:vAlign w:val="center"/>
          </w:tcPr>
          <w:p w14:paraId="4883C27A"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Digibanks (I-4.11)</w:t>
            </w:r>
          </w:p>
        </w:tc>
        <w:tc>
          <w:tcPr>
            <w:tcW w:w="708" w:type="dxa"/>
            <w:shd w:val="clear" w:color="auto" w:fill="C6EFCE"/>
            <w:noWrap/>
            <w:vAlign w:val="center"/>
          </w:tcPr>
          <w:p w14:paraId="01C88E14"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58" w:type="dxa"/>
            <w:shd w:val="clear" w:color="auto" w:fill="C6EFCE"/>
            <w:noWrap/>
            <w:vAlign w:val="center"/>
          </w:tcPr>
          <w:p w14:paraId="05FF3AE2"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de partenariats pour promouvoir l’inclusion numérique</w:t>
            </w:r>
          </w:p>
        </w:tc>
        <w:tc>
          <w:tcPr>
            <w:tcW w:w="1640" w:type="dxa"/>
            <w:shd w:val="clear" w:color="auto" w:fill="C6EFCE"/>
            <w:noWrap/>
            <w:vAlign w:val="center"/>
          </w:tcPr>
          <w:p w14:paraId="2B82AAA0" w14:textId="77777777" w:rsidR="00085CA1" w:rsidRPr="00746A1A" w:rsidRDefault="00085CA1" w:rsidP="00085CA1">
            <w:pPr>
              <w:spacing w:after="0"/>
              <w:rPr>
                <w:rFonts w:ascii="Times New Roman" w:eastAsia="Times New Roman" w:hAnsi="Times New Roman" w:cs="Times New Roman"/>
                <w:noProof/>
                <w:color w:val="006100"/>
                <w:sz w:val="20"/>
                <w:szCs w:val="20"/>
                <w:lang w:val="fr-BE"/>
              </w:rPr>
            </w:pPr>
          </w:p>
        </w:tc>
        <w:tc>
          <w:tcPr>
            <w:tcW w:w="1527" w:type="dxa"/>
            <w:shd w:val="clear" w:color="auto" w:fill="C6EFCE"/>
            <w:noWrap/>
            <w:vAlign w:val="center"/>
          </w:tcPr>
          <w:p w14:paraId="4ED88146"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Communes</w:t>
            </w:r>
          </w:p>
        </w:tc>
        <w:tc>
          <w:tcPr>
            <w:tcW w:w="1134" w:type="dxa"/>
            <w:shd w:val="clear" w:color="auto" w:fill="C6EFCE"/>
            <w:noWrap/>
            <w:vAlign w:val="center"/>
          </w:tcPr>
          <w:p w14:paraId="62E43E1F"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69300BC4"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100</w:t>
            </w:r>
          </w:p>
        </w:tc>
        <w:tc>
          <w:tcPr>
            <w:tcW w:w="1129" w:type="dxa"/>
            <w:shd w:val="clear" w:color="auto" w:fill="C6EFCE"/>
            <w:noWrap/>
            <w:vAlign w:val="center"/>
          </w:tcPr>
          <w:p w14:paraId="73405C9B"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072D9090" w14:textId="77777777" w:rsidR="00085CA1" w:rsidRPr="00307112" w:rsidRDefault="00085CA1" w:rsidP="00085CA1">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265" w:type="dxa"/>
            <w:shd w:val="clear" w:color="auto" w:fill="C6EFCE"/>
            <w:noWrap/>
            <w:vAlign w:val="center"/>
          </w:tcPr>
          <w:p w14:paraId="7A0F874D" w14:textId="77777777" w:rsidR="00085CA1" w:rsidRPr="00307112" w:rsidRDefault="00085CA1" w:rsidP="00085CA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d’un partenariat Digibank par 100 communes flamandes avec le département Emploi et Économie sociale de Flandre visant à 1) garantir l’égalité d’accès à la technologie numérique; 2) renforcer les compétences numériques par la formation et le partage des connaissances; 3) fournir un accès numérique aux services essentiels.</w:t>
            </w:r>
          </w:p>
        </w:tc>
      </w:tr>
    </w:tbl>
    <w:p w14:paraId="1C55DCAF" w14:textId="77777777" w:rsidR="000D1388" w:rsidRPr="00746A1A" w:rsidRDefault="000D1388" w:rsidP="00E71057">
      <w:pPr>
        <w:rPr>
          <w:rFonts w:ascii="Calibri" w:eastAsia="Calibri" w:hAnsi="Calibri" w:cs="Arial"/>
          <w:b/>
          <w:noProof/>
          <w:u w:val="single"/>
          <w:lang w:val="fr-BE"/>
        </w:rPr>
        <w:sectPr w:rsidR="000D1388" w:rsidRPr="00746A1A" w:rsidSect="00E71057">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360"/>
        </w:sectPr>
      </w:pPr>
    </w:p>
    <w:p w14:paraId="24FFD5AE"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L. COMPOSANTE 4.3: Infrastructure sociale</w:t>
      </w:r>
    </w:p>
    <w:p w14:paraId="05B53F3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le cadre de cette composante du plan pour la reprise et la résilience de la Belgique poursuivent deux objectifs:</w:t>
      </w:r>
    </w:p>
    <w:p w14:paraId="1546F401" w14:textId="77777777" w:rsidR="000D1388" w:rsidRPr="009D65D8" w:rsidRDefault="00E71057" w:rsidP="00F70F65">
      <w:pPr>
        <w:numPr>
          <w:ilvl w:val="0"/>
          <w:numId w:val="51"/>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accroître l’offre de logements sociaux afin d’offrir aux publics vulnérables (sans-abris, personnes en situation de handicap ou en perte d’autonomie) des conditions de logement décentes, dans une dynamique de désinstitutionnalisation,</w:t>
      </w:r>
    </w:p>
    <w:p w14:paraId="5E0B87BA" w14:textId="77777777" w:rsidR="000D1388" w:rsidRPr="009D65D8" w:rsidRDefault="00E71057" w:rsidP="00F70F65">
      <w:pPr>
        <w:numPr>
          <w:ilvl w:val="0"/>
          <w:numId w:val="51"/>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améliorer la couverture des milieux d’accueil de la petite enfance afin de lever les freins à l’emploi pour certains publics vulnérables, notamment les femmes ou les familles monoparentales à faible revenu ayant des enfants à charge.</w:t>
      </w:r>
    </w:p>
    <w:p w14:paraId="7B62E1B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vise donc à offrir aux groupes vulnérables des infrastructures en vue de faciliter leur intégration sur le marché du travail et plus largement, dans la société.</w:t>
      </w:r>
    </w:p>
    <w:p w14:paraId="1B79AF41"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contribue à répondre à la recommandation par pays nº 2 de 2019 appelant la Belgique à supprimer les freins à l’emploi et à renforcer l’efficacité des politiques actives du marché pour les groupes vulnérables et à la recommandation par pays nº 2 de 2020 appelant à atténuer les répercussions sur l’emploi et les effets sociaux de la crise.</w:t>
      </w:r>
    </w:p>
    <w:p w14:paraId="264503A4" w14:textId="77777777" w:rsidR="000D1388" w:rsidRPr="009D65D8" w:rsidRDefault="00E71057" w:rsidP="00E71057">
      <w:pPr>
        <w:spacing w:before="120" w:after="120" w:line="240" w:lineRule="auto"/>
        <w:jc w:val="both"/>
        <w:rPr>
          <w:rFonts w:ascii="Times New Roman" w:eastAsia="Calibri" w:hAnsi="Times New Roman" w:cs="Times New Roman"/>
          <w:b/>
          <w:i/>
          <w:noProof/>
          <w:sz w:val="24"/>
          <w:szCs w:val="24"/>
        </w:rPr>
      </w:pPr>
      <w:r>
        <w:rPr>
          <w:rFonts w:ascii="Times New Roman" w:hAnsi="Times New Roman"/>
          <w:b/>
          <w:noProof/>
          <w:sz w:val="24"/>
          <w:u w:val="single"/>
        </w:rPr>
        <w:t xml:space="preserve">L.1. </w:t>
      </w:r>
      <w:r>
        <w:rPr>
          <w:rFonts w:ascii="Times New Roman" w:hAnsi="Times New Roman"/>
          <w:noProof/>
          <w:sz w:val="24"/>
        </w:rPr>
        <w:tab/>
      </w:r>
      <w:r>
        <w:rPr>
          <w:rFonts w:ascii="Times New Roman" w:hAnsi="Times New Roman"/>
          <w:b/>
          <w:noProof/>
          <w:sz w:val="24"/>
          <w:u w:val="single"/>
        </w:rPr>
        <w:t>Description des réformes et des investissements en vue du soutien financier non remboursable</w:t>
      </w:r>
    </w:p>
    <w:p w14:paraId="40A978CE" w14:textId="1E7D604C"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 xml:space="preserve">Investissement I-4.12: «Logements sociaux et logements à destination de personnes vulnérables» de la Région wallonne </w:t>
      </w:r>
    </w:p>
    <w:p w14:paraId="7E8D5687" w14:textId="3B749347" w:rsidR="002A2727" w:rsidRDefault="002A2727" w:rsidP="002A2727">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Cet investissement vise à accroître le nombre d’unités de logements sociaux (logements à faible loyer, logements inclusifs et solidaires, ainsi que places d’hébergement pour les publics mal logés). Il consiste à acheter, construire ou rénover des places dans des refuges ou des lieux d’hébergement, ainsi que des unités de logements inclusifs ou sociaux et à équiper les logements des personnes vulnérables de boîtes d’assistance à distance.</w:t>
      </w:r>
    </w:p>
    <w:p w14:paraId="1C7C5951" w14:textId="7F92ADA2" w:rsidR="00483714" w:rsidRDefault="00483714" w:rsidP="00483714">
      <w:pPr>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Investissement I-4.13: «Création de places en crèche» de la Région wallonne</w:t>
      </w:r>
    </w:p>
    <w:p w14:paraId="31ECDA43" w14:textId="77777777" w:rsidR="000D1388" w:rsidRPr="009D65D8" w:rsidRDefault="00E71057" w:rsidP="00E71057">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 xml:space="preserve">Cet investissement vise à améliorer la couverture de l’accueil de la petite enfance en Région wallonne. Il prévoit la création de places en crèche . </w:t>
      </w:r>
    </w:p>
    <w:p w14:paraId="667E10DB" w14:textId="77777777" w:rsidR="000D1388" w:rsidRPr="00746A1A" w:rsidRDefault="000D1388" w:rsidP="00E71057">
      <w:pPr>
        <w:rPr>
          <w:rFonts w:ascii="Times New Roman" w:eastAsia="Calibri" w:hAnsi="Times New Roman" w:cs="Arial"/>
          <w:noProof/>
          <w:sz w:val="24"/>
          <w:szCs w:val="24"/>
          <w:lang w:val="fr-BE"/>
        </w:rPr>
        <w:sectPr w:rsidR="000D1388" w:rsidRPr="00746A1A" w:rsidSect="00E71057">
          <w:headerReference w:type="even" r:id="rId156"/>
          <w:headerReference w:type="default" r:id="rId157"/>
          <w:footerReference w:type="even" r:id="rId158"/>
          <w:footerReference w:type="default" r:id="rId159"/>
          <w:headerReference w:type="first" r:id="rId160"/>
          <w:footerReference w:type="first" r:id="rId161"/>
          <w:pgSz w:w="11907" w:h="16839"/>
          <w:pgMar w:top="1134" w:right="1134" w:bottom="1134" w:left="1134" w:header="567" w:footer="567" w:gutter="0"/>
          <w:cols w:space="720"/>
          <w:docGrid w:linePitch="360"/>
        </w:sectPr>
      </w:pPr>
    </w:p>
    <w:p w14:paraId="0D599D91"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L.2.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02" w:type="dxa"/>
        <w:jc w:val="center"/>
        <w:tblLayout w:type="fixed"/>
        <w:tblLook w:val="04A0" w:firstRow="1" w:lastRow="0" w:firstColumn="1" w:lastColumn="0" w:noHBand="0" w:noVBand="1"/>
      </w:tblPr>
      <w:tblGrid>
        <w:gridCol w:w="1129"/>
        <w:gridCol w:w="1560"/>
        <w:gridCol w:w="708"/>
        <w:gridCol w:w="1560"/>
        <w:gridCol w:w="1559"/>
        <w:gridCol w:w="1134"/>
        <w:gridCol w:w="1134"/>
        <w:gridCol w:w="992"/>
        <w:gridCol w:w="1134"/>
        <w:gridCol w:w="851"/>
        <w:gridCol w:w="3741"/>
      </w:tblGrid>
      <w:tr w:rsidR="00E71057" w:rsidRPr="00307112" w14:paraId="437A5E45" w14:textId="77777777" w:rsidTr="00E87A90">
        <w:trPr>
          <w:trHeight w:val="927"/>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FE8EC1"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B75C1A"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55310D"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547B73D"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4D47C6"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noProof/>
                <w:sz w:val="20"/>
              </w:rPr>
              <w:br/>
            </w:r>
            <w:r>
              <w:rPr>
                <w:rFonts w:ascii="Times New Roman" w:hAnsi="Times New Roman"/>
                <w:b/>
                <w:noProof/>
                <w:sz w:val="20"/>
              </w:rPr>
              <w:t>(pour les jalons)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EC73BA3"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noProof/>
                <w:sz w:val="20"/>
              </w:rPr>
              <w:br/>
            </w:r>
            <w:r>
              <w:rPr>
                <w:rFonts w:ascii="Times New Roman" w:hAnsi="Times New Roman"/>
                <w:b/>
                <w:noProof/>
                <w:sz w:val="20"/>
              </w:rPr>
              <w:t>(pour les cibles)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C47CBB5"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7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5EC361"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E71057" w:rsidRPr="00307112" w14:paraId="5BF5C10B" w14:textId="77777777" w:rsidTr="00E87A90">
        <w:trPr>
          <w:trHeight w:val="1013"/>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87F449F"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5787382"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08F423B6"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90ABCA9"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59" w:type="dxa"/>
            <w:vMerge/>
            <w:tcBorders>
              <w:top w:val="single" w:sz="4" w:space="0" w:color="auto"/>
              <w:left w:val="single" w:sz="4" w:space="0" w:color="auto"/>
              <w:bottom w:val="single" w:sz="4" w:space="0" w:color="auto"/>
            </w:tcBorders>
            <w:vAlign w:val="center"/>
            <w:hideMark/>
          </w:tcPr>
          <w:p w14:paraId="4BF45412"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74A049C"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D9FDF36"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Référence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9431547"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94059C"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A7E9B9"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741" w:type="dxa"/>
            <w:vMerge/>
            <w:tcBorders>
              <w:left w:val="single" w:sz="4" w:space="0" w:color="auto"/>
            </w:tcBorders>
            <w:vAlign w:val="center"/>
            <w:hideMark/>
          </w:tcPr>
          <w:p w14:paraId="7EBE0C96"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r>
      <w:tr w:rsidR="00E71057" w:rsidRPr="00307112" w14:paraId="003421E4" w14:textId="77777777" w:rsidTr="00E87A9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FB98C9"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150</w:t>
            </w:r>
          </w:p>
        </w:tc>
        <w:tc>
          <w:tcPr>
            <w:tcW w:w="1560" w:type="dxa"/>
            <w:tcBorders>
              <w:top w:val="single" w:sz="4" w:space="0" w:color="auto"/>
              <w:left w:val="nil"/>
              <w:bottom w:val="single" w:sz="4" w:space="0" w:color="auto"/>
              <w:right w:val="single" w:sz="4" w:space="0" w:color="auto"/>
            </w:tcBorders>
            <w:shd w:val="clear" w:color="auto" w:fill="C6EFCE"/>
            <w:noWrap/>
            <w:vAlign w:val="center"/>
            <w:hideMark/>
          </w:tcPr>
          <w:p w14:paraId="38215666" w14:textId="51F0031B" w:rsidR="000D1388" w:rsidRPr="00307112" w:rsidRDefault="00E810B4">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Logements sociaux et logements à destination de personnes vulnérables (I-4.12)</w:t>
            </w:r>
          </w:p>
        </w:tc>
        <w:tc>
          <w:tcPr>
            <w:tcW w:w="708" w:type="dxa"/>
            <w:tcBorders>
              <w:top w:val="single" w:sz="4" w:space="0" w:color="auto"/>
              <w:left w:val="nil"/>
              <w:bottom w:val="single" w:sz="4" w:space="0" w:color="auto"/>
              <w:right w:val="single" w:sz="4" w:space="0" w:color="auto"/>
            </w:tcBorders>
            <w:shd w:val="clear" w:color="auto" w:fill="C6EFCE"/>
            <w:noWrap/>
            <w:vAlign w:val="center"/>
            <w:hideMark/>
          </w:tcPr>
          <w:p w14:paraId="71FC58CC"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tcBorders>
              <w:top w:val="single" w:sz="4" w:space="0" w:color="auto"/>
              <w:left w:val="nil"/>
              <w:bottom w:val="single" w:sz="4" w:space="0" w:color="auto"/>
              <w:right w:val="single" w:sz="4" w:space="0" w:color="auto"/>
            </w:tcBorders>
            <w:shd w:val="clear" w:color="auto" w:fill="C6EFCE"/>
            <w:noWrap/>
            <w:vAlign w:val="center"/>
            <w:hideMark/>
          </w:tcPr>
          <w:p w14:paraId="78E790D4"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wallonne de désinstitutionnalisation (politique de santé de la Wallonie)</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66AC05A1"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Approbation par le gouvernement wallon d’une stratégie wallonne de désinstitutionnalisation</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7060F1FD"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52306474"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258AA590"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52FE3C9C"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single" w:sz="4" w:space="0" w:color="auto"/>
              <w:left w:val="nil"/>
              <w:bottom w:val="single" w:sz="4" w:space="0" w:color="auto"/>
              <w:right w:val="single" w:sz="4" w:space="0" w:color="auto"/>
            </w:tcBorders>
            <w:shd w:val="clear" w:color="auto" w:fill="C6EFCE"/>
            <w:noWrap/>
            <w:vAlign w:val="center"/>
            <w:hideMark/>
          </w:tcPr>
          <w:p w14:paraId="7E680875"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741" w:type="dxa"/>
            <w:tcBorders>
              <w:top w:val="single" w:sz="4" w:space="0" w:color="auto"/>
              <w:left w:val="nil"/>
              <w:bottom w:val="single" w:sz="4" w:space="0" w:color="auto"/>
              <w:right w:val="single" w:sz="4" w:space="0" w:color="auto"/>
            </w:tcBorders>
            <w:shd w:val="clear" w:color="auto" w:fill="C6EFCE"/>
            <w:noWrap/>
            <w:vAlign w:val="center"/>
            <w:hideMark/>
          </w:tcPr>
          <w:p w14:paraId="78195DE5"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Approbation d’une stratégie de désinstitutionnalisation de la Région wallonne dans le contexte de la politique de santé de la Wallonie, notamment pour les personnes âgées et les personnes en situation de handicap: 1) précisant le concept de désinstitutionnalisation, 2) établissant les critères d’institutionnalisation et de désinstitutionnalisation, 3) fournissant une évaluation quantitative et qualitative de la désinstitutionnalisation initiée par les institutions d’accueil et d’hébergement, 4) dressant un état des lieux de la prestation de services et 5) formulant des recommandations en vue de la mise en pratique de la stratégie</w:t>
            </w:r>
          </w:p>
        </w:tc>
      </w:tr>
      <w:tr w:rsidR="00E71057" w:rsidRPr="00307112" w14:paraId="46102B4A" w14:textId="77777777" w:rsidTr="00E87A90">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6B04D981"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151</w:t>
            </w:r>
          </w:p>
        </w:tc>
        <w:tc>
          <w:tcPr>
            <w:tcW w:w="1560" w:type="dxa"/>
            <w:tcBorders>
              <w:top w:val="nil"/>
              <w:left w:val="nil"/>
              <w:bottom w:val="single" w:sz="4" w:space="0" w:color="auto"/>
              <w:right w:val="single" w:sz="4" w:space="0" w:color="auto"/>
            </w:tcBorders>
            <w:shd w:val="clear" w:color="auto" w:fill="C6EFCE"/>
            <w:noWrap/>
            <w:vAlign w:val="center"/>
            <w:hideMark/>
          </w:tcPr>
          <w:p w14:paraId="3419141D" w14:textId="6010D395" w:rsidR="000D1388" w:rsidRPr="00307112" w:rsidRDefault="00E810B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Logements sociaux et logements à destination de personnes vulnérables (I-4.12)</w:t>
            </w:r>
          </w:p>
        </w:tc>
        <w:tc>
          <w:tcPr>
            <w:tcW w:w="708" w:type="dxa"/>
            <w:tcBorders>
              <w:top w:val="nil"/>
              <w:left w:val="nil"/>
              <w:bottom w:val="single" w:sz="4" w:space="0" w:color="auto"/>
              <w:right w:val="single" w:sz="4" w:space="0" w:color="auto"/>
            </w:tcBorders>
            <w:shd w:val="clear" w:color="auto" w:fill="C6EFCE"/>
            <w:noWrap/>
            <w:vAlign w:val="center"/>
            <w:hideMark/>
          </w:tcPr>
          <w:p w14:paraId="41257420"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60" w:type="dxa"/>
            <w:tcBorders>
              <w:top w:val="nil"/>
              <w:left w:val="nil"/>
              <w:bottom w:val="single" w:sz="4" w:space="0" w:color="auto"/>
              <w:right w:val="single" w:sz="4" w:space="0" w:color="auto"/>
            </w:tcBorders>
            <w:shd w:val="clear" w:color="auto" w:fill="C6EFCE"/>
            <w:noWrap/>
            <w:vAlign w:val="center"/>
            <w:hideMark/>
          </w:tcPr>
          <w:p w14:paraId="54E4D66D"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d’une partie des travaux</w:t>
            </w:r>
          </w:p>
        </w:tc>
        <w:tc>
          <w:tcPr>
            <w:tcW w:w="1559" w:type="dxa"/>
            <w:tcBorders>
              <w:top w:val="nil"/>
              <w:left w:val="nil"/>
              <w:bottom w:val="single" w:sz="4" w:space="0" w:color="auto"/>
              <w:right w:val="single" w:sz="4" w:space="0" w:color="auto"/>
            </w:tcBorders>
            <w:shd w:val="clear" w:color="auto" w:fill="C6EFCE"/>
            <w:noWrap/>
            <w:vAlign w:val="center"/>
            <w:hideMark/>
          </w:tcPr>
          <w:p w14:paraId="6A02F587"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0E922565"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Unités de logements</w:t>
            </w:r>
          </w:p>
        </w:tc>
        <w:tc>
          <w:tcPr>
            <w:tcW w:w="1134" w:type="dxa"/>
            <w:tcBorders>
              <w:top w:val="nil"/>
              <w:left w:val="nil"/>
              <w:bottom w:val="single" w:sz="4" w:space="0" w:color="auto"/>
              <w:right w:val="single" w:sz="4" w:space="0" w:color="auto"/>
            </w:tcBorders>
            <w:shd w:val="clear" w:color="auto" w:fill="C6EFCE"/>
            <w:noWrap/>
            <w:vAlign w:val="center"/>
          </w:tcPr>
          <w:p w14:paraId="17B15601"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tcBorders>
              <w:top w:val="nil"/>
              <w:left w:val="nil"/>
              <w:bottom w:val="single" w:sz="4" w:space="0" w:color="auto"/>
              <w:right w:val="single" w:sz="4" w:space="0" w:color="auto"/>
            </w:tcBorders>
            <w:shd w:val="clear" w:color="auto" w:fill="C6EFCE"/>
            <w:noWrap/>
            <w:vAlign w:val="center"/>
          </w:tcPr>
          <w:p w14:paraId="093D34B1"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280</w:t>
            </w:r>
          </w:p>
        </w:tc>
        <w:tc>
          <w:tcPr>
            <w:tcW w:w="1134" w:type="dxa"/>
            <w:tcBorders>
              <w:top w:val="nil"/>
              <w:left w:val="nil"/>
              <w:bottom w:val="single" w:sz="4" w:space="0" w:color="auto"/>
              <w:right w:val="single" w:sz="4" w:space="0" w:color="auto"/>
            </w:tcBorders>
            <w:shd w:val="clear" w:color="auto" w:fill="C6EFCE"/>
            <w:noWrap/>
            <w:vAlign w:val="center"/>
            <w:hideMark/>
          </w:tcPr>
          <w:p w14:paraId="0C1B12FE"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tcBorders>
              <w:top w:val="nil"/>
              <w:left w:val="nil"/>
              <w:bottom w:val="single" w:sz="4" w:space="0" w:color="auto"/>
              <w:right w:val="single" w:sz="4" w:space="0" w:color="auto"/>
            </w:tcBorders>
            <w:shd w:val="clear" w:color="auto" w:fill="C6EFCE"/>
            <w:noWrap/>
            <w:vAlign w:val="center"/>
            <w:hideMark/>
          </w:tcPr>
          <w:p w14:paraId="05B43F97"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741" w:type="dxa"/>
            <w:tcBorders>
              <w:top w:val="nil"/>
              <w:left w:val="nil"/>
              <w:bottom w:val="single" w:sz="4" w:space="0" w:color="auto"/>
              <w:right w:val="single" w:sz="4" w:space="0" w:color="auto"/>
            </w:tcBorders>
            <w:shd w:val="clear" w:color="auto" w:fill="C6EFCE"/>
            <w:noWrap/>
            <w:vAlign w:val="center"/>
          </w:tcPr>
          <w:p w14:paraId="6EF848DD"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de travaux par les opérateurs pour 280 logements à loyer modéré.</w:t>
            </w:r>
          </w:p>
        </w:tc>
      </w:tr>
      <w:tr w:rsidR="00727CD0" w:rsidRPr="00307112" w14:paraId="4B645991" w14:textId="77777777" w:rsidTr="00E87A90">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75598A06" w14:textId="77777777" w:rsidR="00727CD0" w:rsidRPr="00307112" w:rsidRDefault="00727CD0" w:rsidP="00727CD0">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152</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071107B6" w14:textId="588179CA" w:rsidR="00727CD0" w:rsidRPr="00307112" w:rsidRDefault="00E810B4" w:rsidP="00727CD0">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Logements sociaux et logements à destination de personnes vulnérables (I-4.12)</w:t>
            </w:r>
          </w:p>
        </w:tc>
        <w:tc>
          <w:tcPr>
            <w:tcW w:w="708" w:type="dxa"/>
            <w:tcBorders>
              <w:top w:val="nil"/>
              <w:left w:val="nil"/>
              <w:bottom w:val="single" w:sz="4" w:space="0" w:color="auto"/>
              <w:right w:val="single" w:sz="4" w:space="0" w:color="auto"/>
            </w:tcBorders>
            <w:shd w:val="clear" w:color="auto" w:fill="C6EFCE"/>
            <w:noWrap/>
            <w:vAlign w:val="center"/>
          </w:tcPr>
          <w:p w14:paraId="33618A97" w14:textId="77777777" w:rsidR="00727CD0" w:rsidRPr="00307112" w:rsidRDefault="00727CD0" w:rsidP="00727CD0">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400E828B" w14:textId="77777777" w:rsidR="00727CD0" w:rsidRPr="00307112" w:rsidRDefault="00727CD0" w:rsidP="00727CD0">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Installation de box intelligentes pour les personnes vulnérables</w:t>
            </w:r>
          </w:p>
        </w:tc>
        <w:tc>
          <w:tcPr>
            <w:tcW w:w="1559" w:type="dxa"/>
            <w:tcBorders>
              <w:top w:val="nil"/>
              <w:left w:val="nil"/>
              <w:bottom w:val="single" w:sz="4" w:space="0" w:color="auto"/>
              <w:right w:val="single" w:sz="4" w:space="0" w:color="auto"/>
            </w:tcBorders>
            <w:shd w:val="clear" w:color="auto" w:fill="C6EFCE"/>
            <w:noWrap/>
            <w:vAlign w:val="center"/>
          </w:tcPr>
          <w:p w14:paraId="07B2F779" w14:textId="77777777" w:rsidR="00727CD0" w:rsidRPr="00746A1A" w:rsidRDefault="00727CD0" w:rsidP="00727CD0">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77CCA2CA" w14:textId="77777777" w:rsidR="00727CD0" w:rsidRPr="00307112" w:rsidRDefault="00727CD0" w:rsidP="00727CD0">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Box intelligentes installées</w:t>
            </w:r>
          </w:p>
        </w:tc>
        <w:tc>
          <w:tcPr>
            <w:tcW w:w="1134" w:type="dxa"/>
            <w:tcBorders>
              <w:top w:val="nil"/>
              <w:left w:val="nil"/>
              <w:bottom w:val="single" w:sz="4" w:space="0" w:color="auto"/>
              <w:right w:val="single" w:sz="4" w:space="0" w:color="auto"/>
            </w:tcBorders>
            <w:shd w:val="clear" w:color="auto" w:fill="C6EFCE"/>
            <w:noWrap/>
            <w:vAlign w:val="center"/>
          </w:tcPr>
          <w:p w14:paraId="008E0451" w14:textId="77777777" w:rsidR="00727CD0" w:rsidRPr="00307112" w:rsidRDefault="00727CD0" w:rsidP="00727CD0">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tcBorders>
              <w:top w:val="nil"/>
              <w:left w:val="nil"/>
              <w:bottom w:val="single" w:sz="4" w:space="0" w:color="auto"/>
              <w:right w:val="single" w:sz="4" w:space="0" w:color="auto"/>
            </w:tcBorders>
            <w:shd w:val="clear" w:color="auto" w:fill="C6EFCE"/>
            <w:noWrap/>
            <w:vAlign w:val="center"/>
          </w:tcPr>
          <w:p w14:paraId="63483E50" w14:textId="77777777" w:rsidR="00727CD0" w:rsidRPr="00307112" w:rsidRDefault="00727CD0" w:rsidP="00727CD0">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5 000</w:t>
            </w:r>
          </w:p>
        </w:tc>
        <w:tc>
          <w:tcPr>
            <w:tcW w:w="1134" w:type="dxa"/>
            <w:tcBorders>
              <w:top w:val="nil"/>
              <w:left w:val="nil"/>
              <w:bottom w:val="single" w:sz="4" w:space="0" w:color="auto"/>
              <w:right w:val="single" w:sz="4" w:space="0" w:color="auto"/>
            </w:tcBorders>
            <w:shd w:val="clear" w:color="auto" w:fill="C6EFCE"/>
            <w:noWrap/>
            <w:vAlign w:val="center"/>
          </w:tcPr>
          <w:p w14:paraId="658B6751" w14:textId="77777777" w:rsidR="00727CD0" w:rsidRPr="00307112" w:rsidRDefault="00727CD0" w:rsidP="00727CD0">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1" w:type="dxa"/>
            <w:tcBorders>
              <w:top w:val="nil"/>
              <w:left w:val="nil"/>
              <w:bottom w:val="single" w:sz="4" w:space="0" w:color="auto"/>
              <w:right w:val="single" w:sz="4" w:space="0" w:color="auto"/>
            </w:tcBorders>
            <w:shd w:val="clear" w:color="auto" w:fill="C6EFCE"/>
            <w:noWrap/>
            <w:vAlign w:val="center"/>
          </w:tcPr>
          <w:p w14:paraId="30077514" w14:textId="77777777" w:rsidR="00727CD0" w:rsidRPr="00307112" w:rsidRDefault="00727CD0" w:rsidP="00727CD0">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741" w:type="dxa"/>
            <w:tcBorders>
              <w:top w:val="nil"/>
              <w:left w:val="nil"/>
              <w:bottom w:val="single" w:sz="4" w:space="0" w:color="auto"/>
              <w:right w:val="single" w:sz="4" w:space="0" w:color="auto"/>
            </w:tcBorders>
            <w:shd w:val="clear" w:color="auto" w:fill="C6EFCE"/>
            <w:noWrap/>
            <w:vAlign w:val="center"/>
          </w:tcPr>
          <w:p w14:paraId="29235443" w14:textId="77777777" w:rsidR="00727CD0" w:rsidRPr="00307112" w:rsidRDefault="00727CD0" w:rsidP="00727CD0">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5 000 box intelligentes installées au domicile de personnes vulnérables, à savoir les personnes âgées de 65 ans ou plus, les personnes handicapées, les bénéficiaires de l’APA (allocation pour l’Aide aux Personnes Âgées) ou les bénéficiaires du SAFA (Service d’Aide aux Familles et aux Aînés).</w:t>
            </w:r>
          </w:p>
        </w:tc>
      </w:tr>
      <w:tr w:rsidR="00D53A9A" w:rsidRPr="00307112" w14:paraId="76689760" w14:textId="77777777" w:rsidTr="00E87A90">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3CCF799" w14:textId="77777777" w:rsidR="00D53A9A" w:rsidRPr="00307112" w:rsidRDefault="00D53A9A" w:rsidP="00D53A9A">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153</w:t>
            </w:r>
          </w:p>
        </w:tc>
        <w:tc>
          <w:tcPr>
            <w:tcW w:w="1560" w:type="dxa"/>
            <w:tcBorders>
              <w:top w:val="nil"/>
              <w:left w:val="nil"/>
              <w:bottom w:val="single" w:sz="4" w:space="0" w:color="auto"/>
              <w:right w:val="single" w:sz="4" w:space="0" w:color="auto"/>
            </w:tcBorders>
            <w:shd w:val="clear" w:color="auto" w:fill="C6EFCE"/>
            <w:noWrap/>
            <w:vAlign w:val="center"/>
          </w:tcPr>
          <w:p w14:paraId="4943A650" w14:textId="3D170C34" w:rsidR="00D53A9A" w:rsidRPr="00307112" w:rsidRDefault="00E810B4" w:rsidP="00D53A9A">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Logements sociaux et logements à destination de personnes vulnérables (I-4.12)</w:t>
            </w:r>
          </w:p>
        </w:tc>
        <w:tc>
          <w:tcPr>
            <w:tcW w:w="708" w:type="dxa"/>
            <w:tcBorders>
              <w:top w:val="nil"/>
              <w:left w:val="nil"/>
              <w:bottom w:val="single" w:sz="4" w:space="0" w:color="auto"/>
              <w:right w:val="single" w:sz="4" w:space="0" w:color="auto"/>
            </w:tcBorders>
            <w:shd w:val="clear" w:color="auto" w:fill="C6EFCE"/>
            <w:noWrap/>
            <w:vAlign w:val="center"/>
          </w:tcPr>
          <w:p w14:paraId="43501CF6" w14:textId="77777777" w:rsidR="00D53A9A" w:rsidRPr="00307112" w:rsidRDefault="00D53A9A" w:rsidP="00D53A9A">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7373D14C" w14:textId="2623A146" w:rsidR="00D53A9A" w:rsidRPr="00307112" w:rsidRDefault="00D53A9A" w:rsidP="00D53A9A">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Places dans des refuges ou des lieux d’hébergement, unités de logements inclusifs ou sociaux achetées, construites ou rénovées</w:t>
            </w:r>
          </w:p>
        </w:tc>
        <w:tc>
          <w:tcPr>
            <w:tcW w:w="1559" w:type="dxa"/>
            <w:tcBorders>
              <w:top w:val="nil"/>
              <w:left w:val="nil"/>
              <w:bottom w:val="single" w:sz="4" w:space="0" w:color="auto"/>
              <w:right w:val="single" w:sz="4" w:space="0" w:color="auto"/>
            </w:tcBorders>
            <w:shd w:val="clear" w:color="auto" w:fill="C6EFCE"/>
            <w:noWrap/>
            <w:vAlign w:val="center"/>
          </w:tcPr>
          <w:p w14:paraId="3D3138D6" w14:textId="77777777" w:rsidR="00D53A9A" w:rsidRPr="00746A1A" w:rsidRDefault="00D53A9A" w:rsidP="00D53A9A">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245E36B2" w14:textId="2DEE7E1A" w:rsidR="00D53A9A" w:rsidRPr="00307112" w:rsidRDefault="00D53A9A" w:rsidP="00D53A9A">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Places dans des refuges ou des lieux d’hébergement, unités de logements inclusifs ou sociaux</w:t>
            </w:r>
          </w:p>
        </w:tc>
        <w:tc>
          <w:tcPr>
            <w:tcW w:w="1134" w:type="dxa"/>
            <w:tcBorders>
              <w:top w:val="nil"/>
              <w:left w:val="nil"/>
              <w:bottom w:val="single" w:sz="4" w:space="0" w:color="auto"/>
              <w:right w:val="single" w:sz="4" w:space="0" w:color="auto"/>
            </w:tcBorders>
            <w:shd w:val="clear" w:color="auto" w:fill="C6EFCE"/>
            <w:noWrap/>
            <w:vAlign w:val="center"/>
          </w:tcPr>
          <w:p w14:paraId="4D65130B" w14:textId="77777777" w:rsidR="00D53A9A" w:rsidRPr="00307112" w:rsidRDefault="00D53A9A" w:rsidP="00D53A9A">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2" w:type="dxa"/>
            <w:tcBorders>
              <w:top w:val="nil"/>
              <w:left w:val="nil"/>
              <w:bottom w:val="single" w:sz="4" w:space="0" w:color="auto"/>
              <w:right w:val="single" w:sz="4" w:space="0" w:color="auto"/>
            </w:tcBorders>
            <w:shd w:val="clear" w:color="auto" w:fill="C6EFCE"/>
            <w:noWrap/>
            <w:vAlign w:val="center"/>
          </w:tcPr>
          <w:p w14:paraId="399878AB" w14:textId="559ECDCF" w:rsidR="00D53A9A" w:rsidRPr="00307112" w:rsidRDefault="00D53A9A" w:rsidP="00D53A9A">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1 </w:t>
            </w:r>
            <w:r>
              <w:rPr>
                <w:rFonts w:ascii="Times New Roman" w:hAnsi="Times New Roman"/>
                <w:noProof/>
                <w:color w:val="0B6A0B"/>
                <w:sz w:val="20"/>
              </w:rPr>
              <w:t>117</w:t>
            </w:r>
          </w:p>
        </w:tc>
        <w:tc>
          <w:tcPr>
            <w:tcW w:w="1134" w:type="dxa"/>
            <w:tcBorders>
              <w:top w:val="nil"/>
              <w:left w:val="nil"/>
              <w:bottom w:val="single" w:sz="4" w:space="0" w:color="auto"/>
              <w:right w:val="single" w:sz="4" w:space="0" w:color="auto"/>
            </w:tcBorders>
            <w:shd w:val="clear" w:color="auto" w:fill="C6EFCE"/>
            <w:noWrap/>
            <w:vAlign w:val="center"/>
          </w:tcPr>
          <w:p w14:paraId="295A12A3" w14:textId="77777777" w:rsidR="00D53A9A" w:rsidRPr="00307112" w:rsidRDefault="00D53A9A" w:rsidP="00D53A9A">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T3</w:t>
            </w:r>
          </w:p>
        </w:tc>
        <w:tc>
          <w:tcPr>
            <w:tcW w:w="851" w:type="dxa"/>
            <w:tcBorders>
              <w:top w:val="nil"/>
              <w:left w:val="nil"/>
              <w:bottom w:val="single" w:sz="4" w:space="0" w:color="auto"/>
              <w:right w:val="single" w:sz="4" w:space="0" w:color="auto"/>
            </w:tcBorders>
            <w:shd w:val="clear" w:color="auto" w:fill="C6EFCE"/>
            <w:noWrap/>
            <w:vAlign w:val="center"/>
          </w:tcPr>
          <w:p w14:paraId="7F89BADF" w14:textId="77777777" w:rsidR="00D53A9A" w:rsidRPr="00307112" w:rsidRDefault="00D53A9A" w:rsidP="00D53A9A">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3741" w:type="dxa"/>
            <w:tcBorders>
              <w:top w:val="nil"/>
              <w:left w:val="nil"/>
              <w:bottom w:val="single" w:sz="4" w:space="0" w:color="auto"/>
              <w:right w:val="single" w:sz="4" w:space="0" w:color="auto"/>
            </w:tcBorders>
            <w:shd w:val="clear" w:color="auto" w:fill="C6EFCE"/>
            <w:noWrap/>
            <w:vAlign w:val="center"/>
          </w:tcPr>
          <w:p w14:paraId="61D2FE09" w14:textId="033081AC" w:rsidR="00D53A9A" w:rsidRPr="00307112" w:rsidRDefault="00D53A9A" w:rsidP="00D53A9A">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1 117 places dans des refuges ou des lieux d’hébergement, unités de logements inclusifs ou sociaux sont achetées, construites ou rénovées.</w:t>
            </w:r>
          </w:p>
        </w:tc>
      </w:tr>
      <w:tr w:rsidR="00D53A9A" w:rsidRPr="00307112" w14:paraId="77EFFCB9" w14:textId="77777777" w:rsidTr="00E87A90">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25844499" w14:textId="77777777" w:rsidR="00D53A9A" w:rsidRPr="00307112" w:rsidRDefault="00D53A9A" w:rsidP="00D53A9A">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154</w:t>
            </w:r>
          </w:p>
        </w:tc>
        <w:tc>
          <w:tcPr>
            <w:tcW w:w="1560" w:type="dxa"/>
            <w:tcBorders>
              <w:top w:val="nil"/>
              <w:left w:val="nil"/>
              <w:bottom w:val="single" w:sz="4" w:space="0" w:color="auto"/>
              <w:right w:val="single" w:sz="4" w:space="0" w:color="auto"/>
            </w:tcBorders>
            <w:shd w:val="clear" w:color="auto" w:fill="C6EFCE"/>
            <w:noWrap/>
            <w:vAlign w:val="center"/>
            <w:hideMark/>
          </w:tcPr>
          <w:p w14:paraId="5E486BD6" w14:textId="3CA6482D" w:rsidR="00D53A9A" w:rsidRPr="00307112" w:rsidRDefault="000E1ECE" w:rsidP="00D53A9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Création de places en crèche (I-4.13)</w:t>
            </w:r>
          </w:p>
        </w:tc>
        <w:tc>
          <w:tcPr>
            <w:tcW w:w="708" w:type="dxa"/>
            <w:tcBorders>
              <w:top w:val="nil"/>
              <w:left w:val="nil"/>
              <w:bottom w:val="single" w:sz="4" w:space="0" w:color="auto"/>
              <w:right w:val="single" w:sz="4" w:space="0" w:color="auto"/>
            </w:tcBorders>
            <w:shd w:val="clear" w:color="auto" w:fill="C6EFCE"/>
            <w:noWrap/>
            <w:vAlign w:val="center"/>
            <w:hideMark/>
          </w:tcPr>
          <w:p w14:paraId="1B5DCACF" w14:textId="77777777" w:rsidR="00D53A9A" w:rsidRPr="00307112" w:rsidRDefault="00D53A9A" w:rsidP="00D53A9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60" w:type="dxa"/>
            <w:tcBorders>
              <w:top w:val="nil"/>
              <w:left w:val="nil"/>
              <w:bottom w:val="single" w:sz="4" w:space="0" w:color="auto"/>
              <w:right w:val="single" w:sz="4" w:space="0" w:color="auto"/>
            </w:tcBorders>
            <w:shd w:val="clear" w:color="auto" w:fill="C6EFCE"/>
            <w:noWrap/>
            <w:vAlign w:val="center"/>
            <w:hideMark/>
          </w:tcPr>
          <w:p w14:paraId="783A2769" w14:textId="77777777" w:rsidR="00D53A9A" w:rsidRPr="00307112" w:rsidRDefault="00D53A9A" w:rsidP="00D53A9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de travaux aux promoteurs</w:t>
            </w:r>
          </w:p>
        </w:tc>
        <w:tc>
          <w:tcPr>
            <w:tcW w:w="1559" w:type="dxa"/>
            <w:tcBorders>
              <w:top w:val="nil"/>
              <w:left w:val="nil"/>
              <w:bottom w:val="single" w:sz="4" w:space="0" w:color="auto"/>
              <w:right w:val="single" w:sz="4" w:space="0" w:color="auto"/>
            </w:tcBorders>
            <w:shd w:val="clear" w:color="auto" w:fill="C6EFCE"/>
            <w:noWrap/>
            <w:vAlign w:val="center"/>
          </w:tcPr>
          <w:p w14:paraId="6A06DA88" w14:textId="77777777" w:rsidR="00D53A9A" w:rsidRPr="00746A1A" w:rsidRDefault="00D53A9A" w:rsidP="00D53A9A">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23FA891F" w14:textId="77777777" w:rsidR="00D53A9A" w:rsidRPr="00307112" w:rsidRDefault="00D53A9A" w:rsidP="00D53A9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Places en milieu d’accueil de la petite enfance</w:t>
            </w:r>
          </w:p>
        </w:tc>
        <w:tc>
          <w:tcPr>
            <w:tcW w:w="1134" w:type="dxa"/>
            <w:tcBorders>
              <w:top w:val="nil"/>
              <w:left w:val="nil"/>
              <w:bottom w:val="single" w:sz="4" w:space="0" w:color="auto"/>
              <w:right w:val="single" w:sz="4" w:space="0" w:color="auto"/>
            </w:tcBorders>
            <w:shd w:val="clear" w:color="auto" w:fill="C6EFCE"/>
            <w:noWrap/>
            <w:vAlign w:val="center"/>
            <w:hideMark/>
          </w:tcPr>
          <w:p w14:paraId="5D6B2B73" w14:textId="77777777" w:rsidR="00D53A9A" w:rsidRPr="00307112" w:rsidRDefault="00D53A9A" w:rsidP="00D53A9A">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tcBorders>
              <w:top w:val="nil"/>
              <w:left w:val="nil"/>
              <w:bottom w:val="single" w:sz="4" w:space="0" w:color="auto"/>
              <w:right w:val="single" w:sz="4" w:space="0" w:color="auto"/>
            </w:tcBorders>
            <w:shd w:val="clear" w:color="auto" w:fill="C6EFCE"/>
            <w:noWrap/>
            <w:vAlign w:val="center"/>
            <w:hideMark/>
          </w:tcPr>
          <w:p w14:paraId="736EB5AA" w14:textId="77777777" w:rsidR="00D53A9A" w:rsidRPr="00307112" w:rsidRDefault="00D53A9A" w:rsidP="00D53A9A">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255</w:t>
            </w:r>
          </w:p>
        </w:tc>
        <w:tc>
          <w:tcPr>
            <w:tcW w:w="1134" w:type="dxa"/>
            <w:tcBorders>
              <w:top w:val="nil"/>
              <w:left w:val="nil"/>
              <w:bottom w:val="single" w:sz="4" w:space="0" w:color="auto"/>
              <w:right w:val="single" w:sz="4" w:space="0" w:color="auto"/>
            </w:tcBorders>
            <w:shd w:val="clear" w:color="auto" w:fill="C6EFCE"/>
            <w:noWrap/>
            <w:vAlign w:val="center"/>
            <w:hideMark/>
          </w:tcPr>
          <w:p w14:paraId="793C2142" w14:textId="77777777" w:rsidR="00D53A9A" w:rsidRPr="00307112" w:rsidRDefault="00D53A9A" w:rsidP="00D53A9A">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nil"/>
              <w:left w:val="nil"/>
              <w:bottom w:val="single" w:sz="4" w:space="0" w:color="auto"/>
              <w:right w:val="single" w:sz="4" w:space="0" w:color="auto"/>
            </w:tcBorders>
            <w:shd w:val="clear" w:color="auto" w:fill="C6EFCE"/>
            <w:noWrap/>
            <w:vAlign w:val="center"/>
            <w:hideMark/>
          </w:tcPr>
          <w:p w14:paraId="12D4CD67" w14:textId="77777777" w:rsidR="00D53A9A" w:rsidRPr="00307112" w:rsidRDefault="00D53A9A" w:rsidP="00D53A9A">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741" w:type="dxa"/>
            <w:tcBorders>
              <w:top w:val="nil"/>
              <w:left w:val="nil"/>
              <w:bottom w:val="single" w:sz="4" w:space="0" w:color="auto"/>
              <w:right w:val="single" w:sz="4" w:space="0" w:color="auto"/>
            </w:tcBorders>
            <w:shd w:val="clear" w:color="auto" w:fill="C6EFCE"/>
            <w:noWrap/>
            <w:vAlign w:val="center"/>
            <w:hideMark/>
          </w:tcPr>
          <w:p w14:paraId="08D8959A" w14:textId="77777777" w:rsidR="00D53A9A" w:rsidRPr="00307112" w:rsidRDefault="00D53A9A" w:rsidP="00D53A9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de travaux par les opérateurs (crèches) pour 15 % des nouvelles places en milieu d’accueil de la petite enfance, à savoir 255</w:t>
            </w:r>
          </w:p>
        </w:tc>
      </w:tr>
      <w:tr w:rsidR="00D53A9A" w:rsidRPr="00307112" w14:paraId="33E99188" w14:textId="77777777" w:rsidTr="00E87A90">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4CBF45DC" w14:textId="77777777" w:rsidR="00D53A9A" w:rsidRPr="00307112" w:rsidRDefault="00D53A9A" w:rsidP="00D53A9A">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155</w:t>
            </w:r>
          </w:p>
        </w:tc>
        <w:tc>
          <w:tcPr>
            <w:tcW w:w="1560" w:type="dxa"/>
            <w:tcBorders>
              <w:top w:val="nil"/>
              <w:left w:val="nil"/>
              <w:bottom w:val="single" w:sz="4" w:space="0" w:color="auto"/>
              <w:right w:val="single" w:sz="4" w:space="0" w:color="auto"/>
            </w:tcBorders>
            <w:shd w:val="clear" w:color="auto" w:fill="C6EFCE"/>
            <w:noWrap/>
            <w:vAlign w:val="center"/>
          </w:tcPr>
          <w:p w14:paraId="60E7DE1D" w14:textId="5D236288" w:rsidR="00D53A9A" w:rsidRPr="00307112" w:rsidRDefault="00D53A9A" w:rsidP="00D53A9A">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Création de places en crèche (I-4.13)</w:t>
            </w:r>
          </w:p>
        </w:tc>
        <w:tc>
          <w:tcPr>
            <w:tcW w:w="708" w:type="dxa"/>
            <w:tcBorders>
              <w:top w:val="nil"/>
              <w:left w:val="nil"/>
              <w:bottom w:val="single" w:sz="4" w:space="0" w:color="auto"/>
              <w:right w:val="single" w:sz="4" w:space="0" w:color="auto"/>
            </w:tcBorders>
            <w:shd w:val="clear" w:color="auto" w:fill="C6EFCE"/>
            <w:noWrap/>
            <w:vAlign w:val="center"/>
          </w:tcPr>
          <w:p w14:paraId="3A40EC88" w14:textId="77777777" w:rsidR="00D53A9A" w:rsidRPr="00307112" w:rsidRDefault="00D53A9A" w:rsidP="00D53A9A">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560" w:type="dxa"/>
            <w:tcBorders>
              <w:top w:val="nil"/>
              <w:left w:val="nil"/>
              <w:bottom w:val="single" w:sz="4" w:space="0" w:color="auto"/>
              <w:right w:val="single" w:sz="4" w:space="0" w:color="auto"/>
            </w:tcBorders>
            <w:shd w:val="clear" w:color="auto" w:fill="C6EFCE"/>
            <w:noWrap/>
            <w:vAlign w:val="center"/>
          </w:tcPr>
          <w:p w14:paraId="67BEE9C2" w14:textId="291A89B2" w:rsidR="00D53A9A" w:rsidRPr="00307112" w:rsidRDefault="00D53A9A" w:rsidP="00D53A9A">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Création de places en crèche</w:t>
            </w:r>
          </w:p>
        </w:tc>
        <w:tc>
          <w:tcPr>
            <w:tcW w:w="1559" w:type="dxa"/>
            <w:tcBorders>
              <w:top w:val="nil"/>
              <w:left w:val="nil"/>
              <w:bottom w:val="single" w:sz="4" w:space="0" w:color="auto"/>
              <w:right w:val="single" w:sz="4" w:space="0" w:color="auto"/>
            </w:tcBorders>
            <w:shd w:val="clear" w:color="auto" w:fill="C6EFCE"/>
            <w:noWrap/>
            <w:vAlign w:val="center"/>
          </w:tcPr>
          <w:p w14:paraId="221A94D7" w14:textId="77777777" w:rsidR="00D53A9A" w:rsidRPr="00746A1A" w:rsidRDefault="00D53A9A" w:rsidP="00D53A9A">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70CCBC04" w14:textId="6672128A" w:rsidR="00D53A9A" w:rsidRPr="00307112" w:rsidRDefault="00D53A9A" w:rsidP="00D53A9A">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Places en crèche</w:t>
            </w:r>
          </w:p>
        </w:tc>
        <w:tc>
          <w:tcPr>
            <w:tcW w:w="1134" w:type="dxa"/>
            <w:tcBorders>
              <w:top w:val="nil"/>
              <w:left w:val="nil"/>
              <w:bottom w:val="single" w:sz="4" w:space="0" w:color="auto"/>
              <w:right w:val="single" w:sz="4" w:space="0" w:color="auto"/>
            </w:tcBorders>
            <w:shd w:val="clear" w:color="auto" w:fill="C6EFCE"/>
            <w:noWrap/>
            <w:vAlign w:val="center"/>
          </w:tcPr>
          <w:p w14:paraId="7955E354" w14:textId="77777777" w:rsidR="00D53A9A" w:rsidRPr="00307112" w:rsidRDefault="00D53A9A" w:rsidP="00D53A9A">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2" w:type="dxa"/>
            <w:tcBorders>
              <w:top w:val="nil"/>
              <w:left w:val="nil"/>
              <w:bottom w:val="single" w:sz="4" w:space="0" w:color="auto"/>
              <w:right w:val="single" w:sz="4" w:space="0" w:color="auto"/>
            </w:tcBorders>
            <w:shd w:val="clear" w:color="auto" w:fill="C6EFCE"/>
            <w:noWrap/>
            <w:vAlign w:val="center"/>
          </w:tcPr>
          <w:p w14:paraId="6EFF13B6" w14:textId="77777777" w:rsidR="00D53A9A" w:rsidRPr="00307112" w:rsidRDefault="00D53A9A" w:rsidP="00D53A9A">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1 700</w:t>
            </w:r>
          </w:p>
        </w:tc>
        <w:tc>
          <w:tcPr>
            <w:tcW w:w="1134" w:type="dxa"/>
            <w:tcBorders>
              <w:top w:val="nil"/>
              <w:left w:val="nil"/>
              <w:bottom w:val="single" w:sz="4" w:space="0" w:color="auto"/>
              <w:right w:val="single" w:sz="4" w:space="0" w:color="auto"/>
            </w:tcBorders>
            <w:shd w:val="clear" w:color="auto" w:fill="C6EFCE"/>
            <w:noWrap/>
            <w:vAlign w:val="center"/>
          </w:tcPr>
          <w:p w14:paraId="4AA4133E" w14:textId="77777777" w:rsidR="00D53A9A" w:rsidRPr="00307112" w:rsidRDefault="00D53A9A" w:rsidP="00D53A9A">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T3</w:t>
            </w:r>
          </w:p>
        </w:tc>
        <w:tc>
          <w:tcPr>
            <w:tcW w:w="851" w:type="dxa"/>
            <w:tcBorders>
              <w:top w:val="nil"/>
              <w:left w:val="nil"/>
              <w:bottom w:val="single" w:sz="4" w:space="0" w:color="auto"/>
              <w:right w:val="single" w:sz="4" w:space="0" w:color="auto"/>
            </w:tcBorders>
            <w:shd w:val="clear" w:color="auto" w:fill="C6EFCE"/>
            <w:noWrap/>
            <w:vAlign w:val="center"/>
          </w:tcPr>
          <w:p w14:paraId="1383218B" w14:textId="77777777" w:rsidR="00D53A9A" w:rsidRPr="00307112" w:rsidRDefault="00D53A9A" w:rsidP="00D53A9A">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3741" w:type="dxa"/>
            <w:tcBorders>
              <w:top w:val="nil"/>
              <w:left w:val="nil"/>
              <w:bottom w:val="single" w:sz="4" w:space="0" w:color="auto"/>
              <w:right w:val="single" w:sz="4" w:space="0" w:color="auto"/>
            </w:tcBorders>
            <w:shd w:val="clear" w:color="auto" w:fill="C6EFCE"/>
            <w:noWrap/>
            <w:vAlign w:val="center"/>
          </w:tcPr>
          <w:p w14:paraId="28AA9A2E" w14:textId="0FE54466" w:rsidR="00D53A9A" w:rsidRPr="00771488" w:rsidRDefault="00D53A9A" w:rsidP="00D53A9A">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1 700 places en crèche ont été créées dans des structures de niveau 2. </w:t>
            </w:r>
          </w:p>
        </w:tc>
      </w:tr>
    </w:tbl>
    <w:p w14:paraId="2280D870" w14:textId="77777777" w:rsidR="000D1388" w:rsidRPr="00746A1A" w:rsidRDefault="000D1388" w:rsidP="00E71057">
      <w:pPr>
        <w:rPr>
          <w:rFonts w:ascii="Calibri" w:eastAsia="Calibri" w:hAnsi="Calibri" w:cs="Arial"/>
          <w:noProof/>
          <w:lang w:val="fr-BE"/>
        </w:rPr>
        <w:sectPr w:rsidR="000D1388" w:rsidRPr="00746A1A" w:rsidSect="00E71057">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360"/>
        </w:sectPr>
      </w:pPr>
    </w:p>
    <w:p w14:paraId="43FC05D9" w14:textId="77777777" w:rsidR="000D1388" w:rsidRPr="009D65D8" w:rsidRDefault="00E71057" w:rsidP="00E71057">
      <w:pPr>
        <w:tabs>
          <w:tab w:val="left" w:pos="5560"/>
        </w:tabs>
        <w:rPr>
          <w:rFonts w:ascii="Calibri" w:eastAsia="Calibri" w:hAnsi="Calibri" w:cs="Arial"/>
          <w:noProof/>
          <w:szCs w:val="24"/>
        </w:rPr>
      </w:pPr>
      <w:r>
        <w:rPr>
          <w:rFonts w:ascii="Times New Roman" w:hAnsi="Times New Roman"/>
          <w:noProof/>
          <w:sz w:val="24"/>
        </w:rPr>
        <w:tab/>
      </w:r>
    </w:p>
    <w:p w14:paraId="36792269"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M. COMPOSANTE 4.4: Fin de carrière et pensions</w:t>
      </w:r>
    </w:p>
    <w:p w14:paraId="6029E20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vise à apporter une réponse aux défis du système de pensions en termes d’adéquation sociale et de viabilité budgétaire.</w:t>
      </w:r>
    </w:p>
    <w:p w14:paraId="41D1C046"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composante contribue à répondre à la recommandation par pays nº 1 de 2019 appelant à garantir la viabilité budgétaire du système des pensions.</w:t>
      </w:r>
    </w:p>
    <w:p w14:paraId="26CA1612"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M.1.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31BD85CF"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R-4.07: «Fin de carrière et pensions» de l’État fédéral</w:t>
      </w:r>
    </w:p>
    <w:p w14:paraId="4EC324C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réforme vise à 1) faire du régime de pensions un système tourné vers l’avenir, 2) améliorer la soutenabilité financière de la sécurité sociale et des finances publiques, 3) renforcer le rôle de solidarité joué par le système des pensions, 4) renforcer le «principe d’assurance», 5) introduire un «test de genre», 6) garantir la convergence entre les différents régimes de pensions et au sein de ceux-ci, 7) améliorer l’efficacité des services publics chargés des pensions. La législation réformant le système des pensions devrait être adoptée, étant entendu qu’elle pourrait prévoir des périodes de transition raisonnables pour certaines dispositions.</w:t>
      </w:r>
    </w:p>
    <w:p w14:paraId="2F6794B4" w14:textId="77777777" w:rsidR="000D1388" w:rsidRPr="009D65D8" w:rsidRDefault="00E71057" w:rsidP="00E71057">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Afin d’associer les parties prenantes, le gouvernement fédéral prévoit d’organiser une conférence sur l’emploi en 2021, qui portera tout particulièrement sur les «fins de carrière».</w:t>
      </w:r>
    </w:p>
    <w:p w14:paraId="33C09B21" w14:textId="77777777" w:rsidR="000D1388" w:rsidRPr="00746A1A" w:rsidRDefault="000D1388" w:rsidP="00E71057">
      <w:pPr>
        <w:spacing w:before="120" w:after="120" w:line="240" w:lineRule="auto"/>
        <w:jc w:val="both"/>
        <w:rPr>
          <w:rFonts w:ascii="Times New Roman" w:eastAsia="Calibri" w:hAnsi="Times New Roman" w:cs="Arial"/>
          <w:noProof/>
          <w:sz w:val="24"/>
          <w:szCs w:val="24"/>
          <w:lang w:val="fr-BE"/>
        </w:rPr>
        <w:sectPr w:rsidR="000D1388" w:rsidRPr="00746A1A" w:rsidSect="00E71057">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360"/>
        </w:sectPr>
      </w:pPr>
    </w:p>
    <w:p w14:paraId="7F0BFD61"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M.2.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743"/>
        <w:gridCol w:w="1525"/>
        <w:gridCol w:w="1451"/>
        <w:gridCol w:w="1134"/>
        <w:gridCol w:w="1134"/>
        <w:gridCol w:w="958"/>
        <w:gridCol w:w="1134"/>
        <w:gridCol w:w="851"/>
        <w:gridCol w:w="3883"/>
      </w:tblGrid>
      <w:tr w:rsidR="00E71057" w:rsidRPr="00307112" w14:paraId="1FB4145B" w14:textId="77777777" w:rsidTr="00E87A90">
        <w:trPr>
          <w:trHeight w:val="927"/>
          <w:tblHeader/>
          <w:jc w:val="center"/>
        </w:trPr>
        <w:tc>
          <w:tcPr>
            <w:tcW w:w="1129" w:type="dxa"/>
            <w:vMerge w:val="restart"/>
            <w:shd w:val="clear" w:color="auto" w:fill="BDD7EE"/>
            <w:vAlign w:val="center"/>
            <w:hideMark/>
          </w:tcPr>
          <w:p w14:paraId="0A045B84"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6437925F"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743" w:type="dxa"/>
            <w:vMerge w:val="restart"/>
            <w:shd w:val="clear" w:color="auto" w:fill="BDD7EE"/>
            <w:vAlign w:val="center"/>
            <w:hideMark/>
          </w:tcPr>
          <w:p w14:paraId="42F721ED" w14:textId="77777777" w:rsidR="000D1388" w:rsidRPr="00307112" w:rsidRDefault="00E71057" w:rsidP="008E7919">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525" w:type="dxa"/>
            <w:vMerge w:val="restart"/>
            <w:shd w:val="clear" w:color="auto" w:fill="BDD7EE"/>
            <w:vAlign w:val="center"/>
            <w:hideMark/>
          </w:tcPr>
          <w:p w14:paraId="1DDD4BA7"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451" w:type="dxa"/>
            <w:vMerge w:val="restart"/>
            <w:shd w:val="clear" w:color="auto" w:fill="BDD7EE"/>
            <w:vAlign w:val="center"/>
            <w:hideMark/>
          </w:tcPr>
          <w:p w14:paraId="4DAC153E"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226" w:type="dxa"/>
            <w:gridSpan w:val="3"/>
            <w:shd w:val="clear" w:color="auto" w:fill="BDD7EE"/>
            <w:vAlign w:val="center"/>
            <w:hideMark/>
          </w:tcPr>
          <w:p w14:paraId="5DB7C19D"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85" w:type="dxa"/>
            <w:gridSpan w:val="2"/>
            <w:shd w:val="clear" w:color="auto" w:fill="BDD7EE"/>
            <w:vAlign w:val="center"/>
            <w:hideMark/>
          </w:tcPr>
          <w:p w14:paraId="6D8B98EC"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883" w:type="dxa"/>
            <w:vMerge w:val="restart"/>
            <w:shd w:val="clear" w:color="auto" w:fill="BDD7EE"/>
            <w:vAlign w:val="center"/>
            <w:hideMark/>
          </w:tcPr>
          <w:p w14:paraId="1F767D5D" w14:textId="77777777" w:rsidR="000D1388" w:rsidRPr="00307112"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E71057" w:rsidRPr="00307112" w14:paraId="096918C3" w14:textId="77777777" w:rsidTr="00E87A90">
        <w:trPr>
          <w:trHeight w:val="1013"/>
          <w:jc w:val="center"/>
        </w:trPr>
        <w:tc>
          <w:tcPr>
            <w:tcW w:w="1129" w:type="dxa"/>
            <w:vMerge/>
            <w:vAlign w:val="center"/>
            <w:hideMark/>
          </w:tcPr>
          <w:p w14:paraId="5A7DAA0B"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21F150AC"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743" w:type="dxa"/>
            <w:vMerge/>
            <w:vAlign w:val="center"/>
            <w:hideMark/>
          </w:tcPr>
          <w:p w14:paraId="41B0A6CF" w14:textId="77777777" w:rsidR="000D1388" w:rsidRPr="00746A1A" w:rsidRDefault="000D1388" w:rsidP="008E7919">
            <w:pPr>
              <w:spacing w:after="0"/>
              <w:jc w:val="center"/>
              <w:rPr>
                <w:rFonts w:ascii="Times New Roman" w:eastAsia="Times New Roman" w:hAnsi="Times New Roman" w:cs="Times New Roman"/>
                <w:b/>
                <w:bCs/>
                <w:noProof/>
                <w:sz w:val="20"/>
                <w:szCs w:val="20"/>
                <w:lang w:val="fr-BE" w:eastAsia="en-GB"/>
              </w:rPr>
            </w:pPr>
          </w:p>
        </w:tc>
        <w:tc>
          <w:tcPr>
            <w:tcW w:w="1525" w:type="dxa"/>
            <w:vMerge/>
            <w:vAlign w:val="center"/>
            <w:hideMark/>
          </w:tcPr>
          <w:p w14:paraId="30FC2240"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451" w:type="dxa"/>
            <w:vMerge/>
            <w:vAlign w:val="center"/>
            <w:hideMark/>
          </w:tcPr>
          <w:p w14:paraId="53BABCED"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134" w:type="dxa"/>
            <w:shd w:val="clear" w:color="auto" w:fill="BDD7EE"/>
            <w:vAlign w:val="center"/>
            <w:hideMark/>
          </w:tcPr>
          <w:p w14:paraId="3DEEBB78"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34" w:type="dxa"/>
            <w:shd w:val="clear" w:color="auto" w:fill="BDD7EE"/>
            <w:vAlign w:val="center"/>
            <w:hideMark/>
          </w:tcPr>
          <w:p w14:paraId="0A9ACF9A"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58" w:type="dxa"/>
            <w:shd w:val="clear" w:color="auto" w:fill="BDD7EE"/>
            <w:vAlign w:val="center"/>
            <w:hideMark/>
          </w:tcPr>
          <w:p w14:paraId="701AF4B9"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shd w:val="clear" w:color="auto" w:fill="BDD7EE"/>
            <w:vAlign w:val="center"/>
            <w:hideMark/>
          </w:tcPr>
          <w:p w14:paraId="552B5CBC"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hideMark/>
          </w:tcPr>
          <w:p w14:paraId="7B917820" w14:textId="77777777" w:rsidR="000D1388" w:rsidRPr="0030711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883" w:type="dxa"/>
            <w:vMerge/>
            <w:vAlign w:val="center"/>
            <w:hideMark/>
          </w:tcPr>
          <w:p w14:paraId="16BA700B" w14:textId="77777777" w:rsidR="000D1388" w:rsidRPr="00307112" w:rsidRDefault="000D1388">
            <w:pPr>
              <w:spacing w:after="0"/>
              <w:rPr>
                <w:rFonts w:ascii="Times New Roman" w:eastAsia="Times New Roman" w:hAnsi="Times New Roman" w:cs="Times New Roman"/>
                <w:b/>
                <w:bCs/>
                <w:noProof/>
                <w:sz w:val="20"/>
                <w:szCs w:val="20"/>
                <w:lang w:val="en-GB" w:eastAsia="en-GB"/>
              </w:rPr>
            </w:pPr>
          </w:p>
        </w:tc>
      </w:tr>
      <w:tr w:rsidR="00E71057" w:rsidRPr="00307112" w14:paraId="7A65DB8F" w14:textId="77777777" w:rsidTr="00E87A90">
        <w:trPr>
          <w:trHeight w:val="309"/>
          <w:jc w:val="center"/>
        </w:trPr>
        <w:tc>
          <w:tcPr>
            <w:tcW w:w="1129" w:type="dxa"/>
            <w:shd w:val="clear" w:color="auto" w:fill="C6EFCE"/>
            <w:noWrap/>
            <w:vAlign w:val="center"/>
            <w:hideMark/>
          </w:tcPr>
          <w:p w14:paraId="1FE79E40"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156</w:t>
            </w:r>
          </w:p>
        </w:tc>
        <w:tc>
          <w:tcPr>
            <w:tcW w:w="1560" w:type="dxa"/>
            <w:shd w:val="clear" w:color="auto" w:fill="C6EFCE"/>
            <w:noWrap/>
            <w:vAlign w:val="center"/>
            <w:hideMark/>
          </w:tcPr>
          <w:p w14:paraId="13AEB393"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 de carrière et pensions (R-4.07)</w:t>
            </w:r>
          </w:p>
        </w:tc>
        <w:tc>
          <w:tcPr>
            <w:tcW w:w="743" w:type="dxa"/>
            <w:shd w:val="clear" w:color="auto" w:fill="C6EFCE"/>
            <w:noWrap/>
            <w:vAlign w:val="center"/>
            <w:hideMark/>
          </w:tcPr>
          <w:p w14:paraId="302BDC54" w14:textId="77777777" w:rsidR="000D1388" w:rsidRPr="00307112" w:rsidRDefault="00E71057" w:rsidP="008E7919">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25" w:type="dxa"/>
            <w:shd w:val="clear" w:color="auto" w:fill="C6EFCE"/>
            <w:noWrap/>
            <w:vAlign w:val="center"/>
            <w:hideMark/>
          </w:tcPr>
          <w:p w14:paraId="1DB058C3"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Plan d’action basé sur le résultat de la conférence sur l’emploi</w:t>
            </w:r>
          </w:p>
        </w:tc>
        <w:tc>
          <w:tcPr>
            <w:tcW w:w="1451" w:type="dxa"/>
            <w:shd w:val="clear" w:color="auto" w:fill="C6EFCE"/>
            <w:noWrap/>
            <w:vAlign w:val="center"/>
            <w:hideMark/>
          </w:tcPr>
          <w:p w14:paraId="1149E6F1"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Retransmission en direct (et enregistrement) des débats de la conférence sur l’emploi et inscription de la proposition de plan d’action à l’ordre du jour du Conseil des ministres fédéral</w:t>
            </w:r>
          </w:p>
        </w:tc>
        <w:tc>
          <w:tcPr>
            <w:tcW w:w="1134" w:type="dxa"/>
            <w:shd w:val="clear" w:color="auto" w:fill="C6EFCE"/>
            <w:noWrap/>
            <w:vAlign w:val="center"/>
          </w:tcPr>
          <w:p w14:paraId="5B2D6492"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777817A4"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58" w:type="dxa"/>
            <w:shd w:val="clear" w:color="auto" w:fill="C6EFCE"/>
            <w:noWrap/>
            <w:vAlign w:val="center"/>
          </w:tcPr>
          <w:p w14:paraId="552FF047"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hideMark/>
          </w:tcPr>
          <w:p w14:paraId="2B21BDD1"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hideMark/>
          </w:tcPr>
          <w:p w14:paraId="487BD597"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883" w:type="dxa"/>
            <w:shd w:val="clear" w:color="auto" w:fill="C6EFCE"/>
            <w:noWrap/>
            <w:vAlign w:val="center"/>
            <w:hideMark/>
          </w:tcPr>
          <w:p w14:paraId="51BDD374"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Retransmission en direct (et enregistrement) des débats de la conférence sur l’emploi par l’administration (SPF ETCS). Un plan d’action visant à augmenter le taux d’emploi des salariés en fin de carrière, sur la base d’un inventaire des mesures fédérales pertinentes existantes, élaboré par le SPF Emploi, et des contributions des partenaires sociaux, des régions et des autres parties prenantes avant et pendant la conférence est rédigé et mis à l’ordre du jour du Conseil des ministres. L’objectif est que ce plan d’action se traduise en propositions réglementaires concrètes (législatives ou administratives) en vue de leur adoption par les autorités fédérales (le Parlement fédéral, le cas échéant)</w:t>
            </w:r>
          </w:p>
        </w:tc>
      </w:tr>
      <w:tr w:rsidR="00E71057" w:rsidRPr="00307112" w14:paraId="710C392E" w14:textId="77777777" w:rsidTr="00E87A90">
        <w:trPr>
          <w:trHeight w:val="309"/>
          <w:jc w:val="center"/>
        </w:trPr>
        <w:tc>
          <w:tcPr>
            <w:tcW w:w="1129" w:type="dxa"/>
            <w:shd w:val="clear" w:color="auto" w:fill="C6EFCE"/>
            <w:noWrap/>
            <w:vAlign w:val="center"/>
            <w:hideMark/>
          </w:tcPr>
          <w:p w14:paraId="30A4F5A9"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157</w:t>
            </w:r>
          </w:p>
        </w:tc>
        <w:tc>
          <w:tcPr>
            <w:tcW w:w="1560" w:type="dxa"/>
            <w:shd w:val="clear" w:color="auto" w:fill="C6EFCE"/>
            <w:noWrap/>
            <w:vAlign w:val="center"/>
            <w:hideMark/>
          </w:tcPr>
          <w:p w14:paraId="43711FD9"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 de carrière et pensions (R-4.07)</w:t>
            </w:r>
          </w:p>
        </w:tc>
        <w:tc>
          <w:tcPr>
            <w:tcW w:w="743" w:type="dxa"/>
            <w:shd w:val="clear" w:color="auto" w:fill="C6EFCE"/>
            <w:noWrap/>
            <w:vAlign w:val="center"/>
            <w:hideMark/>
          </w:tcPr>
          <w:p w14:paraId="65DF9E4C" w14:textId="77777777" w:rsidR="000D1388" w:rsidRPr="00307112" w:rsidRDefault="00E71057" w:rsidP="008E7919">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25" w:type="dxa"/>
            <w:shd w:val="clear" w:color="auto" w:fill="C6EFCE"/>
            <w:noWrap/>
            <w:vAlign w:val="center"/>
            <w:hideMark/>
          </w:tcPr>
          <w:p w14:paraId="4EC8BAFA"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Proposition de réforme des pensions</w:t>
            </w:r>
          </w:p>
        </w:tc>
        <w:tc>
          <w:tcPr>
            <w:tcW w:w="1451" w:type="dxa"/>
            <w:shd w:val="clear" w:color="auto" w:fill="C6EFCE"/>
            <w:noWrap/>
            <w:vAlign w:val="center"/>
          </w:tcPr>
          <w:p w14:paraId="05B9DBD8"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Proposition de réforme adoptée par le Conseil des ministres du gouvernement fédéral</w:t>
            </w:r>
          </w:p>
        </w:tc>
        <w:tc>
          <w:tcPr>
            <w:tcW w:w="1134" w:type="dxa"/>
            <w:shd w:val="clear" w:color="auto" w:fill="C6EFCE"/>
            <w:noWrap/>
            <w:vAlign w:val="center"/>
          </w:tcPr>
          <w:p w14:paraId="4633AAD6"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472DA484"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58" w:type="dxa"/>
            <w:shd w:val="clear" w:color="auto" w:fill="C6EFCE"/>
            <w:noWrap/>
            <w:vAlign w:val="center"/>
          </w:tcPr>
          <w:p w14:paraId="3D0D2E73"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hideMark/>
          </w:tcPr>
          <w:p w14:paraId="3DBBCB18"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hideMark/>
          </w:tcPr>
          <w:p w14:paraId="686B1EF9"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883" w:type="dxa"/>
            <w:shd w:val="clear" w:color="auto" w:fill="C6EFCE"/>
            <w:noWrap/>
            <w:vAlign w:val="center"/>
            <w:hideMark/>
          </w:tcPr>
          <w:p w14:paraId="70902CB1"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Proposition de réforme du régime des pensions adoptée par le Conseil des ministres du gouvernement fédéral, qui comprendra les éléments suivants: </w:t>
            </w:r>
          </w:p>
          <w:p w14:paraId="660F7444"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 mesures visant à améliorer la viabilité financière et sociale du régime des pensions </w:t>
            </w:r>
          </w:p>
          <w:p w14:paraId="79EC392E"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ii) mesures visant à encourager les travailleurs qui remplissent les conditions de la pension anticipée à rester en activité </w:t>
            </w:r>
          </w:p>
          <w:p w14:paraId="765A89CD"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iii) mesures visant à renforcer le rôle de solidarité du régime des pensions pour garantir une pension minimale décente, ainsi que son rôle d’assurance et l’équilibre entre les sexes, en tenant compte de l’objectif global d’amélioration de sa viabilité financière et sociale</w:t>
            </w:r>
          </w:p>
          <w:p w14:paraId="0A65737D"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iv) mesures visant à assurer la convergence entre les différents régimes de pensions et au sein de ceux-ci</w:t>
            </w:r>
          </w:p>
        </w:tc>
      </w:tr>
      <w:tr w:rsidR="00E71057" w:rsidRPr="00307112" w14:paraId="6BBAF61A" w14:textId="77777777" w:rsidTr="00E87A90">
        <w:trPr>
          <w:trHeight w:val="309"/>
          <w:jc w:val="center"/>
        </w:trPr>
        <w:tc>
          <w:tcPr>
            <w:tcW w:w="1129" w:type="dxa"/>
            <w:shd w:val="clear" w:color="auto" w:fill="C6EFCE"/>
            <w:noWrap/>
            <w:vAlign w:val="center"/>
            <w:hideMark/>
          </w:tcPr>
          <w:p w14:paraId="7CFA9171"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158</w:t>
            </w:r>
          </w:p>
        </w:tc>
        <w:tc>
          <w:tcPr>
            <w:tcW w:w="1560" w:type="dxa"/>
            <w:shd w:val="clear" w:color="auto" w:fill="C6EFCE"/>
            <w:noWrap/>
            <w:vAlign w:val="center"/>
            <w:hideMark/>
          </w:tcPr>
          <w:p w14:paraId="33AAA672"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 de carrière et pensions (R-4.07)</w:t>
            </w:r>
          </w:p>
        </w:tc>
        <w:tc>
          <w:tcPr>
            <w:tcW w:w="743" w:type="dxa"/>
            <w:shd w:val="clear" w:color="auto" w:fill="C6EFCE"/>
            <w:noWrap/>
            <w:vAlign w:val="center"/>
            <w:hideMark/>
          </w:tcPr>
          <w:p w14:paraId="34C029C6" w14:textId="77777777" w:rsidR="000D1388" w:rsidRPr="00307112" w:rsidRDefault="00E71057" w:rsidP="008E7919">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25" w:type="dxa"/>
            <w:shd w:val="clear" w:color="auto" w:fill="C6EFCE"/>
            <w:noWrap/>
            <w:vAlign w:val="center"/>
            <w:hideMark/>
          </w:tcPr>
          <w:p w14:paraId="4B0F59E9"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réforme des pensions</w:t>
            </w:r>
          </w:p>
        </w:tc>
        <w:tc>
          <w:tcPr>
            <w:tcW w:w="1451" w:type="dxa"/>
            <w:shd w:val="clear" w:color="auto" w:fill="C6EFCE"/>
            <w:noWrap/>
            <w:vAlign w:val="center"/>
            <w:hideMark/>
          </w:tcPr>
          <w:p w14:paraId="26F91657"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par le Parlement fédéral de la législation réformant le régime des pensions</w:t>
            </w:r>
          </w:p>
        </w:tc>
        <w:tc>
          <w:tcPr>
            <w:tcW w:w="1134" w:type="dxa"/>
            <w:shd w:val="clear" w:color="auto" w:fill="C6EFCE"/>
            <w:noWrap/>
            <w:vAlign w:val="center"/>
            <w:hideMark/>
          </w:tcPr>
          <w:p w14:paraId="3CDAC127"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hideMark/>
          </w:tcPr>
          <w:p w14:paraId="2F30BBD4"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58" w:type="dxa"/>
            <w:shd w:val="clear" w:color="auto" w:fill="C6EFCE"/>
            <w:noWrap/>
            <w:vAlign w:val="center"/>
            <w:hideMark/>
          </w:tcPr>
          <w:p w14:paraId="7BA27281"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hideMark/>
          </w:tcPr>
          <w:p w14:paraId="220FAB70"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hideMark/>
          </w:tcPr>
          <w:p w14:paraId="4E30A2CE" w14:textId="77777777" w:rsidR="000D1388" w:rsidRPr="0030711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883" w:type="dxa"/>
            <w:shd w:val="clear" w:color="auto" w:fill="C6EFCE"/>
            <w:noWrap/>
            <w:vAlign w:val="center"/>
            <w:hideMark/>
          </w:tcPr>
          <w:p w14:paraId="3AE29EBD"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législation réformant le régime des pensions par le Parlement fédéral. Cette législation comprendra les éléments suivants:</w:t>
            </w:r>
          </w:p>
          <w:p w14:paraId="22F093B3"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 mesures visant à améliorer la viabilité financière et sociale du régime des pensions </w:t>
            </w:r>
          </w:p>
          <w:p w14:paraId="025F081B"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ii) mesures visant à encourager les travailleurs qui remplissent les conditions de la pension anticipée à rester en activité </w:t>
            </w:r>
          </w:p>
          <w:p w14:paraId="12C6B1A1"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iii) mesures visant à renforcer le rôle de solidarité du régime des pensions pour garantir une pension minimale décente, ainsi que son rôle d’assurance et l’équilibre entre les sexes, en tenant compte de l’objectif global d’amélioration de sa viabilité financière et sociale</w:t>
            </w:r>
          </w:p>
          <w:p w14:paraId="6B991B58" w14:textId="77777777" w:rsidR="000D1388" w:rsidRPr="0030711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iv) mesures visant à assurer la convergence entre les différents régimes de pensions et au sein de ceux-ci</w:t>
            </w:r>
          </w:p>
        </w:tc>
      </w:tr>
    </w:tbl>
    <w:p w14:paraId="7E803C73" w14:textId="77777777" w:rsidR="000D1388" w:rsidRPr="00746A1A" w:rsidRDefault="000D1388" w:rsidP="00E71057">
      <w:pPr>
        <w:spacing w:before="120" w:after="120" w:line="240" w:lineRule="auto"/>
        <w:ind w:left="850"/>
        <w:jc w:val="both"/>
        <w:rPr>
          <w:rFonts w:ascii="Times New Roman" w:eastAsia="Calibri" w:hAnsi="Times New Roman" w:cs="Times New Roman"/>
          <w:noProof/>
          <w:sz w:val="24"/>
          <w:lang w:val="fr-BE"/>
        </w:rPr>
      </w:pPr>
    </w:p>
    <w:p w14:paraId="189C1578" w14:textId="77777777" w:rsidR="000D1388" w:rsidRPr="00746A1A" w:rsidRDefault="000D1388" w:rsidP="00E71057">
      <w:pPr>
        <w:spacing w:before="120" w:after="120" w:line="240" w:lineRule="auto"/>
        <w:ind w:left="709"/>
        <w:jc w:val="both"/>
        <w:rPr>
          <w:rFonts w:ascii="Times New Roman" w:eastAsia="Calibri" w:hAnsi="Times New Roman" w:cs="Times New Roman"/>
          <w:noProof/>
          <w:sz w:val="24"/>
          <w:lang w:val="fr-BE"/>
        </w:rPr>
        <w:sectPr w:rsidR="000D1388" w:rsidRPr="00746A1A" w:rsidSect="00E71057">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360"/>
        </w:sectPr>
      </w:pPr>
    </w:p>
    <w:p w14:paraId="36F062A7"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N. COMPOSANTE 5.1: Formation et marché du travail</w:t>
      </w:r>
    </w:p>
    <w:p w14:paraId="3F05742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prévoit des mesures visant à accroître le taux d’emploi tout en garantissant un marché du travail inclusif. Les mesures visent à doter la main-d’œuvre des compétences correspondant aux besoins actuels et futurs du marché du travail, y compris en matière de transitions verte et numérique, et à accroître la participation au marché du travail, à travers la formation, l’activation et l’accompagnement, mais aussi en luttant contre les pièges à l’emploi et en rendant le travail plus rémunérateur.</w:t>
      </w:r>
    </w:p>
    <w:p w14:paraId="4F4549E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contribue à répondre à la recommandation par pays nº 2 de 2019 appelant la Belgique à remédier à l’inadéquation des compétences et à la recommandation par pays nº 2 de 2020 appelant à atténuer les répercussions de la crise sur l’emploi et ses effets sociaux.</w:t>
      </w:r>
    </w:p>
    <w:p w14:paraId="30308E3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51CD8EE7"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N.1.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55F01E77" w14:textId="68EB8D8F"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I-5.01: «A6K/E6K – Hub d’innovation et de formation numérique et technologique» de la Région wallonne</w:t>
      </w:r>
    </w:p>
    <w:p w14:paraId="77CDA04E" w14:textId="697DB0D4" w:rsidR="000D1388" w:rsidRPr="009D65D8" w:rsidRDefault="00E71057" w:rsidP="00E71057">
      <w:pPr>
        <w:jc w:val="both"/>
        <w:rPr>
          <w:rFonts w:ascii="Times New Roman" w:eastAsia="Calibri" w:hAnsi="Times New Roman" w:cs="Times New Roman"/>
          <w:noProof/>
          <w:sz w:val="24"/>
          <w:szCs w:val="24"/>
        </w:rPr>
      </w:pPr>
      <w:r>
        <w:rPr>
          <w:rFonts w:ascii="Times New Roman" w:hAnsi="Times New Roman"/>
          <w:noProof/>
          <w:sz w:val="24"/>
        </w:rPr>
        <w:t>Cette mesure vise à soutenir l’innovation et l’éducation numériques et technologiques. L’investissement consiste en la rénovation et la construction de bâtiments accueillant les centres A6K et E6K.</w:t>
      </w:r>
    </w:p>
    <w:p w14:paraId="268BD1D0"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I-5.02: «EU Biotech Campus» de la Région wallonne</w:t>
      </w:r>
    </w:p>
    <w:p w14:paraId="5CFCED9B" w14:textId="77777777" w:rsidR="000D1388" w:rsidRPr="009D65D8" w:rsidRDefault="00E71057" w:rsidP="00E71057">
      <w:pPr>
        <w:jc w:val="both"/>
        <w:rPr>
          <w:rFonts w:ascii="Times New Roman" w:eastAsia="Calibri" w:hAnsi="Times New Roman" w:cs="Times New Roman"/>
          <w:noProof/>
          <w:sz w:val="24"/>
          <w:szCs w:val="24"/>
        </w:rPr>
      </w:pPr>
      <w:r>
        <w:rPr>
          <w:rFonts w:ascii="Times New Roman" w:hAnsi="Times New Roman"/>
          <w:noProof/>
          <w:sz w:val="24"/>
        </w:rPr>
        <w:t xml:space="preserve">Elle vise à soutenir certains secteurs stratégiques et économiques en Wallonie, tels que les secteurs de la biotechnologie, de la réindustrialisation ou de la défense, au moyen de programmes de formation avancée et numérique. Elle consiste en la construction et l’équipement d’un EU Biotech Campus en Wallonie. </w:t>
      </w:r>
    </w:p>
    <w:p w14:paraId="6E34335D"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I-5.03: «Mise à niveau des infrastructures de formation de pointe» de la Région wallonne</w:t>
      </w:r>
    </w:p>
    <w:p w14:paraId="63A371BE" w14:textId="1E095921" w:rsidR="000D1388" w:rsidRPr="009D65D8" w:rsidRDefault="00E71057" w:rsidP="00E71057">
      <w:pPr>
        <w:jc w:val="both"/>
        <w:rPr>
          <w:rFonts w:ascii="Times New Roman" w:eastAsia="Calibri" w:hAnsi="Times New Roman" w:cs="Times New Roman"/>
          <w:noProof/>
          <w:sz w:val="24"/>
          <w:szCs w:val="24"/>
        </w:rPr>
      </w:pPr>
      <w:r>
        <w:rPr>
          <w:rFonts w:ascii="Times New Roman" w:hAnsi="Times New Roman"/>
          <w:noProof/>
          <w:sz w:val="24"/>
        </w:rPr>
        <w:t>Cette mesure d’investissement vise à soutenir le développement des compétences en Wallonie. Elle consiste en la construction, la rénovation et/ou l’équipement de bâtiments</w:t>
      </w:r>
      <w:r>
        <w:rPr>
          <w:rFonts w:ascii="Calibri" w:hAnsi="Calibri"/>
          <w:noProof/>
        </w:rPr>
        <w:t xml:space="preserve"> </w:t>
      </w:r>
      <w:r>
        <w:rPr>
          <w:rFonts w:ascii="Times New Roman" w:hAnsi="Times New Roman"/>
          <w:noProof/>
          <w:sz w:val="24"/>
        </w:rPr>
        <w:t>destinés aux services de formation et d’emploi.</w:t>
      </w:r>
    </w:p>
    <w:p w14:paraId="104F62B7"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I-5.04: «Offensive d’apprentissage et de carrière» de la Région flamande</w:t>
      </w:r>
    </w:p>
    <w:p w14:paraId="508AAE0B" w14:textId="77777777" w:rsidR="000D1388" w:rsidRPr="009D65D8" w:rsidRDefault="00E71057" w:rsidP="00E71057">
      <w:pPr>
        <w:jc w:val="both"/>
        <w:rPr>
          <w:rFonts w:ascii="Times New Roman" w:eastAsia="Calibri" w:hAnsi="Times New Roman" w:cs="Times New Roman"/>
          <w:noProof/>
          <w:sz w:val="24"/>
          <w:szCs w:val="24"/>
        </w:rPr>
      </w:pPr>
      <w:r>
        <w:rPr>
          <w:rFonts w:ascii="Times New Roman" w:hAnsi="Times New Roman"/>
          <w:noProof/>
          <w:sz w:val="24"/>
        </w:rPr>
        <w:t xml:space="preserve">Cette mesure d’investissement vise à stimuler la formation et l’apprentissage tout au long de la vie. Elle consiste à assister les entreprises dans leur bilan de compétences, dans l’élaboration de stratégies d’innovation et en matière de formation. </w:t>
      </w:r>
    </w:p>
    <w:p w14:paraId="7343B23C"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I-5.05: «Stratégie de relance du marché de l’emploi» de la Région de Bruxelles-Capitale</w:t>
      </w:r>
    </w:p>
    <w:p w14:paraId="0719AAA0" w14:textId="77777777" w:rsidR="000D1388" w:rsidRPr="009D65D8" w:rsidRDefault="00E71057" w:rsidP="00E71057">
      <w:pPr>
        <w:jc w:val="both"/>
        <w:rPr>
          <w:rFonts w:ascii="Times New Roman" w:eastAsia="Calibri" w:hAnsi="Times New Roman" w:cs="Times New Roman"/>
          <w:noProof/>
          <w:sz w:val="24"/>
          <w:szCs w:val="24"/>
        </w:rPr>
      </w:pPr>
      <w:r>
        <w:rPr>
          <w:rFonts w:ascii="Times New Roman" w:hAnsi="Times New Roman"/>
          <w:noProof/>
          <w:sz w:val="24"/>
        </w:rPr>
        <w:t xml:space="preserve">Cette mesure d’investissement vise à mettre en œuvre une stratégie de relance du marché de l’emploi dans la Région de Bruxelles-Capitale. Elle consiste à apporter un soutien aux demandeurs d’emploi ou aux travailleurs sous la forme de formation, de sélection ou de tests. </w:t>
      </w:r>
    </w:p>
    <w:p w14:paraId="7EB3754B"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I-5.06: «Compétences numériques» de la Communauté flamande</w:t>
      </w:r>
    </w:p>
    <w:p w14:paraId="45A7AECA" w14:textId="77777777" w:rsidR="000D1388" w:rsidRPr="009D65D8" w:rsidRDefault="00E71057" w:rsidP="00E71057">
      <w:pPr>
        <w:jc w:val="both"/>
        <w:rPr>
          <w:rFonts w:ascii="Times New Roman" w:eastAsia="Calibri" w:hAnsi="Times New Roman" w:cs="Times New Roman"/>
          <w:noProof/>
          <w:sz w:val="24"/>
          <w:szCs w:val="24"/>
        </w:rPr>
      </w:pPr>
      <w:r>
        <w:rPr>
          <w:rFonts w:ascii="Times New Roman" w:hAnsi="Times New Roman"/>
          <w:noProof/>
          <w:sz w:val="24"/>
        </w:rPr>
        <w:t xml:space="preserve">Cette mesure d’investissement vise à promouvoir la transformation numérique en Flandre. Elle consiste à mettre des outils et des services numériques à la disposition des citoyens, des employeurs et des partenaires du service public de l’emploi flamand (VDAB). </w:t>
      </w:r>
    </w:p>
    <w:p w14:paraId="4CE94EA1"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I-5.07: «Formation numérique tout au long de la vie» de la Région wallonne</w:t>
      </w:r>
    </w:p>
    <w:p w14:paraId="2D7A48C3" w14:textId="0B6A3739" w:rsidR="000D1388" w:rsidRPr="009D65D8" w:rsidRDefault="00E71057" w:rsidP="00E71057">
      <w:pPr>
        <w:jc w:val="both"/>
        <w:rPr>
          <w:rFonts w:ascii="Times New Roman" w:eastAsia="Calibri" w:hAnsi="Times New Roman" w:cs="Times New Roman"/>
          <w:noProof/>
          <w:sz w:val="24"/>
          <w:szCs w:val="24"/>
        </w:rPr>
      </w:pPr>
      <w:r>
        <w:rPr>
          <w:rFonts w:ascii="Times New Roman" w:hAnsi="Times New Roman"/>
          <w:noProof/>
          <w:sz w:val="24"/>
        </w:rPr>
        <w:t xml:space="preserve">Cet investissement vise à renforcer la formation numérique en Wallonie. Il consiste à construire ou à rénover des bâtiments pour la formation aux compétences numériques, ou à les transférer au bénéficiaire dans le cadre d’un contrat pour usage immobilier à long terme, ou à acheter des équipements à cette fin. </w:t>
      </w:r>
    </w:p>
    <w:p w14:paraId="47462540"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R-5.01: «Limitation des allocations de chômage dans le temps et dégressivité renforcée des allocations de chômage» de l’État fédéral</w:t>
      </w:r>
    </w:p>
    <w:p w14:paraId="690FDBDE"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 xml:space="preserve">Cette mesure de réforme est constituée de deux volets, à savoir Entrée en vigueur de l’acte juridique qui i) limite les prestations de chômage à un maximum de 24 mois et ii) améliore la structure dégressive des prestations de chômage. </w:t>
      </w:r>
    </w:p>
    <w:p w14:paraId="2072C8C3"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R-5.03: «Compte formation» de l’État fédéral</w:t>
      </w:r>
    </w:p>
    <w:p w14:paraId="6E8CB701"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Cette mesure de réforme se compose de trois parties: i) l’octroi d’un droit individuel à chaque travailleur; ii) le développement d’avantages fiscaux pour les entreprises qui accordent à leurs salariés un nombre d’heures de formation supérieur à celui prévu par la réglementation; iii) l’élimination, en concertation avec les entités fédérées, des obstacles à la participation à la formation des travailleurs en chômage temporaire. La mise en œuvre de la réforme devrait être achevée au plus tard le 31 décembre 2023.</w:t>
      </w:r>
    </w:p>
    <w:p w14:paraId="27559D39"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Afin d’octroyer un droit individuel à la formation à chaque travailleur [point i)], une modification de la loi du 5 mars 2017 sur le travail faisable et maniable est envisagée. Dans le cadre de la loi actuelle, il s’agit de garantir au niveau interprofessionnel que chaque travailleur a droit à une moyenne de cinq jours de formation (ou le nombre d’heures équivalent) par an. L’ambition de la réforme est de parvenir à un droit individuel à la formation pour chaque salarié avant la fin de la législature. Les entreprises de moins de 10 salariés et les entreprises de moins de 20 salariés restent, mutatis mutandis, soumises aux régimes d’exceptions ou de dérogations.</w:t>
      </w:r>
    </w:p>
    <w:p w14:paraId="1A7D50ED"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Pour le point ii), la réforme est entrée en vigueur le 1</w:t>
      </w:r>
      <w:r>
        <w:rPr>
          <w:rFonts w:ascii="Times New Roman" w:hAnsi="Times New Roman"/>
          <w:noProof/>
          <w:color w:val="000000"/>
          <w:sz w:val="24"/>
          <w:vertAlign w:val="superscript"/>
        </w:rPr>
        <w:t>er</w:t>
      </w:r>
      <w:r>
        <w:rPr>
          <w:rFonts w:ascii="Times New Roman" w:hAnsi="Times New Roman"/>
          <w:noProof/>
          <w:color w:val="000000"/>
          <w:sz w:val="24"/>
        </w:rPr>
        <w:t> janvier 2021, et figure à la section 4 du chapitre 1 du titre 2 de la loi-programme du 20 décembre 2020, publiée au Moniteur belge le 30 décembre 2020. Les avantages fiscaux prennent la forme d’une exonération du paiement du précompte professionnel pour les travailleurs qui ont suivi une formation d’une durée minimale de 10 jours au cours d’une période ininterrompue de 30 jours calendaires (pour les entreprises où s’effectue un travail en équipe ou un travail de nuit pendant une période ininterrompue de 60 jours calendaires; pour les petites sociétés, le seuil est de 5 jours au cours d’une période ininterrompue de 75 jours calendaires).</w:t>
      </w:r>
    </w:p>
    <w:p w14:paraId="549656EF"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Afin de supprimer les obstacles à la participation des chômeurs temporaires à la formation (iii), la réforme prévoit l’obligation, pour les chômeurs de longue durée ou les chômeurs temporaires structurels, d’être inscrits auprès du service régional compétent.</w:t>
      </w:r>
    </w:p>
    <w:p w14:paraId="2691E990"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La modification de la loi du 5 mars 2017 concernant le travail faisable et maniable devrait entrer en vigueur d’ici le 1</w:t>
      </w:r>
      <w:r>
        <w:rPr>
          <w:rFonts w:ascii="Times New Roman" w:hAnsi="Times New Roman"/>
          <w:noProof/>
          <w:color w:val="000000"/>
          <w:sz w:val="24"/>
          <w:vertAlign w:val="superscript"/>
        </w:rPr>
        <w:t>er</w:t>
      </w:r>
      <w:r>
        <w:rPr>
          <w:rFonts w:ascii="Times New Roman" w:hAnsi="Times New Roman"/>
          <w:noProof/>
          <w:color w:val="000000"/>
          <w:sz w:val="24"/>
        </w:rPr>
        <w:t> janvier 2022 au plus tard.</w:t>
      </w:r>
    </w:p>
    <w:p w14:paraId="46BA11E1"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R-5.04: «Apprentissage tout au long de la vie» de la Communauté flamande</w:t>
      </w:r>
    </w:p>
    <w:p w14:paraId="6B4CB309"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Cette mesure de réforme ouvrira la voie à un compte individuel d’apprentissage et de carrière qui rassemblera tous les incitants à la formation en un seul endroit central, afin que les citoyens sachent clairement quels sont leurs droits à l’apprentissage et l’accompagnement dont ils peuvent bénéficier. Les partenaires sociaux et le gouvernement flamand se mettront d’accord sur un document de réflexion, définissant la manière dont un compte apprentissage et carrière sera introduit en Flandre, en tenant compte de la nécessité de renforcer la transparence pour les citoyens, de mieux inclure les groupes vulnérables et d’assurer l’alignement avec la plateforme numérique de compte d’apprentissage mise en place au niveau fédéral. Le document de réflexion sera disponible le 30 juin 2022.</w:t>
      </w:r>
    </w:p>
    <w:p w14:paraId="787D595A"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R-5.05: «Réforme de l’accompagnement des demandeurs d’emploi» de la Région wallonne</w:t>
      </w:r>
    </w:p>
    <w:p w14:paraId="7BD9BFE9" w14:textId="77777777" w:rsidR="000D1388" w:rsidRPr="009D65D8" w:rsidRDefault="00E71057" w:rsidP="00E71057">
      <w:pPr>
        <w:spacing w:before="120" w:after="120" w:line="240" w:lineRule="auto"/>
        <w:jc w:val="both"/>
        <w:rPr>
          <w:rFonts w:ascii="Times New Roman" w:eastAsia="Calibri" w:hAnsi="Times New Roman" w:cs="Times New Roman"/>
          <w:i/>
          <w:iCs/>
          <w:noProof/>
          <w:color w:val="000000"/>
          <w:sz w:val="24"/>
        </w:rPr>
        <w:sectPr w:rsidR="000D1388" w:rsidRPr="009D65D8" w:rsidSect="00E71057">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360"/>
        </w:sectPr>
      </w:pPr>
      <w:r>
        <w:rPr>
          <w:rFonts w:ascii="Times New Roman" w:hAnsi="Times New Roman"/>
          <w:noProof/>
          <w:color w:val="000000"/>
          <w:sz w:val="24"/>
        </w:rPr>
        <w:t xml:space="preserve">Ces mesures de réforme visent à améliorer l’efficacité de l’activation des chercheurs d’emploi en Wallonie en </w:t>
      </w:r>
      <w:r>
        <w:rPr>
          <w:rFonts w:ascii="Times New Roman" w:hAnsi="Times New Roman"/>
          <w:noProof/>
          <w:sz w:val="24"/>
        </w:rPr>
        <w:t xml:space="preserve">adaptant le décret relatif à l’accompagnement orienté coaching et solutions des chercheurs d’emploi. Le </w:t>
      </w:r>
      <w:r>
        <w:rPr>
          <w:rFonts w:ascii="Times New Roman" w:hAnsi="Times New Roman"/>
          <w:noProof/>
          <w:color w:val="000000"/>
          <w:sz w:val="24"/>
        </w:rPr>
        <w:t>nouvel accompagnement orienté coaching et solutions des chercheurs d’emploi vise à accompagner tous les chercheurs d’emploi, à exploiter toutes les informations disponibles, à vérifier les compétences dès l’inscription et à optimiser les collaborations entre le Service public wallon de l’emploi (Forem) et les partenaires d’accompagnement. La réforme tirera parti d’outils digitaux performants permettant de gérer les parcours à distance et/ou en vis-à-vis pour les chercheurs d’emploi plus autonomes, tout en renforçant le soutien en vis-à-vis pour ceux qui en ont le plus besoin. Le décret relatif à l’accompagnement orienté coaching et solutions des chercheurs d’emploi devrait être adopté d’ici le 30 septembre 2021 et entrer en vigueur 10 jours après sa publication au Moniteur belge.</w:t>
      </w:r>
    </w:p>
    <w:p w14:paraId="6BA45556"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b/>
          <w:noProof/>
          <w:sz w:val="24"/>
          <w:u w:val="single"/>
        </w:rPr>
        <w:t xml:space="preserve">N.2.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559"/>
        <w:gridCol w:w="709"/>
        <w:gridCol w:w="1559"/>
        <w:gridCol w:w="1276"/>
        <w:gridCol w:w="1175"/>
        <w:gridCol w:w="1098"/>
        <w:gridCol w:w="993"/>
        <w:gridCol w:w="1128"/>
        <w:gridCol w:w="851"/>
        <w:gridCol w:w="4258"/>
      </w:tblGrid>
      <w:tr w:rsidR="00E71057" w:rsidRPr="00481798" w14:paraId="4061FA10" w14:textId="77777777" w:rsidTr="002F0621">
        <w:trPr>
          <w:trHeight w:val="939"/>
          <w:tblHeader/>
          <w:jc w:val="center"/>
        </w:trPr>
        <w:tc>
          <w:tcPr>
            <w:tcW w:w="1271" w:type="dxa"/>
            <w:vMerge w:val="restart"/>
            <w:shd w:val="clear" w:color="auto" w:fill="BDD7EE"/>
            <w:vAlign w:val="center"/>
            <w:hideMark/>
          </w:tcPr>
          <w:p w14:paraId="1A6AC2A6"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559" w:type="dxa"/>
            <w:vMerge w:val="restart"/>
            <w:shd w:val="clear" w:color="auto" w:fill="BDD7EE"/>
            <w:vAlign w:val="center"/>
            <w:hideMark/>
          </w:tcPr>
          <w:p w14:paraId="0CBA1E45"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709" w:type="dxa"/>
            <w:vMerge w:val="restart"/>
            <w:shd w:val="clear" w:color="auto" w:fill="BDD7EE"/>
            <w:vAlign w:val="center"/>
            <w:hideMark/>
          </w:tcPr>
          <w:p w14:paraId="5B27E6E0"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59" w:type="dxa"/>
            <w:vMerge w:val="restart"/>
            <w:shd w:val="clear" w:color="auto" w:fill="BDD7EE"/>
            <w:vAlign w:val="center"/>
            <w:hideMark/>
          </w:tcPr>
          <w:p w14:paraId="24D106DA"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276" w:type="dxa"/>
            <w:vMerge w:val="restart"/>
            <w:shd w:val="clear" w:color="auto" w:fill="BDD7EE"/>
            <w:vAlign w:val="center"/>
            <w:hideMark/>
          </w:tcPr>
          <w:p w14:paraId="0200AD1E"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266" w:type="dxa"/>
            <w:gridSpan w:val="3"/>
            <w:shd w:val="clear" w:color="auto" w:fill="BDD7EE"/>
            <w:vAlign w:val="center"/>
            <w:hideMark/>
          </w:tcPr>
          <w:p w14:paraId="6EFE1C28"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79" w:type="dxa"/>
            <w:gridSpan w:val="2"/>
            <w:shd w:val="clear" w:color="auto" w:fill="BDD7EE"/>
            <w:vAlign w:val="center"/>
            <w:hideMark/>
          </w:tcPr>
          <w:p w14:paraId="258B1695"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4258" w:type="dxa"/>
            <w:vMerge w:val="restart"/>
            <w:shd w:val="clear" w:color="auto" w:fill="BDD7EE"/>
            <w:vAlign w:val="center"/>
            <w:hideMark/>
          </w:tcPr>
          <w:p w14:paraId="63EE19D5"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F76C04" w:rsidRPr="00481798" w14:paraId="6B546E57" w14:textId="77777777" w:rsidTr="002F0621">
        <w:trPr>
          <w:trHeight w:val="1027"/>
          <w:jc w:val="center"/>
        </w:trPr>
        <w:tc>
          <w:tcPr>
            <w:tcW w:w="1271" w:type="dxa"/>
            <w:vMerge/>
            <w:vAlign w:val="center"/>
            <w:hideMark/>
          </w:tcPr>
          <w:p w14:paraId="09C3110E"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59" w:type="dxa"/>
            <w:vMerge/>
            <w:vAlign w:val="center"/>
            <w:hideMark/>
          </w:tcPr>
          <w:p w14:paraId="1B720661"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709" w:type="dxa"/>
            <w:vMerge/>
            <w:vAlign w:val="center"/>
            <w:hideMark/>
          </w:tcPr>
          <w:p w14:paraId="006B64E0"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59" w:type="dxa"/>
            <w:vMerge/>
            <w:vAlign w:val="center"/>
            <w:hideMark/>
          </w:tcPr>
          <w:p w14:paraId="33098A3E"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276" w:type="dxa"/>
            <w:vMerge/>
            <w:vAlign w:val="center"/>
            <w:hideMark/>
          </w:tcPr>
          <w:p w14:paraId="10092E17"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175" w:type="dxa"/>
            <w:shd w:val="clear" w:color="auto" w:fill="BDD7EE"/>
            <w:vAlign w:val="center"/>
            <w:hideMark/>
          </w:tcPr>
          <w:p w14:paraId="4B39E4DC"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98" w:type="dxa"/>
            <w:shd w:val="clear" w:color="auto" w:fill="BDD7EE"/>
            <w:vAlign w:val="center"/>
            <w:hideMark/>
          </w:tcPr>
          <w:p w14:paraId="070DAC79"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3" w:type="dxa"/>
            <w:shd w:val="clear" w:color="auto" w:fill="BDD7EE"/>
            <w:vAlign w:val="center"/>
            <w:hideMark/>
          </w:tcPr>
          <w:p w14:paraId="329E3FFA"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28" w:type="dxa"/>
            <w:shd w:val="clear" w:color="auto" w:fill="BDD7EE"/>
            <w:vAlign w:val="center"/>
            <w:hideMark/>
          </w:tcPr>
          <w:p w14:paraId="7C091F20"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hideMark/>
          </w:tcPr>
          <w:p w14:paraId="04FC0F81"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4258" w:type="dxa"/>
            <w:vMerge/>
            <w:vAlign w:val="center"/>
            <w:hideMark/>
          </w:tcPr>
          <w:p w14:paraId="54EB8B86"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r>
      <w:tr w:rsidR="00F76C04" w:rsidRPr="00481798" w14:paraId="7E64B4A1" w14:textId="77777777" w:rsidTr="002F0621">
        <w:trPr>
          <w:trHeight w:val="313"/>
          <w:jc w:val="center"/>
        </w:trPr>
        <w:tc>
          <w:tcPr>
            <w:tcW w:w="1271" w:type="dxa"/>
            <w:shd w:val="clear" w:color="auto" w:fill="C6EFCE"/>
            <w:noWrap/>
            <w:vAlign w:val="center"/>
            <w:hideMark/>
          </w:tcPr>
          <w:p w14:paraId="2119F791"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159</w:t>
            </w:r>
          </w:p>
        </w:tc>
        <w:tc>
          <w:tcPr>
            <w:tcW w:w="1559" w:type="dxa"/>
            <w:shd w:val="clear" w:color="auto" w:fill="C6EFCE"/>
            <w:noWrap/>
            <w:vAlign w:val="center"/>
          </w:tcPr>
          <w:p w14:paraId="7C3B482B"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A6K/E6K </w:t>
            </w:r>
          </w:p>
          <w:p w14:paraId="094C994D"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Hub d’innovation et de formation numérique et technologique (I-5.01)</w:t>
            </w:r>
          </w:p>
        </w:tc>
        <w:tc>
          <w:tcPr>
            <w:tcW w:w="709" w:type="dxa"/>
            <w:shd w:val="clear" w:color="auto" w:fill="C6EFCE"/>
            <w:noWrap/>
            <w:vAlign w:val="center"/>
            <w:hideMark/>
          </w:tcPr>
          <w:p w14:paraId="5AA1E63A"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100A354F"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Activité développée via le A6K-E6K</w:t>
            </w:r>
          </w:p>
        </w:tc>
        <w:tc>
          <w:tcPr>
            <w:tcW w:w="1276" w:type="dxa"/>
            <w:shd w:val="clear" w:color="auto" w:fill="C6EFCE"/>
            <w:noWrap/>
            <w:vAlign w:val="center"/>
            <w:hideMark/>
          </w:tcPr>
          <w:p w14:paraId="72ABE34D"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Rapport sur les étapes de développement achevées établi par le comité de pilotage</w:t>
            </w:r>
          </w:p>
        </w:tc>
        <w:tc>
          <w:tcPr>
            <w:tcW w:w="1175" w:type="dxa"/>
            <w:shd w:val="clear" w:color="auto" w:fill="C6EFCE"/>
            <w:noWrap/>
            <w:vAlign w:val="center"/>
            <w:hideMark/>
          </w:tcPr>
          <w:p w14:paraId="473BE560" w14:textId="77777777" w:rsidR="000D1388" w:rsidRPr="00746A1A" w:rsidRDefault="000D1388">
            <w:pPr>
              <w:spacing w:after="0"/>
              <w:jc w:val="center"/>
              <w:rPr>
                <w:rFonts w:ascii="Times New Roman" w:eastAsia="Calibri" w:hAnsi="Times New Roman" w:cs="Times New Roman"/>
                <w:noProof/>
                <w:color w:val="006100"/>
                <w:sz w:val="20"/>
                <w:szCs w:val="20"/>
                <w:lang w:val="fr-BE"/>
              </w:rPr>
            </w:pPr>
          </w:p>
        </w:tc>
        <w:tc>
          <w:tcPr>
            <w:tcW w:w="1098" w:type="dxa"/>
            <w:shd w:val="clear" w:color="auto" w:fill="C6EFCE"/>
            <w:noWrap/>
            <w:vAlign w:val="center"/>
          </w:tcPr>
          <w:p w14:paraId="5FDB7CFF" w14:textId="77777777" w:rsidR="000D1388" w:rsidRPr="00746A1A" w:rsidRDefault="000D1388">
            <w:pPr>
              <w:spacing w:after="0"/>
              <w:jc w:val="center"/>
              <w:rPr>
                <w:rFonts w:ascii="Times New Roman" w:eastAsia="Calibri" w:hAnsi="Times New Roman" w:cs="Times New Roman"/>
                <w:noProof/>
                <w:color w:val="006100"/>
                <w:sz w:val="20"/>
                <w:szCs w:val="20"/>
                <w:lang w:val="fr-BE"/>
              </w:rPr>
            </w:pPr>
          </w:p>
        </w:tc>
        <w:tc>
          <w:tcPr>
            <w:tcW w:w="993" w:type="dxa"/>
            <w:shd w:val="clear" w:color="auto" w:fill="C6EFCE"/>
            <w:noWrap/>
            <w:vAlign w:val="center"/>
          </w:tcPr>
          <w:p w14:paraId="02573CC6" w14:textId="77777777" w:rsidR="000D1388" w:rsidRPr="00746A1A" w:rsidRDefault="000D1388">
            <w:pPr>
              <w:spacing w:after="0"/>
              <w:jc w:val="center"/>
              <w:rPr>
                <w:rFonts w:ascii="Times New Roman" w:eastAsia="Calibri" w:hAnsi="Times New Roman" w:cs="Times New Roman"/>
                <w:noProof/>
                <w:color w:val="006100"/>
                <w:sz w:val="20"/>
                <w:szCs w:val="20"/>
                <w:lang w:val="fr-BE"/>
              </w:rPr>
            </w:pPr>
          </w:p>
        </w:tc>
        <w:tc>
          <w:tcPr>
            <w:tcW w:w="1128" w:type="dxa"/>
            <w:shd w:val="clear" w:color="auto" w:fill="C6EFCE"/>
            <w:noWrap/>
            <w:vAlign w:val="center"/>
            <w:hideMark/>
          </w:tcPr>
          <w:p w14:paraId="67C32E40"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T1</w:t>
            </w:r>
          </w:p>
        </w:tc>
        <w:tc>
          <w:tcPr>
            <w:tcW w:w="851" w:type="dxa"/>
            <w:shd w:val="clear" w:color="auto" w:fill="C6EFCE"/>
            <w:noWrap/>
            <w:vAlign w:val="center"/>
            <w:hideMark/>
          </w:tcPr>
          <w:p w14:paraId="45D2418B"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2023</w:t>
            </w:r>
          </w:p>
        </w:tc>
        <w:tc>
          <w:tcPr>
            <w:tcW w:w="4258" w:type="dxa"/>
            <w:shd w:val="clear" w:color="auto" w:fill="C6EFCE"/>
            <w:noWrap/>
            <w:vAlign w:val="center"/>
          </w:tcPr>
          <w:p w14:paraId="2E293861"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 sur l’achèvement des étapes de développement pour l’établissement du Hub d’innovation et de formation numérique et technologique: développement de l’offre d’incubation par la mise en place d’un «venture builder», développement de l’offre de formation numérique, appel à projets pour les start-up achevé, démonstrateurs technologiques et infrastructures liées aux projets collaboratifs opérationnels</w:t>
            </w:r>
          </w:p>
        </w:tc>
      </w:tr>
      <w:tr w:rsidR="00F76C04" w:rsidRPr="00481798" w14:paraId="61956470" w14:textId="77777777" w:rsidTr="002F0621">
        <w:trPr>
          <w:trHeight w:val="313"/>
          <w:jc w:val="center"/>
        </w:trPr>
        <w:tc>
          <w:tcPr>
            <w:tcW w:w="1271" w:type="dxa"/>
            <w:shd w:val="clear" w:color="auto" w:fill="C6EFCE"/>
            <w:noWrap/>
            <w:vAlign w:val="center"/>
            <w:hideMark/>
          </w:tcPr>
          <w:p w14:paraId="78728B0E"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160</w:t>
            </w:r>
          </w:p>
        </w:tc>
        <w:tc>
          <w:tcPr>
            <w:tcW w:w="1559" w:type="dxa"/>
            <w:shd w:val="clear" w:color="auto" w:fill="C6EFCE"/>
            <w:noWrap/>
            <w:vAlign w:val="center"/>
          </w:tcPr>
          <w:p w14:paraId="5D4DA0FA"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Mise à niveau des infrastructures de formation de pointe (I-5.03)</w:t>
            </w:r>
          </w:p>
        </w:tc>
        <w:tc>
          <w:tcPr>
            <w:tcW w:w="709" w:type="dxa"/>
            <w:shd w:val="clear" w:color="auto" w:fill="C6EFCE"/>
            <w:noWrap/>
            <w:vAlign w:val="center"/>
            <w:hideMark/>
          </w:tcPr>
          <w:p w14:paraId="062591A2"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6A509C29" w14:textId="77777777" w:rsidR="000D1388" w:rsidRPr="00481798"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et équipements</w:t>
            </w:r>
          </w:p>
        </w:tc>
        <w:tc>
          <w:tcPr>
            <w:tcW w:w="1276" w:type="dxa"/>
            <w:shd w:val="clear" w:color="auto" w:fill="C6EFCE"/>
            <w:noWrap/>
            <w:vAlign w:val="center"/>
            <w:hideMark/>
          </w:tcPr>
          <w:p w14:paraId="3183C675"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175" w:type="dxa"/>
            <w:shd w:val="clear" w:color="auto" w:fill="C6EFCE"/>
            <w:noWrap/>
            <w:vAlign w:val="center"/>
            <w:hideMark/>
          </w:tcPr>
          <w:p w14:paraId="2761501F"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m²</w:t>
            </w:r>
          </w:p>
        </w:tc>
        <w:tc>
          <w:tcPr>
            <w:tcW w:w="1098" w:type="dxa"/>
            <w:shd w:val="clear" w:color="auto" w:fill="C6EFCE"/>
            <w:noWrap/>
            <w:vAlign w:val="center"/>
          </w:tcPr>
          <w:p w14:paraId="5B4B7207"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78625C4B"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 xml:space="preserve">8 935 </w:t>
            </w:r>
          </w:p>
        </w:tc>
        <w:tc>
          <w:tcPr>
            <w:tcW w:w="1128" w:type="dxa"/>
            <w:shd w:val="clear" w:color="auto" w:fill="C6EFCE"/>
            <w:noWrap/>
            <w:vAlign w:val="center"/>
            <w:hideMark/>
          </w:tcPr>
          <w:p w14:paraId="707B9CB5"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hideMark/>
          </w:tcPr>
          <w:p w14:paraId="5137C882"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2025</w:t>
            </w:r>
          </w:p>
        </w:tc>
        <w:tc>
          <w:tcPr>
            <w:tcW w:w="4258" w:type="dxa"/>
            <w:shd w:val="clear" w:color="auto" w:fill="C6EFCE"/>
            <w:noWrap/>
            <w:vAlign w:val="center"/>
          </w:tcPr>
          <w:p w14:paraId="64140DB3"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8 935 m² de bâtiments:</w:t>
            </w:r>
          </w:p>
          <w:p w14:paraId="705E6A22" w14:textId="77777777" w:rsidR="000D1388" w:rsidRPr="00481798" w:rsidRDefault="00E71057" w:rsidP="00F70F65">
            <w:pPr>
              <w:numPr>
                <w:ilvl w:val="0"/>
                <w:numId w:val="52"/>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Technocité – achat et aménagement du (des) bâtiment(s) </w:t>
            </w:r>
          </w:p>
          <w:p w14:paraId="711A9FF2" w14:textId="77777777" w:rsidR="000D1388" w:rsidRPr="00481798" w:rsidRDefault="00E71057" w:rsidP="00F70F65">
            <w:pPr>
              <w:numPr>
                <w:ilvl w:val="0"/>
                <w:numId w:val="52"/>
              </w:numPr>
              <w:spacing w:after="0"/>
              <w:contextualSpacing/>
              <w:rPr>
                <w:rFonts w:ascii="Times New Roman" w:eastAsia="Calibri" w:hAnsi="Times New Roman" w:cs="Arial"/>
                <w:noProof/>
                <w:color w:val="006100"/>
                <w:sz w:val="20"/>
                <w:szCs w:val="20"/>
              </w:rPr>
            </w:pPr>
            <w:r>
              <w:rPr>
                <w:rFonts w:ascii="Times New Roman" w:hAnsi="Times New Roman"/>
                <w:noProof/>
                <w:color w:val="006100"/>
                <w:sz w:val="20"/>
              </w:rPr>
              <w:t>Infrastructure Forem – construction du (des) bâtiment(s)</w:t>
            </w:r>
          </w:p>
          <w:p w14:paraId="25770206" w14:textId="77777777" w:rsidR="000D1388" w:rsidRPr="00481798" w:rsidRDefault="00E71057" w:rsidP="00F70F65">
            <w:pPr>
              <w:numPr>
                <w:ilvl w:val="0"/>
                <w:numId w:val="52"/>
              </w:numPr>
              <w:spacing w:after="0"/>
              <w:contextualSpacing/>
              <w:rPr>
                <w:rFonts w:ascii="Times New Roman" w:eastAsia="Calibri" w:hAnsi="Times New Roman" w:cs="Arial"/>
                <w:noProof/>
                <w:color w:val="006100"/>
                <w:sz w:val="20"/>
                <w:szCs w:val="20"/>
              </w:rPr>
            </w:pPr>
            <w:r>
              <w:rPr>
                <w:rFonts w:ascii="Times New Roman" w:hAnsi="Times New Roman"/>
                <w:noProof/>
                <w:color w:val="006100"/>
                <w:sz w:val="20"/>
              </w:rPr>
              <w:t>Centre des Éco-technologies – Mons – construction, aménagement et équipement du (des) bâtiment(s)</w:t>
            </w:r>
          </w:p>
        </w:tc>
      </w:tr>
      <w:tr w:rsidR="00F76C04" w:rsidRPr="00481798" w14:paraId="1A12F9F6" w14:textId="77777777" w:rsidTr="002F0621">
        <w:trPr>
          <w:trHeight w:val="1122"/>
          <w:jc w:val="center"/>
        </w:trPr>
        <w:tc>
          <w:tcPr>
            <w:tcW w:w="1271" w:type="dxa"/>
            <w:shd w:val="clear" w:color="auto" w:fill="C6EFCE"/>
            <w:noWrap/>
            <w:vAlign w:val="center"/>
            <w:hideMark/>
          </w:tcPr>
          <w:p w14:paraId="3B3B08BC"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161</w:t>
            </w:r>
          </w:p>
        </w:tc>
        <w:tc>
          <w:tcPr>
            <w:tcW w:w="1559" w:type="dxa"/>
            <w:shd w:val="clear" w:color="auto" w:fill="C6EFCE"/>
            <w:noWrap/>
            <w:vAlign w:val="center"/>
            <w:hideMark/>
          </w:tcPr>
          <w:p w14:paraId="62CAEB49"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EU Biotech Campus (I-5.02)</w:t>
            </w:r>
          </w:p>
        </w:tc>
        <w:tc>
          <w:tcPr>
            <w:tcW w:w="709" w:type="dxa"/>
            <w:shd w:val="clear" w:color="auto" w:fill="C6EFCE"/>
            <w:noWrap/>
            <w:vAlign w:val="center"/>
            <w:hideMark/>
          </w:tcPr>
          <w:p w14:paraId="1DB14B4E"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hideMark/>
          </w:tcPr>
          <w:p w14:paraId="35A2A583" w14:textId="77777777" w:rsidR="000D1388" w:rsidRPr="00481798"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et équipements</w:t>
            </w:r>
          </w:p>
        </w:tc>
        <w:tc>
          <w:tcPr>
            <w:tcW w:w="1276" w:type="dxa"/>
            <w:shd w:val="clear" w:color="auto" w:fill="C6EFCE"/>
            <w:noWrap/>
            <w:vAlign w:val="center"/>
            <w:hideMark/>
          </w:tcPr>
          <w:p w14:paraId="3BB45294"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175" w:type="dxa"/>
            <w:shd w:val="clear" w:color="auto" w:fill="C6EFCE"/>
            <w:noWrap/>
            <w:vAlign w:val="center"/>
            <w:hideMark/>
          </w:tcPr>
          <w:p w14:paraId="0FD0D641"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m²</w:t>
            </w:r>
          </w:p>
        </w:tc>
        <w:tc>
          <w:tcPr>
            <w:tcW w:w="1098" w:type="dxa"/>
            <w:shd w:val="clear" w:color="auto" w:fill="C6EFCE"/>
            <w:noWrap/>
            <w:vAlign w:val="center"/>
            <w:hideMark/>
          </w:tcPr>
          <w:p w14:paraId="59B830F6"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hideMark/>
          </w:tcPr>
          <w:p w14:paraId="0A3B33CC"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5 500</w:t>
            </w:r>
          </w:p>
        </w:tc>
        <w:tc>
          <w:tcPr>
            <w:tcW w:w="1128" w:type="dxa"/>
            <w:shd w:val="clear" w:color="auto" w:fill="C6EFCE"/>
            <w:noWrap/>
            <w:vAlign w:val="center"/>
            <w:hideMark/>
          </w:tcPr>
          <w:p w14:paraId="1C3ED834"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T3</w:t>
            </w:r>
          </w:p>
        </w:tc>
        <w:tc>
          <w:tcPr>
            <w:tcW w:w="851" w:type="dxa"/>
            <w:shd w:val="clear" w:color="auto" w:fill="C6EFCE"/>
            <w:noWrap/>
            <w:vAlign w:val="center"/>
            <w:hideMark/>
          </w:tcPr>
          <w:p w14:paraId="31F8F41F"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2025</w:t>
            </w:r>
          </w:p>
        </w:tc>
        <w:tc>
          <w:tcPr>
            <w:tcW w:w="4258" w:type="dxa"/>
            <w:shd w:val="clear" w:color="auto" w:fill="C6EFCE"/>
            <w:noWrap/>
            <w:vAlign w:val="center"/>
          </w:tcPr>
          <w:p w14:paraId="36BA09B3"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5 500 m² de bâtiments équipés de modules de réalité virtuelle, un espace d’immersion STIM, un matériel de jumelage numérique, un équipement numérique pour les salles d’apprentissage et des lignes de production robotisées.</w:t>
            </w:r>
          </w:p>
        </w:tc>
      </w:tr>
      <w:tr w:rsidR="00F76C04" w:rsidRPr="00481798" w14:paraId="78EE1B72" w14:textId="77777777" w:rsidTr="002F0621">
        <w:trPr>
          <w:trHeight w:val="313"/>
          <w:jc w:val="center"/>
        </w:trPr>
        <w:tc>
          <w:tcPr>
            <w:tcW w:w="1271" w:type="dxa"/>
            <w:shd w:val="clear" w:color="auto" w:fill="C6EFCE"/>
            <w:noWrap/>
            <w:vAlign w:val="center"/>
            <w:hideMark/>
          </w:tcPr>
          <w:p w14:paraId="650C155A"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162</w:t>
            </w:r>
          </w:p>
        </w:tc>
        <w:tc>
          <w:tcPr>
            <w:tcW w:w="1559" w:type="dxa"/>
            <w:shd w:val="clear" w:color="auto" w:fill="C6EFCE"/>
            <w:noWrap/>
            <w:vAlign w:val="center"/>
            <w:hideMark/>
          </w:tcPr>
          <w:p w14:paraId="1B9C065F"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A6K/E6K Hub d’innovation et de formation numérique et technologique (I-5.01)</w:t>
            </w:r>
          </w:p>
        </w:tc>
        <w:tc>
          <w:tcPr>
            <w:tcW w:w="709" w:type="dxa"/>
            <w:shd w:val="clear" w:color="auto" w:fill="C6EFCE"/>
            <w:noWrap/>
            <w:vAlign w:val="center"/>
            <w:hideMark/>
          </w:tcPr>
          <w:p w14:paraId="4BAD3AD6"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hideMark/>
          </w:tcPr>
          <w:p w14:paraId="4FB6F2CA" w14:textId="04D52F12" w:rsidR="000D1388" w:rsidRPr="00481798" w:rsidRDefault="005D0B99">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Bâtiments rénovés ou construits </w:t>
            </w:r>
          </w:p>
        </w:tc>
        <w:tc>
          <w:tcPr>
            <w:tcW w:w="1276" w:type="dxa"/>
            <w:shd w:val="clear" w:color="auto" w:fill="C6EFCE"/>
            <w:noWrap/>
            <w:vAlign w:val="center"/>
          </w:tcPr>
          <w:p w14:paraId="388D216D"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175" w:type="dxa"/>
            <w:shd w:val="clear" w:color="auto" w:fill="C6EFCE"/>
            <w:noWrap/>
            <w:vAlign w:val="center"/>
            <w:hideMark/>
          </w:tcPr>
          <w:p w14:paraId="1948179C" w14:textId="7A654E89" w:rsidR="000D1388" w:rsidRPr="00481798" w:rsidRDefault="009B04D5">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Bâtiments</w:t>
            </w:r>
          </w:p>
        </w:tc>
        <w:tc>
          <w:tcPr>
            <w:tcW w:w="1098" w:type="dxa"/>
            <w:shd w:val="clear" w:color="auto" w:fill="C6EFCE"/>
            <w:noWrap/>
            <w:vAlign w:val="center"/>
            <w:hideMark/>
          </w:tcPr>
          <w:p w14:paraId="7DBE7A4F" w14:textId="1B82C626" w:rsidR="000D1388" w:rsidRPr="00481798" w:rsidRDefault="009B04D5">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hideMark/>
          </w:tcPr>
          <w:p w14:paraId="0F672336" w14:textId="02F85FDF" w:rsidR="000D1388" w:rsidRPr="00481798" w:rsidRDefault="009B04D5">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w:t>
            </w:r>
          </w:p>
        </w:tc>
        <w:tc>
          <w:tcPr>
            <w:tcW w:w="1128" w:type="dxa"/>
            <w:shd w:val="clear" w:color="auto" w:fill="C6EFCE"/>
            <w:noWrap/>
            <w:vAlign w:val="center"/>
            <w:hideMark/>
          </w:tcPr>
          <w:p w14:paraId="02BE817F"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hideMark/>
          </w:tcPr>
          <w:p w14:paraId="617AA56C"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4258" w:type="dxa"/>
            <w:shd w:val="clear" w:color="auto" w:fill="C6EFCE"/>
            <w:noWrap/>
            <w:vAlign w:val="center"/>
          </w:tcPr>
          <w:p w14:paraId="39291A98" w14:textId="36422A3E" w:rsidR="000D1388" w:rsidRPr="00481798" w:rsidRDefault="00EF253F">
            <w:pPr>
              <w:spacing w:after="0"/>
              <w:rPr>
                <w:rFonts w:ascii="Times New Roman" w:eastAsia="Calibri" w:hAnsi="Times New Roman" w:cs="Arial"/>
                <w:noProof/>
                <w:color w:val="006100"/>
                <w:sz w:val="20"/>
                <w:szCs w:val="20"/>
              </w:rPr>
            </w:pPr>
            <w:r>
              <w:rPr>
                <w:rFonts w:ascii="Times New Roman" w:hAnsi="Times New Roman"/>
                <w:noProof/>
                <w:color w:val="006100"/>
                <w:sz w:val="20"/>
              </w:rPr>
              <w:t>Deux bâtiments rénovés ou construits</w:t>
            </w:r>
          </w:p>
        </w:tc>
      </w:tr>
      <w:tr w:rsidR="00F76C04" w:rsidRPr="00481798" w14:paraId="1FD576FE" w14:textId="77777777" w:rsidTr="002F0621">
        <w:trPr>
          <w:trHeight w:val="313"/>
          <w:jc w:val="center"/>
        </w:trPr>
        <w:tc>
          <w:tcPr>
            <w:tcW w:w="1271" w:type="dxa"/>
            <w:shd w:val="clear" w:color="auto" w:fill="C6EFCE"/>
            <w:noWrap/>
            <w:vAlign w:val="center"/>
          </w:tcPr>
          <w:p w14:paraId="619FE9A3"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163</w:t>
            </w:r>
          </w:p>
        </w:tc>
        <w:tc>
          <w:tcPr>
            <w:tcW w:w="1559" w:type="dxa"/>
            <w:shd w:val="clear" w:color="auto" w:fill="C6EFCE"/>
            <w:noWrap/>
            <w:vAlign w:val="center"/>
          </w:tcPr>
          <w:p w14:paraId="4ED2EA8E"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Mise à niveau des infrastructures de formation de pointe (I-5.03)</w:t>
            </w:r>
          </w:p>
        </w:tc>
        <w:tc>
          <w:tcPr>
            <w:tcW w:w="709" w:type="dxa"/>
            <w:shd w:val="clear" w:color="auto" w:fill="C6EFCE"/>
            <w:noWrap/>
            <w:vAlign w:val="center"/>
          </w:tcPr>
          <w:p w14:paraId="0C7D2959"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38A7F40E" w14:textId="77777777" w:rsidR="000D1388" w:rsidRPr="00481798"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et équipements</w:t>
            </w:r>
          </w:p>
        </w:tc>
        <w:tc>
          <w:tcPr>
            <w:tcW w:w="1276" w:type="dxa"/>
            <w:shd w:val="clear" w:color="auto" w:fill="C6EFCE"/>
            <w:noWrap/>
            <w:vAlign w:val="center"/>
          </w:tcPr>
          <w:p w14:paraId="1E4A83D2"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175" w:type="dxa"/>
            <w:shd w:val="clear" w:color="auto" w:fill="C6EFCE"/>
            <w:noWrap/>
            <w:vAlign w:val="center"/>
          </w:tcPr>
          <w:p w14:paraId="2BAFD4C0"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m²</w:t>
            </w:r>
          </w:p>
        </w:tc>
        <w:tc>
          <w:tcPr>
            <w:tcW w:w="1098" w:type="dxa"/>
            <w:shd w:val="clear" w:color="auto" w:fill="C6EFCE"/>
            <w:noWrap/>
            <w:vAlign w:val="center"/>
          </w:tcPr>
          <w:p w14:paraId="13818BD7" w14:textId="77777777" w:rsidR="000D1388" w:rsidRPr="00481798" w:rsidRDefault="00E71057" w:rsidP="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8 935</w:t>
            </w:r>
          </w:p>
        </w:tc>
        <w:tc>
          <w:tcPr>
            <w:tcW w:w="993" w:type="dxa"/>
            <w:shd w:val="clear" w:color="auto" w:fill="C6EFCE"/>
            <w:noWrap/>
            <w:vAlign w:val="center"/>
          </w:tcPr>
          <w:p w14:paraId="6BDE7285" w14:textId="1483D514"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34 249</w:t>
            </w:r>
          </w:p>
        </w:tc>
        <w:tc>
          <w:tcPr>
            <w:tcW w:w="1128" w:type="dxa"/>
            <w:shd w:val="clear" w:color="auto" w:fill="C6EFCE"/>
            <w:noWrap/>
            <w:vAlign w:val="center"/>
          </w:tcPr>
          <w:p w14:paraId="4FDC5A17"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53791546"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4258" w:type="dxa"/>
            <w:shd w:val="clear" w:color="auto" w:fill="C6EFCE"/>
            <w:noWrap/>
            <w:vAlign w:val="center"/>
          </w:tcPr>
          <w:p w14:paraId="0D30F208" w14:textId="77777777" w:rsidR="0000231A" w:rsidRPr="00114731" w:rsidRDefault="0000231A" w:rsidP="0000231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Matériel acheté</w:t>
            </w:r>
          </w:p>
          <w:p w14:paraId="0C838458" w14:textId="42A1D02E" w:rsidR="0000231A" w:rsidRPr="00114731" w:rsidRDefault="0000231A" w:rsidP="0000231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25 314 m² de bâtiments construits ou rénovés, comprenant les bâtiments d’Aptaskil, l’Éco-Centre de formation de Belgrade, Technifutur et le Centre des Éco-Technologies de Jemappes.</w:t>
            </w:r>
          </w:p>
          <w:p w14:paraId="12108BF2" w14:textId="35800A90" w:rsidR="000D1388" w:rsidRPr="00481798" w:rsidRDefault="0000231A" w:rsidP="00906F53">
            <w:p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Construction de l’extension d’Aptaskil et aménagement du bâtiment du Forem grâce au financement au titre de la FRR, selon les rapports d’avancement au 4 mai 2022, pour un montant total d’au moins 1,6 million d’EUR.</w:t>
            </w:r>
            <w:r>
              <w:rPr>
                <w:rFonts w:ascii="Times New Roman" w:hAnsi="Times New Roman"/>
                <w:noProof/>
                <w:color w:val="881798"/>
                <w:sz w:val="20"/>
                <w:u w:val="single"/>
              </w:rPr>
              <w:t xml:space="preserve"> </w:t>
            </w:r>
          </w:p>
        </w:tc>
      </w:tr>
      <w:tr w:rsidR="00F76C04" w:rsidRPr="00481798" w14:paraId="0DF64621" w14:textId="77777777" w:rsidTr="002F0621">
        <w:trPr>
          <w:trHeight w:val="313"/>
          <w:jc w:val="center"/>
        </w:trPr>
        <w:tc>
          <w:tcPr>
            <w:tcW w:w="1271" w:type="dxa"/>
            <w:shd w:val="clear" w:color="auto" w:fill="C6EFCE"/>
            <w:noWrap/>
            <w:vAlign w:val="center"/>
          </w:tcPr>
          <w:p w14:paraId="5B42AAF7"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164</w:t>
            </w:r>
          </w:p>
        </w:tc>
        <w:tc>
          <w:tcPr>
            <w:tcW w:w="1559" w:type="dxa"/>
            <w:shd w:val="clear" w:color="auto" w:fill="C6EFCE"/>
            <w:noWrap/>
            <w:vAlign w:val="center"/>
          </w:tcPr>
          <w:p w14:paraId="27A5A484"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Offensive d’apprentissage et de carrière (I-5.04)</w:t>
            </w:r>
          </w:p>
        </w:tc>
        <w:tc>
          <w:tcPr>
            <w:tcW w:w="709" w:type="dxa"/>
            <w:shd w:val="clear" w:color="auto" w:fill="C6EFCE"/>
            <w:noWrap/>
            <w:vAlign w:val="center"/>
          </w:tcPr>
          <w:p w14:paraId="18A52D2E"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13C2ED4B"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Soutien aux congés de formation et à l’offre de formation en ligne en Flandre</w:t>
            </w:r>
          </w:p>
        </w:tc>
        <w:tc>
          <w:tcPr>
            <w:tcW w:w="1276" w:type="dxa"/>
            <w:shd w:val="clear" w:color="auto" w:fill="C6EFCE"/>
            <w:noWrap/>
            <w:vAlign w:val="center"/>
          </w:tcPr>
          <w:p w14:paraId="381616D6"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75" w:type="dxa"/>
            <w:shd w:val="clear" w:color="auto" w:fill="C6EFCE"/>
            <w:noWrap/>
            <w:vAlign w:val="center"/>
          </w:tcPr>
          <w:p w14:paraId="4276D93F"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Nombre d’inscriptions à des formations en ligne/d’utilisations du droit à un congé de formation</w:t>
            </w:r>
          </w:p>
        </w:tc>
        <w:tc>
          <w:tcPr>
            <w:tcW w:w="1098" w:type="dxa"/>
            <w:shd w:val="clear" w:color="auto" w:fill="C6EFCE"/>
            <w:noWrap/>
            <w:vAlign w:val="center"/>
          </w:tcPr>
          <w:p w14:paraId="647926FE"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16D9C7B3"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307 500</w:t>
            </w:r>
          </w:p>
        </w:tc>
        <w:tc>
          <w:tcPr>
            <w:tcW w:w="1128" w:type="dxa"/>
            <w:shd w:val="clear" w:color="auto" w:fill="C6EFCE"/>
            <w:noWrap/>
            <w:vAlign w:val="center"/>
          </w:tcPr>
          <w:p w14:paraId="3BCEE74F"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0B8C8DE8"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2022</w:t>
            </w:r>
          </w:p>
        </w:tc>
        <w:tc>
          <w:tcPr>
            <w:tcW w:w="4258" w:type="dxa"/>
            <w:shd w:val="clear" w:color="auto" w:fill="C6EFCE"/>
            <w:noWrap/>
            <w:vAlign w:val="center"/>
          </w:tcPr>
          <w:p w14:paraId="2A2CA658"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Depuis 2021, 307 500 personnes ont utilisé leur droit à un congé de formation ou se sont inscrites à une offre de formation en ligne</w:t>
            </w:r>
          </w:p>
        </w:tc>
      </w:tr>
      <w:tr w:rsidR="00F76C04" w:rsidRPr="00481798" w14:paraId="68B45242" w14:textId="77777777" w:rsidTr="002F0621">
        <w:trPr>
          <w:trHeight w:val="313"/>
          <w:jc w:val="center"/>
        </w:trPr>
        <w:tc>
          <w:tcPr>
            <w:tcW w:w="1271" w:type="dxa"/>
            <w:shd w:val="clear" w:color="auto" w:fill="C6EFCE"/>
            <w:noWrap/>
            <w:vAlign w:val="center"/>
          </w:tcPr>
          <w:p w14:paraId="3BED1064"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165</w:t>
            </w:r>
          </w:p>
        </w:tc>
        <w:tc>
          <w:tcPr>
            <w:tcW w:w="1559" w:type="dxa"/>
            <w:shd w:val="clear" w:color="auto" w:fill="C6EFCE"/>
            <w:noWrap/>
            <w:vAlign w:val="center"/>
          </w:tcPr>
          <w:p w14:paraId="109AB335"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Offensive d’apprentissage et de carrière (I-5.04)</w:t>
            </w:r>
          </w:p>
        </w:tc>
        <w:tc>
          <w:tcPr>
            <w:tcW w:w="709" w:type="dxa"/>
            <w:shd w:val="clear" w:color="auto" w:fill="C6EFCE"/>
            <w:noWrap/>
            <w:vAlign w:val="center"/>
          </w:tcPr>
          <w:p w14:paraId="19D9BACB"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50DFBC9C"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aux entreprises en Flandre au moyen de bilans des compétences et appels à projets</w:t>
            </w:r>
          </w:p>
        </w:tc>
        <w:tc>
          <w:tcPr>
            <w:tcW w:w="1276" w:type="dxa"/>
            <w:shd w:val="clear" w:color="auto" w:fill="C6EFCE"/>
            <w:noWrap/>
            <w:vAlign w:val="center"/>
          </w:tcPr>
          <w:p w14:paraId="325395B9"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75" w:type="dxa"/>
            <w:shd w:val="clear" w:color="auto" w:fill="C6EFCE"/>
            <w:noWrap/>
            <w:vAlign w:val="center"/>
          </w:tcPr>
          <w:p w14:paraId="4BA3A702"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Entreprises</w:t>
            </w:r>
          </w:p>
        </w:tc>
        <w:tc>
          <w:tcPr>
            <w:tcW w:w="1098" w:type="dxa"/>
            <w:shd w:val="clear" w:color="auto" w:fill="C6EFCE"/>
            <w:noWrap/>
            <w:vAlign w:val="center"/>
          </w:tcPr>
          <w:p w14:paraId="604AD888"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3261CD52"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357</w:t>
            </w:r>
          </w:p>
        </w:tc>
        <w:tc>
          <w:tcPr>
            <w:tcW w:w="1128" w:type="dxa"/>
            <w:shd w:val="clear" w:color="auto" w:fill="C6EFCE"/>
            <w:noWrap/>
            <w:vAlign w:val="center"/>
          </w:tcPr>
          <w:p w14:paraId="6D0E9C8D"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6498BE4A"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2024</w:t>
            </w:r>
          </w:p>
        </w:tc>
        <w:tc>
          <w:tcPr>
            <w:tcW w:w="4258" w:type="dxa"/>
            <w:shd w:val="clear" w:color="auto" w:fill="C6EFCE"/>
            <w:noWrap/>
            <w:vAlign w:val="center"/>
          </w:tcPr>
          <w:p w14:paraId="52C8FA78"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357 entreprises ont bénéficié d’un soutien dans le cadre de l’un des projets suivants: </w:t>
            </w:r>
          </w:p>
          <w:p w14:paraId="033DA26B" w14:textId="77777777" w:rsidR="000D1388" w:rsidRPr="00481798" w:rsidRDefault="00E71057" w:rsidP="00F70F65">
            <w:pPr>
              <w:numPr>
                <w:ilvl w:val="0"/>
                <w:numId w:val="53"/>
              </w:numPr>
              <w:spacing w:after="0"/>
              <w:ind w:left="397" w:hanging="397"/>
              <w:contextualSpacing/>
              <w:rPr>
                <w:rFonts w:ascii="Times New Roman" w:eastAsia="Calibri" w:hAnsi="Times New Roman" w:cs="Arial"/>
                <w:noProof/>
                <w:color w:val="006100"/>
                <w:sz w:val="20"/>
                <w:szCs w:val="20"/>
              </w:rPr>
            </w:pPr>
            <w:r>
              <w:rPr>
                <w:rFonts w:ascii="Times New Roman" w:hAnsi="Times New Roman"/>
                <w:noProof/>
                <w:color w:val="006100"/>
                <w:sz w:val="20"/>
              </w:rPr>
              <w:t xml:space="preserve">Bilan de compétences pour les PME. </w:t>
            </w:r>
          </w:p>
          <w:p w14:paraId="6E8C87A9" w14:textId="77777777" w:rsidR="000D1388" w:rsidRPr="00481798" w:rsidRDefault="00E71057" w:rsidP="00F70F65">
            <w:pPr>
              <w:numPr>
                <w:ilvl w:val="0"/>
                <w:numId w:val="53"/>
              </w:numPr>
              <w:spacing w:after="0"/>
              <w:ind w:left="397" w:hanging="397"/>
              <w:contextualSpacing/>
              <w:rPr>
                <w:rFonts w:ascii="Times New Roman" w:eastAsia="Calibri" w:hAnsi="Times New Roman" w:cs="Arial"/>
                <w:noProof/>
                <w:color w:val="006100"/>
                <w:sz w:val="20"/>
                <w:szCs w:val="20"/>
              </w:rPr>
            </w:pPr>
            <w:r>
              <w:rPr>
                <w:rFonts w:ascii="Times New Roman" w:hAnsi="Times New Roman"/>
                <w:noProof/>
                <w:color w:val="006100"/>
                <w:sz w:val="20"/>
              </w:rPr>
              <w:t>Entreprises d’économie sociale soutenues dans leur transformation stratégique innovante par le biais d’un appel ouvert à l’innovation.</w:t>
            </w:r>
          </w:p>
          <w:p w14:paraId="203D3F5B" w14:textId="77777777" w:rsidR="000D1388" w:rsidRPr="00481798" w:rsidRDefault="00E71057" w:rsidP="00F70F65">
            <w:pPr>
              <w:numPr>
                <w:ilvl w:val="0"/>
                <w:numId w:val="53"/>
              </w:numPr>
              <w:spacing w:after="0"/>
              <w:ind w:left="397" w:hanging="397"/>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Entreprises d’économie sociale soutenues dans leur transformation stratégique innovante par une formation orientée vers l’avenir pour soutenir les groupes les plus vulnérables dans l’économie sociale.</w:t>
            </w:r>
          </w:p>
        </w:tc>
      </w:tr>
      <w:tr w:rsidR="00F76C04" w:rsidRPr="00481798" w14:paraId="75A0A2E6" w14:textId="77777777" w:rsidTr="002F0621">
        <w:trPr>
          <w:trHeight w:val="313"/>
          <w:jc w:val="center"/>
        </w:trPr>
        <w:tc>
          <w:tcPr>
            <w:tcW w:w="1271" w:type="dxa"/>
            <w:shd w:val="clear" w:color="auto" w:fill="C6EFCE"/>
            <w:noWrap/>
            <w:vAlign w:val="center"/>
          </w:tcPr>
          <w:p w14:paraId="68C4A3C3"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166</w:t>
            </w:r>
          </w:p>
        </w:tc>
        <w:tc>
          <w:tcPr>
            <w:tcW w:w="1559" w:type="dxa"/>
            <w:shd w:val="clear" w:color="auto" w:fill="C6EFCE"/>
            <w:noWrap/>
            <w:vAlign w:val="center"/>
          </w:tcPr>
          <w:p w14:paraId="5ACB5E5C"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Stratégie de relance du marché de l’emploi axée sur l’efficience et l’optimisation des politiques d’activation et de formation (I-5.05)</w:t>
            </w:r>
          </w:p>
        </w:tc>
        <w:tc>
          <w:tcPr>
            <w:tcW w:w="709" w:type="dxa"/>
            <w:shd w:val="clear" w:color="auto" w:fill="C6EFCE"/>
            <w:noWrap/>
            <w:vAlign w:val="center"/>
          </w:tcPr>
          <w:p w14:paraId="46EFC630"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77930650"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à l’activation des demandeurs d’emploi et des travailleurs à Bruxelles</w:t>
            </w:r>
          </w:p>
        </w:tc>
        <w:tc>
          <w:tcPr>
            <w:tcW w:w="1276" w:type="dxa"/>
            <w:shd w:val="clear" w:color="auto" w:fill="C6EFCE"/>
            <w:noWrap/>
            <w:vAlign w:val="center"/>
          </w:tcPr>
          <w:p w14:paraId="5E6613F6"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75" w:type="dxa"/>
            <w:shd w:val="clear" w:color="auto" w:fill="C6EFCE"/>
            <w:noWrap/>
            <w:vAlign w:val="center"/>
          </w:tcPr>
          <w:p w14:paraId="0D18A999"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Personnes</w:t>
            </w:r>
          </w:p>
        </w:tc>
        <w:tc>
          <w:tcPr>
            <w:tcW w:w="1098" w:type="dxa"/>
            <w:shd w:val="clear" w:color="auto" w:fill="C6EFCE"/>
            <w:noWrap/>
            <w:vAlign w:val="center"/>
          </w:tcPr>
          <w:p w14:paraId="062F1546"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574FC4DE"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600</w:t>
            </w:r>
          </w:p>
        </w:tc>
        <w:tc>
          <w:tcPr>
            <w:tcW w:w="1128" w:type="dxa"/>
            <w:shd w:val="clear" w:color="auto" w:fill="C6EFCE"/>
            <w:noWrap/>
            <w:vAlign w:val="center"/>
          </w:tcPr>
          <w:p w14:paraId="2A405975"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01B4AB0F"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2024</w:t>
            </w:r>
          </w:p>
        </w:tc>
        <w:tc>
          <w:tcPr>
            <w:tcW w:w="4258" w:type="dxa"/>
            <w:shd w:val="clear" w:color="auto" w:fill="C6EFCE"/>
            <w:noWrap/>
            <w:vAlign w:val="center"/>
          </w:tcPr>
          <w:p w14:paraId="0B1311DB"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600 personnes ont bénéficié d’un soutien sous la forme de formation, de sélection ou de tests à des fins de reconversion ou de réorientation vers des professions connaissant une pénurie de main-d’œuvre.</w:t>
            </w:r>
          </w:p>
        </w:tc>
      </w:tr>
      <w:tr w:rsidR="00F76C04" w:rsidRPr="00481798" w14:paraId="73FD6F48" w14:textId="77777777" w:rsidTr="002F0621">
        <w:trPr>
          <w:trHeight w:val="313"/>
          <w:jc w:val="center"/>
        </w:trPr>
        <w:tc>
          <w:tcPr>
            <w:tcW w:w="1271" w:type="dxa"/>
            <w:shd w:val="clear" w:color="auto" w:fill="C6EFCE"/>
            <w:noWrap/>
            <w:vAlign w:val="center"/>
          </w:tcPr>
          <w:p w14:paraId="2E96460F"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167</w:t>
            </w:r>
          </w:p>
        </w:tc>
        <w:tc>
          <w:tcPr>
            <w:tcW w:w="1559" w:type="dxa"/>
            <w:shd w:val="clear" w:color="auto" w:fill="C6EFCE"/>
            <w:noWrap/>
            <w:vAlign w:val="center"/>
          </w:tcPr>
          <w:p w14:paraId="560A8963"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Offensive d’apprentissage et de carrière (I-5.04)</w:t>
            </w:r>
          </w:p>
        </w:tc>
        <w:tc>
          <w:tcPr>
            <w:tcW w:w="709" w:type="dxa"/>
            <w:shd w:val="clear" w:color="auto" w:fill="C6EFCE"/>
            <w:noWrap/>
            <w:vAlign w:val="center"/>
          </w:tcPr>
          <w:p w14:paraId="6D456FEE"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1BE3FCEB"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aux chômeurs temporaires en Flandre</w:t>
            </w:r>
          </w:p>
        </w:tc>
        <w:tc>
          <w:tcPr>
            <w:tcW w:w="1276" w:type="dxa"/>
            <w:shd w:val="clear" w:color="auto" w:fill="C6EFCE"/>
            <w:noWrap/>
            <w:vAlign w:val="center"/>
          </w:tcPr>
          <w:p w14:paraId="146A75CD"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 VDAB attestant de l’effort d’accompagnement</w:t>
            </w:r>
          </w:p>
        </w:tc>
        <w:tc>
          <w:tcPr>
            <w:tcW w:w="1175" w:type="dxa"/>
            <w:shd w:val="clear" w:color="auto" w:fill="C6EFCE"/>
            <w:noWrap/>
            <w:vAlign w:val="center"/>
          </w:tcPr>
          <w:p w14:paraId="5335F650" w14:textId="77777777" w:rsidR="000D1388" w:rsidRPr="00746A1A" w:rsidRDefault="000D1388">
            <w:pPr>
              <w:spacing w:after="0"/>
              <w:rPr>
                <w:rFonts w:ascii="Times New Roman" w:eastAsia="Calibri" w:hAnsi="Times New Roman" w:cs="Times New Roman"/>
                <w:noProof/>
                <w:color w:val="006100"/>
                <w:sz w:val="20"/>
                <w:szCs w:val="20"/>
                <w:lang w:val="fr-BE"/>
              </w:rPr>
            </w:pPr>
          </w:p>
        </w:tc>
        <w:tc>
          <w:tcPr>
            <w:tcW w:w="1098" w:type="dxa"/>
            <w:shd w:val="clear" w:color="auto" w:fill="C6EFCE"/>
            <w:noWrap/>
            <w:vAlign w:val="center"/>
          </w:tcPr>
          <w:p w14:paraId="583747C8" w14:textId="77777777" w:rsidR="000D1388" w:rsidRPr="00746A1A" w:rsidRDefault="000D1388">
            <w:pPr>
              <w:spacing w:after="0"/>
              <w:rPr>
                <w:rFonts w:ascii="Times New Roman" w:eastAsia="Calibri" w:hAnsi="Times New Roman" w:cs="Times New Roman"/>
                <w:noProof/>
                <w:color w:val="006100"/>
                <w:sz w:val="20"/>
                <w:szCs w:val="20"/>
                <w:lang w:val="fr-BE"/>
              </w:rPr>
            </w:pPr>
          </w:p>
        </w:tc>
        <w:tc>
          <w:tcPr>
            <w:tcW w:w="993" w:type="dxa"/>
            <w:shd w:val="clear" w:color="auto" w:fill="C6EFCE"/>
            <w:noWrap/>
            <w:vAlign w:val="center"/>
          </w:tcPr>
          <w:p w14:paraId="5BC9B300" w14:textId="77777777" w:rsidR="000D1388" w:rsidRPr="00746A1A" w:rsidRDefault="000D1388">
            <w:pPr>
              <w:spacing w:after="0"/>
              <w:rPr>
                <w:rFonts w:ascii="Times New Roman" w:eastAsia="Calibri" w:hAnsi="Times New Roman" w:cs="Times New Roman"/>
                <w:noProof/>
                <w:color w:val="006100"/>
                <w:sz w:val="20"/>
                <w:szCs w:val="20"/>
                <w:lang w:val="fr-BE"/>
              </w:rPr>
            </w:pPr>
          </w:p>
        </w:tc>
        <w:tc>
          <w:tcPr>
            <w:tcW w:w="1128" w:type="dxa"/>
            <w:shd w:val="clear" w:color="auto" w:fill="C6EFCE"/>
            <w:noWrap/>
            <w:vAlign w:val="center"/>
          </w:tcPr>
          <w:p w14:paraId="63E4DDB1"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5E19AF35"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2022</w:t>
            </w:r>
          </w:p>
        </w:tc>
        <w:tc>
          <w:tcPr>
            <w:tcW w:w="4258" w:type="dxa"/>
            <w:shd w:val="clear" w:color="auto" w:fill="C6EFCE"/>
            <w:noWrap/>
            <w:vAlign w:val="center"/>
          </w:tcPr>
          <w:p w14:paraId="1A637147"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Toutes les personnes en chômage temporaire depuis le 1.1.2021 seront contactées par le service public de l’emploi en Flandre (VDAB) pour qu’elles suivent une formation ou un stage, acceptent un emploi temporaire ou fassent du bénévolat</w:t>
            </w:r>
          </w:p>
        </w:tc>
      </w:tr>
      <w:tr w:rsidR="00F76C04" w:rsidRPr="00481798" w14:paraId="7ACEC587" w14:textId="77777777" w:rsidTr="002F0621">
        <w:trPr>
          <w:trHeight w:val="313"/>
          <w:jc w:val="center"/>
        </w:trPr>
        <w:tc>
          <w:tcPr>
            <w:tcW w:w="1271" w:type="dxa"/>
            <w:shd w:val="clear" w:color="auto" w:fill="C6EFCE"/>
            <w:noWrap/>
            <w:vAlign w:val="center"/>
          </w:tcPr>
          <w:p w14:paraId="5CA309BA"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168</w:t>
            </w:r>
          </w:p>
        </w:tc>
        <w:tc>
          <w:tcPr>
            <w:tcW w:w="1559" w:type="dxa"/>
            <w:shd w:val="clear" w:color="auto" w:fill="C6EFCE"/>
            <w:noWrap/>
            <w:vAlign w:val="center"/>
          </w:tcPr>
          <w:p w14:paraId="75B9060D"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Apprentissage tout au long de la vie de la Communauté flamande (R-5.04)</w:t>
            </w:r>
          </w:p>
        </w:tc>
        <w:tc>
          <w:tcPr>
            <w:tcW w:w="709" w:type="dxa"/>
            <w:shd w:val="clear" w:color="auto" w:fill="C6EFCE"/>
            <w:noWrap/>
            <w:vAlign w:val="center"/>
          </w:tcPr>
          <w:p w14:paraId="562A06A0"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254D032A"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Document de réflexion sur le compte apprentissage et carrière en Flandre</w:t>
            </w:r>
          </w:p>
        </w:tc>
        <w:tc>
          <w:tcPr>
            <w:tcW w:w="1276" w:type="dxa"/>
            <w:shd w:val="clear" w:color="auto" w:fill="C6EFCE"/>
            <w:noWrap/>
            <w:vAlign w:val="center"/>
          </w:tcPr>
          <w:p w14:paraId="167F3056"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de l’accord par le gouvernement</w:t>
            </w:r>
          </w:p>
        </w:tc>
        <w:tc>
          <w:tcPr>
            <w:tcW w:w="1175" w:type="dxa"/>
            <w:shd w:val="clear" w:color="auto" w:fill="C6EFCE"/>
            <w:noWrap/>
            <w:vAlign w:val="center"/>
          </w:tcPr>
          <w:p w14:paraId="286E110F"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 </w:t>
            </w:r>
          </w:p>
        </w:tc>
        <w:tc>
          <w:tcPr>
            <w:tcW w:w="1098" w:type="dxa"/>
            <w:shd w:val="clear" w:color="auto" w:fill="C6EFCE"/>
            <w:noWrap/>
            <w:vAlign w:val="center"/>
          </w:tcPr>
          <w:p w14:paraId="219140AC"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 </w:t>
            </w:r>
          </w:p>
        </w:tc>
        <w:tc>
          <w:tcPr>
            <w:tcW w:w="993" w:type="dxa"/>
            <w:shd w:val="clear" w:color="auto" w:fill="C6EFCE"/>
            <w:noWrap/>
            <w:vAlign w:val="center"/>
          </w:tcPr>
          <w:p w14:paraId="5C6AC041"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 </w:t>
            </w:r>
          </w:p>
        </w:tc>
        <w:tc>
          <w:tcPr>
            <w:tcW w:w="1128" w:type="dxa"/>
            <w:shd w:val="clear" w:color="auto" w:fill="C6EFCE"/>
            <w:noWrap/>
            <w:vAlign w:val="center"/>
          </w:tcPr>
          <w:p w14:paraId="065E592E"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6C8FEBD6"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2022</w:t>
            </w:r>
          </w:p>
        </w:tc>
        <w:tc>
          <w:tcPr>
            <w:tcW w:w="4258" w:type="dxa"/>
            <w:shd w:val="clear" w:color="auto" w:fill="C6EFCE"/>
            <w:noWrap/>
            <w:vAlign w:val="center"/>
          </w:tcPr>
          <w:p w14:paraId="68575E6F"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partenaires sociaux et le gouvernement flamand se sont mis d’accord sur un document de réflexion, définissant la manière dont un compte apprentissage et carrière sera introduit en Flandre, en tenant compte de la nécessité de renforcer la transparence pour les citoyens, de mieux inclure les groupes vulnérables et d’assurer l’alignement avec la plateforme numérique de compte d’apprentissage mise en place au niveau fédéral</w:t>
            </w:r>
          </w:p>
        </w:tc>
      </w:tr>
      <w:tr w:rsidR="00F76C04" w:rsidRPr="00481798" w14:paraId="7517D088" w14:textId="77777777" w:rsidTr="002F0621">
        <w:trPr>
          <w:trHeight w:val="313"/>
          <w:jc w:val="center"/>
        </w:trPr>
        <w:tc>
          <w:tcPr>
            <w:tcW w:w="1271" w:type="dxa"/>
            <w:shd w:val="clear" w:color="auto" w:fill="C6EFCE"/>
            <w:noWrap/>
            <w:vAlign w:val="center"/>
          </w:tcPr>
          <w:p w14:paraId="697CB9E3"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169</w:t>
            </w:r>
          </w:p>
        </w:tc>
        <w:tc>
          <w:tcPr>
            <w:tcW w:w="1559" w:type="dxa"/>
            <w:shd w:val="clear" w:color="auto" w:fill="C6EFCE"/>
            <w:noWrap/>
            <w:vAlign w:val="center"/>
          </w:tcPr>
          <w:p w14:paraId="70F41E64"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Compétences numériques (I-5.06)</w:t>
            </w:r>
          </w:p>
        </w:tc>
        <w:tc>
          <w:tcPr>
            <w:tcW w:w="709" w:type="dxa"/>
            <w:shd w:val="clear" w:color="auto" w:fill="C6EFCE"/>
            <w:noWrap/>
            <w:vAlign w:val="center"/>
          </w:tcPr>
          <w:p w14:paraId="603ED5DE"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659F8315"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Développement de l’offre d’e-learning en Flandre</w:t>
            </w:r>
          </w:p>
        </w:tc>
        <w:tc>
          <w:tcPr>
            <w:tcW w:w="1276" w:type="dxa"/>
            <w:shd w:val="clear" w:color="auto" w:fill="C6EFCE"/>
            <w:noWrap/>
            <w:vAlign w:val="center"/>
          </w:tcPr>
          <w:p w14:paraId="3374A9E0"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75" w:type="dxa"/>
            <w:shd w:val="clear" w:color="auto" w:fill="C6EFCE"/>
            <w:noWrap/>
            <w:vAlign w:val="center"/>
          </w:tcPr>
          <w:p w14:paraId="1DA5C9C6"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Projets d’e-learning</w:t>
            </w:r>
          </w:p>
        </w:tc>
        <w:tc>
          <w:tcPr>
            <w:tcW w:w="1098" w:type="dxa"/>
            <w:shd w:val="clear" w:color="auto" w:fill="C6EFCE"/>
            <w:noWrap/>
            <w:vAlign w:val="center"/>
          </w:tcPr>
          <w:p w14:paraId="7C3A6AC5"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681F1075"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37 </w:t>
            </w:r>
          </w:p>
        </w:tc>
        <w:tc>
          <w:tcPr>
            <w:tcW w:w="1128" w:type="dxa"/>
            <w:shd w:val="clear" w:color="auto" w:fill="C6EFCE"/>
            <w:noWrap/>
            <w:vAlign w:val="center"/>
          </w:tcPr>
          <w:p w14:paraId="0AC75351"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1BD3F2BD"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2022</w:t>
            </w:r>
          </w:p>
        </w:tc>
        <w:tc>
          <w:tcPr>
            <w:tcW w:w="4258" w:type="dxa"/>
            <w:shd w:val="clear" w:color="auto" w:fill="C6EFCE"/>
            <w:noWrap/>
            <w:vAlign w:val="center"/>
          </w:tcPr>
          <w:p w14:paraId="2D140BDC" w14:textId="77777777" w:rsidR="000D1388" w:rsidRPr="00481798" w:rsidRDefault="00E71057">
            <w:pPr>
              <w:spacing w:after="0"/>
              <w:rPr>
                <w:rFonts w:ascii="Times New Roman" w:eastAsia="Times New Roman" w:hAnsi="Times New Roman" w:cs="Times New Roman"/>
                <w:strike/>
                <w:noProof/>
                <w:color w:val="006100"/>
                <w:sz w:val="20"/>
                <w:szCs w:val="20"/>
              </w:rPr>
            </w:pPr>
            <w:r>
              <w:rPr>
                <w:rFonts w:ascii="Times New Roman" w:hAnsi="Times New Roman"/>
                <w:noProof/>
                <w:color w:val="006100"/>
                <w:sz w:val="20"/>
              </w:rPr>
              <w:t>37 projets d’e-learning sont approuvés, lancés et achevés suite à un appel à projets</w:t>
            </w:r>
          </w:p>
        </w:tc>
      </w:tr>
      <w:tr w:rsidR="00F76C04" w:rsidRPr="00481798" w14:paraId="05C8212B" w14:textId="77777777" w:rsidTr="002F0621">
        <w:trPr>
          <w:trHeight w:val="313"/>
          <w:jc w:val="center"/>
        </w:trPr>
        <w:tc>
          <w:tcPr>
            <w:tcW w:w="1271" w:type="dxa"/>
            <w:shd w:val="clear" w:color="auto" w:fill="C6EFCE"/>
            <w:noWrap/>
            <w:vAlign w:val="center"/>
          </w:tcPr>
          <w:p w14:paraId="2DA7FAE7"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170</w:t>
            </w:r>
          </w:p>
        </w:tc>
        <w:tc>
          <w:tcPr>
            <w:tcW w:w="1559" w:type="dxa"/>
            <w:shd w:val="clear" w:color="auto" w:fill="C6EFCE"/>
            <w:noWrap/>
            <w:vAlign w:val="center"/>
          </w:tcPr>
          <w:p w14:paraId="20512F62"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Compétences numériques (I-5.06)</w:t>
            </w:r>
          </w:p>
        </w:tc>
        <w:tc>
          <w:tcPr>
            <w:tcW w:w="709" w:type="dxa"/>
            <w:shd w:val="clear" w:color="auto" w:fill="C6EFCE"/>
            <w:noWrap/>
            <w:vAlign w:val="center"/>
          </w:tcPr>
          <w:p w14:paraId="659396AB"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6A0816AE"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Outils et services numériques aux citoyens, employeurs et partenaires du service public flamand de l’emploi (VDAB) </w:t>
            </w:r>
          </w:p>
        </w:tc>
        <w:tc>
          <w:tcPr>
            <w:tcW w:w="1276" w:type="dxa"/>
            <w:shd w:val="clear" w:color="auto" w:fill="C6EFCE"/>
            <w:noWrap/>
            <w:vAlign w:val="center"/>
          </w:tcPr>
          <w:p w14:paraId="535AF504" w14:textId="77777777" w:rsidR="000D1388" w:rsidRPr="00481798" w:rsidRDefault="00E71057">
            <w:pPr>
              <w:rPr>
                <w:rFonts w:ascii="Times New Roman" w:eastAsia="Times New Roman" w:hAnsi="Times New Roman" w:cs="Times New Roman"/>
                <w:noProof/>
                <w:color w:val="006100"/>
                <w:sz w:val="20"/>
                <w:szCs w:val="20"/>
              </w:rPr>
            </w:pPr>
            <w:r>
              <w:rPr>
                <w:rFonts w:ascii="Times New Roman" w:hAnsi="Times New Roman"/>
                <w:noProof/>
                <w:color w:val="006100"/>
                <w:sz w:val="20"/>
              </w:rPr>
              <w:t>Rapport de gestion et de surveillance des politiques du VDAB et du département WSE</w:t>
            </w:r>
          </w:p>
        </w:tc>
        <w:tc>
          <w:tcPr>
            <w:tcW w:w="1175" w:type="dxa"/>
            <w:shd w:val="clear" w:color="auto" w:fill="C6EFCE"/>
            <w:noWrap/>
            <w:vAlign w:val="center"/>
          </w:tcPr>
          <w:p w14:paraId="63767231"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098" w:type="dxa"/>
            <w:shd w:val="clear" w:color="auto" w:fill="C6EFCE"/>
            <w:noWrap/>
            <w:vAlign w:val="center"/>
          </w:tcPr>
          <w:p w14:paraId="5207B68A"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0CF2A5D3"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8" w:type="dxa"/>
            <w:shd w:val="clear" w:color="auto" w:fill="C6EFCE"/>
            <w:noWrap/>
            <w:vAlign w:val="center"/>
          </w:tcPr>
          <w:p w14:paraId="53D05363"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7A1BDE98"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4258" w:type="dxa"/>
            <w:shd w:val="clear" w:color="auto" w:fill="C6EFCE"/>
            <w:noWrap/>
            <w:vAlign w:val="center"/>
          </w:tcPr>
          <w:p w14:paraId="1A37610F"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Les citoyens, les employeurs ou les partenaires du VDAB en Flandre disposent des outils et services numériques suivants:</w:t>
            </w:r>
          </w:p>
          <w:p w14:paraId="59934F65"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1. Plateforme des carrières numériques pour les citoyens.</w:t>
            </w:r>
          </w:p>
          <w:p w14:paraId="0359B275"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2. Comptoir numérique des employeurs du VDAB et plateforme numérique partenaire.</w:t>
            </w:r>
          </w:p>
          <w:p w14:paraId="231FE109" w14:textId="77777777" w:rsidR="000D1388" w:rsidRPr="00481798" w:rsidRDefault="00E71057">
            <w:pPr>
              <w:spacing w:after="0" w:line="240" w:lineRule="auto"/>
              <w:rPr>
                <w:rFonts w:ascii="Times New Roman" w:eastAsia="Calibri" w:hAnsi="Times New Roman" w:cs="Times New Roman"/>
                <w:noProof/>
                <w:color w:val="006100"/>
                <w:sz w:val="20"/>
                <w:szCs w:val="20"/>
              </w:rPr>
            </w:pPr>
            <w:r>
              <w:rPr>
                <w:rFonts w:ascii="Times New Roman" w:hAnsi="Times New Roman"/>
                <w:noProof/>
                <w:color w:val="006100"/>
                <w:sz w:val="20"/>
              </w:rPr>
              <w:t>3.</w:t>
            </w:r>
            <w:r>
              <w:rPr>
                <w:rFonts w:ascii="Times New Roman" w:hAnsi="Times New Roman"/>
                <w:noProof/>
                <w:sz w:val="20"/>
              </w:rPr>
              <w:t xml:space="preserve"> </w:t>
            </w:r>
            <w:r>
              <w:rPr>
                <w:rFonts w:ascii="Times New Roman" w:hAnsi="Times New Roman"/>
                <w:noProof/>
                <w:color w:val="006100"/>
                <w:sz w:val="20"/>
              </w:rPr>
              <w:t>Comptoir numérique des employeurs du guichet WSE.</w:t>
            </w:r>
          </w:p>
          <w:p w14:paraId="1908E865"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4. Plateforme de données ouvertes du guichet WSE contenant des ensembles de données.</w:t>
            </w:r>
          </w:p>
        </w:tc>
      </w:tr>
      <w:tr w:rsidR="00F76C04" w:rsidRPr="00481798" w14:paraId="2B6D630A" w14:textId="77777777" w:rsidTr="002F0621">
        <w:trPr>
          <w:trHeight w:val="313"/>
          <w:jc w:val="center"/>
        </w:trPr>
        <w:tc>
          <w:tcPr>
            <w:tcW w:w="1271" w:type="dxa"/>
            <w:shd w:val="clear" w:color="auto" w:fill="C6EFCE"/>
            <w:noWrap/>
            <w:vAlign w:val="center"/>
          </w:tcPr>
          <w:p w14:paraId="69AD241E" w14:textId="77777777" w:rsidR="000B672B" w:rsidRPr="00481798" w:rsidRDefault="000B672B" w:rsidP="000B672B">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171</w:t>
            </w:r>
          </w:p>
        </w:tc>
        <w:tc>
          <w:tcPr>
            <w:tcW w:w="1559" w:type="dxa"/>
            <w:shd w:val="clear" w:color="auto" w:fill="C6EFCE"/>
            <w:noWrap/>
            <w:vAlign w:val="center"/>
          </w:tcPr>
          <w:p w14:paraId="324F8743" w14:textId="77777777" w:rsidR="000B672B" w:rsidRPr="00481798" w:rsidRDefault="000B672B" w:rsidP="000B672B">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Formation numérique tout au long de la vie (I-5.07)</w:t>
            </w:r>
          </w:p>
        </w:tc>
        <w:tc>
          <w:tcPr>
            <w:tcW w:w="709" w:type="dxa"/>
            <w:shd w:val="clear" w:color="auto" w:fill="C6EFCE"/>
            <w:noWrap/>
            <w:vAlign w:val="center"/>
          </w:tcPr>
          <w:p w14:paraId="3004F28D" w14:textId="77777777" w:rsidR="000B672B" w:rsidRPr="00481798" w:rsidRDefault="000B672B" w:rsidP="000B672B">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48D9E390" w14:textId="7D3E5D9F" w:rsidR="000B672B" w:rsidRPr="00481798" w:rsidRDefault="000B672B" w:rsidP="000B672B">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Bâtiments et équipements </w:t>
            </w:r>
          </w:p>
        </w:tc>
        <w:tc>
          <w:tcPr>
            <w:tcW w:w="1276" w:type="dxa"/>
            <w:shd w:val="clear" w:color="auto" w:fill="C6EFCE"/>
            <w:noWrap/>
            <w:vAlign w:val="center"/>
          </w:tcPr>
          <w:p w14:paraId="69FBEB12" w14:textId="5C9A8B94" w:rsidR="000B672B" w:rsidRPr="00481798" w:rsidRDefault="000B672B" w:rsidP="000B672B">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liés à la formation aux compétences numériques</w:t>
            </w:r>
          </w:p>
        </w:tc>
        <w:tc>
          <w:tcPr>
            <w:tcW w:w="1175" w:type="dxa"/>
            <w:shd w:val="clear" w:color="auto" w:fill="C6EFCE"/>
            <w:noWrap/>
            <w:vAlign w:val="center"/>
          </w:tcPr>
          <w:p w14:paraId="0075F0A1" w14:textId="77777777" w:rsidR="000B672B" w:rsidRPr="00746A1A" w:rsidRDefault="000B672B" w:rsidP="000B672B">
            <w:pPr>
              <w:spacing w:after="0"/>
              <w:rPr>
                <w:rFonts w:ascii="Times New Roman" w:eastAsia="Times New Roman" w:hAnsi="Times New Roman" w:cs="Times New Roman"/>
                <w:noProof/>
                <w:color w:val="006100"/>
                <w:sz w:val="20"/>
                <w:szCs w:val="20"/>
                <w:lang w:val="fr-BE" w:eastAsia="en-GB"/>
              </w:rPr>
            </w:pPr>
          </w:p>
        </w:tc>
        <w:tc>
          <w:tcPr>
            <w:tcW w:w="1098" w:type="dxa"/>
            <w:shd w:val="clear" w:color="auto" w:fill="C6EFCE"/>
            <w:noWrap/>
            <w:vAlign w:val="center"/>
          </w:tcPr>
          <w:p w14:paraId="479CF0DB" w14:textId="77777777" w:rsidR="000B672B" w:rsidRPr="00746A1A" w:rsidRDefault="000B672B" w:rsidP="000B672B">
            <w:pPr>
              <w:spacing w:after="0"/>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6AD0ED61" w14:textId="77777777" w:rsidR="000B672B" w:rsidRPr="00746A1A" w:rsidRDefault="000B672B" w:rsidP="000B672B">
            <w:pPr>
              <w:spacing w:after="0"/>
              <w:rPr>
                <w:rFonts w:ascii="Times New Roman" w:eastAsia="Times New Roman" w:hAnsi="Times New Roman" w:cs="Times New Roman"/>
                <w:noProof/>
                <w:color w:val="006100"/>
                <w:sz w:val="20"/>
                <w:szCs w:val="20"/>
                <w:lang w:val="fr-BE" w:eastAsia="en-GB"/>
              </w:rPr>
            </w:pPr>
          </w:p>
        </w:tc>
        <w:tc>
          <w:tcPr>
            <w:tcW w:w="1128" w:type="dxa"/>
            <w:shd w:val="clear" w:color="auto" w:fill="C6EFCE"/>
            <w:noWrap/>
            <w:vAlign w:val="center"/>
          </w:tcPr>
          <w:p w14:paraId="6C2F9626" w14:textId="77777777" w:rsidR="000B672B" w:rsidRPr="00481798" w:rsidRDefault="000B672B" w:rsidP="000B672B">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78A03001" w14:textId="77777777" w:rsidR="000B672B" w:rsidRPr="00481798" w:rsidRDefault="000B672B" w:rsidP="000B672B">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258" w:type="dxa"/>
            <w:shd w:val="clear" w:color="auto" w:fill="C6EFCE"/>
            <w:noWrap/>
            <w:vAlign w:val="center"/>
          </w:tcPr>
          <w:p w14:paraId="6290296D" w14:textId="2FE99F7B" w:rsidR="000B672B" w:rsidRPr="00114731" w:rsidRDefault="000B672B" w:rsidP="000B672B">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 Des équipements TIC sont achetés pour 39 espaces de formation immersifs.</w:t>
            </w:r>
          </w:p>
          <w:p w14:paraId="4F922DFD" w14:textId="77777777" w:rsidR="000B672B" w:rsidRPr="00746A1A" w:rsidRDefault="000B672B" w:rsidP="000B672B">
            <w:pPr>
              <w:spacing w:after="0"/>
              <w:rPr>
                <w:rFonts w:ascii="Times New Roman" w:eastAsia="Times New Roman" w:hAnsi="Times New Roman" w:cs="Times New Roman"/>
                <w:noProof/>
                <w:color w:val="006100"/>
                <w:sz w:val="20"/>
                <w:szCs w:val="20"/>
                <w:lang w:val="fr-BE"/>
              </w:rPr>
            </w:pPr>
          </w:p>
          <w:p w14:paraId="35FB1243" w14:textId="77777777" w:rsidR="000B672B" w:rsidRPr="00114731" w:rsidRDefault="000B672B" w:rsidP="000B672B">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 Des programmes de formation portant notamment sur les compétences numériques de base ou les compétences informatiques sont disponibles.</w:t>
            </w:r>
          </w:p>
          <w:p w14:paraId="00F5F6EF" w14:textId="77777777" w:rsidR="000B672B" w:rsidRPr="00746A1A" w:rsidRDefault="000B672B" w:rsidP="000B672B">
            <w:pPr>
              <w:spacing w:after="0"/>
              <w:rPr>
                <w:rFonts w:ascii="Times New Roman" w:eastAsia="Times New Roman" w:hAnsi="Times New Roman" w:cs="Times New Roman"/>
                <w:noProof/>
                <w:color w:val="006100"/>
                <w:sz w:val="20"/>
                <w:szCs w:val="20"/>
                <w:lang w:val="fr-BE"/>
              </w:rPr>
            </w:pPr>
          </w:p>
          <w:p w14:paraId="770EEF09" w14:textId="785C972B" w:rsidR="000B672B" w:rsidRPr="00114731" w:rsidRDefault="000B672B" w:rsidP="000B672B">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 6 000 m² de bâtiments sont construits ou rénovés, ou transférés au bénéficiaire dans le cadre d’un contrat pour usage immobilier à long terme, et des équipements sont achetés:</w:t>
            </w:r>
          </w:p>
          <w:p w14:paraId="12F51FAA" w14:textId="2197177A" w:rsidR="000B672B" w:rsidRPr="00114731" w:rsidRDefault="000B672B" w:rsidP="00F70F65">
            <w:pPr>
              <w:pStyle w:val="ListParagraph"/>
              <w:numPr>
                <w:ilvl w:val="0"/>
                <w:numId w:val="68"/>
              </w:numPr>
              <w:spacing w:after="0" w:line="259" w:lineRule="auto"/>
              <w:rPr>
                <w:rFonts w:ascii="Times New Roman" w:eastAsia="Times New Roman" w:hAnsi="Times New Roman" w:cs="Times New Roman"/>
                <w:noProof/>
                <w:color w:val="006100"/>
                <w:kern w:val="0"/>
                <w:sz w:val="20"/>
                <w:szCs w:val="20"/>
              </w:rPr>
            </w:pPr>
            <w:r>
              <w:rPr>
                <w:rFonts w:ascii="Times New Roman" w:hAnsi="Times New Roman"/>
                <w:noProof/>
                <w:color w:val="006100"/>
                <w:sz w:val="20"/>
              </w:rPr>
              <w:t>pour la formation aux compétences numériques;</w:t>
            </w:r>
          </w:p>
          <w:p w14:paraId="32A62886" w14:textId="12C60AF6" w:rsidR="000B672B" w:rsidRPr="008E7919" w:rsidRDefault="000B672B" w:rsidP="000B672B">
            <w:pPr>
              <w:pStyle w:val="ListParagraph"/>
              <w:numPr>
                <w:ilvl w:val="0"/>
                <w:numId w:val="68"/>
              </w:numPr>
              <w:spacing w:after="0" w:line="259" w:lineRule="auto"/>
              <w:rPr>
                <w:rFonts w:ascii="Times New Roman" w:eastAsia="Times New Roman" w:hAnsi="Times New Roman" w:cs="Times New Roman"/>
                <w:noProof/>
                <w:color w:val="006100"/>
                <w:kern w:val="0"/>
                <w:sz w:val="20"/>
                <w:szCs w:val="20"/>
              </w:rPr>
            </w:pPr>
            <w:r>
              <w:rPr>
                <w:rFonts w:ascii="Times New Roman" w:hAnsi="Times New Roman"/>
                <w:noProof/>
                <w:color w:val="006100"/>
                <w:sz w:val="20"/>
              </w:rPr>
              <w:t xml:space="preserve">pour une plateforme consacrée à la ré-ingénierie et aux STIM. </w:t>
            </w:r>
          </w:p>
        </w:tc>
      </w:tr>
      <w:tr w:rsidR="00F76C04" w:rsidRPr="00481798" w14:paraId="6117A7C3" w14:textId="77777777" w:rsidTr="002F0621">
        <w:trPr>
          <w:trHeight w:val="313"/>
          <w:jc w:val="center"/>
        </w:trPr>
        <w:tc>
          <w:tcPr>
            <w:tcW w:w="1271" w:type="dxa"/>
            <w:shd w:val="clear" w:color="auto" w:fill="C6EFCE"/>
            <w:noWrap/>
            <w:vAlign w:val="center"/>
          </w:tcPr>
          <w:p w14:paraId="1E7D3F9E"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172</w:t>
            </w:r>
          </w:p>
        </w:tc>
        <w:tc>
          <w:tcPr>
            <w:tcW w:w="1559" w:type="dxa"/>
            <w:shd w:val="clear" w:color="auto" w:fill="C6EFCE"/>
            <w:noWrap/>
            <w:vAlign w:val="center"/>
          </w:tcPr>
          <w:p w14:paraId="45FE40BA"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Compte formation (R-5.03)</w:t>
            </w:r>
          </w:p>
        </w:tc>
        <w:tc>
          <w:tcPr>
            <w:tcW w:w="709" w:type="dxa"/>
            <w:shd w:val="clear" w:color="auto" w:fill="C6EFCE"/>
            <w:noWrap/>
            <w:vAlign w:val="center"/>
          </w:tcPr>
          <w:p w14:paraId="4605FF7A"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6F26D857"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fédérale établissant un droit individuel à la formation pour les salariés</w:t>
            </w:r>
          </w:p>
        </w:tc>
        <w:tc>
          <w:tcPr>
            <w:tcW w:w="1276" w:type="dxa"/>
            <w:shd w:val="clear" w:color="auto" w:fill="C6EFCE"/>
            <w:noWrap/>
            <w:vAlign w:val="center"/>
          </w:tcPr>
          <w:p w14:paraId="40466676"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w:t>
            </w:r>
          </w:p>
        </w:tc>
        <w:tc>
          <w:tcPr>
            <w:tcW w:w="1175" w:type="dxa"/>
            <w:shd w:val="clear" w:color="auto" w:fill="C6EFCE"/>
            <w:noWrap/>
            <w:vAlign w:val="center"/>
          </w:tcPr>
          <w:p w14:paraId="67D58339"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0518110E"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752F66B"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1128" w:type="dxa"/>
            <w:shd w:val="clear" w:color="auto" w:fill="C6EFCE"/>
            <w:noWrap/>
            <w:vAlign w:val="center"/>
          </w:tcPr>
          <w:p w14:paraId="14C4206B"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431C6F87"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4258" w:type="dxa"/>
            <w:shd w:val="clear" w:color="auto" w:fill="C6EFCE"/>
            <w:noWrap/>
            <w:vAlign w:val="center"/>
          </w:tcPr>
          <w:p w14:paraId="34EF72E6"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Sur la base d’un dialogue entre les partenaires sociaux et le gouvernement fédéral, adoption de la modification de la loi du 5 mars 2017 concernant le travail faisable et maniable octroyant à compter de 2024 à tous les travailleurs un droit individuel à la formation de cinq jours par an en moyenne</w:t>
            </w:r>
          </w:p>
        </w:tc>
      </w:tr>
      <w:tr w:rsidR="00F76C04" w:rsidRPr="00481798" w14:paraId="604C9C8B" w14:textId="77777777" w:rsidTr="002F0621">
        <w:trPr>
          <w:trHeight w:val="313"/>
          <w:jc w:val="center"/>
        </w:trPr>
        <w:tc>
          <w:tcPr>
            <w:tcW w:w="1271" w:type="dxa"/>
            <w:shd w:val="clear" w:color="auto" w:fill="C6EFCE"/>
            <w:noWrap/>
            <w:vAlign w:val="center"/>
          </w:tcPr>
          <w:p w14:paraId="638BC53F"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173</w:t>
            </w:r>
          </w:p>
        </w:tc>
        <w:tc>
          <w:tcPr>
            <w:tcW w:w="1559" w:type="dxa"/>
            <w:shd w:val="clear" w:color="auto" w:fill="C6EFCE"/>
            <w:noWrap/>
            <w:vAlign w:val="center"/>
          </w:tcPr>
          <w:p w14:paraId="041AE0D3"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Compte formation (R-5.03)</w:t>
            </w:r>
          </w:p>
        </w:tc>
        <w:tc>
          <w:tcPr>
            <w:tcW w:w="709" w:type="dxa"/>
            <w:shd w:val="clear" w:color="auto" w:fill="C6EFCE"/>
            <w:noWrap/>
            <w:vAlign w:val="center"/>
          </w:tcPr>
          <w:p w14:paraId="162FB773"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3F9D847A"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fédérale offrant aux entreprises des incitants à fournir une formation</w:t>
            </w:r>
          </w:p>
        </w:tc>
        <w:tc>
          <w:tcPr>
            <w:tcW w:w="1276" w:type="dxa"/>
            <w:shd w:val="clear" w:color="auto" w:fill="C6EFCE"/>
            <w:noWrap/>
            <w:vAlign w:val="center"/>
          </w:tcPr>
          <w:p w14:paraId="18F02406"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w:t>
            </w:r>
          </w:p>
        </w:tc>
        <w:tc>
          <w:tcPr>
            <w:tcW w:w="1175" w:type="dxa"/>
            <w:shd w:val="clear" w:color="auto" w:fill="C6EFCE"/>
            <w:noWrap/>
            <w:vAlign w:val="center"/>
          </w:tcPr>
          <w:p w14:paraId="4FA2BCA4"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312BBDD7"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761EA7E9"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1128" w:type="dxa"/>
            <w:shd w:val="clear" w:color="auto" w:fill="C6EFCE"/>
            <w:noWrap/>
            <w:vAlign w:val="center"/>
          </w:tcPr>
          <w:p w14:paraId="111C8870"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1" w:type="dxa"/>
            <w:shd w:val="clear" w:color="auto" w:fill="C6EFCE"/>
            <w:noWrap/>
            <w:vAlign w:val="center"/>
          </w:tcPr>
          <w:p w14:paraId="0EAAEEA8"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4258" w:type="dxa"/>
            <w:shd w:val="clear" w:color="auto" w:fill="C6EFCE"/>
            <w:noWrap/>
            <w:vAlign w:val="center"/>
          </w:tcPr>
          <w:p w14:paraId="4E925ED3"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par le Parlement de la loi-programme du 20 décembre 2020, établissant une dispense partielle (11,75 %) de versement du précompte professionnel pour les travailleurs qui ont suivi une formation d’une durée minimale de 10 jours.</w:t>
            </w:r>
          </w:p>
        </w:tc>
      </w:tr>
      <w:tr w:rsidR="00F76C04" w:rsidRPr="00481798" w14:paraId="1D246BBA" w14:textId="77777777" w:rsidTr="002F0621">
        <w:trPr>
          <w:trHeight w:val="313"/>
          <w:jc w:val="center"/>
        </w:trPr>
        <w:tc>
          <w:tcPr>
            <w:tcW w:w="1271" w:type="dxa"/>
            <w:shd w:val="clear" w:color="auto" w:fill="C6EFCE"/>
            <w:noWrap/>
            <w:vAlign w:val="center"/>
          </w:tcPr>
          <w:p w14:paraId="761E5CCE"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174</w:t>
            </w:r>
          </w:p>
        </w:tc>
        <w:tc>
          <w:tcPr>
            <w:tcW w:w="1559" w:type="dxa"/>
            <w:shd w:val="clear" w:color="auto" w:fill="C6EFCE"/>
            <w:noWrap/>
            <w:vAlign w:val="center"/>
          </w:tcPr>
          <w:p w14:paraId="05DB42A6"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Compte formation (R-5.03)</w:t>
            </w:r>
          </w:p>
        </w:tc>
        <w:tc>
          <w:tcPr>
            <w:tcW w:w="709" w:type="dxa"/>
            <w:shd w:val="clear" w:color="auto" w:fill="C6EFCE"/>
            <w:noWrap/>
            <w:vAlign w:val="center"/>
          </w:tcPr>
          <w:p w14:paraId="47989EDD"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451365D8"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établissant l’inscription obligatoire au service public de l’emploi.</w:t>
            </w:r>
          </w:p>
        </w:tc>
        <w:tc>
          <w:tcPr>
            <w:tcW w:w="1276" w:type="dxa"/>
            <w:shd w:val="clear" w:color="auto" w:fill="C6EFCE"/>
            <w:noWrap/>
            <w:vAlign w:val="center"/>
          </w:tcPr>
          <w:p w14:paraId="1436D5FB"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Dispositions dans le décret indiquant l’entrée en vigueur</w:t>
            </w:r>
          </w:p>
        </w:tc>
        <w:tc>
          <w:tcPr>
            <w:tcW w:w="1175" w:type="dxa"/>
            <w:shd w:val="clear" w:color="auto" w:fill="C6EFCE"/>
            <w:noWrap/>
            <w:vAlign w:val="center"/>
          </w:tcPr>
          <w:p w14:paraId="16BBAEBD"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098" w:type="dxa"/>
            <w:shd w:val="clear" w:color="auto" w:fill="C6EFCE"/>
            <w:noWrap/>
            <w:vAlign w:val="center"/>
          </w:tcPr>
          <w:p w14:paraId="392B571C"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4EB9ADD4"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8" w:type="dxa"/>
            <w:shd w:val="clear" w:color="auto" w:fill="C6EFCE"/>
            <w:noWrap/>
            <w:vAlign w:val="center"/>
          </w:tcPr>
          <w:p w14:paraId="444E83FE"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132A8948"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4258" w:type="dxa"/>
            <w:shd w:val="clear" w:color="auto" w:fill="C6EFCE"/>
            <w:noWrap/>
            <w:vAlign w:val="center"/>
          </w:tcPr>
          <w:p w14:paraId="61E1591C"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décret établissant l’obligation pour les chômeurs de longue durée et les chômeurs temporaires structurels d’être inscrits auprès du service régional compétent</w:t>
            </w:r>
          </w:p>
        </w:tc>
      </w:tr>
      <w:tr w:rsidR="00F76C04" w:rsidRPr="00481798" w14:paraId="019D3029" w14:textId="77777777" w:rsidTr="002F0621">
        <w:trPr>
          <w:trHeight w:val="313"/>
          <w:jc w:val="center"/>
        </w:trPr>
        <w:tc>
          <w:tcPr>
            <w:tcW w:w="1271" w:type="dxa"/>
            <w:shd w:val="clear" w:color="auto" w:fill="C6EFCE"/>
            <w:noWrap/>
            <w:vAlign w:val="center"/>
          </w:tcPr>
          <w:p w14:paraId="19458F45"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175</w:t>
            </w:r>
          </w:p>
        </w:tc>
        <w:tc>
          <w:tcPr>
            <w:tcW w:w="1559" w:type="dxa"/>
            <w:shd w:val="clear" w:color="auto" w:fill="C6EFCE"/>
            <w:noWrap/>
            <w:vAlign w:val="center"/>
          </w:tcPr>
          <w:p w14:paraId="1C961599"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Limitation des allocations de chômage dans le temps et dégressivité renforcée des allocations de chômage (R-5.01)</w:t>
            </w:r>
          </w:p>
        </w:tc>
        <w:tc>
          <w:tcPr>
            <w:tcW w:w="709" w:type="dxa"/>
            <w:shd w:val="clear" w:color="auto" w:fill="C6EFCE"/>
            <w:noWrap/>
            <w:vAlign w:val="center"/>
          </w:tcPr>
          <w:p w14:paraId="44C745A8"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2BC804EA"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Réforme fédérale des prestations de chômage </w:t>
            </w:r>
          </w:p>
        </w:tc>
        <w:tc>
          <w:tcPr>
            <w:tcW w:w="1276" w:type="dxa"/>
            <w:shd w:val="clear" w:color="auto" w:fill="C6EFCE"/>
            <w:noWrap/>
            <w:vAlign w:val="center"/>
          </w:tcPr>
          <w:p w14:paraId="33715867"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Disposition indiquant la date d’entrée en vigueur de l’acte juridique</w:t>
            </w:r>
          </w:p>
        </w:tc>
        <w:tc>
          <w:tcPr>
            <w:tcW w:w="1175" w:type="dxa"/>
            <w:shd w:val="clear" w:color="auto" w:fill="C6EFCE"/>
            <w:noWrap/>
            <w:vAlign w:val="center"/>
          </w:tcPr>
          <w:p w14:paraId="1E5947A1" w14:textId="77777777" w:rsidR="000D1388" w:rsidRPr="00746A1A" w:rsidRDefault="000D1388">
            <w:pPr>
              <w:spacing w:after="0"/>
              <w:rPr>
                <w:rFonts w:ascii="Times New Roman" w:eastAsia="Calibri" w:hAnsi="Times New Roman" w:cs="Times New Roman"/>
                <w:noProof/>
                <w:color w:val="006100"/>
                <w:sz w:val="20"/>
                <w:szCs w:val="20"/>
                <w:lang w:val="fr-BE"/>
              </w:rPr>
            </w:pPr>
          </w:p>
        </w:tc>
        <w:tc>
          <w:tcPr>
            <w:tcW w:w="1098" w:type="dxa"/>
            <w:shd w:val="clear" w:color="auto" w:fill="C6EFCE"/>
            <w:noWrap/>
            <w:vAlign w:val="center"/>
          </w:tcPr>
          <w:p w14:paraId="621DA7A7" w14:textId="77777777" w:rsidR="000D1388" w:rsidRPr="00746A1A" w:rsidRDefault="000D1388">
            <w:pPr>
              <w:spacing w:after="0"/>
              <w:rPr>
                <w:rFonts w:ascii="Times New Roman" w:eastAsia="Calibri" w:hAnsi="Times New Roman" w:cs="Times New Roman"/>
                <w:noProof/>
                <w:color w:val="006100"/>
                <w:sz w:val="20"/>
                <w:szCs w:val="20"/>
                <w:lang w:val="fr-BE"/>
              </w:rPr>
            </w:pPr>
          </w:p>
        </w:tc>
        <w:tc>
          <w:tcPr>
            <w:tcW w:w="993" w:type="dxa"/>
            <w:shd w:val="clear" w:color="auto" w:fill="C6EFCE"/>
            <w:noWrap/>
            <w:vAlign w:val="center"/>
          </w:tcPr>
          <w:p w14:paraId="26B5AC67" w14:textId="77777777" w:rsidR="000D1388" w:rsidRPr="00746A1A" w:rsidRDefault="000D1388">
            <w:pPr>
              <w:spacing w:after="0"/>
              <w:rPr>
                <w:rFonts w:ascii="Times New Roman" w:eastAsia="Calibri" w:hAnsi="Times New Roman" w:cs="Times New Roman"/>
                <w:noProof/>
                <w:color w:val="006100"/>
                <w:sz w:val="20"/>
                <w:szCs w:val="20"/>
                <w:lang w:val="fr-BE"/>
              </w:rPr>
            </w:pPr>
          </w:p>
        </w:tc>
        <w:tc>
          <w:tcPr>
            <w:tcW w:w="1128" w:type="dxa"/>
            <w:shd w:val="clear" w:color="auto" w:fill="C6EFCE"/>
            <w:noWrap/>
            <w:vAlign w:val="center"/>
          </w:tcPr>
          <w:p w14:paraId="22A3B320"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7D1BA5F1"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2025</w:t>
            </w:r>
          </w:p>
        </w:tc>
        <w:tc>
          <w:tcPr>
            <w:tcW w:w="4258" w:type="dxa"/>
            <w:shd w:val="clear" w:color="auto" w:fill="C6EFCE"/>
            <w:noWrap/>
            <w:vAlign w:val="center"/>
          </w:tcPr>
          <w:p w14:paraId="04BDD4E6" w14:textId="16242793" w:rsidR="000D1388" w:rsidRPr="00EB38C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Entrée en vigueur de l’acte juridique qui limite les prestations de chômage à un maximum de 24 mois et améliore la structure dégressive des prestations de chômage.</w:t>
            </w:r>
          </w:p>
        </w:tc>
      </w:tr>
      <w:tr w:rsidR="00F76C04" w:rsidRPr="00481798" w14:paraId="2A987EE2" w14:textId="77777777" w:rsidTr="002F0621">
        <w:trPr>
          <w:trHeight w:val="313"/>
          <w:jc w:val="center"/>
        </w:trPr>
        <w:tc>
          <w:tcPr>
            <w:tcW w:w="1271" w:type="dxa"/>
            <w:shd w:val="clear" w:color="auto" w:fill="C6EFCE"/>
            <w:noWrap/>
            <w:vAlign w:val="center"/>
          </w:tcPr>
          <w:p w14:paraId="064D35A4"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177</w:t>
            </w:r>
          </w:p>
        </w:tc>
        <w:tc>
          <w:tcPr>
            <w:tcW w:w="1559" w:type="dxa"/>
            <w:shd w:val="clear" w:color="auto" w:fill="C6EFCE"/>
            <w:noWrap/>
            <w:vAlign w:val="center"/>
          </w:tcPr>
          <w:p w14:paraId="5B0F9684"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Réforme de l’accompagnement des demandeurs d’emploi en Wallonie (R-5.05)</w:t>
            </w:r>
          </w:p>
        </w:tc>
        <w:tc>
          <w:tcPr>
            <w:tcW w:w="709" w:type="dxa"/>
            <w:shd w:val="clear" w:color="auto" w:fill="C6EFCE"/>
            <w:noWrap/>
            <w:vAlign w:val="center"/>
          </w:tcPr>
          <w:p w14:paraId="000E254D"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39B998F2"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Réforme de l’accompagnement des demandeurs d’emploi en Wallonie</w:t>
            </w:r>
          </w:p>
        </w:tc>
        <w:tc>
          <w:tcPr>
            <w:tcW w:w="1276" w:type="dxa"/>
            <w:shd w:val="clear" w:color="auto" w:fill="C6EFCE"/>
            <w:noWrap/>
            <w:vAlign w:val="center"/>
          </w:tcPr>
          <w:p w14:paraId="202D4892"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Publication au Moniteur belge</w:t>
            </w:r>
          </w:p>
        </w:tc>
        <w:tc>
          <w:tcPr>
            <w:tcW w:w="1175" w:type="dxa"/>
            <w:shd w:val="clear" w:color="auto" w:fill="C6EFCE"/>
            <w:noWrap/>
            <w:vAlign w:val="center"/>
          </w:tcPr>
          <w:p w14:paraId="0445C330"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098" w:type="dxa"/>
            <w:shd w:val="clear" w:color="auto" w:fill="C6EFCE"/>
            <w:noWrap/>
            <w:vAlign w:val="center"/>
          </w:tcPr>
          <w:p w14:paraId="035DBA1E"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993" w:type="dxa"/>
            <w:shd w:val="clear" w:color="auto" w:fill="C6EFCE"/>
            <w:noWrap/>
            <w:vAlign w:val="center"/>
          </w:tcPr>
          <w:p w14:paraId="3DB9D4C9" w14:textId="77777777" w:rsidR="000D1388" w:rsidRPr="00481798" w:rsidRDefault="000D1388">
            <w:pPr>
              <w:spacing w:after="0"/>
              <w:rPr>
                <w:rFonts w:ascii="Times New Roman" w:eastAsia="Calibri" w:hAnsi="Times New Roman" w:cs="Times New Roman"/>
                <w:noProof/>
                <w:color w:val="006100"/>
                <w:sz w:val="20"/>
                <w:szCs w:val="20"/>
                <w:lang w:val="en-GB"/>
              </w:rPr>
            </w:pPr>
          </w:p>
        </w:tc>
        <w:tc>
          <w:tcPr>
            <w:tcW w:w="1128" w:type="dxa"/>
            <w:shd w:val="clear" w:color="auto" w:fill="C6EFCE"/>
            <w:noWrap/>
            <w:vAlign w:val="center"/>
          </w:tcPr>
          <w:p w14:paraId="1D24EC3A"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T3</w:t>
            </w:r>
          </w:p>
        </w:tc>
        <w:tc>
          <w:tcPr>
            <w:tcW w:w="851" w:type="dxa"/>
            <w:shd w:val="clear" w:color="auto" w:fill="C6EFCE"/>
            <w:noWrap/>
            <w:vAlign w:val="center"/>
          </w:tcPr>
          <w:p w14:paraId="2C87324E" w14:textId="77777777" w:rsidR="000D1388" w:rsidRPr="00481798" w:rsidRDefault="00E71057">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2021</w:t>
            </w:r>
          </w:p>
        </w:tc>
        <w:tc>
          <w:tcPr>
            <w:tcW w:w="4258" w:type="dxa"/>
            <w:shd w:val="clear" w:color="auto" w:fill="C6EFCE"/>
            <w:noWrap/>
            <w:vAlign w:val="center"/>
          </w:tcPr>
          <w:p w14:paraId="59A1ADE1" w14:textId="77777777" w:rsidR="000D1388" w:rsidRPr="00481798"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par le Parlement wallon du décret relatif à l’accompagnement orienté coaching et solutions des chercheurs d’emploi</w:t>
            </w:r>
          </w:p>
        </w:tc>
      </w:tr>
    </w:tbl>
    <w:p w14:paraId="37487E64" w14:textId="77777777" w:rsidR="000D1388" w:rsidRPr="00746A1A" w:rsidRDefault="000D1388" w:rsidP="00E71057">
      <w:pPr>
        <w:ind w:left="709"/>
        <w:rPr>
          <w:rFonts w:ascii="Times New Roman" w:eastAsia="Calibri" w:hAnsi="Times New Roman" w:cs="Times New Roman"/>
          <w:noProof/>
          <w:lang w:val="fr-BE"/>
        </w:rPr>
        <w:sectPr w:rsidR="000D1388" w:rsidRPr="00746A1A" w:rsidSect="00E71057">
          <w:headerReference w:type="even" r:id="rId186"/>
          <w:headerReference w:type="default" r:id="rId187"/>
          <w:footerReference w:type="even" r:id="rId188"/>
          <w:footerReference w:type="default" r:id="rId189"/>
          <w:headerReference w:type="first" r:id="rId190"/>
          <w:footerReference w:type="first" r:id="rId191"/>
          <w:pgSz w:w="16839" w:h="11907" w:orient="landscape"/>
          <w:pgMar w:top="1134" w:right="1134" w:bottom="1134" w:left="1134" w:header="567" w:footer="567" w:gutter="0"/>
          <w:cols w:space="720"/>
          <w:docGrid w:linePitch="360"/>
        </w:sectPr>
      </w:pPr>
    </w:p>
    <w:p w14:paraId="73259772" w14:textId="77777777" w:rsidR="000D1388" w:rsidRPr="009D65D8" w:rsidRDefault="00E71057" w:rsidP="00E71057">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O. COMPOSANTE 5.2: Soutenir l’activité économique</w:t>
      </w:r>
    </w:p>
    <w:p w14:paraId="042FD772"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vise à contribuer à la reprise économique et à faciliter la transition vers une économie plus verte et plus numérique en concentrant les ressources sur l’innovation et le soutien aux secteurs prometteurs. Les mesures rassemblées dans cette composante poursuivent trois objectifs plus spécifiques:</w:t>
      </w:r>
    </w:p>
    <w:p w14:paraId="3A68DA99" w14:textId="77777777" w:rsidR="000D1388" w:rsidRPr="009D65D8" w:rsidRDefault="00E71057" w:rsidP="00F70F65">
      <w:pPr>
        <w:numPr>
          <w:ilvl w:val="0"/>
          <w:numId w:val="54"/>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soutenir le développement d’activités qui offrent des perspectives prometteuses en termes de création de valeur ajoutée et de valorisation du territoire,</w:t>
      </w:r>
    </w:p>
    <w:p w14:paraId="63970389" w14:textId="77777777" w:rsidR="000D1388" w:rsidRPr="009D65D8" w:rsidRDefault="00E71057" w:rsidP="00F70F65">
      <w:pPr>
        <w:numPr>
          <w:ilvl w:val="0"/>
          <w:numId w:val="54"/>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faire avancer et soutenir la recherche et l’innovation, de manière à développer le potentiel économique futur du pays et de garantir son excellence et sa compétitivité,</w:t>
      </w:r>
    </w:p>
    <w:p w14:paraId="336F8473" w14:textId="77777777" w:rsidR="000D1388" w:rsidRPr="009D65D8" w:rsidRDefault="00E71057" w:rsidP="00F70F65">
      <w:pPr>
        <w:numPr>
          <w:ilvl w:val="0"/>
          <w:numId w:val="54"/>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favoriser la mise en œuvre de processus de production plus efficients, reposant notamment sur des technologies émergentes.</w:t>
      </w:r>
    </w:p>
    <w:p w14:paraId="5838F5E9"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Dans cette composante, une attention particulière est accordée aux PME, qui constituent l’essentiel du tissu économique de la Belgique et qui ont particulièrement souffert de la crise économique.</w:t>
      </w:r>
    </w:p>
    <w:p w14:paraId="1C3EC616"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composante contribue à répondre à la recommandation par pays nº 3 de 2019 appelant la Belgique à axer la politique sur la recherche et l’innovation et sur la transition énergétique et vers une économie à faible intensité de carbone, ainsi qu’à la recommandation par pays nº 3 de 2020 appelant à améliorer l’environnement des affaires, à lancer des projets aboutis d’investissement public et à promouvoir l’investissement privé pour favoriser la reprise économique.</w:t>
      </w:r>
    </w:p>
    <w:p w14:paraId="2F41F6AF"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10A1765D"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O.1.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1D4678A6"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I-5.08: «Médecine nucléaire» de l’État fédéral</w:t>
      </w:r>
    </w:p>
    <w:p w14:paraId="338F27E3" w14:textId="70E64E7D" w:rsidR="000D1388" w:rsidRDefault="73B59D02" w:rsidP="3FC37BCA">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 xml:space="preserve">Cette mesure d’investissement vise à garantir à l’avenir une disponibilité suffisante des radio-isotopes 177Lu et 225Ac en médecine nucléaire pour le traitement du cancer. Elle consiste à soutenir la construction d’une installation de radio-isotopes ainsi que la publication d’un rapport portant sur la faisabilité de la production du radio-isotope 225Ac. </w:t>
      </w:r>
    </w:p>
    <w:p w14:paraId="15F9F00E"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I-5.10: «R&amp;D: Minimisation des déchets lors du démantèlement» de l’État fédéral</w:t>
      </w:r>
    </w:p>
    <w:p w14:paraId="307B1298" w14:textId="77777777" w:rsidR="000D1388" w:rsidRPr="009D65D8" w:rsidRDefault="00E71057" w:rsidP="00E71057">
      <w:pPr>
        <w:spacing w:before="120" w:after="120" w:line="240" w:lineRule="auto"/>
        <w:jc w:val="both"/>
        <w:rPr>
          <w:rFonts w:ascii="Calibri" w:eastAsia="Calibri" w:hAnsi="Calibri" w:cs="Arial"/>
          <w:noProof/>
        </w:rPr>
      </w:pPr>
      <w:r>
        <w:rPr>
          <w:rFonts w:ascii="Times New Roman" w:hAnsi="Times New Roman"/>
          <w:noProof/>
          <w:color w:val="000000" w:themeColor="text1"/>
          <w:sz w:val="24"/>
        </w:rPr>
        <w:t xml:space="preserve">Cet investissement vise à renforcer l’expertise belge afin de réduire au minimum la quantité de déchets radioactifs produits lors du déclassement des centrales nucléaires. Il porte sur la construction de l’installation de traitement des matériaux. </w:t>
      </w:r>
    </w:p>
    <w:p w14:paraId="7C850BF6"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I-5.11: «Renforcer la R&amp;D» de la Région flamande</w:t>
      </w:r>
    </w:p>
    <w:p w14:paraId="1728C5CB" w14:textId="1148800D"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 investissement vise à stimuler l’innovation des opérateurs économiques flamands par le biais de la </w:t>
      </w:r>
      <w:r>
        <w:rPr>
          <w:rFonts w:ascii="Times New Roman" w:hAnsi="Times New Roman"/>
          <w:noProof/>
          <w:color w:val="000000" w:themeColor="text1"/>
          <w:sz w:val="24"/>
        </w:rPr>
        <w:t>R&amp;D&amp;I</w:t>
      </w:r>
      <w:r>
        <w:rPr>
          <w:rFonts w:ascii="Times New Roman" w:hAnsi="Times New Roman"/>
          <w:noProof/>
          <w:sz w:val="24"/>
        </w:rPr>
        <w:t>.</w:t>
      </w:r>
      <w:r>
        <w:rPr>
          <w:rFonts w:ascii="Times New Roman" w:hAnsi="Times New Roman"/>
          <w:noProof/>
          <w:color w:val="000000" w:themeColor="text1"/>
          <w:sz w:val="24"/>
        </w:rPr>
        <w:t xml:space="preserve"> Il consiste à octroyer des subventions pour soutenir des projets de R&amp;D&amp;I.</w:t>
      </w:r>
    </w:p>
    <w:p w14:paraId="1238C61B" w14:textId="77777777" w:rsidR="000D138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FRR supportera une partie des coûts de cet investissement, qui peut également bénéficier d’un soutien au titre d’autres programmes ou instruments de l’Union pour les coûts qui ne sont pas supportés par la FRR.</w:t>
      </w:r>
    </w:p>
    <w:p w14:paraId="2714A69E"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I-5.12: «Relocalisation de l’alimentation et plateformes logistiques» de la Région wallonne</w:t>
      </w:r>
    </w:p>
    <w:p w14:paraId="5E48C6B3" w14:textId="7FE45C29" w:rsidR="000D1388" w:rsidRPr="009D65D8" w:rsidRDefault="73B59D02" w:rsidP="00E71057">
      <w:pPr>
        <w:tabs>
          <w:tab w:val="left" w:pos="426"/>
        </w:tabs>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vise à soutenir le développement du secteur agricole. Il prévoit la construction, l’achat, la rénovation ou l’équipement d’infrastructures.</w:t>
      </w:r>
    </w:p>
    <w:p w14:paraId="28FBAFEC" w14:textId="77777777" w:rsidR="000D1388" w:rsidRPr="00DD67A6"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u w:val="single"/>
        </w:rPr>
        <w:t>Investissement I-5.13: «Digitalisation du secteur touristique wallon» de la Région wallonne</w:t>
      </w:r>
    </w:p>
    <w:p w14:paraId="5A98C3FA" w14:textId="77777777" w:rsidR="000D1388" w:rsidRPr="00DD67A6" w:rsidRDefault="00E71057" w:rsidP="00E71057">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 xml:space="preserve">L’objectif de cet investissement est de numériser le secteur touristique de la Région wallonne. Le projet vise à soutenir la présence en ligne des opérateurs touristiques. </w:t>
      </w:r>
    </w:p>
    <w:p w14:paraId="31A34675" w14:textId="77777777" w:rsidR="000D1388" w:rsidRPr="009D65D8" w:rsidRDefault="00E71057" w:rsidP="00E71057">
      <w:pPr>
        <w:rPr>
          <w:rFonts w:ascii="Times New Roman" w:eastAsia="Calibri" w:hAnsi="Times New Roman" w:cs="Times New Roman"/>
          <w:noProof/>
          <w:sz w:val="24"/>
          <w:szCs w:val="24"/>
          <w:u w:val="single"/>
        </w:rPr>
      </w:pPr>
      <w:r>
        <w:rPr>
          <w:rFonts w:ascii="Times New Roman" w:hAnsi="Times New Roman"/>
          <w:noProof/>
          <w:sz w:val="24"/>
          <w:u w:val="single"/>
        </w:rPr>
        <w:t>Investissement I-5.19: Injection de fonds propres dans la Participatiemaatschappij Vlaanderen (PMV) afin de soutenir les entreprises actives dans le domaine de la biotechnologie</w:t>
      </w:r>
    </w:p>
    <w:p w14:paraId="5FD2BAE9" w14:textId="0AF303E1" w:rsidR="000D1388" w:rsidRPr="009D65D8" w:rsidRDefault="00E71057" w:rsidP="00E71057">
      <w:pPr>
        <w:spacing w:line="240" w:lineRule="auto"/>
        <w:jc w:val="both"/>
        <w:rPr>
          <w:rFonts w:ascii="Times New Roman" w:eastAsia="Calibri" w:hAnsi="Times New Roman" w:cs="Times New Roman"/>
          <w:noProof/>
          <w:sz w:val="24"/>
          <w:szCs w:val="24"/>
        </w:rPr>
      </w:pPr>
      <w:r>
        <w:rPr>
          <w:rFonts w:ascii="Times New Roman" w:hAnsi="Times New Roman"/>
          <w:noProof/>
          <w:sz w:val="24"/>
        </w:rPr>
        <w:t>Cette mesure d’investissement vise à soutenir le potentiel de croissance de l’économie belge ou de tout autre État membre de l’Union européenne en ajustant structurellement le niveau de l’aide publique disponible pour remédier aux défaillances et aux inefficacités du marché au sein de l’économie. Elle consiste en une injection de fonds propres de 43 347 020 EUR dans la Participatiemaatschappij Vlaanderen (PMV).</w:t>
      </w:r>
    </w:p>
    <w:p w14:paraId="325976A1" w14:textId="77777777" w:rsidR="000D1388" w:rsidRPr="009D65D8" w:rsidRDefault="00E71057" w:rsidP="00E71057">
      <w:pPr>
        <w:jc w:val="both"/>
        <w:rPr>
          <w:rFonts w:ascii="Times New Roman" w:eastAsia="Times New Roman" w:hAnsi="Times New Roman" w:cs="Times New Roman"/>
          <w:noProof/>
          <w:sz w:val="24"/>
          <w:szCs w:val="24"/>
        </w:rPr>
      </w:pPr>
      <w:r>
        <w:rPr>
          <w:rFonts w:ascii="Times New Roman" w:hAnsi="Times New Roman"/>
          <w:noProof/>
          <w:sz w:val="24"/>
        </w:rPr>
        <w:t>La PMV adoptera une nouvelle politique d’investissement pour l’utilisation des fonds propres supplémentaires. La politique d’investissement comportera les éléments suivants:</w:t>
      </w:r>
    </w:p>
    <w:p w14:paraId="2D28CD3D" w14:textId="77777777" w:rsidR="000D1388" w:rsidRPr="009D65D8" w:rsidRDefault="00E71057" w:rsidP="00F70F65">
      <w:pPr>
        <w:numPr>
          <w:ilvl w:val="1"/>
          <w:numId w:val="55"/>
        </w:numPr>
        <w:contextualSpacing/>
        <w:jc w:val="both"/>
        <w:rPr>
          <w:rFonts w:ascii="Times New Roman" w:eastAsia="Calibri" w:hAnsi="Times New Roman" w:cs="Times New Roman"/>
          <w:noProof/>
          <w:sz w:val="24"/>
          <w:szCs w:val="24"/>
        </w:rPr>
      </w:pPr>
      <w:r>
        <w:rPr>
          <w:rFonts w:ascii="Times New Roman" w:hAnsi="Times New Roman"/>
          <w:noProof/>
          <w:sz w:val="24"/>
        </w:rPr>
        <w:t xml:space="preserve">une description du produit financier proposé par la PMV, c’est-à-dire une prise de participation pouvant prendre la forme de fonds propres, de prêts convertibles, de quasi-fonds propres, d’instruments hybrides de dette et de fonds propres tels que des prêts fortement subordonnés avec participation aux bénéfices, de prêts d’actionnaire, de garanties d’actionnaire, de financements mezzanine, de venture loans (prêts à risque), de bons de souscription ou d’autres formes d’equity kickers (mécanismes d’incitation à la participation) offrant un risque de type fonds propres; </w:t>
      </w:r>
    </w:p>
    <w:p w14:paraId="11567355" w14:textId="77777777" w:rsidR="000D1388" w:rsidRPr="009D65D8" w:rsidRDefault="00E71057" w:rsidP="00F70F65">
      <w:pPr>
        <w:numPr>
          <w:ilvl w:val="1"/>
          <w:numId w:val="55"/>
        </w:numPr>
        <w:contextualSpacing/>
        <w:jc w:val="both"/>
        <w:rPr>
          <w:rFonts w:ascii="Times New Roman" w:eastAsia="Calibri" w:hAnsi="Times New Roman" w:cs="Times New Roman"/>
          <w:noProof/>
          <w:sz w:val="24"/>
          <w:szCs w:val="24"/>
        </w:rPr>
      </w:pPr>
      <w:r>
        <w:rPr>
          <w:rFonts w:ascii="Times New Roman" w:hAnsi="Times New Roman"/>
          <w:noProof/>
          <w:sz w:val="24"/>
        </w:rPr>
        <w:t>le type attendu de bénéficiaires finals admissibles de la PMV, c’est-à-dire les entreprises actives dans le domaine de la biotechnologie, y compris dans le domaine des biotechnologies rouges et vertes;</w:t>
      </w:r>
    </w:p>
    <w:p w14:paraId="3C933302" w14:textId="77777777" w:rsidR="000D1388" w:rsidRPr="009D65D8" w:rsidRDefault="00E71057" w:rsidP="00F70F65">
      <w:pPr>
        <w:numPr>
          <w:ilvl w:val="1"/>
          <w:numId w:val="55"/>
        </w:numPr>
        <w:contextualSpacing/>
        <w:jc w:val="both"/>
        <w:rPr>
          <w:rFonts w:ascii="Times New Roman" w:eastAsia="Calibri" w:hAnsi="Times New Roman" w:cs="Times New Roman"/>
          <w:noProof/>
          <w:sz w:val="24"/>
          <w:szCs w:val="24"/>
        </w:rPr>
      </w:pPr>
      <w:bookmarkStart w:id="12" w:name="_Hlk198538454"/>
      <w:r>
        <w:rPr>
          <w:rFonts w:ascii="Times New Roman" w:hAnsi="Times New Roman"/>
          <w:noProof/>
          <w:sz w:val="24"/>
        </w:rPr>
        <w:t xml:space="preserve">la durée cible des investissements de la PMV est comprise entre 5 et 15 ans; </w:t>
      </w:r>
      <w:bookmarkEnd w:id="12"/>
    </w:p>
    <w:p w14:paraId="7618B73A" w14:textId="77777777" w:rsidR="000D1388" w:rsidRPr="009D65D8" w:rsidRDefault="00E71057" w:rsidP="00F70F65">
      <w:pPr>
        <w:numPr>
          <w:ilvl w:val="1"/>
          <w:numId w:val="55"/>
        </w:numPr>
        <w:contextualSpacing/>
        <w:jc w:val="both"/>
        <w:rPr>
          <w:rFonts w:ascii="Times New Roman" w:eastAsia="Calibri" w:hAnsi="Times New Roman" w:cs="Times New Roman"/>
          <w:noProof/>
          <w:sz w:val="24"/>
          <w:szCs w:val="24"/>
        </w:rPr>
      </w:pPr>
      <w:r>
        <w:rPr>
          <w:rFonts w:ascii="Times New Roman" w:hAnsi="Times New Roman"/>
          <w:noProof/>
          <w:sz w:val="24"/>
        </w:rPr>
        <w:t xml:space="preserve">la PMV utilise pour les fonds propres supplémentaires le même système d’audit et de contrôle que celui qui a fait l’objet d’une évaluation positive par la Commission conformément à l’article 157 du règlement (UE, Euratom) 2024/2509. </w:t>
      </w:r>
    </w:p>
    <w:p w14:paraId="2D3A34AB" w14:textId="77777777" w:rsidR="000D1388" w:rsidRPr="009D65D8" w:rsidRDefault="00E71057" w:rsidP="00E71057">
      <w:pPr>
        <w:tabs>
          <w:tab w:val="num" w:pos="360"/>
        </w:tabs>
        <w:jc w:val="both"/>
        <w:rPr>
          <w:rFonts w:ascii="Times New Roman" w:eastAsia="Calibri" w:hAnsi="Times New Roman" w:cs="Times New Roman"/>
          <w:noProof/>
          <w:sz w:val="24"/>
          <w:szCs w:val="24"/>
        </w:rPr>
      </w:pPr>
      <w:r>
        <w:rPr>
          <w:rFonts w:ascii="Times New Roman" w:hAnsi="Times New Roman"/>
          <w:noProof/>
          <w:sz w:val="24"/>
        </w:rPr>
        <w:t>La politique d’investissement exigera que les produits financiers que les fonds propres supplémentaires respectent le principe consistant à «ne pas causer de préjudice important» énoncé dans les orientations techniques DNSH (2021/C58/01). En particulier, la politique d’investissement exclut de l’éligibilité la liste suivante d’activités et d’actifs: i) les activités et actifs liés aux combustibles fossiles, y compris leur utilisation en aval</w:t>
      </w:r>
      <w:r w:rsidRPr="009D65D8">
        <w:rPr>
          <w:rFonts w:ascii="Times New Roman" w:eastAsia="Calibri" w:hAnsi="Times New Roman" w:cs="Times New Roman"/>
          <w:noProof/>
          <w:sz w:val="24"/>
          <w:szCs w:val="24"/>
          <w:vertAlign w:val="superscript"/>
        </w:rPr>
        <w:footnoteReference w:id="4"/>
      </w:r>
      <w:r>
        <w:rPr>
          <w:rFonts w:ascii="Times New Roman" w:hAnsi="Times New Roman"/>
          <w:noProof/>
          <w:sz w:val="24"/>
        </w:rPr>
        <w:t>, ii) les activités et actifs relevant du système d’échange de quotas d’émission de l’UE (SEQE) permettant d’atteindre les émissions de gaz à effet de serre prévues qui ne sont pas inférieures aux valeurs de référence pertinentes</w:t>
      </w:r>
      <w:r w:rsidRPr="009D65D8">
        <w:rPr>
          <w:rFonts w:ascii="Times New Roman" w:eastAsia="Calibri" w:hAnsi="Times New Roman" w:cs="Times New Roman"/>
          <w:noProof/>
          <w:sz w:val="24"/>
          <w:szCs w:val="24"/>
          <w:vertAlign w:val="superscript"/>
        </w:rPr>
        <w:footnoteReference w:id="5"/>
      </w:r>
      <w:r>
        <w:rPr>
          <w:rFonts w:ascii="Times New Roman" w:hAnsi="Times New Roman"/>
          <w:noProof/>
          <w:sz w:val="24"/>
        </w:rPr>
        <w:t>, iii) les activités et actifs liés aux décharges de déchets, aux incinérateurs</w:t>
      </w:r>
      <w:r w:rsidRPr="009D65D8">
        <w:rPr>
          <w:rFonts w:ascii="Times New Roman" w:eastAsia="Calibri" w:hAnsi="Times New Roman" w:cs="Times New Roman"/>
          <w:noProof/>
          <w:sz w:val="24"/>
          <w:szCs w:val="24"/>
          <w:vertAlign w:val="superscript"/>
          <w:lang w:val="en-US"/>
        </w:rPr>
        <w:footnoteReference w:id="6"/>
      </w:r>
      <w:r>
        <w:rPr>
          <w:rFonts w:ascii="Times New Roman" w:hAnsi="Times New Roman"/>
          <w:noProof/>
          <w:sz w:val="24"/>
        </w:rPr>
        <w:t xml:space="preserve"> et aux installations de traitement biologique mécanique</w:t>
      </w:r>
      <w:r w:rsidRPr="009D65D8">
        <w:rPr>
          <w:rFonts w:ascii="Times New Roman" w:eastAsia="Calibri" w:hAnsi="Times New Roman" w:cs="Times New Roman"/>
          <w:noProof/>
          <w:sz w:val="24"/>
          <w:szCs w:val="24"/>
          <w:vertAlign w:val="superscript"/>
          <w:lang w:val="en-US"/>
        </w:rPr>
        <w:footnoteReference w:id="7"/>
      </w:r>
      <w:r>
        <w:rPr>
          <w:rFonts w:ascii="Times New Roman" w:hAnsi="Times New Roman"/>
          <w:noProof/>
          <w:sz w:val="24"/>
        </w:rPr>
        <w:t>. Qui plus est, dans le cas d’un soutien général aux entreprises, la politique d’investissement exclut les entreprises qui mettent fortement l’accent</w:t>
      </w:r>
      <w:r w:rsidRPr="009D65D8">
        <w:rPr>
          <w:rFonts w:ascii="Times New Roman" w:eastAsia="Calibri" w:hAnsi="Times New Roman" w:cs="Times New Roman"/>
          <w:noProof/>
          <w:sz w:val="24"/>
          <w:szCs w:val="24"/>
          <w:vertAlign w:val="superscript"/>
        </w:rPr>
        <w:footnoteReference w:id="8"/>
      </w:r>
      <w:r>
        <w:rPr>
          <w:rFonts w:ascii="Times New Roman" w:hAnsi="Times New Roman"/>
          <w:noProof/>
          <w:sz w:val="24"/>
        </w:rPr>
        <w:t xml:space="preserve"> sur les secteurs suivants: i) production d’énergie à partir de combustibles fossiles et activités connexes</w:t>
      </w:r>
      <w:r w:rsidRPr="009D65D8">
        <w:rPr>
          <w:rFonts w:ascii="Times New Roman" w:eastAsia="Calibri" w:hAnsi="Times New Roman" w:cs="Times New Roman"/>
          <w:noProof/>
          <w:sz w:val="24"/>
          <w:szCs w:val="24"/>
          <w:vertAlign w:val="superscript"/>
        </w:rPr>
        <w:footnoteReference w:id="9"/>
      </w:r>
      <w:r>
        <w:rPr>
          <w:rFonts w:ascii="Times New Roman" w:hAnsi="Times New Roman"/>
          <w:noProof/>
          <w:sz w:val="24"/>
        </w:rPr>
        <w:t>; ii) les industries à forte intensité énergétique et/ou à forte émission de CO</w:t>
      </w:r>
      <w:r>
        <w:rPr>
          <w:rFonts w:ascii="Times New Roman" w:hAnsi="Times New Roman"/>
          <w:noProof/>
          <w:sz w:val="24"/>
          <w:vertAlign w:val="subscript"/>
        </w:rPr>
        <w:t>2</w:t>
      </w:r>
      <w:r w:rsidRPr="009D65D8">
        <w:rPr>
          <w:rFonts w:ascii="Times New Roman" w:eastAsia="Calibri" w:hAnsi="Times New Roman" w:cs="Times New Roman"/>
          <w:noProof/>
          <w:sz w:val="24"/>
          <w:szCs w:val="24"/>
          <w:vertAlign w:val="superscript"/>
        </w:rPr>
        <w:footnoteReference w:id="10"/>
      </w:r>
      <w:r>
        <w:rPr>
          <w:rFonts w:ascii="Times New Roman" w:hAnsi="Times New Roman"/>
          <w:noProof/>
          <w:sz w:val="24"/>
        </w:rPr>
        <w:t>; iii) la production, la location ou la vente de véhicules polluants</w:t>
      </w:r>
      <w:r w:rsidRPr="009D65D8">
        <w:rPr>
          <w:rFonts w:ascii="Times New Roman" w:eastAsia="Calibri" w:hAnsi="Times New Roman" w:cs="Times New Roman"/>
          <w:noProof/>
          <w:sz w:val="24"/>
          <w:szCs w:val="24"/>
          <w:vertAlign w:val="superscript"/>
        </w:rPr>
        <w:footnoteReference w:id="11"/>
      </w:r>
      <w:r>
        <w:rPr>
          <w:rFonts w:ascii="Times New Roman" w:hAnsi="Times New Roman"/>
          <w:noProof/>
          <w:sz w:val="24"/>
        </w:rPr>
        <w:t>; iv) la collecte, le traitement et l’élimination des déchets</w:t>
      </w:r>
      <w:r w:rsidRPr="009D65D8">
        <w:rPr>
          <w:rFonts w:ascii="Times New Roman" w:eastAsia="Calibri" w:hAnsi="Times New Roman" w:cs="Times New Roman"/>
          <w:noProof/>
          <w:sz w:val="24"/>
          <w:szCs w:val="24"/>
          <w:vertAlign w:val="superscript"/>
        </w:rPr>
        <w:footnoteReference w:id="12"/>
      </w:r>
      <w:r>
        <w:rPr>
          <w:rFonts w:ascii="Times New Roman" w:hAnsi="Times New Roman"/>
          <w:noProof/>
          <w:sz w:val="24"/>
        </w:rPr>
        <w:t>, v) le traitement du combustible nucléaire, la production d’énergie nucléaire. Par ailleurs, la politique d’investissement exigera que les bénéficiaires finaux du régime respectent</w:t>
      </w:r>
      <w:r>
        <w:rPr>
          <w:rFonts w:ascii="Times New Roman" w:hAnsi="Times New Roman"/>
          <w:b/>
          <w:noProof/>
          <w:sz w:val="24"/>
        </w:rPr>
        <w:t xml:space="preserve"> </w:t>
      </w:r>
      <w:r>
        <w:rPr>
          <w:rFonts w:ascii="Times New Roman" w:hAnsi="Times New Roman"/>
          <w:noProof/>
          <w:sz w:val="24"/>
        </w:rPr>
        <w:t>la législation environnementale de l’Union et nationale applicable.</w:t>
      </w:r>
    </w:p>
    <w:p w14:paraId="2D033CB2" w14:textId="77777777" w:rsidR="000D1388" w:rsidRPr="009D65D8" w:rsidRDefault="00E71057" w:rsidP="00E71057">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La mise en œuvre de la mesure est achevée au plus tard le 31 août 2026.</w:t>
      </w:r>
    </w:p>
    <w:p w14:paraId="703C3175"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R-5.06: «Optimisation des procédures: des procédures de permis et d’appel plus rapides» de la Région flamande</w:t>
      </w:r>
    </w:p>
    <w:p w14:paraId="50424991"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réforme vise à simplifier les procédures de permis d’environnement, notamment en introduisant des conditions relatives à la possibilité de faire appel des décisions. Elle consistera à revoir la réglementation existante, dans le but de réduire le temps nécessaire au traitement d’une affaire et d’offrir une plus grande sécurité juridique. Au terme de l’examen, un rapport sera publié, donnant un aperçu des mesures nouvelles et révisées. La mise en œuvre de la réforme devrait être achevée au plus tard le 31 décembre 2022.</w:t>
      </w:r>
    </w:p>
    <w:p w14:paraId="1A0D277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R-5.07: «Élargir la base de l’innovation» de la Région flamande</w:t>
      </w:r>
    </w:p>
    <w:p w14:paraId="05AF569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réforme a pour but de garantir que les instruments existants ne limitent pas l’accès des PME aux subventions à l’innovation. Elle consistera à revoir les instruments existants visant à stimuler l’innovation, pour les rendre plus accessibles et adaptés aux besoins des PME. Au terme de l’examen, un rapport sera publié, donnant un aperçu des mesures nouvelles et révisées. La mise en œuvre de la réforme devrait être achevée au plus tard le 31 décembre 2022.</w:t>
      </w:r>
    </w:p>
    <w:p w14:paraId="3298F92E" w14:textId="77777777" w:rsidR="000D1388" w:rsidRPr="00746A1A" w:rsidRDefault="00E71057" w:rsidP="00E71057">
      <w:pPr>
        <w:spacing w:before="120" w:after="120" w:line="240" w:lineRule="auto"/>
        <w:jc w:val="both"/>
        <w:rPr>
          <w:rFonts w:ascii="Times New Roman" w:eastAsia="Calibri" w:hAnsi="Times New Roman" w:cs="Times New Roman"/>
          <w:noProof/>
          <w:sz w:val="24"/>
          <w:lang w:val="en-IE"/>
        </w:rPr>
      </w:pPr>
      <w:r w:rsidRPr="00746A1A">
        <w:rPr>
          <w:rFonts w:ascii="Times New Roman" w:hAnsi="Times New Roman"/>
          <w:noProof/>
          <w:sz w:val="24"/>
          <w:u w:val="single"/>
          <w:lang w:val="en-IE"/>
        </w:rPr>
        <w:t>Investissement I-5.18: «SMELD: State-of-the-art MEtal MElting Limiting waste during D&amp;D» de l’État fédéral</w:t>
      </w:r>
    </w:p>
    <w:p w14:paraId="319C20E5" w14:textId="1EAD0016" w:rsidR="000D1388" w:rsidRPr="009D65D8" w:rsidRDefault="00E71057" w:rsidP="00E71057">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 investissement vise à accroître la capacité de transformation des métaux recyclés à partir des opérations de démantèlement d’installations nucléaires. Dans ce contexte, il consiste en l’installation d’un four de fusion, utilisable en mode non radioactif.</w:t>
      </w:r>
    </w:p>
    <w:p w14:paraId="4DA6BA19" w14:textId="77777777" w:rsidR="000D1388" w:rsidRPr="00DD67A6" w:rsidRDefault="00E71057" w:rsidP="00E71057">
      <w:pPr>
        <w:rPr>
          <w:rFonts w:ascii="Times New Roman" w:hAnsi="Times New Roman" w:cs="Times New Roman"/>
          <w:noProof/>
          <w:sz w:val="24"/>
          <w:szCs w:val="24"/>
          <w:u w:val="single"/>
        </w:rPr>
      </w:pPr>
      <w:r>
        <w:rPr>
          <w:rFonts w:ascii="Times New Roman" w:hAnsi="Times New Roman"/>
          <w:noProof/>
          <w:sz w:val="24"/>
          <w:u w:val="single"/>
        </w:rPr>
        <w:t>Investissement I-5.20 – Injection de capitaux dans la SFPIM Defence</w:t>
      </w:r>
    </w:p>
    <w:p w14:paraId="103E20CF" w14:textId="77777777" w:rsidR="000D1388" w:rsidRPr="009D65D8" w:rsidRDefault="00E71057" w:rsidP="00E71057">
      <w:pPr>
        <w:jc w:val="both"/>
        <w:rPr>
          <w:rFonts w:ascii="Times New Roman" w:hAnsi="Times New Roman" w:cs="Times New Roman"/>
          <w:noProof/>
          <w:sz w:val="24"/>
          <w:szCs w:val="24"/>
        </w:rPr>
      </w:pPr>
      <w:r>
        <w:rPr>
          <w:rFonts w:ascii="Times New Roman" w:hAnsi="Times New Roman"/>
          <w:noProof/>
          <w:sz w:val="24"/>
        </w:rPr>
        <w:t>Cette mesure vise à renforcer la résilience de l’économie belge en ajustant structurellement le niveau de l’aide publique disponible pour remédier aux défaillances et aux inefficacités du marché dans les secteurs de la sécurité et de la défense.</w:t>
      </w:r>
    </w:p>
    <w:p w14:paraId="3A7D62DE" w14:textId="0103B9DF" w:rsidR="000D1388" w:rsidRPr="009D65D8" w:rsidRDefault="00E71057" w:rsidP="00E71057">
      <w:pPr>
        <w:jc w:val="both"/>
        <w:rPr>
          <w:rFonts w:ascii="Times New Roman" w:hAnsi="Times New Roman" w:cs="Times New Roman"/>
          <w:noProof/>
          <w:sz w:val="24"/>
          <w:szCs w:val="24"/>
        </w:rPr>
      </w:pPr>
      <w:r>
        <w:rPr>
          <w:rFonts w:ascii="Times New Roman" w:hAnsi="Times New Roman"/>
          <w:noProof/>
          <w:sz w:val="24"/>
        </w:rPr>
        <w:t>Elle consiste en une injection de capitaux d’un montant de 58 933 212</w:t>
      </w:r>
      <w:bookmarkStart w:id="13" w:name="_Hlk229382893"/>
      <w:r>
        <w:rPr>
          <w:rFonts w:ascii="Times New Roman" w:hAnsi="Times New Roman"/>
          <w:noProof/>
          <w:sz w:val="24"/>
        </w:rPr>
        <w:t> </w:t>
      </w:r>
      <w:bookmarkEnd w:id="13"/>
      <w:r>
        <w:rPr>
          <w:rFonts w:ascii="Times New Roman" w:hAnsi="Times New Roman"/>
          <w:noProof/>
          <w:sz w:val="24"/>
        </w:rPr>
        <w:t>EUR dans la SFPIM Defence (ci-après le «Fonds»), filiale de la SFPIM, afin de financer les investissements dans la défense et la sécurité, comme indiqué ci-dessous.</w:t>
      </w:r>
    </w:p>
    <w:p w14:paraId="7746A4EE" w14:textId="77777777" w:rsidR="000D1388" w:rsidRPr="009D65D8" w:rsidRDefault="00E71057" w:rsidP="00E71057">
      <w:pPr>
        <w:jc w:val="both"/>
        <w:rPr>
          <w:rFonts w:ascii="Times New Roman" w:hAnsi="Times New Roman" w:cs="Times New Roman"/>
          <w:noProof/>
          <w:sz w:val="24"/>
          <w:szCs w:val="24"/>
        </w:rPr>
      </w:pPr>
      <w:r>
        <w:rPr>
          <w:rFonts w:ascii="Times New Roman" w:hAnsi="Times New Roman"/>
          <w:noProof/>
          <w:sz w:val="24"/>
        </w:rPr>
        <w:t>Les statuts et règlements de la SFPIM Defence comprennent les éléments suivants:</w:t>
      </w:r>
    </w:p>
    <w:p w14:paraId="6C3226D5" w14:textId="77777777" w:rsidR="000D1388" w:rsidRPr="009D65D8" w:rsidRDefault="00E71057" w:rsidP="00F70F65">
      <w:pPr>
        <w:pStyle w:val="ListParagraph"/>
        <w:numPr>
          <w:ilvl w:val="0"/>
          <w:numId w:val="56"/>
        </w:numPr>
        <w:spacing w:line="259" w:lineRule="auto"/>
        <w:jc w:val="both"/>
        <w:rPr>
          <w:rFonts w:ascii="Times New Roman" w:hAnsi="Times New Roman" w:cs="Times New Roman"/>
          <w:noProof/>
        </w:rPr>
      </w:pPr>
      <w:r>
        <w:rPr>
          <w:rFonts w:ascii="Times New Roman" w:hAnsi="Times New Roman"/>
          <w:noProof/>
        </w:rPr>
        <w:t>une définition des objectifs du Fonds et des domaines d’investissement éligibles dans lesquels le Fonds peut s’engager sous forme d’injections de fonds propres au titre de la FRR: i) l’aménagement de bâtiments de protection et d’infrastructures de protection civile, ii) la construction et la modernisation d’infrastructures à double usage, iii) les investissements dans la cybersécurité et iv) la modernisation des entreprises, y compris le soutien à la R&amp;D.</w:t>
      </w:r>
    </w:p>
    <w:p w14:paraId="5B08BAA1" w14:textId="77777777" w:rsidR="000D1388" w:rsidRPr="009D65D8" w:rsidRDefault="00E71057" w:rsidP="00F70F65">
      <w:pPr>
        <w:pStyle w:val="ListParagraph"/>
        <w:numPr>
          <w:ilvl w:val="0"/>
          <w:numId w:val="56"/>
        </w:numPr>
        <w:spacing w:line="259" w:lineRule="auto"/>
        <w:jc w:val="both"/>
        <w:rPr>
          <w:rFonts w:ascii="Times New Roman" w:hAnsi="Times New Roman" w:cs="Times New Roman"/>
          <w:noProof/>
        </w:rPr>
      </w:pPr>
      <w:r>
        <w:rPr>
          <w:rFonts w:ascii="Times New Roman" w:hAnsi="Times New Roman"/>
          <w:noProof/>
        </w:rPr>
        <w:t>L’exigence selon laquelle le Fonds doit fonctionner conformément aux objectifs de la facilité pour la reprise et la résilience. La loi prévoit également l’obligation de veiller à ce que l’ampleur des investissements à mettre en œuvre corresponde à ce qui peut être financé au titre du budget de l’UE, y compris au titre du traité sur le fonctionnement de l’Union européenne.</w:t>
      </w:r>
    </w:p>
    <w:p w14:paraId="78EC9910" w14:textId="77777777" w:rsidR="000D1388" w:rsidRPr="009D65D8" w:rsidRDefault="00E71057" w:rsidP="00F70F65">
      <w:pPr>
        <w:pStyle w:val="ListParagraph"/>
        <w:numPr>
          <w:ilvl w:val="0"/>
          <w:numId w:val="56"/>
        </w:numPr>
        <w:spacing w:line="259" w:lineRule="auto"/>
        <w:jc w:val="both"/>
        <w:rPr>
          <w:rFonts w:ascii="Times New Roman" w:hAnsi="Times New Roman" w:cs="Times New Roman"/>
          <w:noProof/>
        </w:rPr>
      </w:pPr>
      <w:r>
        <w:rPr>
          <w:rFonts w:ascii="Times New Roman" w:hAnsi="Times New Roman"/>
          <w:noProof/>
        </w:rPr>
        <w:t>L’exigence selon laquelle le Fonds doit être une filiale de la SFPIM et la SFPIM doit être l’unique propriétaire du Fonds. Les fonds propres injectés au titre de la FRR sont consacrés aux investissements en fonds propres et quasi-fonds propres.</w:t>
      </w:r>
    </w:p>
    <w:p w14:paraId="27B8EE34" w14:textId="77777777" w:rsidR="000D1388" w:rsidRPr="009D65D8" w:rsidRDefault="00E71057" w:rsidP="00F70F65">
      <w:pPr>
        <w:pStyle w:val="ListParagraph"/>
        <w:numPr>
          <w:ilvl w:val="0"/>
          <w:numId w:val="56"/>
        </w:numPr>
        <w:spacing w:line="259" w:lineRule="auto"/>
        <w:jc w:val="both"/>
        <w:rPr>
          <w:rFonts w:ascii="Times New Roman" w:hAnsi="Times New Roman" w:cs="Times New Roman"/>
          <w:noProof/>
        </w:rPr>
      </w:pPr>
      <w:r>
        <w:rPr>
          <w:rFonts w:ascii="Times New Roman" w:hAnsi="Times New Roman"/>
          <w:noProof/>
        </w:rPr>
        <w:t xml:space="preserve">La structure de gouvernance du Fonds, la composition et les responsabilités des différents organes de gouvernance, organes de direction et comités d’investissement concernés, ainsi que leurs modalités de nomination. </w:t>
      </w:r>
    </w:p>
    <w:p w14:paraId="7C97103C" w14:textId="77777777" w:rsidR="000D1388" w:rsidRPr="009D65D8" w:rsidRDefault="00E71057" w:rsidP="00F70F65">
      <w:pPr>
        <w:pStyle w:val="ListParagraph"/>
        <w:numPr>
          <w:ilvl w:val="0"/>
          <w:numId w:val="56"/>
        </w:numPr>
        <w:spacing w:line="259" w:lineRule="auto"/>
        <w:jc w:val="both"/>
        <w:rPr>
          <w:rFonts w:ascii="Times New Roman" w:hAnsi="Times New Roman" w:cs="Times New Roman"/>
          <w:noProof/>
        </w:rPr>
      </w:pPr>
      <w:r>
        <w:rPr>
          <w:rFonts w:ascii="Times New Roman" w:hAnsi="Times New Roman"/>
          <w:noProof/>
        </w:rPr>
        <w:t>L’exigence selon laquelle les décisions d’investissement du Fonds doivent être prises par les organes compétents et approuvées à la majorité des voix de membres indépendants du gouvernement belge. En particulier, les statuts de la SFPIM Defence prévoient que les investissements soutenus par la FRR doivent être approuvés à la double majorité: majorité simple de tous les membres du conseil d’administration (6/10) et majorité simple des membres indépendants du conseil d’administration (3/4). Ces dispositions garantissent qu’aucun investissement soutenu par la FRR ne peut être approuvé sans une majorité de membres indépendants. </w:t>
      </w:r>
    </w:p>
    <w:p w14:paraId="4A56DBB6" w14:textId="77777777" w:rsidR="000D1388" w:rsidRPr="009D65D8" w:rsidRDefault="00E71057" w:rsidP="00F70F65">
      <w:pPr>
        <w:pStyle w:val="ListParagraph"/>
        <w:numPr>
          <w:ilvl w:val="0"/>
          <w:numId w:val="56"/>
        </w:numPr>
        <w:spacing w:line="259" w:lineRule="auto"/>
        <w:jc w:val="both"/>
        <w:rPr>
          <w:rFonts w:ascii="Times New Roman" w:eastAsia="Aptos" w:hAnsi="Times New Roman" w:cs="Times New Roman"/>
          <w:noProof/>
        </w:rPr>
      </w:pPr>
      <w:r>
        <w:rPr>
          <w:rFonts w:ascii="Times New Roman" w:hAnsi="Times New Roman"/>
          <w:noProof/>
        </w:rPr>
        <w:t>L’obligation faite au Fonds de décrire et d’établir un système de gestion et de contrôle destiné à prévenir, détecter et corriger la fraude, la corruption et les conflits d’intérêts au sens de l’article 61, paragraphe 2 et 3, du règlement financier, et d’engager des poursuites pour recouvrer les fonds qui ont été détournés, et la publication d’un rapport d’audit de l’organisme d’audit fédéral assorti d’une opinion sans réserve ou d’une opinion avec réserve ayant une incidence limitée sur le système de gestion et de contrôle de la filiale.</w:t>
      </w:r>
    </w:p>
    <w:p w14:paraId="0137B029" w14:textId="77777777" w:rsidR="000D1388" w:rsidRPr="009D65D8" w:rsidRDefault="00E71057" w:rsidP="00F70F65">
      <w:pPr>
        <w:pStyle w:val="ListParagraph"/>
        <w:numPr>
          <w:ilvl w:val="0"/>
          <w:numId w:val="56"/>
        </w:numPr>
        <w:spacing w:line="259" w:lineRule="auto"/>
        <w:jc w:val="both"/>
        <w:rPr>
          <w:rFonts w:ascii="Times New Roman" w:hAnsi="Times New Roman" w:cs="Times New Roman"/>
          <w:noProof/>
        </w:rPr>
      </w:pPr>
      <w:r>
        <w:rPr>
          <w:rFonts w:ascii="Times New Roman" w:hAnsi="Times New Roman"/>
          <w:noProof/>
        </w:rPr>
        <w:t>L’exigence selon laquelle les fonds propres injectés dans le Fonds doivent être utilisés sur la base d’une politique d’investissement.</w:t>
      </w:r>
    </w:p>
    <w:p w14:paraId="506DBC9B" w14:textId="77777777" w:rsidR="000D1388" w:rsidRPr="009D65D8" w:rsidRDefault="00E71057" w:rsidP="00E71057">
      <w:pPr>
        <w:jc w:val="both"/>
        <w:rPr>
          <w:rFonts w:ascii="Times New Roman" w:hAnsi="Times New Roman" w:cs="Times New Roman"/>
          <w:noProof/>
          <w:sz w:val="24"/>
          <w:szCs w:val="24"/>
        </w:rPr>
      </w:pPr>
      <w:r>
        <w:rPr>
          <w:rFonts w:ascii="Times New Roman" w:hAnsi="Times New Roman"/>
          <w:noProof/>
          <w:sz w:val="24"/>
        </w:rPr>
        <w:t>La politique d’investissement pour l’utilisation des capitaux injectés au titre de la FRR dans la SFPIM Defence comprend les éléments suivants:</w:t>
      </w:r>
    </w:p>
    <w:p w14:paraId="1CE96A7E" w14:textId="77777777" w:rsidR="000D1388" w:rsidRPr="009D65D8" w:rsidRDefault="00E71057" w:rsidP="00F70F65">
      <w:pPr>
        <w:pStyle w:val="ListParagraph"/>
        <w:numPr>
          <w:ilvl w:val="0"/>
          <w:numId w:val="57"/>
        </w:numPr>
        <w:spacing w:line="259" w:lineRule="auto"/>
        <w:jc w:val="both"/>
        <w:rPr>
          <w:rFonts w:ascii="Times New Roman" w:hAnsi="Times New Roman" w:cs="Times New Roman"/>
          <w:noProof/>
        </w:rPr>
      </w:pPr>
      <w:r>
        <w:rPr>
          <w:rFonts w:ascii="Times New Roman" w:hAnsi="Times New Roman"/>
          <w:noProof/>
        </w:rPr>
        <w:t xml:space="preserve">La description des domaines d’investissement pour le Fonds, conformément aux domaines éligibles établis par la loi. </w:t>
      </w:r>
    </w:p>
    <w:p w14:paraId="41A71D18" w14:textId="77777777" w:rsidR="000D1388" w:rsidRPr="009D65D8" w:rsidRDefault="00E71057" w:rsidP="00F70F65">
      <w:pPr>
        <w:pStyle w:val="ListParagraph"/>
        <w:numPr>
          <w:ilvl w:val="0"/>
          <w:numId w:val="57"/>
        </w:numPr>
        <w:spacing w:line="259" w:lineRule="auto"/>
        <w:jc w:val="both"/>
        <w:rPr>
          <w:rFonts w:ascii="Times New Roman" w:hAnsi="Times New Roman" w:cs="Times New Roman"/>
          <w:noProof/>
        </w:rPr>
      </w:pPr>
      <w:r>
        <w:rPr>
          <w:rFonts w:ascii="Times New Roman" w:hAnsi="Times New Roman"/>
          <w:noProof/>
        </w:rPr>
        <w:t xml:space="preserve">La description des produits financiers, y compris les fonds propres et quasi-fonds propres, des objectifs du Fonds, de la manière dont le Fonds fournira le financement et des bénéficiaires finaux éligibles attendus que le Fonds financera initialement. Ces produits financiers sont conformes à la loi instituant le Fonds, y compris à ce qui peut être financé sur le budget de l’UE. </w:t>
      </w:r>
    </w:p>
    <w:p w14:paraId="4313F9D6" w14:textId="77777777" w:rsidR="000D1388" w:rsidRPr="009D65D8" w:rsidRDefault="00E71057" w:rsidP="00F70F65">
      <w:pPr>
        <w:pStyle w:val="ListParagraph"/>
        <w:numPr>
          <w:ilvl w:val="0"/>
          <w:numId w:val="57"/>
        </w:numPr>
        <w:spacing w:line="259" w:lineRule="auto"/>
        <w:jc w:val="both"/>
        <w:rPr>
          <w:rFonts w:ascii="Times New Roman" w:hAnsi="Times New Roman" w:cs="Times New Roman"/>
          <w:noProof/>
        </w:rPr>
      </w:pPr>
      <w:r>
        <w:rPr>
          <w:rFonts w:ascii="Times New Roman" w:hAnsi="Times New Roman"/>
          <w:noProof/>
        </w:rPr>
        <w:t xml:space="preserve">Le calendrier envisagé pour les étapes de mise en œuvre des investissements initiaux. </w:t>
      </w:r>
    </w:p>
    <w:p w14:paraId="70645198" w14:textId="77777777" w:rsidR="000D1388" w:rsidRPr="009D65D8" w:rsidRDefault="00E71057" w:rsidP="00F70F65">
      <w:pPr>
        <w:pStyle w:val="ListParagraph"/>
        <w:numPr>
          <w:ilvl w:val="0"/>
          <w:numId w:val="57"/>
        </w:numPr>
        <w:spacing w:line="259" w:lineRule="auto"/>
        <w:jc w:val="both"/>
        <w:rPr>
          <w:rFonts w:ascii="Times New Roman" w:hAnsi="Times New Roman" w:cs="Times New Roman"/>
          <w:noProof/>
        </w:rPr>
      </w:pPr>
      <w:r>
        <w:rPr>
          <w:rFonts w:ascii="Times New Roman" w:hAnsi="Times New Roman"/>
          <w:noProof/>
        </w:rPr>
        <w:t>Des dispositions garantissant que les produits financiers soutenus par la SFPIM Defence au moyen des capitaux injectés au titre de la FRR respectent le principe consistant à «ne pas causer de préjudice important», tel qu’énoncé dans les orientations techniques DNSH (2021/C58/01). En particulier, la politique d’investissement exclut de l’éligibilité la liste suivante d’activités et d’actifs: i) les activités et actifs liés aux combustibles fossiles, y compris leur utilisation en aval</w:t>
      </w:r>
      <w:r w:rsidRPr="009D65D8">
        <w:rPr>
          <w:noProof/>
          <w:vertAlign w:val="superscript"/>
        </w:rPr>
        <w:footnoteReference w:id="13"/>
      </w:r>
      <w:r>
        <w:rPr>
          <w:rFonts w:ascii="Times New Roman" w:hAnsi="Times New Roman"/>
          <w:noProof/>
        </w:rPr>
        <w:t>, ii) les activités et actifs relevant du système d’échange de quotas d’émission de l’UE (SEQE) permettant d’atteindre les émissions de gaz à effet de serre prévues qui ne sont pas inférieures aux valeurs de référence pertinentes</w:t>
      </w:r>
      <w:r w:rsidRPr="009D65D8">
        <w:rPr>
          <w:noProof/>
          <w:vertAlign w:val="superscript"/>
        </w:rPr>
        <w:footnoteReference w:id="14"/>
      </w:r>
      <w:r>
        <w:rPr>
          <w:rFonts w:ascii="Times New Roman" w:hAnsi="Times New Roman"/>
          <w:noProof/>
        </w:rPr>
        <w:t>, iii) les activités et actifs liés aux décharges de déchets, aux incinérateurs</w:t>
      </w:r>
      <w:r w:rsidRPr="009D65D8">
        <w:rPr>
          <w:rStyle w:val="FootnoteReference"/>
          <w:rFonts w:ascii="Times New Roman" w:hAnsi="Times New Roman" w:cs="Times New Roman"/>
          <w:noProof/>
        </w:rPr>
        <w:footnoteReference w:id="15"/>
      </w:r>
      <w:r>
        <w:rPr>
          <w:rFonts w:ascii="Times New Roman" w:hAnsi="Times New Roman"/>
          <w:noProof/>
        </w:rPr>
        <w:t xml:space="preserve"> et aux installations de traitement biologique mécanique</w:t>
      </w:r>
      <w:r w:rsidRPr="009D65D8">
        <w:rPr>
          <w:rStyle w:val="FootnoteReference"/>
          <w:rFonts w:ascii="Times New Roman" w:hAnsi="Times New Roman" w:cs="Times New Roman"/>
          <w:noProof/>
        </w:rPr>
        <w:footnoteReference w:id="16"/>
      </w:r>
      <w:r>
        <w:rPr>
          <w:rFonts w:ascii="Times New Roman" w:hAnsi="Times New Roman"/>
          <w:noProof/>
        </w:rPr>
        <w:t xml:space="preserve">. </w:t>
      </w:r>
    </w:p>
    <w:p w14:paraId="539B1FAA" w14:textId="77777777" w:rsidR="000D1388" w:rsidRPr="009D65D8" w:rsidRDefault="00E71057" w:rsidP="00F70F65">
      <w:pPr>
        <w:pStyle w:val="ListParagraph"/>
        <w:numPr>
          <w:ilvl w:val="0"/>
          <w:numId w:val="57"/>
        </w:numPr>
        <w:spacing w:line="259" w:lineRule="auto"/>
        <w:jc w:val="both"/>
        <w:rPr>
          <w:rFonts w:ascii="Times New Roman" w:hAnsi="Times New Roman" w:cs="Times New Roman"/>
          <w:noProof/>
        </w:rPr>
      </w:pPr>
      <w:r>
        <w:rPr>
          <w:rFonts w:ascii="Times New Roman" w:hAnsi="Times New Roman"/>
          <w:noProof/>
        </w:rPr>
        <w:t>Qui plus est, dans le cas d’un soutien général aux entreprises par l’injection de fonds propres au titre de la RRF, la politique d’investissement exclura les entreprises qui mettent fortement l’accent</w:t>
      </w:r>
      <w:r w:rsidRPr="009D65D8">
        <w:rPr>
          <w:noProof/>
          <w:vertAlign w:val="superscript"/>
        </w:rPr>
        <w:footnoteReference w:id="17"/>
      </w:r>
      <w:r>
        <w:rPr>
          <w:rFonts w:ascii="Times New Roman" w:hAnsi="Times New Roman"/>
          <w:noProof/>
        </w:rPr>
        <w:t xml:space="preserve"> sur les secteurs suivants: i) la production d’énergie à partir de combustibles fossiles et activités connexes</w:t>
      </w:r>
      <w:r w:rsidRPr="009D65D8">
        <w:rPr>
          <w:noProof/>
          <w:vertAlign w:val="superscript"/>
        </w:rPr>
        <w:footnoteReference w:id="18"/>
      </w:r>
      <w:r>
        <w:rPr>
          <w:rFonts w:ascii="Times New Roman" w:hAnsi="Times New Roman"/>
          <w:noProof/>
        </w:rPr>
        <w:t>; ii) les industries à forte intensité énergétique et/ou à forte émission de CO</w:t>
      </w:r>
      <w:r>
        <w:rPr>
          <w:rFonts w:ascii="Times New Roman" w:hAnsi="Times New Roman"/>
          <w:noProof/>
          <w:vertAlign w:val="subscript"/>
        </w:rPr>
        <w:t>2</w:t>
      </w:r>
      <w:r w:rsidRPr="009D65D8">
        <w:rPr>
          <w:noProof/>
          <w:vertAlign w:val="superscript"/>
        </w:rPr>
        <w:footnoteReference w:id="19"/>
      </w:r>
      <w:r>
        <w:rPr>
          <w:rFonts w:ascii="Times New Roman" w:hAnsi="Times New Roman"/>
          <w:noProof/>
        </w:rPr>
        <w:t>; iii) la production, la location ou la vente de véhicules polluants</w:t>
      </w:r>
      <w:r w:rsidRPr="009D65D8">
        <w:rPr>
          <w:noProof/>
          <w:vertAlign w:val="superscript"/>
        </w:rPr>
        <w:footnoteReference w:id="20"/>
      </w:r>
      <w:r>
        <w:rPr>
          <w:rFonts w:ascii="Times New Roman" w:hAnsi="Times New Roman"/>
          <w:noProof/>
        </w:rPr>
        <w:t>; iv) la collecte, le traitement et l’élimination des déchets</w:t>
      </w:r>
      <w:r w:rsidRPr="009D65D8">
        <w:rPr>
          <w:noProof/>
          <w:vertAlign w:val="superscript"/>
        </w:rPr>
        <w:footnoteReference w:id="21"/>
      </w:r>
      <w:r>
        <w:rPr>
          <w:rFonts w:ascii="Times New Roman" w:hAnsi="Times New Roman"/>
          <w:noProof/>
        </w:rPr>
        <w:t>, v) le traitement du combustible nucléaire, la production d’énergie nucléaire. Par ailleurs, la politique d’investissement exigera que les bénéficiaires finaux du régime respectent</w:t>
      </w:r>
      <w:r>
        <w:rPr>
          <w:rFonts w:ascii="Times New Roman" w:hAnsi="Times New Roman"/>
          <w:b/>
          <w:noProof/>
        </w:rPr>
        <w:t xml:space="preserve"> </w:t>
      </w:r>
      <w:r>
        <w:rPr>
          <w:rFonts w:ascii="Times New Roman" w:hAnsi="Times New Roman"/>
          <w:noProof/>
        </w:rPr>
        <w:t>la législation environnementale de l’Union et nationale applicable.</w:t>
      </w:r>
    </w:p>
    <w:p w14:paraId="011AA8E2" w14:textId="77777777" w:rsidR="000D1388" w:rsidRPr="009D65D8" w:rsidRDefault="00E71057" w:rsidP="00E71057">
      <w:pPr>
        <w:spacing w:before="210" w:after="210"/>
        <w:jc w:val="both"/>
        <w:rPr>
          <w:rFonts w:ascii="Times New Roman" w:eastAsia="Times New Roman" w:hAnsi="Times New Roman" w:cs="Times New Roman"/>
          <w:noProof/>
          <w:sz w:val="24"/>
          <w:szCs w:val="24"/>
        </w:rPr>
      </w:pPr>
      <w:r>
        <w:rPr>
          <w:rFonts w:ascii="Times New Roman" w:hAnsi="Times New Roman"/>
          <w:noProof/>
          <w:sz w:val="24"/>
        </w:rPr>
        <w:t>La réalisation satisfaisante de tous les jalons au titre de cette mesure est subordonnée à la réalisation satisfaisante du jalon «Politique d’investissement et système de gestion et de contrôle de la SFPIM Defence».</w:t>
      </w:r>
    </w:p>
    <w:p w14:paraId="1B625F98" w14:textId="1ED6EDAE" w:rsidR="000D1388" w:rsidRDefault="00E71057" w:rsidP="00E71057">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La mise en œuvre de la mesure devrait être achevée au plus tard le 31 août 2026.</w:t>
      </w:r>
    </w:p>
    <w:p w14:paraId="0644644B" w14:textId="7E3B0F1D" w:rsidR="00A8176C" w:rsidRPr="00CC7E18" w:rsidRDefault="00A8176C" w:rsidP="00A8176C">
      <w:pPr>
        <w:spacing w:before="120" w:after="120" w:line="240" w:lineRule="auto"/>
        <w:jc w:val="both"/>
        <w:rPr>
          <w:rFonts w:ascii="Times New Roman" w:eastAsia="Calibri" w:hAnsi="Times New Roman" w:cs="Arial"/>
          <w:noProof/>
          <w:sz w:val="24"/>
          <w:szCs w:val="24"/>
        </w:rPr>
      </w:pPr>
      <w:r>
        <w:rPr>
          <w:rFonts w:ascii="Times New Roman" w:hAnsi="Times New Roman"/>
          <w:noProof/>
          <w:sz w:val="24"/>
          <w:u w:val="single"/>
        </w:rPr>
        <w:t>Investissement I-5.22: Contribution volontaire de la Belgique au programme de l’Union pour une connectivité sécurisée IRIS</w:t>
      </w:r>
      <w:r>
        <w:rPr>
          <w:rFonts w:ascii="Times New Roman" w:hAnsi="Times New Roman"/>
          <w:noProof/>
          <w:sz w:val="24"/>
          <w:u w:val="single"/>
          <w:vertAlign w:val="superscript"/>
        </w:rPr>
        <w:t>2</w:t>
      </w:r>
      <w:r>
        <w:rPr>
          <w:rFonts w:ascii="Times New Roman" w:hAnsi="Times New Roman"/>
          <w:noProof/>
          <w:sz w:val="24"/>
          <w:u w:val="single"/>
        </w:rPr>
        <w:t> </w:t>
      </w:r>
    </w:p>
    <w:p w14:paraId="08C83D88" w14:textId="5DB41E99" w:rsidR="00A8176C" w:rsidRPr="00CC7E18" w:rsidRDefault="00A8176C" w:rsidP="00A8176C">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Cette mesure vise à soutenir les capacités de communication sécurisée de la Belgique (WAL). </w:t>
      </w:r>
    </w:p>
    <w:p w14:paraId="04ED4B4C" w14:textId="50234E71" w:rsidR="00A8176C" w:rsidRPr="00CC7E18" w:rsidRDefault="00A8176C" w:rsidP="00A8176C">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Elle prévoit une contribution volontaire à hauteur de 13 199 900 EUR au programme de l’Union pour une connectivité sécurisée IRIS</w:t>
      </w:r>
      <w:r>
        <w:rPr>
          <w:rFonts w:ascii="Times New Roman" w:hAnsi="Times New Roman"/>
          <w:noProof/>
          <w:sz w:val="24"/>
          <w:vertAlign w:val="superscript"/>
        </w:rPr>
        <w:t>2</w:t>
      </w:r>
      <w:r>
        <w:rPr>
          <w:rFonts w:ascii="Times New Roman" w:hAnsi="Times New Roman"/>
          <w:noProof/>
          <w:sz w:val="24"/>
        </w:rPr>
        <w:t> La contribution soutiendra l’achat de capacités de communication par satellite supplémentaires. </w:t>
      </w:r>
    </w:p>
    <w:p w14:paraId="4927AD53" w14:textId="77777777" w:rsidR="000D1388" w:rsidRPr="00557A3B" w:rsidRDefault="000D1388" w:rsidP="00E71057">
      <w:pPr>
        <w:spacing w:before="120" w:after="120" w:line="240" w:lineRule="auto"/>
        <w:jc w:val="both"/>
        <w:rPr>
          <w:rFonts w:ascii="Times New Roman" w:eastAsia="Calibri" w:hAnsi="Times New Roman" w:cs="Arial"/>
          <w:noProof/>
          <w:sz w:val="24"/>
          <w:szCs w:val="24"/>
        </w:rPr>
        <w:sectPr w:rsidR="000D1388" w:rsidRPr="00557A3B" w:rsidSect="00E71057">
          <w:headerReference w:type="even" r:id="rId192"/>
          <w:headerReference w:type="default" r:id="rId193"/>
          <w:footerReference w:type="even" r:id="rId194"/>
          <w:footerReference w:type="default" r:id="rId195"/>
          <w:headerReference w:type="first" r:id="rId196"/>
          <w:footerReference w:type="first" r:id="rId197"/>
          <w:pgSz w:w="11907" w:h="16839"/>
          <w:pgMar w:top="1134" w:right="1134" w:bottom="1134" w:left="1134" w:header="567" w:footer="567" w:gutter="0"/>
          <w:cols w:space="720"/>
          <w:docGrid w:linePitch="360"/>
        </w:sectPr>
      </w:pPr>
    </w:p>
    <w:p w14:paraId="123131AE"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O.2.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6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780"/>
        <w:gridCol w:w="1918"/>
        <w:gridCol w:w="1559"/>
        <w:gridCol w:w="1843"/>
        <w:gridCol w:w="1129"/>
        <w:gridCol w:w="992"/>
        <w:gridCol w:w="1134"/>
        <w:gridCol w:w="851"/>
        <w:gridCol w:w="3145"/>
      </w:tblGrid>
      <w:tr w:rsidR="005003AB" w:rsidRPr="00481798" w14:paraId="4337E4EF" w14:textId="77777777" w:rsidTr="0072504F">
        <w:trPr>
          <w:trHeight w:val="927"/>
          <w:tblHeader/>
          <w:jc w:val="center"/>
        </w:trPr>
        <w:tc>
          <w:tcPr>
            <w:tcW w:w="1129" w:type="dxa"/>
            <w:vMerge w:val="restart"/>
            <w:shd w:val="clear" w:color="auto" w:fill="BDD7EE"/>
            <w:vAlign w:val="center"/>
            <w:hideMark/>
          </w:tcPr>
          <w:p w14:paraId="044BA29A"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64A99EDF"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780" w:type="dxa"/>
            <w:vMerge w:val="restart"/>
            <w:shd w:val="clear" w:color="auto" w:fill="BDD7EE"/>
            <w:vAlign w:val="center"/>
            <w:hideMark/>
          </w:tcPr>
          <w:p w14:paraId="5A40C24D"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918" w:type="dxa"/>
            <w:vMerge w:val="restart"/>
            <w:shd w:val="clear" w:color="auto" w:fill="BDD7EE"/>
            <w:vAlign w:val="center"/>
            <w:hideMark/>
          </w:tcPr>
          <w:p w14:paraId="016AF664"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559" w:type="dxa"/>
            <w:vMerge w:val="restart"/>
            <w:shd w:val="clear" w:color="auto" w:fill="BDD7EE"/>
            <w:vAlign w:val="center"/>
            <w:hideMark/>
          </w:tcPr>
          <w:p w14:paraId="7F7B1BD0"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964" w:type="dxa"/>
            <w:gridSpan w:val="3"/>
            <w:shd w:val="clear" w:color="auto" w:fill="BDD7EE"/>
            <w:vAlign w:val="center"/>
            <w:hideMark/>
          </w:tcPr>
          <w:p w14:paraId="30E6F154"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85" w:type="dxa"/>
            <w:gridSpan w:val="2"/>
            <w:shd w:val="clear" w:color="auto" w:fill="BDD7EE"/>
            <w:vAlign w:val="center"/>
            <w:hideMark/>
          </w:tcPr>
          <w:p w14:paraId="26C4DEC9"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145" w:type="dxa"/>
            <w:vMerge w:val="restart"/>
            <w:shd w:val="clear" w:color="auto" w:fill="BDD7EE"/>
            <w:vAlign w:val="center"/>
            <w:hideMark/>
          </w:tcPr>
          <w:p w14:paraId="69A3927E"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D471F7" w:rsidRPr="00481798" w14:paraId="2CD6F144" w14:textId="77777777" w:rsidTr="0072504F">
        <w:trPr>
          <w:trHeight w:val="1013"/>
          <w:jc w:val="center"/>
        </w:trPr>
        <w:tc>
          <w:tcPr>
            <w:tcW w:w="1129" w:type="dxa"/>
            <w:vMerge/>
            <w:vAlign w:val="center"/>
            <w:hideMark/>
          </w:tcPr>
          <w:p w14:paraId="525673A6"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599F8470"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780" w:type="dxa"/>
            <w:vMerge/>
            <w:vAlign w:val="center"/>
            <w:hideMark/>
          </w:tcPr>
          <w:p w14:paraId="57A8B46C"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918" w:type="dxa"/>
            <w:vMerge/>
            <w:vAlign w:val="center"/>
            <w:hideMark/>
          </w:tcPr>
          <w:p w14:paraId="7E1E771C"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59" w:type="dxa"/>
            <w:vMerge/>
            <w:vAlign w:val="center"/>
            <w:hideMark/>
          </w:tcPr>
          <w:p w14:paraId="71CC723E"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843" w:type="dxa"/>
            <w:shd w:val="clear" w:color="auto" w:fill="BDD7EE"/>
            <w:vAlign w:val="center"/>
            <w:hideMark/>
          </w:tcPr>
          <w:p w14:paraId="4B47A524"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29" w:type="dxa"/>
            <w:shd w:val="clear" w:color="auto" w:fill="BDD7EE"/>
            <w:vAlign w:val="center"/>
            <w:hideMark/>
          </w:tcPr>
          <w:p w14:paraId="16973038"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2" w:type="dxa"/>
            <w:shd w:val="clear" w:color="auto" w:fill="BDD7EE"/>
            <w:vAlign w:val="center"/>
            <w:hideMark/>
          </w:tcPr>
          <w:p w14:paraId="41219B87"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shd w:val="clear" w:color="auto" w:fill="BDD7EE"/>
            <w:vAlign w:val="center"/>
            <w:hideMark/>
          </w:tcPr>
          <w:p w14:paraId="415852F3"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hideMark/>
          </w:tcPr>
          <w:p w14:paraId="74730400"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145" w:type="dxa"/>
            <w:vMerge/>
            <w:vAlign w:val="center"/>
            <w:hideMark/>
          </w:tcPr>
          <w:p w14:paraId="7B6D5807"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r>
      <w:tr w:rsidR="005003AB" w:rsidRPr="00481798" w14:paraId="05E4BA30" w14:textId="77777777" w:rsidTr="0072504F">
        <w:trPr>
          <w:trHeight w:val="309"/>
          <w:jc w:val="center"/>
        </w:trPr>
        <w:tc>
          <w:tcPr>
            <w:tcW w:w="1129" w:type="dxa"/>
            <w:shd w:val="clear" w:color="auto" w:fill="C6EFCE"/>
            <w:noWrap/>
            <w:vAlign w:val="center"/>
          </w:tcPr>
          <w:p w14:paraId="4CF286C2"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179</w:t>
            </w:r>
          </w:p>
        </w:tc>
        <w:tc>
          <w:tcPr>
            <w:tcW w:w="1560" w:type="dxa"/>
            <w:shd w:val="clear" w:color="auto" w:fill="C6EFCE"/>
            <w:noWrap/>
            <w:vAlign w:val="center"/>
          </w:tcPr>
          <w:p w14:paraId="0F289E24"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Médecine nucléaire (I-5.08)</w:t>
            </w:r>
          </w:p>
        </w:tc>
        <w:tc>
          <w:tcPr>
            <w:tcW w:w="780" w:type="dxa"/>
            <w:shd w:val="clear" w:color="auto" w:fill="C6EFCE"/>
            <w:noWrap/>
            <w:vAlign w:val="center"/>
          </w:tcPr>
          <w:p w14:paraId="24478081"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66199BE5" w14:textId="03D271B6" w:rsidR="000D1388" w:rsidRPr="00481798" w:rsidRDefault="73B59D02">
            <w:pPr>
              <w:spacing w:after="0"/>
              <w:rPr>
                <w:rFonts w:ascii="Times New Roman" w:eastAsia="Calibri" w:hAnsi="Times New Roman" w:cs="Arial"/>
                <w:noProof/>
                <w:color w:val="006100"/>
                <w:sz w:val="20"/>
                <w:szCs w:val="20"/>
              </w:rPr>
            </w:pPr>
            <w:r>
              <w:rPr>
                <w:rFonts w:ascii="Times New Roman" w:hAnsi="Times New Roman"/>
                <w:noProof/>
                <w:color w:val="006100"/>
                <w:sz w:val="20"/>
              </w:rPr>
              <w:t>Installation de radio-isotopes construite et licence de l’AFCN et enregistrement auprès de l’AFMPS obtenus</w:t>
            </w:r>
          </w:p>
        </w:tc>
        <w:tc>
          <w:tcPr>
            <w:tcW w:w="1559" w:type="dxa"/>
            <w:shd w:val="clear" w:color="auto" w:fill="C6EFCE"/>
            <w:noWrap/>
            <w:vAlign w:val="center"/>
          </w:tcPr>
          <w:p w14:paraId="7F7E8185"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Installation construite</w:t>
            </w:r>
          </w:p>
        </w:tc>
        <w:tc>
          <w:tcPr>
            <w:tcW w:w="1843" w:type="dxa"/>
            <w:shd w:val="clear" w:color="auto" w:fill="C6EFCE"/>
            <w:noWrap/>
            <w:vAlign w:val="center"/>
          </w:tcPr>
          <w:p w14:paraId="333BC9A6" w14:textId="77777777" w:rsidR="000D1388" w:rsidRPr="00481798" w:rsidRDefault="000D1388">
            <w:pPr>
              <w:spacing w:after="0"/>
              <w:jc w:val="center"/>
              <w:rPr>
                <w:rFonts w:ascii="Times New Roman" w:eastAsia="Calibri" w:hAnsi="Times New Roman" w:cs="Arial"/>
                <w:noProof/>
                <w:color w:val="006100"/>
                <w:sz w:val="20"/>
                <w:szCs w:val="20"/>
              </w:rPr>
            </w:pPr>
          </w:p>
        </w:tc>
        <w:tc>
          <w:tcPr>
            <w:tcW w:w="1129" w:type="dxa"/>
            <w:shd w:val="clear" w:color="auto" w:fill="C6EFCE"/>
            <w:noWrap/>
            <w:vAlign w:val="center"/>
          </w:tcPr>
          <w:p w14:paraId="17B3A260" w14:textId="77777777" w:rsidR="000D1388" w:rsidRPr="00481798" w:rsidRDefault="000D1388">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6168F1C6" w14:textId="77777777" w:rsidR="000D1388" w:rsidRPr="00481798" w:rsidRDefault="000D1388">
            <w:pPr>
              <w:spacing w:after="0"/>
              <w:jc w:val="center"/>
              <w:rPr>
                <w:rFonts w:ascii="Times New Roman" w:eastAsia="Calibri" w:hAnsi="Times New Roman" w:cs="Arial"/>
                <w:noProof/>
                <w:color w:val="006100"/>
                <w:sz w:val="20"/>
                <w:szCs w:val="20"/>
              </w:rPr>
            </w:pPr>
          </w:p>
        </w:tc>
        <w:tc>
          <w:tcPr>
            <w:tcW w:w="1134" w:type="dxa"/>
            <w:shd w:val="clear" w:color="auto" w:fill="C6EFCE"/>
            <w:noWrap/>
            <w:vAlign w:val="center"/>
          </w:tcPr>
          <w:p w14:paraId="12101BEA"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0F0B9177"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145" w:type="dxa"/>
            <w:shd w:val="clear" w:color="auto" w:fill="C6EFCE"/>
            <w:noWrap/>
            <w:vAlign w:val="center"/>
          </w:tcPr>
          <w:p w14:paraId="49D83136" w14:textId="66A67CFE" w:rsidR="000D1388" w:rsidRPr="00481798" w:rsidRDefault="73B59D02">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L’installation de radio-isotopes sera construite. La licence de l’Agence fédérale de contrôle nucléaire (AFCN) et l’enregistrement auprès de l’Agence fédérale des médicaments et des produits de santé (AFMPS) pour la production de 177Lu seront obtenus. </w:t>
            </w:r>
          </w:p>
        </w:tc>
      </w:tr>
      <w:tr w:rsidR="005003AB" w:rsidRPr="00481798" w14:paraId="78E2706F" w14:textId="77777777" w:rsidTr="0072504F">
        <w:trPr>
          <w:trHeight w:val="309"/>
          <w:jc w:val="center"/>
        </w:trPr>
        <w:tc>
          <w:tcPr>
            <w:tcW w:w="1129" w:type="dxa"/>
            <w:shd w:val="clear" w:color="auto" w:fill="C6EFCE"/>
            <w:noWrap/>
            <w:vAlign w:val="center"/>
          </w:tcPr>
          <w:p w14:paraId="32C7878C"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180</w:t>
            </w:r>
          </w:p>
        </w:tc>
        <w:tc>
          <w:tcPr>
            <w:tcW w:w="1560" w:type="dxa"/>
            <w:shd w:val="clear" w:color="auto" w:fill="C6EFCE"/>
            <w:noWrap/>
            <w:vAlign w:val="center"/>
          </w:tcPr>
          <w:p w14:paraId="2BA7E3F9"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Médecine nucléaire (I-5.08)</w:t>
            </w:r>
          </w:p>
        </w:tc>
        <w:tc>
          <w:tcPr>
            <w:tcW w:w="780" w:type="dxa"/>
            <w:shd w:val="clear" w:color="auto" w:fill="C6EFCE"/>
            <w:noWrap/>
            <w:vAlign w:val="center"/>
          </w:tcPr>
          <w:p w14:paraId="62E18053"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0004EB30"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Rapport publié</w:t>
            </w:r>
          </w:p>
        </w:tc>
        <w:tc>
          <w:tcPr>
            <w:tcW w:w="1559" w:type="dxa"/>
            <w:shd w:val="clear" w:color="auto" w:fill="C6EFCE"/>
            <w:noWrap/>
            <w:vAlign w:val="center"/>
          </w:tcPr>
          <w:p w14:paraId="57BF4DA7" w14:textId="4C30F99A" w:rsidR="000D1388" w:rsidRPr="00481798" w:rsidRDefault="154BD595">
            <w:pPr>
              <w:spacing w:after="0"/>
              <w:rPr>
                <w:rFonts w:ascii="Times New Roman" w:eastAsia="Calibri" w:hAnsi="Times New Roman" w:cs="Arial"/>
                <w:noProof/>
                <w:color w:val="006100"/>
                <w:sz w:val="20"/>
                <w:szCs w:val="20"/>
              </w:rPr>
            </w:pPr>
            <w:r>
              <w:rPr>
                <w:rFonts w:ascii="Times New Roman" w:hAnsi="Times New Roman"/>
                <w:noProof/>
                <w:color w:val="006100"/>
                <w:sz w:val="20"/>
              </w:rPr>
              <w:t>Publication du rapport de faisabilité pour la production du radio-isotope 225Ac à partir de 226Ra</w:t>
            </w:r>
          </w:p>
        </w:tc>
        <w:tc>
          <w:tcPr>
            <w:tcW w:w="1843" w:type="dxa"/>
            <w:shd w:val="clear" w:color="auto" w:fill="C6EFCE"/>
            <w:noWrap/>
            <w:vAlign w:val="center"/>
          </w:tcPr>
          <w:p w14:paraId="6112E8DE" w14:textId="77777777" w:rsidR="000D1388" w:rsidRPr="00481798" w:rsidRDefault="000D1388">
            <w:pPr>
              <w:spacing w:after="0"/>
              <w:jc w:val="center"/>
              <w:rPr>
                <w:rFonts w:ascii="Times New Roman" w:eastAsia="Calibri" w:hAnsi="Times New Roman" w:cs="Arial"/>
                <w:noProof/>
                <w:color w:val="006100"/>
                <w:sz w:val="20"/>
                <w:szCs w:val="20"/>
              </w:rPr>
            </w:pPr>
          </w:p>
        </w:tc>
        <w:tc>
          <w:tcPr>
            <w:tcW w:w="1129" w:type="dxa"/>
            <w:shd w:val="clear" w:color="auto" w:fill="C6EFCE"/>
            <w:noWrap/>
            <w:vAlign w:val="center"/>
          </w:tcPr>
          <w:p w14:paraId="2D7C7540" w14:textId="77777777" w:rsidR="000D1388" w:rsidRPr="00481798" w:rsidRDefault="000D1388">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1AAAE19B" w14:textId="77777777" w:rsidR="000D1388" w:rsidRPr="00481798" w:rsidRDefault="000D1388">
            <w:pPr>
              <w:spacing w:after="0"/>
              <w:jc w:val="center"/>
              <w:rPr>
                <w:rFonts w:ascii="Times New Roman" w:eastAsia="Calibri" w:hAnsi="Times New Roman" w:cs="Arial"/>
                <w:noProof/>
                <w:color w:val="006100"/>
                <w:sz w:val="20"/>
                <w:szCs w:val="20"/>
              </w:rPr>
            </w:pPr>
          </w:p>
        </w:tc>
        <w:tc>
          <w:tcPr>
            <w:tcW w:w="1134" w:type="dxa"/>
            <w:shd w:val="clear" w:color="auto" w:fill="C6EFCE"/>
            <w:noWrap/>
            <w:vAlign w:val="center"/>
          </w:tcPr>
          <w:p w14:paraId="289DCA7B"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486D9BFD"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145" w:type="dxa"/>
            <w:shd w:val="clear" w:color="auto" w:fill="C6EFCE"/>
            <w:noWrap/>
            <w:vAlign w:val="center"/>
          </w:tcPr>
          <w:p w14:paraId="004BD978" w14:textId="0FE4D828" w:rsidR="000D1388" w:rsidRPr="00481798" w:rsidRDefault="73B59D02"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Un rapport portant sur la faisabilité de la production du radio-isotope 225Ac à partir de 226Ra est publié sur le site web du SCK-CEN. </w:t>
            </w:r>
          </w:p>
        </w:tc>
      </w:tr>
      <w:tr w:rsidR="005003AB" w:rsidRPr="00481798" w14:paraId="00345368" w14:textId="77777777" w:rsidTr="0072504F">
        <w:trPr>
          <w:trHeight w:val="309"/>
          <w:jc w:val="center"/>
        </w:trPr>
        <w:tc>
          <w:tcPr>
            <w:tcW w:w="1129" w:type="dxa"/>
            <w:shd w:val="clear" w:color="auto" w:fill="C6EFCE"/>
            <w:noWrap/>
            <w:vAlign w:val="center"/>
          </w:tcPr>
          <w:p w14:paraId="22005A19"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184</w:t>
            </w:r>
          </w:p>
        </w:tc>
        <w:tc>
          <w:tcPr>
            <w:tcW w:w="1560" w:type="dxa"/>
            <w:shd w:val="clear" w:color="auto" w:fill="C6EFCE"/>
            <w:noWrap/>
            <w:vAlign w:val="center"/>
          </w:tcPr>
          <w:p w14:paraId="028D380B"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R&amp;D: Minimisation des déchets lors du démantèlement (I-5.10)</w:t>
            </w:r>
          </w:p>
        </w:tc>
        <w:tc>
          <w:tcPr>
            <w:tcW w:w="780" w:type="dxa"/>
            <w:shd w:val="clear" w:color="auto" w:fill="C6EFCE"/>
            <w:noWrap/>
            <w:vAlign w:val="center"/>
          </w:tcPr>
          <w:p w14:paraId="7EABB1FE"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56DD361D" w14:textId="6A45D09A"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du marché pour la construction de l’installation de traitement des matériaux (MaT)</w:t>
            </w:r>
          </w:p>
        </w:tc>
        <w:tc>
          <w:tcPr>
            <w:tcW w:w="1559" w:type="dxa"/>
            <w:shd w:val="clear" w:color="auto" w:fill="C6EFCE"/>
            <w:noWrap/>
            <w:vAlign w:val="center"/>
          </w:tcPr>
          <w:p w14:paraId="7F71E4AD"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du marché pour la construction de l’installation de traitement des matériaux (MaT)</w:t>
            </w:r>
          </w:p>
        </w:tc>
        <w:tc>
          <w:tcPr>
            <w:tcW w:w="1843" w:type="dxa"/>
            <w:shd w:val="clear" w:color="auto" w:fill="C6EFCE"/>
            <w:noWrap/>
            <w:vAlign w:val="center"/>
          </w:tcPr>
          <w:p w14:paraId="4F5EC180"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29" w:type="dxa"/>
            <w:shd w:val="clear" w:color="auto" w:fill="C6EFCE"/>
            <w:noWrap/>
            <w:vAlign w:val="center"/>
          </w:tcPr>
          <w:p w14:paraId="013220B3"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7B1D144B"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25A073F7"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178D8D58"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145" w:type="dxa"/>
            <w:shd w:val="clear" w:color="auto" w:fill="C6EFCE"/>
            <w:noWrap/>
            <w:vAlign w:val="center"/>
          </w:tcPr>
          <w:p w14:paraId="2C742ECE"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du marché par le ministre fédéral de l’économie et du travail pour la construction d’une installation de traitement des matériaux (MaT), qui est nécessaire pour effectuer des essais à froid et des démonstrations des technologies à développer pour la réutilisation, le recyclage et l’élimination définitive des déchets non nucléaires provenant des opérations de démantèlement des centrales nucléaires; Obtention des permis de construire nécessaires. L’installation sera conforme à toutes les dispositions législatives applicables au niveau fédéral et flamand découlant de la directive 2011/92</w:t>
            </w:r>
          </w:p>
        </w:tc>
      </w:tr>
      <w:tr w:rsidR="005003AB" w:rsidRPr="00481798" w14:paraId="6F65CBD7" w14:textId="77777777" w:rsidTr="0072504F">
        <w:trPr>
          <w:trHeight w:val="309"/>
          <w:jc w:val="center"/>
        </w:trPr>
        <w:tc>
          <w:tcPr>
            <w:tcW w:w="1129" w:type="dxa"/>
            <w:shd w:val="clear" w:color="auto" w:fill="C6EFCE"/>
            <w:noWrap/>
            <w:vAlign w:val="center"/>
          </w:tcPr>
          <w:p w14:paraId="72706397"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185</w:t>
            </w:r>
          </w:p>
        </w:tc>
        <w:tc>
          <w:tcPr>
            <w:tcW w:w="1560" w:type="dxa"/>
            <w:shd w:val="clear" w:color="auto" w:fill="C6EFCE"/>
            <w:noWrap/>
            <w:vAlign w:val="center"/>
          </w:tcPr>
          <w:p w14:paraId="5CA99B81"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R&amp;D: Minimisation des déchets lors du démantèlement (I-5.10)</w:t>
            </w:r>
          </w:p>
        </w:tc>
        <w:tc>
          <w:tcPr>
            <w:tcW w:w="780" w:type="dxa"/>
            <w:shd w:val="clear" w:color="auto" w:fill="C6EFCE"/>
            <w:noWrap/>
            <w:vAlign w:val="center"/>
          </w:tcPr>
          <w:p w14:paraId="71BF91A1"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5D42D1A9" w14:textId="77777777" w:rsidR="000D1388" w:rsidRPr="00481798"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Installation de traitement des matériaux (MaT) construite et prête à être mise en service</w:t>
            </w:r>
          </w:p>
        </w:tc>
        <w:tc>
          <w:tcPr>
            <w:tcW w:w="1559" w:type="dxa"/>
            <w:shd w:val="clear" w:color="auto" w:fill="C6EFCE"/>
            <w:noWrap/>
            <w:vAlign w:val="center"/>
          </w:tcPr>
          <w:p w14:paraId="67722A1E"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Installation de traitement des matériaux (MaT) construite</w:t>
            </w:r>
          </w:p>
        </w:tc>
        <w:tc>
          <w:tcPr>
            <w:tcW w:w="1843" w:type="dxa"/>
            <w:shd w:val="clear" w:color="auto" w:fill="C6EFCE"/>
            <w:noWrap/>
            <w:vAlign w:val="center"/>
          </w:tcPr>
          <w:p w14:paraId="21C6A60E" w14:textId="77777777" w:rsidR="000D1388" w:rsidRPr="00481798" w:rsidRDefault="000D1388">
            <w:pPr>
              <w:spacing w:after="0"/>
              <w:jc w:val="center"/>
              <w:rPr>
                <w:rFonts w:ascii="Times New Roman" w:eastAsia="Calibri" w:hAnsi="Times New Roman" w:cs="Arial"/>
                <w:noProof/>
                <w:color w:val="006100"/>
                <w:sz w:val="20"/>
                <w:szCs w:val="20"/>
              </w:rPr>
            </w:pPr>
          </w:p>
        </w:tc>
        <w:tc>
          <w:tcPr>
            <w:tcW w:w="1129" w:type="dxa"/>
            <w:shd w:val="clear" w:color="auto" w:fill="C6EFCE"/>
            <w:noWrap/>
            <w:vAlign w:val="center"/>
          </w:tcPr>
          <w:p w14:paraId="5CDD22CD" w14:textId="77777777" w:rsidR="000D1388" w:rsidRPr="00481798" w:rsidRDefault="000D1388">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2A8D09C3" w14:textId="77777777" w:rsidR="000D1388" w:rsidRPr="00481798" w:rsidRDefault="000D1388">
            <w:pPr>
              <w:spacing w:after="0"/>
              <w:jc w:val="center"/>
              <w:rPr>
                <w:rFonts w:ascii="Times New Roman" w:eastAsia="Calibri" w:hAnsi="Times New Roman" w:cs="Arial"/>
                <w:noProof/>
                <w:color w:val="006100"/>
                <w:sz w:val="20"/>
                <w:szCs w:val="20"/>
              </w:rPr>
            </w:pPr>
          </w:p>
        </w:tc>
        <w:tc>
          <w:tcPr>
            <w:tcW w:w="1134" w:type="dxa"/>
            <w:shd w:val="clear" w:color="auto" w:fill="C6EFCE"/>
            <w:noWrap/>
            <w:vAlign w:val="center"/>
          </w:tcPr>
          <w:p w14:paraId="7FBC37E8"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72B9B6B7"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145" w:type="dxa"/>
            <w:shd w:val="clear" w:color="auto" w:fill="C6EFCE"/>
            <w:noWrap/>
            <w:vAlign w:val="center"/>
          </w:tcPr>
          <w:p w14:paraId="59A37900" w14:textId="77777777" w:rsidR="000D1388" w:rsidRPr="00481798"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L’installation de traitement des matériaux (MaT) est construite et prête à être mise en service. Un «F-Nota» approuvant la mise en service de l’installation MaT est signé par Bel V.</w:t>
            </w:r>
          </w:p>
        </w:tc>
      </w:tr>
      <w:tr w:rsidR="005003AB" w:rsidRPr="00481798" w14:paraId="105A1E0E" w14:textId="77777777" w:rsidTr="0072504F">
        <w:trPr>
          <w:trHeight w:val="309"/>
          <w:jc w:val="center"/>
        </w:trPr>
        <w:tc>
          <w:tcPr>
            <w:tcW w:w="1129" w:type="dxa"/>
            <w:shd w:val="clear" w:color="auto" w:fill="C6EFCE"/>
            <w:noWrap/>
            <w:vAlign w:val="center"/>
          </w:tcPr>
          <w:p w14:paraId="2F49E4F4"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186</w:t>
            </w:r>
          </w:p>
        </w:tc>
        <w:tc>
          <w:tcPr>
            <w:tcW w:w="1560" w:type="dxa"/>
            <w:shd w:val="clear" w:color="auto" w:fill="C6EFCE"/>
            <w:noWrap/>
            <w:vAlign w:val="center"/>
          </w:tcPr>
          <w:p w14:paraId="40E12335"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Renforcer la R&amp;D (I-5.11)</w:t>
            </w:r>
          </w:p>
        </w:tc>
        <w:tc>
          <w:tcPr>
            <w:tcW w:w="780" w:type="dxa"/>
            <w:shd w:val="clear" w:color="auto" w:fill="C6EFCE"/>
            <w:noWrap/>
            <w:vAlign w:val="center"/>
          </w:tcPr>
          <w:p w14:paraId="1810756F"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4A75DA3F"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publics pour les projets de R&amp;D et d’infrastructure</w:t>
            </w:r>
          </w:p>
        </w:tc>
        <w:tc>
          <w:tcPr>
            <w:tcW w:w="1559" w:type="dxa"/>
            <w:shd w:val="clear" w:color="auto" w:fill="C6EFCE"/>
            <w:noWrap/>
            <w:vAlign w:val="center"/>
          </w:tcPr>
          <w:p w14:paraId="26428233"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Avis d’attribution des projets </w:t>
            </w:r>
          </w:p>
        </w:tc>
        <w:tc>
          <w:tcPr>
            <w:tcW w:w="1843" w:type="dxa"/>
            <w:shd w:val="clear" w:color="auto" w:fill="C6EFCE"/>
            <w:noWrap/>
            <w:vAlign w:val="center"/>
          </w:tcPr>
          <w:p w14:paraId="608993CD"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1129" w:type="dxa"/>
            <w:shd w:val="clear" w:color="auto" w:fill="C6EFCE"/>
            <w:noWrap/>
            <w:vAlign w:val="center"/>
          </w:tcPr>
          <w:p w14:paraId="18F7FEEF"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7CFBDA08" w14:textId="77777777" w:rsidR="000D1388" w:rsidRPr="00481798" w:rsidRDefault="000D1388">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64E8627C"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4217195F"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45" w:type="dxa"/>
            <w:shd w:val="clear" w:color="auto" w:fill="C6EFCE"/>
            <w:noWrap/>
            <w:vAlign w:val="center"/>
          </w:tcPr>
          <w:p w14:paraId="0B3521B0"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par le VLAIO et le département Economie, Wetenschap en Innovatie (EWI) de l’attribution de 200 projets aux candidats retenus à la suite de l’appel à propositions, les cahiers des charges devant inclure des critères d’éligibilité garantissant la conformité des projets sélectionnés avec les orientations techniques sur l’application du principe consistant à «ne pas causer de préjudice important» (JO C 58 du 18.2.2021, p. 1) au moyen du recours à une liste d’exclusion et de l’exigence du respect de la législation environnementale européenne et nationale pertinente. Un montant de 20 000 000 EUR sera alloué au projet «PREVAIL». Pour les projets attribués par le biais de programmes de subventions qui ne fonctionnent pas par appels à projets, la conformité avec les orientations techniques sur l’application du principe consistant à «ne pas causer de préjudice important» (JO C 58 du 18.2.2021, p. 1) est également obtenue par un critère d’éligibilité basé sur la même liste d’exclusion et sur l’exigence du respect de la législation environnementale européenne et nationale pertinente.</w:t>
            </w:r>
          </w:p>
        </w:tc>
      </w:tr>
      <w:tr w:rsidR="005003AB" w:rsidRPr="00481798" w14:paraId="029CD5DB" w14:textId="77777777" w:rsidTr="0072504F">
        <w:trPr>
          <w:trHeight w:val="309"/>
          <w:jc w:val="center"/>
        </w:trPr>
        <w:tc>
          <w:tcPr>
            <w:tcW w:w="1129" w:type="dxa"/>
            <w:shd w:val="clear" w:color="auto" w:fill="C6EFCE"/>
            <w:noWrap/>
            <w:vAlign w:val="center"/>
          </w:tcPr>
          <w:p w14:paraId="6C3FACA4"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187</w:t>
            </w:r>
          </w:p>
        </w:tc>
        <w:tc>
          <w:tcPr>
            <w:tcW w:w="1560" w:type="dxa"/>
            <w:shd w:val="clear" w:color="auto" w:fill="C6EFCE"/>
            <w:noWrap/>
            <w:vAlign w:val="center"/>
          </w:tcPr>
          <w:p w14:paraId="61CEFA33"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Renforcer la R&amp;D (I-5.11)</w:t>
            </w:r>
          </w:p>
        </w:tc>
        <w:tc>
          <w:tcPr>
            <w:tcW w:w="780" w:type="dxa"/>
            <w:shd w:val="clear" w:color="auto" w:fill="C6EFCE"/>
            <w:noWrap/>
            <w:vAlign w:val="center"/>
          </w:tcPr>
          <w:p w14:paraId="5C6162A6"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1F125844" w14:textId="760B60D2" w:rsidR="000D1388" w:rsidRPr="00481798" w:rsidRDefault="005F2B9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projets de R&amp;D&amp;I et d’infrastructure retenus ont reçu les fonds</w:t>
            </w:r>
          </w:p>
        </w:tc>
        <w:tc>
          <w:tcPr>
            <w:tcW w:w="1559" w:type="dxa"/>
            <w:shd w:val="clear" w:color="auto" w:fill="C6EFCE"/>
            <w:noWrap/>
            <w:vAlign w:val="center"/>
          </w:tcPr>
          <w:p w14:paraId="1DD0FA01"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Paiements aux projets retenus</w:t>
            </w:r>
          </w:p>
        </w:tc>
        <w:tc>
          <w:tcPr>
            <w:tcW w:w="1843" w:type="dxa"/>
            <w:shd w:val="clear" w:color="auto" w:fill="C6EFCE"/>
            <w:noWrap/>
            <w:vAlign w:val="center"/>
          </w:tcPr>
          <w:p w14:paraId="7513AEE8" w14:textId="77777777" w:rsidR="000D1388" w:rsidRPr="00481798" w:rsidRDefault="000D1388">
            <w:pPr>
              <w:spacing w:after="0"/>
              <w:jc w:val="center"/>
              <w:rPr>
                <w:rFonts w:ascii="Times New Roman" w:eastAsia="Times New Roman" w:hAnsi="Times New Roman" w:cs="Times New Roman"/>
                <w:noProof/>
                <w:color w:val="006100"/>
                <w:sz w:val="20"/>
                <w:szCs w:val="20"/>
              </w:rPr>
            </w:pPr>
          </w:p>
        </w:tc>
        <w:tc>
          <w:tcPr>
            <w:tcW w:w="1129" w:type="dxa"/>
            <w:shd w:val="clear" w:color="auto" w:fill="C6EFCE"/>
            <w:noWrap/>
            <w:vAlign w:val="center"/>
          </w:tcPr>
          <w:p w14:paraId="0F2A037A" w14:textId="77777777" w:rsidR="000D1388" w:rsidRPr="00481798" w:rsidRDefault="000D1388">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9D42946" w14:textId="77777777" w:rsidR="000D1388" w:rsidRPr="00481798" w:rsidRDefault="000D1388">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3B4046FC"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2BF0023F"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45" w:type="dxa"/>
            <w:shd w:val="clear" w:color="auto" w:fill="C6EFCE"/>
            <w:noWrap/>
            <w:vAlign w:val="center"/>
          </w:tcPr>
          <w:p w14:paraId="3192F66A"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Au moins 20 000 000 EUR seront versés au projet «PREVAIL» (TEFHW4AI).</w:t>
            </w:r>
          </w:p>
          <w:p w14:paraId="6E041DF1" w14:textId="77777777" w:rsidR="000D1388" w:rsidRPr="00481798" w:rsidRDefault="000D1388">
            <w:pPr>
              <w:spacing w:after="0"/>
              <w:rPr>
                <w:rFonts w:ascii="Times New Roman" w:eastAsia="Times New Roman" w:hAnsi="Times New Roman" w:cs="Times New Roman"/>
                <w:noProof/>
                <w:color w:val="006100"/>
                <w:sz w:val="20"/>
                <w:szCs w:val="20"/>
              </w:rPr>
            </w:pPr>
          </w:p>
          <w:p w14:paraId="511BCCA7" w14:textId="13608774" w:rsidR="000D138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Les montants fournis au titre d’autres programmes ou instruments de l’Union ne sont pas pris en considération dans ce montant.</w:t>
            </w:r>
          </w:p>
          <w:p w14:paraId="28EADA6F" w14:textId="77777777" w:rsidR="00EB38C8" w:rsidRPr="00746A1A" w:rsidRDefault="00EB38C8">
            <w:pPr>
              <w:spacing w:after="0"/>
              <w:rPr>
                <w:rFonts w:ascii="Times New Roman" w:eastAsia="Calibri" w:hAnsi="Times New Roman" w:cs="Arial"/>
                <w:noProof/>
                <w:color w:val="006100"/>
                <w:sz w:val="20"/>
                <w:szCs w:val="20"/>
                <w:lang w:val="fr-BE"/>
              </w:rPr>
            </w:pPr>
          </w:p>
          <w:p w14:paraId="328710D0"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Au moins 190 600 000 EUR seront versés aux projets sélectionnés dans les appels à propositions et les programmes de subvention.</w:t>
            </w:r>
          </w:p>
        </w:tc>
      </w:tr>
      <w:tr w:rsidR="005003AB" w:rsidRPr="00481798" w14:paraId="7A536648" w14:textId="77777777" w:rsidTr="0072504F">
        <w:trPr>
          <w:trHeight w:val="309"/>
          <w:jc w:val="center"/>
        </w:trPr>
        <w:tc>
          <w:tcPr>
            <w:tcW w:w="1129" w:type="dxa"/>
            <w:shd w:val="clear" w:color="auto" w:fill="C6EFCE"/>
            <w:noWrap/>
            <w:vAlign w:val="center"/>
          </w:tcPr>
          <w:p w14:paraId="55C4E150"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188</w:t>
            </w:r>
          </w:p>
        </w:tc>
        <w:tc>
          <w:tcPr>
            <w:tcW w:w="1560" w:type="dxa"/>
            <w:shd w:val="clear" w:color="auto" w:fill="C6EFCE"/>
            <w:noWrap/>
            <w:vAlign w:val="center"/>
          </w:tcPr>
          <w:p w14:paraId="7D04A116"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780" w:type="dxa"/>
            <w:shd w:val="clear" w:color="auto" w:fill="C6EFCE"/>
            <w:noWrap/>
            <w:vAlign w:val="center"/>
          </w:tcPr>
          <w:p w14:paraId="35A4D6D5"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0FD27D60"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publics de travaux pour la construction de deux plateformes logistiques</w:t>
            </w:r>
          </w:p>
        </w:tc>
        <w:tc>
          <w:tcPr>
            <w:tcW w:w="1559" w:type="dxa"/>
            <w:shd w:val="clear" w:color="auto" w:fill="C6EFCE"/>
            <w:noWrap/>
            <w:vAlign w:val="center"/>
          </w:tcPr>
          <w:p w14:paraId="1920971B"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écrit des marchés publics de travaux pour la construction de deux plateformes logistiques</w:t>
            </w:r>
          </w:p>
        </w:tc>
        <w:tc>
          <w:tcPr>
            <w:tcW w:w="1843" w:type="dxa"/>
            <w:shd w:val="clear" w:color="auto" w:fill="C6EFCE"/>
            <w:noWrap/>
            <w:vAlign w:val="center"/>
          </w:tcPr>
          <w:p w14:paraId="1251A860" w14:textId="77777777" w:rsidR="000D1388" w:rsidRPr="00481798" w:rsidRDefault="000D1388">
            <w:pPr>
              <w:spacing w:after="0"/>
              <w:jc w:val="center"/>
              <w:rPr>
                <w:rFonts w:ascii="Times New Roman" w:eastAsia="Times New Roman" w:hAnsi="Times New Roman" w:cs="Times New Roman"/>
                <w:noProof/>
                <w:color w:val="006100"/>
                <w:sz w:val="20"/>
                <w:szCs w:val="20"/>
              </w:rPr>
            </w:pPr>
          </w:p>
        </w:tc>
        <w:tc>
          <w:tcPr>
            <w:tcW w:w="1129" w:type="dxa"/>
            <w:shd w:val="clear" w:color="auto" w:fill="C6EFCE"/>
            <w:noWrap/>
            <w:vAlign w:val="center"/>
          </w:tcPr>
          <w:p w14:paraId="61B51BE0" w14:textId="77777777" w:rsidR="000D1388" w:rsidRPr="00481798" w:rsidRDefault="000D1388">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BFB58A2" w14:textId="77777777" w:rsidR="000D1388" w:rsidRPr="00481798" w:rsidRDefault="000D1388">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74842D25"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1" w:type="dxa"/>
            <w:shd w:val="clear" w:color="auto" w:fill="C6EFCE"/>
            <w:noWrap/>
            <w:vAlign w:val="center"/>
          </w:tcPr>
          <w:p w14:paraId="0DC4CCAC"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145" w:type="dxa"/>
            <w:shd w:val="clear" w:color="auto" w:fill="C6EFCE"/>
            <w:noWrap/>
            <w:vAlign w:val="center"/>
          </w:tcPr>
          <w:p w14:paraId="51EC8912"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publics de travaux pour la construction de deux plateformes logistiques, les cahiers des charges devant inclure des critères d’éligibilité garantissant la conformité des projets sélectionnés avec les orientations techniques sur l’application du principe consistant à «ne pas causer de préjudice important» (JO C 58 du 18.2.2021, p. 1) au moyen d’une liste d’exclusion.</w:t>
            </w:r>
          </w:p>
        </w:tc>
      </w:tr>
      <w:tr w:rsidR="005003AB" w:rsidRPr="00481798" w14:paraId="4487C933" w14:textId="77777777" w:rsidTr="0072504F">
        <w:trPr>
          <w:trHeight w:val="309"/>
          <w:jc w:val="center"/>
        </w:trPr>
        <w:tc>
          <w:tcPr>
            <w:tcW w:w="1129" w:type="dxa"/>
            <w:shd w:val="clear" w:color="auto" w:fill="C6EFCE"/>
            <w:noWrap/>
            <w:vAlign w:val="center"/>
          </w:tcPr>
          <w:p w14:paraId="6C87C3D3"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189</w:t>
            </w:r>
          </w:p>
        </w:tc>
        <w:tc>
          <w:tcPr>
            <w:tcW w:w="1560" w:type="dxa"/>
            <w:shd w:val="clear" w:color="auto" w:fill="C6EFCE"/>
            <w:noWrap/>
            <w:vAlign w:val="center"/>
          </w:tcPr>
          <w:p w14:paraId="2F70769B"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780" w:type="dxa"/>
            <w:shd w:val="clear" w:color="auto" w:fill="C6EFCE"/>
            <w:noWrap/>
            <w:vAlign w:val="center"/>
          </w:tcPr>
          <w:p w14:paraId="0882E304"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918" w:type="dxa"/>
            <w:shd w:val="clear" w:color="auto" w:fill="C6EFCE"/>
            <w:noWrap/>
            <w:vAlign w:val="center"/>
          </w:tcPr>
          <w:p w14:paraId="204BC79A"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à 30 projets de relocalisation de l’alimentation, 4 secteurs émergents et 5 unités</w:t>
            </w:r>
          </w:p>
        </w:tc>
        <w:tc>
          <w:tcPr>
            <w:tcW w:w="1559" w:type="dxa"/>
            <w:shd w:val="clear" w:color="auto" w:fill="C6EFCE"/>
            <w:noWrap/>
            <w:vAlign w:val="center"/>
          </w:tcPr>
          <w:p w14:paraId="16352CCC"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1843" w:type="dxa"/>
            <w:shd w:val="clear" w:color="auto" w:fill="C6EFCE"/>
            <w:noWrap/>
            <w:vAlign w:val="center"/>
          </w:tcPr>
          <w:p w14:paraId="11045D63"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129" w:type="dxa"/>
            <w:shd w:val="clear" w:color="auto" w:fill="C6EFCE"/>
            <w:noWrap/>
            <w:vAlign w:val="center"/>
          </w:tcPr>
          <w:p w14:paraId="6F7F592E"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038D3F16"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39</w:t>
            </w:r>
          </w:p>
        </w:tc>
        <w:tc>
          <w:tcPr>
            <w:tcW w:w="1134" w:type="dxa"/>
            <w:shd w:val="clear" w:color="auto" w:fill="C6EFCE"/>
            <w:noWrap/>
            <w:vAlign w:val="center"/>
          </w:tcPr>
          <w:p w14:paraId="5CB9EEC1"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6409520E"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45" w:type="dxa"/>
            <w:shd w:val="clear" w:color="auto" w:fill="C6EFCE"/>
            <w:noWrap/>
            <w:vAlign w:val="center"/>
          </w:tcPr>
          <w:p w14:paraId="549DCB29"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à 30 infrastructures à petite échelle, quatre projets de structuration plus importants (un pour chaque filière: fruits, légumes, céréales et protéines végétales) et au moins cinq unités d’infrastructure.</w:t>
            </w:r>
          </w:p>
        </w:tc>
      </w:tr>
      <w:tr w:rsidR="005003AB" w:rsidRPr="00481798" w14:paraId="5D3A761C" w14:textId="77777777" w:rsidTr="0072504F">
        <w:trPr>
          <w:trHeight w:val="309"/>
          <w:jc w:val="center"/>
        </w:trPr>
        <w:tc>
          <w:tcPr>
            <w:tcW w:w="1129" w:type="dxa"/>
            <w:shd w:val="clear" w:color="auto" w:fill="C6EFCE"/>
            <w:noWrap/>
            <w:vAlign w:val="center"/>
          </w:tcPr>
          <w:p w14:paraId="283E732F"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190</w:t>
            </w:r>
          </w:p>
        </w:tc>
        <w:tc>
          <w:tcPr>
            <w:tcW w:w="1560" w:type="dxa"/>
            <w:shd w:val="clear" w:color="auto" w:fill="C6EFCE"/>
            <w:noWrap/>
            <w:vAlign w:val="center"/>
          </w:tcPr>
          <w:p w14:paraId="7ED59AC0"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780" w:type="dxa"/>
            <w:shd w:val="clear" w:color="auto" w:fill="C6EFCE"/>
            <w:noWrap/>
            <w:vAlign w:val="center"/>
          </w:tcPr>
          <w:p w14:paraId="639EBF4B"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918" w:type="dxa"/>
            <w:shd w:val="clear" w:color="auto" w:fill="C6EFCE"/>
            <w:noWrap/>
            <w:vAlign w:val="center"/>
          </w:tcPr>
          <w:p w14:paraId="5C1D90B6"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Construction et équipement de deux plateformes logistiques achevés</w:t>
            </w:r>
          </w:p>
        </w:tc>
        <w:tc>
          <w:tcPr>
            <w:tcW w:w="1559" w:type="dxa"/>
            <w:shd w:val="clear" w:color="auto" w:fill="C6EFCE"/>
            <w:noWrap/>
            <w:vAlign w:val="center"/>
          </w:tcPr>
          <w:p w14:paraId="7545889B" w14:textId="77777777" w:rsidR="000D1388" w:rsidRPr="00481798" w:rsidRDefault="000D1388">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07969122"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Hubs</w:t>
            </w:r>
          </w:p>
        </w:tc>
        <w:tc>
          <w:tcPr>
            <w:tcW w:w="1129" w:type="dxa"/>
            <w:shd w:val="clear" w:color="auto" w:fill="C6EFCE"/>
            <w:noWrap/>
            <w:vAlign w:val="center"/>
          </w:tcPr>
          <w:p w14:paraId="364A6B57"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6004C5F7"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w:t>
            </w:r>
          </w:p>
        </w:tc>
        <w:tc>
          <w:tcPr>
            <w:tcW w:w="1134" w:type="dxa"/>
            <w:shd w:val="clear" w:color="auto" w:fill="C6EFCE"/>
            <w:noWrap/>
            <w:vAlign w:val="center"/>
          </w:tcPr>
          <w:p w14:paraId="322B7B02"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491AD33E"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145" w:type="dxa"/>
            <w:shd w:val="clear" w:color="auto" w:fill="C6EFCE"/>
            <w:noWrap/>
            <w:vAlign w:val="center"/>
          </w:tcPr>
          <w:p w14:paraId="2526D15C"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Construction et équipement de deux plateformes logistiques, d’une surface totale de 5</w:t>
            </w:r>
            <w:bookmarkStart w:id="14" w:name="_Hlk211848339"/>
            <w:r>
              <w:rPr>
                <w:rFonts w:ascii="Times New Roman" w:hAnsi="Times New Roman"/>
                <w:noProof/>
                <w:color w:val="006100"/>
                <w:sz w:val="20"/>
              </w:rPr>
              <w:t> </w:t>
            </w:r>
            <w:bookmarkEnd w:id="14"/>
            <w:r>
              <w:rPr>
                <w:rFonts w:ascii="Times New Roman" w:hAnsi="Times New Roman"/>
                <w:noProof/>
                <w:color w:val="006100"/>
                <w:sz w:val="20"/>
              </w:rPr>
              <w:t>500 m². L’équipement des deux plateformes logistiques comprend l’installation de 700 kWp (panneaux solaires), de 15 points de recharge pour véhicules électriques et d’un système de stockage de l’énergie de 200 kW.</w:t>
            </w:r>
          </w:p>
        </w:tc>
      </w:tr>
      <w:tr w:rsidR="005003AB" w:rsidRPr="00481798" w14:paraId="4476AAB0" w14:textId="77777777" w:rsidTr="0072504F">
        <w:trPr>
          <w:trHeight w:val="309"/>
          <w:jc w:val="center"/>
        </w:trPr>
        <w:tc>
          <w:tcPr>
            <w:tcW w:w="1129" w:type="dxa"/>
            <w:shd w:val="clear" w:color="auto" w:fill="C6EFCE"/>
            <w:noWrap/>
            <w:vAlign w:val="center"/>
          </w:tcPr>
          <w:p w14:paraId="26D1F926"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191</w:t>
            </w:r>
          </w:p>
        </w:tc>
        <w:tc>
          <w:tcPr>
            <w:tcW w:w="1560" w:type="dxa"/>
            <w:shd w:val="clear" w:color="auto" w:fill="C6EFCE"/>
            <w:noWrap/>
            <w:vAlign w:val="center"/>
          </w:tcPr>
          <w:p w14:paraId="604FECA3"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780" w:type="dxa"/>
            <w:shd w:val="clear" w:color="auto" w:fill="C6EFCE"/>
            <w:noWrap/>
            <w:vAlign w:val="center"/>
          </w:tcPr>
          <w:p w14:paraId="75360E24"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918" w:type="dxa"/>
            <w:shd w:val="clear" w:color="auto" w:fill="C6EFCE"/>
            <w:noWrap/>
            <w:vAlign w:val="center"/>
          </w:tcPr>
          <w:p w14:paraId="35C96E9E" w14:textId="6592A79B" w:rsidR="000D1388" w:rsidRPr="00481798" w:rsidRDefault="73B59D0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Construction, achat, rénovation ou équipement d’infrastructures.</w:t>
            </w:r>
          </w:p>
        </w:tc>
        <w:tc>
          <w:tcPr>
            <w:tcW w:w="1559" w:type="dxa"/>
            <w:shd w:val="clear" w:color="auto" w:fill="C6EFCE"/>
            <w:noWrap/>
            <w:vAlign w:val="center"/>
          </w:tcPr>
          <w:p w14:paraId="0BA580D6" w14:textId="77777777" w:rsidR="000D1388" w:rsidRPr="00481798" w:rsidRDefault="000D1388">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674C589F" w14:textId="4634CBBC" w:rsidR="000D1388" w:rsidRPr="00481798" w:rsidRDefault="03F940E9">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129" w:type="dxa"/>
            <w:shd w:val="clear" w:color="auto" w:fill="C6EFCE"/>
            <w:noWrap/>
            <w:vAlign w:val="center"/>
          </w:tcPr>
          <w:p w14:paraId="76F0C584"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0DD65F87"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33</w:t>
            </w:r>
          </w:p>
        </w:tc>
        <w:tc>
          <w:tcPr>
            <w:tcW w:w="1134" w:type="dxa"/>
            <w:shd w:val="clear" w:color="auto" w:fill="C6EFCE"/>
            <w:noWrap/>
            <w:vAlign w:val="center"/>
          </w:tcPr>
          <w:p w14:paraId="741B7A35"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5D2C3DFC"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45" w:type="dxa"/>
            <w:shd w:val="clear" w:color="auto" w:fill="C6EFCE"/>
            <w:noWrap/>
            <w:vAlign w:val="center"/>
          </w:tcPr>
          <w:p w14:paraId="0552DAC5" w14:textId="6A121C43" w:rsidR="000D1388" w:rsidRPr="00481798" w:rsidRDefault="5E81CECC">
            <w:pPr>
              <w:spacing w:after="0"/>
              <w:rPr>
                <w:rFonts w:ascii="Times New Roman" w:eastAsia="Times New Roman" w:hAnsi="Times New Roman" w:cs="Times New Roman"/>
                <w:noProof/>
                <w:color w:val="038387"/>
                <w:sz w:val="20"/>
                <w:szCs w:val="20"/>
              </w:rPr>
            </w:pPr>
            <w:r>
              <w:rPr>
                <w:rFonts w:ascii="Times New Roman" w:hAnsi="Times New Roman"/>
                <w:noProof/>
                <w:color w:val="006100"/>
                <w:sz w:val="20"/>
              </w:rPr>
              <w:t>Au moins 2 ouvrages d’infrastructure et 22 infrastructures à petite échelle sont construits, achetés, rénovés ou équipés. 4 projets de structuration sont livrés.</w:t>
            </w:r>
          </w:p>
          <w:p w14:paraId="451635B3" w14:textId="6708D960" w:rsidR="00DA6451" w:rsidRDefault="79D4D59D" w:rsidP="228446A4">
            <w:pPr>
              <w:spacing w:after="0"/>
              <w:rPr>
                <w:rFonts w:ascii="Times New Roman" w:eastAsia="Calibri" w:hAnsi="Times New Roman" w:cs="Arial"/>
                <w:noProof/>
                <w:color w:val="006100"/>
                <w:sz w:val="20"/>
                <w:szCs w:val="20"/>
              </w:rPr>
            </w:pPr>
            <w:r>
              <w:rPr>
                <w:rFonts w:ascii="Times New Roman" w:hAnsi="Times New Roman"/>
                <w:noProof/>
                <w:color w:val="006100"/>
                <w:sz w:val="20"/>
              </w:rPr>
              <w:t>5 pôles sont construits ou des équipements ont été livrés:</w:t>
            </w:r>
          </w:p>
          <w:p w14:paraId="5FDA6EB6" w14:textId="354BFAA1" w:rsidR="00DA6451"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Pôle Circuit Court de Charleroi: livraison d’équipements et de mobilier, tels qu’une ligne de pelage et de coupe et des équipements de pasteurisation et de conditionnement. </w:t>
            </w:r>
          </w:p>
          <w:p w14:paraId="3523581B" w14:textId="1B471D60" w:rsidR="000D1388" w:rsidRPr="00481798" w:rsidRDefault="00E71057" w:rsidP="00E71057">
            <w:pPr>
              <w:spacing w:after="0"/>
              <w:rPr>
                <w:noProof/>
              </w:rPr>
            </w:pPr>
            <w:r>
              <w:rPr>
                <w:rFonts w:ascii="Times New Roman" w:hAnsi="Times New Roman"/>
                <w:noProof/>
                <w:color w:val="006100"/>
                <w:sz w:val="20"/>
              </w:rPr>
              <w:t xml:space="preserve">Pôle Circuit Court de Liège: livraison d’équipements et de mobilier, tels qu’une ligne d’épluchage et de coupe, une laveuse-essoreuse et des équipements de pasteurisation et de conditionnement. </w:t>
            </w:r>
          </w:p>
          <w:p w14:paraId="76E06A0E" w14:textId="075752AA" w:rsidR="000D1388" w:rsidRPr="00481798" w:rsidRDefault="00E71057" w:rsidP="00E71057">
            <w:pPr>
              <w:spacing w:after="0"/>
              <w:rPr>
                <w:noProof/>
              </w:rPr>
            </w:pPr>
            <w:r>
              <w:rPr>
                <w:rFonts w:ascii="Times New Roman" w:hAnsi="Times New Roman"/>
                <w:noProof/>
                <w:color w:val="006100"/>
                <w:sz w:val="20"/>
              </w:rPr>
              <w:t xml:space="preserve">Pôle Circuit Court de Luxembourg: livraison d’un camion réfrigéré et d’outils numériques pour la gestion logistique. </w:t>
            </w:r>
          </w:p>
          <w:p w14:paraId="4BD33936" w14:textId="48D7FBB9" w:rsidR="000D1388" w:rsidRPr="00481798" w:rsidRDefault="00E71057" w:rsidP="00E71057">
            <w:pPr>
              <w:spacing w:after="0"/>
              <w:rPr>
                <w:noProof/>
              </w:rPr>
            </w:pPr>
            <w:r>
              <w:rPr>
                <w:rFonts w:ascii="Times New Roman" w:hAnsi="Times New Roman"/>
                <w:noProof/>
                <w:color w:val="006100"/>
                <w:sz w:val="20"/>
              </w:rPr>
              <w:t xml:space="preserve">Pôle Circuit Court de Namur: construction d’un entrepôt, y compris une chambre froide, et construction d’une chambre froide dans le bâtiment existant sur le site de Floreffe. construction d’un espace de stockage, y compris une chambre froide, sur le site de Rhisnes. </w:t>
            </w:r>
          </w:p>
          <w:p w14:paraId="56845B20" w14:textId="0C178655" w:rsidR="000D1388" w:rsidRPr="00481798" w:rsidRDefault="00E71057" w:rsidP="00E71057">
            <w:pPr>
              <w:spacing w:after="0"/>
              <w:rPr>
                <w:noProof/>
              </w:rPr>
            </w:pPr>
            <w:r>
              <w:rPr>
                <w:rFonts w:ascii="Times New Roman" w:hAnsi="Times New Roman"/>
                <w:noProof/>
                <w:color w:val="006100"/>
                <w:sz w:val="20"/>
              </w:rPr>
              <w:t xml:space="preserve">Pôle Mabio: construction d’une chambre froide et livraison d’équipements et de mobilier, ainsi que d’un véhicule frigorifique. </w:t>
            </w:r>
          </w:p>
          <w:p w14:paraId="3DF6E9DD" w14:textId="68C2804B" w:rsidR="000D1388" w:rsidRPr="00481798"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Les installations nouvellement construites ou reconstruites au Pôle Circuit Court de Namur et au Pôle Mabio ne seront pas aptes à accueillir des systèmes de chauffage à combustibles fossiles, y compris les chaudières au gaz naturel.</w:t>
            </w:r>
          </w:p>
        </w:tc>
      </w:tr>
      <w:tr w:rsidR="005003AB" w:rsidRPr="00481798" w14:paraId="380C123F" w14:textId="77777777" w:rsidTr="0072504F">
        <w:trPr>
          <w:trHeight w:val="309"/>
          <w:jc w:val="center"/>
        </w:trPr>
        <w:tc>
          <w:tcPr>
            <w:tcW w:w="1129" w:type="dxa"/>
            <w:shd w:val="clear" w:color="auto" w:fill="C6EFCE"/>
            <w:noWrap/>
            <w:vAlign w:val="center"/>
          </w:tcPr>
          <w:p w14:paraId="177EEEE4"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192</w:t>
            </w:r>
          </w:p>
        </w:tc>
        <w:tc>
          <w:tcPr>
            <w:tcW w:w="1560" w:type="dxa"/>
            <w:shd w:val="clear" w:color="auto" w:fill="C6EFCE"/>
            <w:noWrap/>
            <w:vAlign w:val="center"/>
          </w:tcPr>
          <w:p w14:paraId="7B9F6935"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secteur touristique wallon (I-5.13)</w:t>
            </w:r>
          </w:p>
        </w:tc>
        <w:tc>
          <w:tcPr>
            <w:tcW w:w="780" w:type="dxa"/>
            <w:shd w:val="clear" w:color="auto" w:fill="C6EFCE"/>
            <w:noWrap/>
            <w:vAlign w:val="center"/>
          </w:tcPr>
          <w:p w14:paraId="2D9401ED"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918" w:type="dxa"/>
            <w:shd w:val="clear" w:color="auto" w:fill="C6EFCE"/>
            <w:noWrap/>
            <w:vAlign w:val="center"/>
          </w:tcPr>
          <w:p w14:paraId="221ABBB0"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 d’hébergements, d’organismes ou d’attractions touristiques disponibles sur l’«outil régional de commercialisation»</w:t>
            </w:r>
          </w:p>
        </w:tc>
        <w:tc>
          <w:tcPr>
            <w:tcW w:w="1559" w:type="dxa"/>
            <w:shd w:val="clear" w:color="auto" w:fill="C6EFCE"/>
            <w:noWrap/>
            <w:vAlign w:val="center"/>
          </w:tcPr>
          <w:p w14:paraId="769F1990" w14:textId="77777777" w:rsidR="000D1388" w:rsidRPr="00481798" w:rsidRDefault="000D1388">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50A4A638"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Nombre d’hébergements, d’organismes ou d’attractions touristiques </w:t>
            </w:r>
          </w:p>
        </w:tc>
        <w:tc>
          <w:tcPr>
            <w:tcW w:w="1129" w:type="dxa"/>
            <w:shd w:val="clear" w:color="auto" w:fill="C6EFCE"/>
            <w:noWrap/>
            <w:vAlign w:val="center"/>
          </w:tcPr>
          <w:p w14:paraId="57898464"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51A8C632"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600</w:t>
            </w:r>
          </w:p>
        </w:tc>
        <w:tc>
          <w:tcPr>
            <w:tcW w:w="1134" w:type="dxa"/>
            <w:shd w:val="clear" w:color="auto" w:fill="C6EFCE"/>
            <w:noWrap/>
            <w:vAlign w:val="center"/>
          </w:tcPr>
          <w:p w14:paraId="52C84C25"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691E1B6E"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145" w:type="dxa"/>
            <w:shd w:val="clear" w:color="auto" w:fill="C6EFCE"/>
            <w:noWrap/>
            <w:vAlign w:val="center"/>
          </w:tcPr>
          <w:p w14:paraId="430F2BB2"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600 hébergements, organismes ou attractions touristiques sont soit répertoriés dans un tableau, soit disponibles pour réservation sur l’outil régional de commercialisation (ORC). </w:t>
            </w:r>
          </w:p>
        </w:tc>
      </w:tr>
      <w:tr w:rsidR="005003AB" w:rsidRPr="00481798" w14:paraId="195C675F" w14:textId="77777777" w:rsidTr="0072504F">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4D8C6"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255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CEE43"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Injection de fonds propres dans la Participatiemaatschappij Vlaanderen (PMV) afin de soutenir les entreprises actives dans le domaine de la biotechnologie (I-5.19)</w:t>
            </w:r>
          </w:p>
        </w:tc>
        <w:tc>
          <w:tcPr>
            <w:tcW w:w="7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D3B03"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7D9E2F"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Politique d’investissement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A3E7A"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d’une politique d’investissement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AB9A26"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 xml:space="preserve"> </w:t>
            </w:r>
          </w:p>
        </w:tc>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4576C0"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98083"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3F67C"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43C52C"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1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EFDF74"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Adoption d’une nouvelle politique d’investissement pour l’utilisation des fonds propres supplémentaires.</w:t>
            </w:r>
          </w:p>
        </w:tc>
      </w:tr>
      <w:tr w:rsidR="005003AB" w:rsidRPr="00481798" w14:paraId="521C1AE5" w14:textId="77777777" w:rsidTr="0072504F">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F6663B"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256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C9A2E"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Injection de fonds propres dans la Participatiemaatschappij Vlaanderen (PMV) afin de soutenir les entreprises actives dans le domaine de la biotechnologie (I-5.19)</w:t>
            </w:r>
          </w:p>
        </w:tc>
        <w:tc>
          <w:tcPr>
            <w:tcW w:w="7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73D21E"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50A908"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Injection de fonds propres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717379"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Attestation de versement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679B17" w14:textId="77777777" w:rsidR="000D1388" w:rsidRPr="00481798" w:rsidRDefault="000D1388">
            <w:pPr>
              <w:spacing w:after="0"/>
              <w:jc w:val="center"/>
              <w:rPr>
                <w:rFonts w:ascii="Times New Roman" w:eastAsia="Calibri" w:hAnsi="Times New Roman" w:cs="Arial"/>
                <w:noProof/>
                <w:color w:val="006100"/>
                <w:sz w:val="20"/>
                <w:szCs w:val="20"/>
                <w:lang w:val="en-US"/>
              </w:rPr>
            </w:pPr>
          </w:p>
        </w:tc>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56253" w14:textId="77777777" w:rsidR="000D1388" w:rsidRPr="00481798" w:rsidRDefault="000D1388">
            <w:pPr>
              <w:spacing w:after="0"/>
              <w:jc w:val="center"/>
              <w:rPr>
                <w:rFonts w:ascii="Times New Roman" w:eastAsia="Calibri" w:hAnsi="Times New Roman"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89E0FF" w14:textId="77777777" w:rsidR="000D1388" w:rsidRPr="00481798" w:rsidRDefault="000D1388">
            <w:pPr>
              <w:spacing w:after="0"/>
              <w:jc w:val="center"/>
              <w:rPr>
                <w:rFonts w:ascii="Times New Roman" w:eastAsia="Calibri" w:hAnsi="Times New Roman" w:cs="Arial"/>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895E1E"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EC89AD"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1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A9774" w14:textId="5B052FCC" w:rsidR="000D1388" w:rsidRPr="00481798" w:rsidRDefault="73B59D02">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La Flandre transfère 43 347 020 EUR à la PMV afin d’en accroître les fonds propres. </w:t>
            </w:r>
          </w:p>
          <w:p w14:paraId="4240FC4E"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Outre l’injection de fonds propres dans la PMV, qui constitue l’investissement au titre de la FRR, la Flandre transmet un rapport décrivant les mesures prises par la PMV au plus tard le 31 août 2026 pour mettre en œuvre la politique d’investissement, y compris les mesures prises pour la mise en œuvre des produits financiers que les fonds propres supplémentaires devraient initialement soutenir, ainsi que les mesures attendues pour poursuivre la mise en œuvre de ces produits.</w:t>
            </w:r>
          </w:p>
        </w:tc>
      </w:tr>
      <w:tr w:rsidR="005003AB" w:rsidRPr="00481798" w14:paraId="4DA002D6" w14:textId="77777777" w:rsidTr="0072504F">
        <w:trPr>
          <w:trHeight w:val="309"/>
          <w:jc w:val="center"/>
        </w:trPr>
        <w:tc>
          <w:tcPr>
            <w:tcW w:w="1129" w:type="dxa"/>
            <w:shd w:val="clear" w:color="auto" w:fill="C6EFCE"/>
            <w:noWrap/>
            <w:vAlign w:val="center"/>
          </w:tcPr>
          <w:p w14:paraId="1B40A5E0"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193</w:t>
            </w:r>
          </w:p>
        </w:tc>
        <w:tc>
          <w:tcPr>
            <w:tcW w:w="1560" w:type="dxa"/>
            <w:shd w:val="clear" w:color="auto" w:fill="C6EFCE"/>
            <w:noWrap/>
            <w:vAlign w:val="center"/>
          </w:tcPr>
          <w:p w14:paraId="1A283E52"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 Des procédures de permis et d’appel plus rapides (R-5.06)</w:t>
            </w:r>
          </w:p>
        </w:tc>
        <w:tc>
          <w:tcPr>
            <w:tcW w:w="780" w:type="dxa"/>
            <w:shd w:val="clear" w:color="auto" w:fill="C6EFCE"/>
            <w:noWrap/>
            <w:vAlign w:val="center"/>
          </w:tcPr>
          <w:p w14:paraId="14EB8F42"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2BE384AF"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des permis d’environnement et des procédures de recours</w:t>
            </w:r>
          </w:p>
        </w:tc>
        <w:tc>
          <w:tcPr>
            <w:tcW w:w="1559" w:type="dxa"/>
            <w:shd w:val="clear" w:color="auto" w:fill="C6EFCE"/>
            <w:noWrap/>
            <w:vAlign w:val="center"/>
          </w:tcPr>
          <w:p w14:paraId="5265FFC5"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d’un rapport et décisions gouvernementales</w:t>
            </w:r>
          </w:p>
        </w:tc>
        <w:tc>
          <w:tcPr>
            <w:tcW w:w="1843" w:type="dxa"/>
            <w:shd w:val="clear" w:color="auto" w:fill="C6EFCE"/>
            <w:noWrap/>
            <w:vAlign w:val="center"/>
          </w:tcPr>
          <w:p w14:paraId="2E120C5F"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29" w:type="dxa"/>
            <w:shd w:val="clear" w:color="auto" w:fill="C6EFCE"/>
            <w:noWrap/>
            <w:vAlign w:val="center"/>
          </w:tcPr>
          <w:p w14:paraId="05717042"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6BEC3BFC"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0C63299"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2E9001C2"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45" w:type="dxa"/>
            <w:shd w:val="clear" w:color="auto" w:fill="C6EFCE"/>
            <w:noWrap/>
            <w:vAlign w:val="center"/>
          </w:tcPr>
          <w:p w14:paraId="65A031B6"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d’un rapport approuvé par le cabinet du ministre flamand de la justice et du maintien, de l’environnement, de l’énergie et du tourisme offrant une vue d’ensemble des mesures, nouvelles et révisées, visant à simplifier les procédures administratives liées aux procédures de permis d’environnement et décisions gouvernementales</w:t>
            </w:r>
          </w:p>
        </w:tc>
      </w:tr>
      <w:tr w:rsidR="005003AB" w:rsidRPr="00481798" w14:paraId="229E2AB3" w14:textId="77777777" w:rsidTr="0072504F">
        <w:trPr>
          <w:trHeight w:val="309"/>
          <w:jc w:val="center"/>
        </w:trPr>
        <w:tc>
          <w:tcPr>
            <w:tcW w:w="1129" w:type="dxa"/>
            <w:shd w:val="clear" w:color="auto" w:fill="C6EFCE"/>
            <w:noWrap/>
            <w:vAlign w:val="center"/>
          </w:tcPr>
          <w:p w14:paraId="0E999EEA"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194</w:t>
            </w:r>
          </w:p>
        </w:tc>
        <w:tc>
          <w:tcPr>
            <w:tcW w:w="1560" w:type="dxa"/>
            <w:shd w:val="clear" w:color="auto" w:fill="C6EFCE"/>
            <w:noWrap/>
            <w:vAlign w:val="center"/>
          </w:tcPr>
          <w:p w14:paraId="36724250"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 Élargir la base de l’innovation (R-5.07)</w:t>
            </w:r>
          </w:p>
        </w:tc>
        <w:tc>
          <w:tcPr>
            <w:tcW w:w="780" w:type="dxa"/>
            <w:shd w:val="clear" w:color="auto" w:fill="C6EFCE"/>
            <w:noWrap/>
            <w:vAlign w:val="center"/>
          </w:tcPr>
          <w:p w14:paraId="5866BF98"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78D0FD76"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du règlement pour le soutien à l’innovation</w:t>
            </w:r>
          </w:p>
        </w:tc>
        <w:tc>
          <w:tcPr>
            <w:tcW w:w="1559" w:type="dxa"/>
            <w:shd w:val="clear" w:color="auto" w:fill="C6EFCE"/>
            <w:noWrap/>
            <w:vAlign w:val="center"/>
          </w:tcPr>
          <w:p w14:paraId="04989081"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d’un rapport et décisions gouvernementales y afférentes</w:t>
            </w:r>
          </w:p>
        </w:tc>
        <w:tc>
          <w:tcPr>
            <w:tcW w:w="1843" w:type="dxa"/>
            <w:shd w:val="clear" w:color="auto" w:fill="C6EFCE"/>
            <w:noWrap/>
            <w:vAlign w:val="center"/>
          </w:tcPr>
          <w:p w14:paraId="6BEC696C"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29" w:type="dxa"/>
            <w:shd w:val="clear" w:color="auto" w:fill="C6EFCE"/>
            <w:noWrap/>
            <w:vAlign w:val="center"/>
          </w:tcPr>
          <w:p w14:paraId="679535CA"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623D7367"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A811B45"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760012A2"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45" w:type="dxa"/>
            <w:shd w:val="clear" w:color="auto" w:fill="C6EFCE"/>
            <w:noWrap/>
            <w:vAlign w:val="center"/>
          </w:tcPr>
          <w:p w14:paraId="7BD7D89E"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d’un rapport approuvé par le ministre flamand de l’économie, de l’innovation, de l’emploi, de l’économie sociale, et de l’agriculture offrant une vue d’ensemble des mesures, nouvelles et révisées, visant à améliorer l’accès des PME aux mesures de soutien à l’innovation, et les décisions gouvernementales y afférentes</w:t>
            </w:r>
          </w:p>
        </w:tc>
      </w:tr>
      <w:tr w:rsidR="005003AB" w:rsidRPr="00481798" w14:paraId="6FF8B5A6" w14:textId="77777777" w:rsidTr="0072504F">
        <w:trPr>
          <w:trHeight w:val="309"/>
          <w:jc w:val="center"/>
        </w:trPr>
        <w:tc>
          <w:tcPr>
            <w:tcW w:w="1129" w:type="dxa"/>
            <w:shd w:val="clear" w:color="auto" w:fill="C6EFCE"/>
            <w:noWrap/>
            <w:vAlign w:val="center"/>
          </w:tcPr>
          <w:p w14:paraId="28D8CDE6" w14:textId="77777777" w:rsidR="000D1388" w:rsidRPr="0048179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249</w:t>
            </w:r>
          </w:p>
        </w:tc>
        <w:tc>
          <w:tcPr>
            <w:tcW w:w="1560" w:type="dxa"/>
            <w:shd w:val="clear" w:color="auto" w:fill="C6EFCE"/>
            <w:noWrap/>
            <w:vAlign w:val="center"/>
          </w:tcPr>
          <w:p w14:paraId="205FC53A" w14:textId="77777777" w:rsidR="000D1388" w:rsidRPr="00481798" w:rsidRDefault="00E71057">
            <w:pPr>
              <w:rPr>
                <w:rFonts w:ascii="Times New Roman" w:eastAsia="Calibri" w:hAnsi="Times New Roman" w:cs="Arial"/>
                <w:noProof/>
                <w:color w:val="006100"/>
                <w:sz w:val="20"/>
                <w:szCs w:val="20"/>
              </w:rPr>
            </w:pPr>
            <w:r>
              <w:rPr>
                <w:rFonts w:ascii="Times New Roman" w:hAnsi="Times New Roman"/>
                <w:noProof/>
                <w:color w:val="006100"/>
                <w:sz w:val="20"/>
              </w:rPr>
              <w:t>SMELD – FED (I-5.18)</w:t>
            </w:r>
          </w:p>
        </w:tc>
        <w:tc>
          <w:tcPr>
            <w:tcW w:w="780" w:type="dxa"/>
            <w:shd w:val="clear" w:color="auto" w:fill="C6EFCE"/>
            <w:noWrap/>
            <w:vAlign w:val="center"/>
          </w:tcPr>
          <w:p w14:paraId="151DFF4A" w14:textId="77777777" w:rsidR="000D1388" w:rsidRPr="00481798" w:rsidRDefault="00E71057">
            <w:pP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3AD77CB8" w14:textId="13560DC4" w:rsidR="000D1388" w:rsidRPr="00481798" w:rsidRDefault="73B59D02">
            <w:pPr>
              <w:rPr>
                <w:rFonts w:ascii="Times New Roman" w:eastAsia="Calibri" w:hAnsi="Times New Roman" w:cs="Arial"/>
                <w:noProof/>
                <w:color w:val="006100"/>
                <w:sz w:val="20"/>
                <w:szCs w:val="20"/>
              </w:rPr>
            </w:pPr>
            <w:r>
              <w:rPr>
                <w:rFonts w:ascii="Times New Roman" w:hAnsi="Times New Roman"/>
                <w:noProof/>
                <w:color w:val="006100"/>
                <w:sz w:val="20"/>
              </w:rPr>
              <w:t xml:space="preserve">Installation d’un four de fusion </w:t>
            </w:r>
          </w:p>
        </w:tc>
        <w:tc>
          <w:tcPr>
            <w:tcW w:w="1559" w:type="dxa"/>
            <w:shd w:val="clear" w:color="auto" w:fill="C6EFCE"/>
            <w:noWrap/>
            <w:vAlign w:val="center"/>
          </w:tcPr>
          <w:p w14:paraId="77D87994" w14:textId="20DA48AC" w:rsidR="000D1388" w:rsidRPr="00481798" w:rsidRDefault="4D21397E">
            <w:pPr>
              <w:rPr>
                <w:rFonts w:ascii="Times New Roman" w:eastAsia="Calibri" w:hAnsi="Times New Roman" w:cs="Arial"/>
                <w:noProof/>
                <w:color w:val="006100"/>
                <w:sz w:val="20"/>
                <w:szCs w:val="20"/>
              </w:rPr>
            </w:pPr>
            <w:r>
              <w:rPr>
                <w:rFonts w:ascii="Times New Roman" w:hAnsi="Times New Roman"/>
                <w:noProof/>
                <w:color w:val="006100"/>
                <w:sz w:val="20"/>
              </w:rPr>
              <w:t xml:space="preserve">Le four de fusion est installé en mode non radioactif </w:t>
            </w:r>
          </w:p>
        </w:tc>
        <w:tc>
          <w:tcPr>
            <w:tcW w:w="1843" w:type="dxa"/>
            <w:shd w:val="clear" w:color="auto" w:fill="C6EFCE"/>
            <w:noWrap/>
            <w:vAlign w:val="center"/>
          </w:tcPr>
          <w:p w14:paraId="46BD21B2" w14:textId="77777777" w:rsidR="000D1388" w:rsidRPr="00746A1A" w:rsidRDefault="000D1388">
            <w:pPr>
              <w:jc w:val="center"/>
              <w:rPr>
                <w:rFonts w:ascii="Times New Roman" w:eastAsia="Calibri" w:hAnsi="Times New Roman" w:cs="Arial"/>
                <w:noProof/>
                <w:color w:val="006100"/>
                <w:sz w:val="20"/>
                <w:szCs w:val="20"/>
                <w:lang w:val="fr-BE"/>
              </w:rPr>
            </w:pPr>
          </w:p>
        </w:tc>
        <w:tc>
          <w:tcPr>
            <w:tcW w:w="1129" w:type="dxa"/>
            <w:shd w:val="clear" w:color="auto" w:fill="C6EFCE"/>
            <w:noWrap/>
            <w:vAlign w:val="center"/>
          </w:tcPr>
          <w:p w14:paraId="60C2781D" w14:textId="77777777" w:rsidR="000D1388" w:rsidRPr="00746A1A" w:rsidRDefault="000D1388">
            <w:pPr>
              <w:jc w:val="center"/>
              <w:rPr>
                <w:rFonts w:ascii="Times New Roman" w:eastAsia="Calibri" w:hAnsi="Times New Roman" w:cs="Arial"/>
                <w:noProof/>
                <w:color w:val="006100"/>
                <w:sz w:val="20"/>
                <w:szCs w:val="20"/>
                <w:lang w:val="fr-BE"/>
              </w:rPr>
            </w:pPr>
          </w:p>
        </w:tc>
        <w:tc>
          <w:tcPr>
            <w:tcW w:w="992" w:type="dxa"/>
            <w:shd w:val="clear" w:color="auto" w:fill="C6EFCE"/>
            <w:noWrap/>
            <w:vAlign w:val="center"/>
          </w:tcPr>
          <w:p w14:paraId="1F86D132" w14:textId="77777777" w:rsidR="000D1388" w:rsidRPr="00746A1A" w:rsidRDefault="000D1388">
            <w:pPr>
              <w:jc w:val="center"/>
              <w:rPr>
                <w:rFonts w:ascii="Times New Roman" w:eastAsia="Calibri" w:hAnsi="Times New Roman" w:cs="Arial"/>
                <w:noProof/>
                <w:color w:val="006100"/>
                <w:sz w:val="20"/>
                <w:szCs w:val="20"/>
                <w:lang w:val="fr-BE"/>
              </w:rPr>
            </w:pPr>
          </w:p>
        </w:tc>
        <w:tc>
          <w:tcPr>
            <w:tcW w:w="1134" w:type="dxa"/>
            <w:shd w:val="clear" w:color="auto" w:fill="C6EFCE"/>
            <w:noWrap/>
            <w:vAlign w:val="center"/>
          </w:tcPr>
          <w:p w14:paraId="12142AC8" w14:textId="77777777" w:rsidR="000D1388" w:rsidRPr="0048179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2AB9F64D" w14:textId="77777777" w:rsidR="000D1388" w:rsidRPr="0048179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145" w:type="dxa"/>
            <w:shd w:val="clear" w:color="auto" w:fill="C6EFCE"/>
            <w:noWrap/>
            <w:vAlign w:val="center"/>
          </w:tcPr>
          <w:p w14:paraId="3B2AB1ED" w14:textId="58758E7F" w:rsidR="000D1388" w:rsidRPr="00481798" w:rsidRDefault="73B59D02">
            <w:pPr>
              <w:rPr>
                <w:rFonts w:ascii="Times New Roman" w:eastAsia="Calibri" w:hAnsi="Times New Roman" w:cs="Arial"/>
                <w:noProof/>
                <w:color w:val="006100"/>
                <w:sz w:val="20"/>
                <w:szCs w:val="20"/>
              </w:rPr>
            </w:pPr>
            <w:r>
              <w:rPr>
                <w:rFonts w:ascii="Times New Roman" w:hAnsi="Times New Roman"/>
                <w:noProof/>
                <w:color w:val="006100"/>
                <w:sz w:val="20"/>
              </w:rPr>
              <w:t>Le four de fusion d’une capacité de fusion de l’acier de 3 tonnes est installé en mode non radioactif.</w:t>
            </w:r>
          </w:p>
        </w:tc>
      </w:tr>
      <w:tr w:rsidR="005003AB" w:rsidRPr="00481798" w14:paraId="5281C65D" w14:textId="77777777" w:rsidTr="0072504F">
        <w:trPr>
          <w:trHeight w:val="309"/>
          <w:jc w:val="center"/>
        </w:trPr>
        <w:tc>
          <w:tcPr>
            <w:tcW w:w="1129" w:type="dxa"/>
            <w:shd w:val="clear" w:color="auto" w:fill="C6EFCE"/>
            <w:noWrap/>
          </w:tcPr>
          <w:p w14:paraId="335D985E" w14:textId="77777777" w:rsidR="000D1388" w:rsidRPr="0048179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257</w:t>
            </w:r>
          </w:p>
        </w:tc>
        <w:tc>
          <w:tcPr>
            <w:tcW w:w="1560" w:type="dxa"/>
            <w:shd w:val="clear" w:color="auto" w:fill="C6EFCE"/>
            <w:noWrap/>
          </w:tcPr>
          <w:p w14:paraId="28AB19C1" w14:textId="77777777" w:rsidR="000D1388" w:rsidRPr="00481798" w:rsidRDefault="00E71057">
            <w:pPr>
              <w:rPr>
                <w:rFonts w:ascii="Times New Roman" w:eastAsia="Calibri" w:hAnsi="Times New Roman" w:cs="Arial"/>
                <w:noProof/>
                <w:color w:val="006100"/>
                <w:sz w:val="20"/>
                <w:szCs w:val="20"/>
              </w:rPr>
            </w:pPr>
            <w:r>
              <w:rPr>
                <w:rFonts w:ascii="Times New Roman" w:hAnsi="Times New Roman"/>
                <w:noProof/>
                <w:color w:val="006100"/>
                <w:sz w:val="20"/>
              </w:rPr>
              <w:t>Injection de capitaux dans la SFPIM Defence (I-5.20)</w:t>
            </w:r>
          </w:p>
        </w:tc>
        <w:tc>
          <w:tcPr>
            <w:tcW w:w="780" w:type="dxa"/>
            <w:shd w:val="clear" w:color="auto" w:fill="C6EFCE"/>
            <w:noWrap/>
          </w:tcPr>
          <w:p w14:paraId="4707BF27" w14:textId="77777777" w:rsidR="000D1388" w:rsidRPr="00481798" w:rsidRDefault="00E71057">
            <w:pP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tcPr>
          <w:p w14:paraId="0F3D244C" w14:textId="77777777" w:rsidR="000D1388" w:rsidRPr="00481798" w:rsidRDefault="00E71057">
            <w:pPr>
              <w:rPr>
                <w:rFonts w:ascii="Times New Roman" w:eastAsia="Calibri" w:hAnsi="Times New Roman" w:cs="Arial"/>
                <w:noProof/>
                <w:color w:val="006100"/>
                <w:sz w:val="20"/>
                <w:szCs w:val="20"/>
              </w:rPr>
            </w:pPr>
            <w:r>
              <w:rPr>
                <w:rFonts w:ascii="Times New Roman" w:hAnsi="Times New Roman"/>
                <w:noProof/>
                <w:color w:val="006100"/>
                <w:sz w:val="20"/>
              </w:rPr>
              <w:t>Politique d’investissement et système de gestion et de contrôle de la SFPIM Defence.</w:t>
            </w:r>
          </w:p>
        </w:tc>
        <w:tc>
          <w:tcPr>
            <w:tcW w:w="1559" w:type="dxa"/>
            <w:shd w:val="clear" w:color="auto" w:fill="C6EFCE"/>
            <w:noWrap/>
          </w:tcPr>
          <w:p w14:paraId="37A62504" w14:textId="77777777" w:rsidR="000D1388" w:rsidRPr="00481798" w:rsidRDefault="00E71057">
            <w:pPr>
              <w:rPr>
                <w:rFonts w:ascii="Times New Roman" w:eastAsia="Calibri" w:hAnsi="Times New Roman" w:cs="Arial"/>
                <w:noProof/>
                <w:color w:val="006100"/>
                <w:sz w:val="20"/>
                <w:szCs w:val="20"/>
              </w:rPr>
            </w:pPr>
            <w:r>
              <w:rPr>
                <w:rFonts w:ascii="Times New Roman" w:hAnsi="Times New Roman"/>
                <w:noProof/>
                <w:color w:val="006100"/>
                <w:sz w:val="20"/>
              </w:rPr>
              <w:t>Adoption d’une politique d’investissement et publication d’un rapport de l’organisme d’audit fédéral assorti d’une opinion sans réserve ou d’une opinion avec réserve ayant une incidence limitée sur le système de gestion et de contrôle de la SFPIM Defence.</w:t>
            </w:r>
          </w:p>
        </w:tc>
        <w:tc>
          <w:tcPr>
            <w:tcW w:w="1843" w:type="dxa"/>
            <w:shd w:val="clear" w:color="auto" w:fill="C6EFCE"/>
            <w:noWrap/>
          </w:tcPr>
          <w:p w14:paraId="7BE6E723" w14:textId="77777777" w:rsidR="000D1388" w:rsidRPr="0048179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 xml:space="preserve"> </w:t>
            </w:r>
          </w:p>
        </w:tc>
        <w:tc>
          <w:tcPr>
            <w:tcW w:w="1129" w:type="dxa"/>
            <w:shd w:val="clear" w:color="auto" w:fill="C6EFCE"/>
            <w:noWrap/>
          </w:tcPr>
          <w:p w14:paraId="643E1E00" w14:textId="77777777" w:rsidR="000D1388" w:rsidRPr="0048179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 xml:space="preserve"> </w:t>
            </w:r>
          </w:p>
        </w:tc>
        <w:tc>
          <w:tcPr>
            <w:tcW w:w="992" w:type="dxa"/>
            <w:shd w:val="clear" w:color="auto" w:fill="C6EFCE"/>
            <w:noWrap/>
          </w:tcPr>
          <w:p w14:paraId="3E11E29B" w14:textId="77777777" w:rsidR="000D1388" w:rsidRPr="0048179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 xml:space="preserve"> </w:t>
            </w:r>
          </w:p>
        </w:tc>
        <w:tc>
          <w:tcPr>
            <w:tcW w:w="1134" w:type="dxa"/>
            <w:shd w:val="clear" w:color="auto" w:fill="C6EFCE"/>
            <w:noWrap/>
          </w:tcPr>
          <w:p w14:paraId="4F2F30C5" w14:textId="77777777" w:rsidR="000D1388" w:rsidRPr="0048179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T1</w:t>
            </w:r>
          </w:p>
        </w:tc>
        <w:tc>
          <w:tcPr>
            <w:tcW w:w="851" w:type="dxa"/>
            <w:shd w:val="clear" w:color="auto" w:fill="C6EFCE"/>
            <w:noWrap/>
          </w:tcPr>
          <w:p w14:paraId="606ED4F3" w14:textId="77777777" w:rsidR="000D1388" w:rsidRPr="0048179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145" w:type="dxa"/>
            <w:shd w:val="clear" w:color="auto" w:fill="C6EFCE"/>
            <w:noWrap/>
          </w:tcPr>
          <w:p w14:paraId="16EC50E3" w14:textId="77777777" w:rsidR="000D1388" w:rsidRPr="00481798" w:rsidRDefault="00E71057">
            <w:pPr>
              <w:spacing w:after="0" w:line="240" w:lineRule="auto"/>
              <w:jc w:val="both"/>
              <w:rPr>
                <w:rFonts w:ascii="Times New Roman" w:eastAsia="Calibri" w:hAnsi="Times New Roman" w:cs="Arial"/>
                <w:noProof/>
                <w:color w:val="006100"/>
                <w:sz w:val="20"/>
                <w:szCs w:val="20"/>
              </w:rPr>
            </w:pPr>
            <w:r>
              <w:rPr>
                <w:rFonts w:ascii="Times New Roman" w:hAnsi="Times New Roman"/>
                <w:noProof/>
                <w:color w:val="006100"/>
                <w:sz w:val="20"/>
              </w:rPr>
              <w:t>Adoption d’une nouvelle politique d’investissement pour la SFPIM Defence pour l’utilisation des capitaux supplémentaires.</w:t>
            </w:r>
          </w:p>
          <w:p w14:paraId="02E7C971" w14:textId="77777777" w:rsidR="000D1388" w:rsidRPr="00746A1A" w:rsidRDefault="000D1388">
            <w:pPr>
              <w:spacing w:after="0" w:line="240" w:lineRule="auto"/>
              <w:jc w:val="both"/>
              <w:rPr>
                <w:rFonts w:ascii="Times New Roman" w:eastAsia="Calibri" w:hAnsi="Times New Roman" w:cs="Arial"/>
                <w:noProof/>
                <w:color w:val="006100"/>
                <w:sz w:val="20"/>
                <w:szCs w:val="20"/>
                <w:lang w:val="fr-BE"/>
              </w:rPr>
            </w:pPr>
          </w:p>
          <w:p w14:paraId="1127B7A4" w14:textId="77777777" w:rsidR="000D1388" w:rsidRPr="00481798" w:rsidRDefault="00E71057">
            <w:pPr>
              <w:spacing w:after="0" w:line="240" w:lineRule="auto"/>
              <w:jc w:val="both"/>
              <w:rPr>
                <w:rFonts w:ascii="Times New Roman" w:eastAsia="Calibri" w:hAnsi="Times New Roman" w:cs="Arial"/>
                <w:noProof/>
                <w:color w:val="006100"/>
                <w:sz w:val="20"/>
                <w:szCs w:val="20"/>
              </w:rPr>
            </w:pPr>
            <w:r>
              <w:rPr>
                <w:rFonts w:ascii="Times New Roman" w:hAnsi="Times New Roman"/>
                <w:noProof/>
                <w:color w:val="006100"/>
                <w:sz w:val="20"/>
              </w:rPr>
              <w:t>La SFPIM Defence a décrit et établi un système de gestion et de contrôle destiné à prévenir, détecter et corriger la fraude, la corruption et les conflits d’intérêts, tels que définis à l’article 61, paragraphes 2 et 3, du règlement financier, et saisira la justice pour recouvrer des fonds détournés,</w:t>
            </w:r>
          </w:p>
          <w:p w14:paraId="3BBCBBEA" w14:textId="77777777" w:rsidR="000D1388" w:rsidRPr="00481798" w:rsidRDefault="00E71057">
            <w:pPr>
              <w:rPr>
                <w:rFonts w:ascii="Times New Roman" w:eastAsia="Calibri" w:hAnsi="Times New Roman" w:cs="Arial"/>
                <w:noProof/>
                <w:color w:val="006100"/>
                <w:sz w:val="20"/>
                <w:szCs w:val="20"/>
              </w:rPr>
            </w:pPr>
            <w:r>
              <w:rPr>
                <w:rFonts w:ascii="Times New Roman" w:hAnsi="Times New Roman"/>
                <w:noProof/>
                <w:color w:val="006100"/>
                <w:sz w:val="20"/>
              </w:rPr>
              <w:t>L’organisme fédéral d’audit rend un rapport d’audit de l’organisme d’audit assorti d’une opinion sans réserve ou d’une opinion avec réserve ayant une incidence limitée sur le système de gestion et de contrôle de la SFPIM Defence.</w:t>
            </w:r>
          </w:p>
        </w:tc>
      </w:tr>
      <w:tr w:rsidR="005003AB" w:rsidRPr="00481798" w14:paraId="7916C0F1" w14:textId="77777777" w:rsidTr="0072504F">
        <w:trPr>
          <w:trHeight w:val="309"/>
          <w:jc w:val="center"/>
        </w:trPr>
        <w:tc>
          <w:tcPr>
            <w:tcW w:w="1129" w:type="dxa"/>
            <w:shd w:val="clear" w:color="auto" w:fill="C6EFCE"/>
            <w:noWrap/>
          </w:tcPr>
          <w:p w14:paraId="57A3CD21" w14:textId="77777777" w:rsidR="000D1388" w:rsidRPr="0048179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258</w:t>
            </w:r>
          </w:p>
        </w:tc>
        <w:tc>
          <w:tcPr>
            <w:tcW w:w="1560" w:type="dxa"/>
            <w:shd w:val="clear" w:color="auto" w:fill="C6EFCE"/>
            <w:noWrap/>
          </w:tcPr>
          <w:p w14:paraId="420141AE" w14:textId="77777777" w:rsidR="000D1388" w:rsidRPr="00481798" w:rsidRDefault="00E71057">
            <w:pPr>
              <w:rPr>
                <w:rFonts w:ascii="Times New Roman" w:eastAsia="Calibri" w:hAnsi="Times New Roman" w:cs="Arial"/>
                <w:noProof/>
                <w:color w:val="006100"/>
                <w:sz w:val="20"/>
                <w:szCs w:val="20"/>
              </w:rPr>
            </w:pPr>
            <w:r>
              <w:rPr>
                <w:rFonts w:ascii="Times New Roman" w:hAnsi="Times New Roman"/>
                <w:noProof/>
                <w:color w:val="006100"/>
                <w:sz w:val="20"/>
              </w:rPr>
              <w:t>Injection de capitaux dans la SFPIM Defence (I-5.20)</w:t>
            </w:r>
          </w:p>
        </w:tc>
        <w:tc>
          <w:tcPr>
            <w:tcW w:w="780" w:type="dxa"/>
            <w:shd w:val="clear" w:color="auto" w:fill="C6EFCE"/>
            <w:noWrap/>
          </w:tcPr>
          <w:p w14:paraId="4541901F" w14:textId="77777777" w:rsidR="000D1388" w:rsidRPr="00481798" w:rsidRDefault="00E71057">
            <w:pP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tcPr>
          <w:p w14:paraId="7F42BBEA" w14:textId="77777777" w:rsidR="000D1388" w:rsidRPr="00481798" w:rsidRDefault="00E71057">
            <w:pPr>
              <w:rPr>
                <w:rFonts w:ascii="Times New Roman" w:eastAsia="Calibri" w:hAnsi="Times New Roman" w:cs="Arial"/>
                <w:noProof/>
                <w:color w:val="006100"/>
                <w:sz w:val="20"/>
                <w:szCs w:val="20"/>
              </w:rPr>
            </w:pPr>
            <w:r>
              <w:rPr>
                <w:rFonts w:ascii="Times New Roman" w:hAnsi="Times New Roman"/>
                <w:noProof/>
                <w:color w:val="006100"/>
                <w:sz w:val="20"/>
              </w:rPr>
              <w:t>Injection de fonds propres</w:t>
            </w:r>
          </w:p>
        </w:tc>
        <w:tc>
          <w:tcPr>
            <w:tcW w:w="1559" w:type="dxa"/>
            <w:shd w:val="clear" w:color="auto" w:fill="C6EFCE"/>
            <w:noWrap/>
          </w:tcPr>
          <w:p w14:paraId="3E300B3A" w14:textId="77777777" w:rsidR="000D1388" w:rsidRPr="00481798" w:rsidRDefault="00E71057">
            <w:pPr>
              <w:rPr>
                <w:rFonts w:ascii="Times New Roman" w:eastAsia="Calibri" w:hAnsi="Times New Roman" w:cs="Arial"/>
                <w:noProof/>
                <w:color w:val="006100"/>
                <w:sz w:val="20"/>
                <w:szCs w:val="20"/>
              </w:rPr>
            </w:pPr>
            <w:r>
              <w:rPr>
                <w:rFonts w:ascii="Times New Roman" w:hAnsi="Times New Roman"/>
                <w:noProof/>
                <w:color w:val="006100"/>
                <w:sz w:val="20"/>
              </w:rPr>
              <w:t xml:space="preserve">Attestation de versement </w:t>
            </w:r>
          </w:p>
        </w:tc>
        <w:tc>
          <w:tcPr>
            <w:tcW w:w="1843" w:type="dxa"/>
            <w:shd w:val="clear" w:color="auto" w:fill="C6EFCE"/>
            <w:noWrap/>
          </w:tcPr>
          <w:p w14:paraId="542B766D" w14:textId="77777777" w:rsidR="000D1388" w:rsidRPr="00481798" w:rsidRDefault="000D1388">
            <w:pPr>
              <w:jc w:val="center"/>
              <w:rPr>
                <w:rFonts w:ascii="Times New Roman" w:eastAsia="Calibri" w:hAnsi="Times New Roman" w:cs="Arial"/>
                <w:noProof/>
                <w:color w:val="006100"/>
                <w:sz w:val="20"/>
                <w:szCs w:val="20"/>
                <w:lang w:val="en-GB"/>
              </w:rPr>
            </w:pPr>
          </w:p>
        </w:tc>
        <w:tc>
          <w:tcPr>
            <w:tcW w:w="1129" w:type="dxa"/>
            <w:shd w:val="clear" w:color="auto" w:fill="C6EFCE"/>
            <w:noWrap/>
          </w:tcPr>
          <w:p w14:paraId="226B22F1" w14:textId="77777777" w:rsidR="000D1388" w:rsidRPr="00481798" w:rsidRDefault="000D1388">
            <w:pPr>
              <w:jc w:val="center"/>
              <w:rPr>
                <w:rFonts w:ascii="Times New Roman" w:eastAsia="Calibri" w:hAnsi="Times New Roman" w:cs="Arial"/>
                <w:noProof/>
                <w:color w:val="006100"/>
                <w:sz w:val="20"/>
                <w:szCs w:val="20"/>
                <w:lang w:val="en-GB"/>
              </w:rPr>
            </w:pPr>
          </w:p>
        </w:tc>
        <w:tc>
          <w:tcPr>
            <w:tcW w:w="992" w:type="dxa"/>
            <w:shd w:val="clear" w:color="auto" w:fill="C6EFCE"/>
            <w:noWrap/>
          </w:tcPr>
          <w:p w14:paraId="03284E3F" w14:textId="77777777" w:rsidR="000D1388" w:rsidRPr="00481798" w:rsidRDefault="000D1388">
            <w:pPr>
              <w:jc w:val="center"/>
              <w:rPr>
                <w:rFonts w:ascii="Times New Roman" w:eastAsia="Calibri" w:hAnsi="Times New Roman" w:cs="Arial"/>
                <w:noProof/>
                <w:color w:val="006100"/>
                <w:sz w:val="20"/>
                <w:szCs w:val="20"/>
                <w:lang w:val="en-GB"/>
              </w:rPr>
            </w:pPr>
          </w:p>
        </w:tc>
        <w:tc>
          <w:tcPr>
            <w:tcW w:w="1134" w:type="dxa"/>
            <w:shd w:val="clear" w:color="auto" w:fill="C6EFCE"/>
            <w:noWrap/>
          </w:tcPr>
          <w:p w14:paraId="3C4E806F" w14:textId="77777777" w:rsidR="000D1388" w:rsidRPr="0048179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T3</w:t>
            </w:r>
          </w:p>
        </w:tc>
        <w:tc>
          <w:tcPr>
            <w:tcW w:w="851" w:type="dxa"/>
            <w:shd w:val="clear" w:color="auto" w:fill="C6EFCE"/>
            <w:noWrap/>
          </w:tcPr>
          <w:p w14:paraId="2AA1E8FC" w14:textId="77777777" w:rsidR="000D1388" w:rsidRPr="0048179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145" w:type="dxa"/>
            <w:shd w:val="clear" w:color="auto" w:fill="C6EFCE"/>
            <w:noWrap/>
          </w:tcPr>
          <w:p w14:paraId="2073E10B" w14:textId="30E8792D" w:rsidR="000D1388" w:rsidRPr="00481798" w:rsidRDefault="00E71057">
            <w:pPr>
              <w:spacing w:line="240" w:lineRule="auto"/>
              <w:jc w:val="both"/>
              <w:rPr>
                <w:rFonts w:ascii="Times New Roman" w:eastAsia="Calibri" w:hAnsi="Times New Roman" w:cs="Arial"/>
                <w:noProof/>
                <w:color w:val="006100"/>
                <w:sz w:val="20"/>
                <w:szCs w:val="20"/>
              </w:rPr>
            </w:pPr>
            <w:r>
              <w:rPr>
                <w:rFonts w:ascii="Times New Roman" w:hAnsi="Times New Roman"/>
                <w:noProof/>
                <w:color w:val="006100"/>
                <w:sz w:val="20"/>
              </w:rPr>
              <w:t>La Belgique transfère 58 933 212 EUR à la SFPIM Defence afin d’en augmenter les fonds propres.</w:t>
            </w:r>
          </w:p>
          <w:p w14:paraId="188D2024" w14:textId="77777777" w:rsidR="000D1388" w:rsidRPr="00481798" w:rsidRDefault="00E71057">
            <w:pPr>
              <w:spacing w:after="0" w:line="240" w:lineRule="auto"/>
              <w:jc w:val="both"/>
              <w:rPr>
                <w:rFonts w:ascii="Times New Roman" w:eastAsia="Calibri" w:hAnsi="Times New Roman" w:cs="Arial"/>
                <w:noProof/>
                <w:color w:val="006100"/>
                <w:sz w:val="20"/>
                <w:szCs w:val="20"/>
              </w:rPr>
            </w:pPr>
            <w:r>
              <w:rPr>
                <w:rFonts w:ascii="Times New Roman" w:hAnsi="Times New Roman"/>
                <w:noProof/>
                <w:color w:val="006100"/>
                <w:sz w:val="20"/>
              </w:rPr>
              <w:t>Outre l’injection de capitaux dans la SFPIM Defence, qui constitue l’investissement au titre de la FRR, la Belgique transmet un rapport décrivant les mesures prises par la SFPIM Defence au plus tard le 31 août 2026 pour mettre en œuvre la politique d’investissement, y compris les mesures prises pour la mise en œuvre des produits financiers que les fonds propres supplémentaires devraient initialement soutenir, ainsi que les mesures attendues pour poursuivre la mise en œuvre de ces produits.</w:t>
            </w:r>
          </w:p>
        </w:tc>
      </w:tr>
      <w:tr w:rsidR="00D471F7" w:rsidRPr="00F954FC" w14:paraId="7A9C4429" w14:textId="77777777" w:rsidTr="0072504F">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A065DBD" w14:textId="2A2EB98F" w:rsidR="00F954FC" w:rsidRPr="00F954FC" w:rsidRDefault="008D23B9" w:rsidP="00F954FC">
            <w:pPr>
              <w:jc w:val="center"/>
              <w:rPr>
                <w:rFonts w:ascii="Times New Roman" w:eastAsia="Calibri" w:hAnsi="Times New Roman" w:cs="Arial"/>
                <w:noProof/>
                <w:color w:val="006100"/>
                <w:sz w:val="20"/>
                <w:szCs w:val="20"/>
              </w:rPr>
            </w:pPr>
            <w:r>
              <w:rPr>
                <w:rFonts w:ascii="Times New Roman" w:hAnsi="Times New Roman"/>
                <w:noProof/>
                <w:color w:val="006100"/>
                <w:sz w:val="20"/>
              </w:rPr>
              <w:t>263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146FE43" w14:textId="56854913" w:rsidR="00F954FC" w:rsidRPr="00F954FC" w:rsidRDefault="00614B4D" w:rsidP="00F954FC">
            <w:pPr>
              <w:rPr>
                <w:rFonts w:ascii="Times New Roman" w:eastAsia="Calibri" w:hAnsi="Times New Roman" w:cs="Arial"/>
                <w:noProof/>
                <w:color w:val="006100"/>
                <w:sz w:val="20"/>
                <w:szCs w:val="20"/>
              </w:rPr>
            </w:pPr>
            <w:r>
              <w:rPr>
                <w:rFonts w:ascii="Times New Roman" w:hAnsi="Times New Roman"/>
                <w:noProof/>
                <w:color w:val="006100"/>
                <w:sz w:val="20"/>
              </w:rPr>
              <w:t>Contribution volontaire de la Belgique au programme de l’Union pour une connectivité sécurisée IRIS</w:t>
            </w:r>
            <w:r>
              <w:rPr>
                <w:rFonts w:ascii="Times New Roman" w:hAnsi="Times New Roman"/>
                <w:noProof/>
                <w:color w:val="006100"/>
                <w:sz w:val="20"/>
                <w:vertAlign w:val="superscript"/>
              </w:rPr>
              <w:t>2</w:t>
            </w:r>
            <w:r>
              <w:rPr>
                <w:rFonts w:ascii="Times New Roman" w:hAnsi="Times New Roman"/>
                <w:noProof/>
                <w:color w:val="006100"/>
                <w:sz w:val="20"/>
              </w:rPr>
              <w:t xml:space="preserve"> (I-5.22)</w:t>
            </w:r>
          </w:p>
        </w:tc>
        <w:tc>
          <w:tcPr>
            <w:tcW w:w="780" w:type="dxa"/>
            <w:tcBorders>
              <w:top w:val="single" w:sz="4" w:space="0" w:color="auto"/>
              <w:left w:val="single" w:sz="4" w:space="0" w:color="auto"/>
              <w:bottom w:val="single" w:sz="4" w:space="0" w:color="auto"/>
              <w:right w:val="single" w:sz="4" w:space="0" w:color="auto"/>
            </w:tcBorders>
            <w:shd w:val="clear" w:color="auto" w:fill="C6EFCE"/>
            <w:noWrap/>
          </w:tcPr>
          <w:p w14:paraId="4B95520A" w14:textId="77777777" w:rsidR="00F954FC" w:rsidRPr="00F954FC" w:rsidRDefault="00F954FC" w:rsidP="00F954FC">
            <w:pPr>
              <w:rPr>
                <w:rFonts w:ascii="Times New Roman" w:eastAsia="Calibri" w:hAnsi="Times New Roman" w:cs="Arial"/>
                <w:noProof/>
                <w:color w:val="006100"/>
                <w:sz w:val="20"/>
                <w:szCs w:val="20"/>
              </w:rPr>
            </w:pPr>
            <w:r>
              <w:rPr>
                <w:rFonts w:ascii="Times New Roman" w:hAnsi="Times New Roman"/>
                <w:noProof/>
                <w:color w:val="006100"/>
                <w:sz w:val="20"/>
              </w:rPr>
              <w:t>J </w:t>
            </w:r>
          </w:p>
        </w:tc>
        <w:tc>
          <w:tcPr>
            <w:tcW w:w="1918" w:type="dxa"/>
            <w:tcBorders>
              <w:top w:val="single" w:sz="4" w:space="0" w:color="auto"/>
              <w:left w:val="single" w:sz="4" w:space="0" w:color="auto"/>
              <w:bottom w:val="single" w:sz="4" w:space="0" w:color="auto"/>
              <w:right w:val="single" w:sz="4" w:space="0" w:color="auto"/>
            </w:tcBorders>
            <w:shd w:val="clear" w:color="auto" w:fill="C6EFCE"/>
            <w:noWrap/>
          </w:tcPr>
          <w:p w14:paraId="3A7933A8" w14:textId="25E3C0A3" w:rsidR="00F954FC" w:rsidRPr="00F954FC" w:rsidRDefault="00F954FC" w:rsidP="00F954FC">
            <w:pPr>
              <w:rPr>
                <w:rFonts w:ascii="Times New Roman" w:eastAsia="Calibri" w:hAnsi="Times New Roman" w:cs="Arial"/>
                <w:noProof/>
                <w:color w:val="006100"/>
                <w:sz w:val="20"/>
                <w:szCs w:val="20"/>
              </w:rPr>
            </w:pPr>
            <w:r>
              <w:rPr>
                <w:rFonts w:ascii="Times New Roman" w:hAnsi="Times New Roman"/>
                <w:noProof/>
                <w:color w:val="006100"/>
                <w:sz w:val="20"/>
              </w:rPr>
              <w:t>Signature de la convention de contribution entre le gouvernement belge et la Commission européenne et affectation d’une contribution volontaire à IRIS</w:t>
            </w:r>
            <w:r>
              <w:rPr>
                <w:rFonts w:ascii="Times New Roman" w:hAnsi="Times New Roman"/>
                <w:noProof/>
                <w:color w:val="006100"/>
                <w:sz w:val="20"/>
                <w:vertAlign w:val="superscript"/>
              </w:rPr>
              <w:t>2</w:t>
            </w:r>
            <w:r>
              <w:rPr>
                <w:rFonts w:ascii="Times New Roman" w:hAnsi="Times New Roman"/>
                <w:noProof/>
                <w:color w:val="006100"/>
                <w:sz w:val="20"/>
              </w:rPr>
              <w: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56BF8EB2" w14:textId="77777777" w:rsidR="00F954FC" w:rsidRPr="00F954FC" w:rsidRDefault="00F954FC" w:rsidP="00F954FC">
            <w:pPr>
              <w:rPr>
                <w:rFonts w:ascii="Times New Roman" w:eastAsia="Calibri" w:hAnsi="Times New Roman" w:cs="Arial"/>
                <w:noProof/>
                <w:color w:val="006100"/>
                <w:sz w:val="20"/>
                <w:szCs w:val="20"/>
              </w:rPr>
            </w:pPr>
            <w:r>
              <w:rPr>
                <w:rFonts w:ascii="Times New Roman" w:hAnsi="Times New Roman"/>
                <w:noProof/>
                <w:color w:val="006100"/>
                <w:sz w:val="20"/>
              </w:rPr>
              <w:t>Signature de la convention de contribution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DD21444" w14:textId="0EE30080" w:rsidR="00F954FC" w:rsidRPr="00746A1A" w:rsidRDefault="00F954FC" w:rsidP="00F954FC">
            <w:pPr>
              <w:jc w:val="center"/>
              <w:rPr>
                <w:rFonts w:ascii="Times New Roman" w:eastAsia="Calibri" w:hAnsi="Times New Roman" w:cs="Arial"/>
                <w:noProof/>
                <w:color w:val="006100"/>
                <w:sz w:val="20"/>
                <w:szCs w:val="20"/>
                <w:lang w:val="fr-BE"/>
              </w:rPr>
            </w:pPr>
          </w:p>
        </w:tc>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F6020C3" w14:textId="5E2B4075" w:rsidR="00F954FC" w:rsidRPr="00746A1A" w:rsidRDefault="00F954FC" w:rsidP="00F954FC">
            <w:pPr>
              <w:jc w:val="center"/>
              <w:rPr>
                <w:rFonts w:ascii="Times New Roman" w:eastAsia="Calibri" w:hAnsi="Times New Roman" w:cs="Arial"/>
                <w:noProof/>
                <w:color w:val="006100"/>
                <w:sz w:val="20"/>
                <w:szCs w:val="20"/>
                <w:lang w:val="fr-B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5D5AB30" w14:textId="5A61154F" w:rsidR="00F954FC" w:rsidRPr="00746A1A" w:rsidRDefault="00F954FC" w:rsidP="00F954FC">
            <w:pPr>
              <w:jc w:val="center"/>
              <w:rPr>
                <w:rFonts w:ascii="Times New Roman" w:eastAsia="Calibri" w:hAnsi="Times New Roman" w:cs="Arial"/>
                <w:noProof/>
                <w:color w:val="006100"/>
                <w:sz w:val="20"/>
                <w:szCs w:val="20"/>
                <w:lang w:val="fr-BE"/>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1151BD0" w14:textId="77777777" w:rsidR="00F954FC" w:rsidRPr="00F954FC" w:rsidRDefault="00F954FC" w:rsidP="00F954FC">
            <w:pPr>
              <w:jc w:val="center"/>
              <w:rPr>
                <w:rFonts w:ascii="Times New Roman" w:eastAsia="Calibri" w:hAnsi="Times New Roman" w:cs="Arial"/>
                <w:noProof/>
                <w:color w:val="006100"/>
                <w:sz w:val="20"/>
                <w:szCs w:val="20"/>
              </w:rPr>
            </w:pPr>
            <w:r>
              <w:rPr>
                <w:rFonts w:ascii="Times New Roman" w:hAnsi="Times New Roman"/>
                <w:noProof/>
                <w:color w:val="006100"/>
                <w:sz w:val="20"/>
              </w:rPr>
              <w:t>T3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1D8F06E" w14:textId="77777777" w:rsidR="00F954FC" w:rsidRPr="00F954FC" w:rsidRDefault="00F954FC" w:rsidP="00F954FC">
            <w:pPr>
              <w:jc w:val="center"/>
              <w:rPr>
                <w:rFonts w:ascii="Times New Roman" w:eastAsia="Calibri" w:hAnsi="Times New Roman" w:cs="Arial"/>
                <w:noProof/>
                <w:color w:val="006100"/>
                <w:sz w:val="20"/>
                <w:szCs w:val="20"/>
              </w:rPr>
            </w:pPr>
            <w:r>
              <w:rPr>
                <w:rFonts w:ascii="Times New Roman" w:hAnsi="Times New Roman"/>
                <w:noProof/>
                <w:color w:val="006100"/>
                <w:sz w:val="20"/>
              </w:rPr>
              <w:t>2026 </w:t>
            </w:r>
          </w:p>
        </w:tc>
        <w:tc>
          <w:tcPr>
            <w:tcW w:w="3145" w:type="dxa"/>
            <w:tcBorders>
              <w:top w:val="single" w:sz="4" w:space="0" w:color="auto"/>
              <w:left w:val="single" w:sz="4" w:space="0" w:color="auto"/>
              <w:bottom w:val="single" w:sz="4" w:space="0" w:color="auto"/>
              <w:right w:val="single" w:sz="4" w:space="0" w:color="auto"/>
            </w:tcBorders>
            <w:shd w:val="clear" w:color="auto" w:fill="C6EFCE"/>
            <w:noWrap/>
          </w:tcPr>
          <w:p w14:paraId="749B0FDA" w14:textId="54A3448F" w:rsidR="00F954FC" w:rsidRPr="00F954FC" w:rsidRDefault="00F954FC" w:rsidP="00F954FC">
            <w:pPr>
              <w:spacing w:line="240" w:lineRule="auto"/>
              <w:jc w:val="both"/>
              <w:rPr>
                <w:rFonts w:ascii="Times New Roman" w:eastAsia="Calibri" w:hAnsi="Times New Roman" w:cs="Arial"/>
                <w:noProof/>
                <w:color w:val="006100"/>
                <w:sz w:val="20"/>
                <w:szCs w:val="20"/>
              </w:rPr>
            </w:pPr>
            <w:r>
              <w:rPr>
                <w:rFonts w:ascii="Times New Roman" w:hAnsi="Times New Roman"/>
                <w:noProof/>
                <w:color w:val="006100"/>
                <w:sz w:val="20"/>
              </w:rPr>
              <w:t xml:space="preserve">Signature de la convention de contribution entre la Belgique et la Commission européenne. Cette convention de contribution comprend les activités financées au titre de la contribution volontaire. </w:t>
            </w:r>
          </w:p>
          <w:p w14:paraId="7BBC1C72" w14:textId="7ED31900" w:rsidR="00F954FC" w:rsidRPr="00F954FC" w:rsidRDefault="00F954FC" w:rsidP="00F954FC">
            <w:pPr>
              <w:spacing w:line="240" w:lineRule="auto"/>
              <w:jc w:val="both"/>
              <w:rPr>
                <w:rFonts w:ascii="Times New Roman" w:eastAsia="Calibri" w:hAnsi="Times New Roman" w:cs="Arial"/>
                <w:noProof/>
                <w:color w:val="006100"/>
                <w:sz w:val="20"/>
                <w:szCs w:val="20"/>
              </w:rPr>
            </w:pPr>
            <w:r>
              <w:rPr>
                <w:rFonts w:ascii="Times New Roman" w:hAnsi="Times New Roman"/>
                <w:noProof/>
                <w:color w:val="006100"/>
                <w:sz w:val="20"/>
              </w:rPr>
              <w:t>La Belgique transfère 13 199 900 EUR au programme de l’Union pour une connectivité sécurisée IRIS</w:t>
            </w:r>
            <w:r>
              <w:rPr>
                <w:rFonts w:ascii="Times New Roman" w:hAnsi="Times New Roman"/>
                <w:noProof/>
                <w:color w:val="006100"/>
                <w:sz w:val="20"/>
                <w:vertAlign w:val="superscript"/>
              </w:rPr>
              <w:t>2</w:t>
            </w:r>
            <w:r>
              <w:rPr>
                <w:rFonts w:ascii="Times New Roman" w:hAnsi="Times New Roman"/>
                <w:noProof/>
                <w:color w:val="006100"/>
                <w:sz w:val="20"/>
              </w:rPr>
              <w:t> </w:t>
            </w:r>
          </w:p>
        </w:tc>
      </w:tr>
    </w:tbl>
    <w:p w14:paraId="78F4E2C5" w14:textId="77777777" w:rsidR="000D1388" w:rsidRPr="00557A3B" w:rsidRDefault="000D1388" w:rsidP="00E71057">
      <w:pPr>
        <w:spacing w:before="120" w:after="120" w:line="240" w:lineRule="auto"/>
        <w:jc w:val="both"/>
        <w:rPr>
          <w:rFonts w:ascii="Times New Roman" w:eastAsia="Calibri" w:hAnsi="Times New Roman" w:cs="Times New Roman"/>
          <w:b/>
          <w:noProof/>
          <w:sz w:val="24"/>
          <w:u w:val="single"/>
        </w:rPr>
        <w:sectPr w:rsidR="000D1388" w:rsidRPr="00557A3B" w:rsidSect="00E71057">
          <w:headerReference w:type="even" r:id="rId198"/>
          <w:headerReference w:type="default" r:id="rId199"/>
          <w:footerReference w:type="even" r:id="rId200"/>
          <w:footerReference w:type="default" r:id="rId201"/>
          <w:headerReference w:type="first" r:id="rId202"/>
          <w:footerReference w:type="first" r:id="rId203"/>
          <w:pgSz w:w="16839" w:h="11907" w:orient="landscape"/>
          <w:pgMar w:top="1134" w:right="1134" w:bottom="1134" w:left="1134" w:header="567" w:footer="567" w:gutter="0"/>
          <w:cols w:space="720"/>
          <w:docGrid w:linePitch="360"/>
        </w:sectPr>
      </w:pPr>
    </w:p>
    <w:p w14:paraId="65AC9E45" w14:textId="77777777" w:rsidR="000D1388" w:rsidRPr="009D65D8" w:rsidRDefault="00E71057" w:rsidP="00E71057">
      <w:pPr>
        <w:spacing w:before="120" w:after="120" w:line="240" w:lineRule="auto"/>
        <w:jc w:val="both"/>
        <w:rPr>
          <w:rFonts w:ascii="Times New Roman" w:eastAsia="Calibri" w:hAnsi="Times New Roman" w:cs="Times New Roman"/>
          <w:b/>
          <w:noProof/>
          <w:sz w:val="24"/>
          <w:u w:val="single"/>
        </w:rPr>
      </w:pPr>
      <w:r>
        <w:rPr>
          <w:rFonts w:ascii="Times New Roman" w:hAnsi="Times New Roman"/>
          <w:b/>
          <w:noProof/>
          <w:sz w:val="24"/>
          <w:u w:val="single"/>
        </w:rPr>
        <w:t>O.3. Description des réformes et des investissements en vue du prêt</w:t>
      </w:r>
    </w:p>
    <w:p w14:paraId="2A409CE7" w14:textId="77777777" w:rsidR="000D1388" w:rsidRPr="00746A1A" w:rsidRDefault="000D1388" w:rsidP="00E71057">
      <w:pPr>
        <w:spacing w:before="120" w:after="120" w:line="240" w:lineRule="auto"/>
        <w:jc w:val="both"/>
        <w:rPr>
          <w:rFonts w:ascii="Times New Roman" w:eastAsia="Calibri" w:hAnsi="Times New Roman" w:cs="Arial"/>
          <w:noProof/>
          <w:sz w:val="24"/>
          <w:szCs w:val="24"/>
          <w:lang w:val="fr-BE"/>
        </w:rPr>
      </w:pPr>
    </w:p>
    <w:p w14:paraId="0BD0099C" w14:textId="77777777" w:rsidR="000D1388" w:rsidRPr="00DD67A6" w:rsidRDefault="00E71057" w:rsidP="00E71057">
      <w:pPr>
        <w:rPr>
          <w:rFonts w:ascii="Times New Roman" w:hAnsi="Times New Roman" w:cs="Times New Roman"/>
          <w:noProof/>
          <w:sz w:val="24"/>
          <w:szCs w:val="24"/>
          <w:u w:val="single"/>
        </w:rPr>
      </w:pPr>
      <w:r>
        <w:rPr>
          <w:rFonts w:ascii="Times New Roman" w:hAnsi="Times New Roman"/>
          <w:noProof/>
          <w:sz w:val="24"/>
          <w:u w:val="single"/>
        </w:rPr>
        <w:t>I-5.21 – Mesure renforcée: Injection de capitaux dans la SFPIM Defence</w:t>
      </w:r>
    </w:p>
    <w:p w14:paraId="470D6848" w14:textId="3845E6BA" w:rsidR="000D1388" w:rsidRPr="00B32FE0" w:rsidRDefault="00E71057" w:rsidP="00E71057">
      <w:pPr>
        <w:jc w:val="both"/>
        <w:rPr>
          <w:rFonts w:ascii="Times New Roman" w:hAnsi="Times New Roman" w:cs="Times New Roman"/>
          <w:noProof/>
          <w:sz w:val="24"/>
          <w:szCs w:val="24"/>
        </w:rPr>
      </w:pPr>
      <w:r>
        <w:rPr>
          <w:rFonts w:ascii="Times New Roman" w:hAnsi="Times New Roman"/>
          <w:noProof/>
          <w:sz w:val="24"/>
        </w:rPr>
        <w:t>Cet investissement renforce l’investissement I-5.20: injection de capitaux dans la SFPIM Defence». Il consiste en une injection de capitaux supplémentaire de 91 904 000 EUR dans la SFPIM Defence.</w:t>
      </w:r>
    </w:p>
    <w:p w14:paraId="68667E5A" w14:textId="77777777" w:rsidR="000D1388" w:rsidRDefault="00E71057" w:rsidP="00E71057">
      <w:pPr>
        <w:jc w:val="both"/>
        <w:rPr>
          <w:rFonts w:ascii="Times New Roman" w:hAnsi="Times New Roman" w:cs="Times New Roman"/>
          <w:noProof/>
          <w:sz w:val="24"/>
          <w:szCs w:val="24"/>
        </w:rPr>
        <w:sectPr w:rsidR="000D1388" w:rsidSect="00E71057">
          <w:headerReference w:type="even" r:id="rId204"/>
          <w:headerReference w:type="default" r:id="rId205"/>
          <w:footerReference w:type="even" r:id="rId206"/>
          <w:footerReference w:type="default" r:id="rId207"/>
          <w:headerReference w:type="first" r:id="rId208"/>
          <w:footerReference w:type="first" r:id="rId209"/>
          <w:pgSz w:w="11907" w:h="16839"/>
          <w:pgMar w:top="1134" w:right="1134" w:bottom="1134" w:left="1134" w:header="567" w:footer="567" w:gutter="0"/>
          <w:cols w:space="720"/>
          <w:docGrid w:linePitch="360"/>
        </w:sectPr>
      </w:pPr>
      <w:r>
        <w:rPr>
          <w:rFonts w:ascii="Times New Roman" w:hAnsi="Times New Roman"/>
          <w:noProof/>
          <w:sz w:val="24"/>
        </w:rPr>
        <w:t>La réalisation satisfaisante de tous les jalons au titre de cette mesure est subordonnée à la réalisation satisfaisante du jalon «Politique d’investissement et système de gestion et de contrôle de la SFPIM Defence».</w:t>
      </w:r>
    </w:p>
    <w:p w14:paraId="3F0A27A0" w14:textId="77777777" w:rsidR="000D1388" w:rsidRPr="009D65D8" w:rsidRDefault="00E71057" w:rsidP="00EB38C8">
      <w:pPr>
        <w:spacing w:after="120" w:line="240" w:lineRule="auto"/>
        <w:jc w:val="center"/>
        <w:textAlignment w:val="baseline"/>
        <w:rPr>
          <w:rFonts w:ascii="Times New Roman" w:eastAsia="Times New Roman" w:hAnsi="Times New Roman" w:cs="Times New Roman"/>
          <w:b/>
          <w:noProof/>
          <w:color w:val="000000"/>
          <w:sz w:val="24"/>
          <w:szCs w:val="24"/>
          <w:u w:val="single"/>
        </w:rPr>
      </w:pPr>
      <w:r>
        <w:rPr>
          <w:rFonts w:ascii="Times New Roman" w:hAnsi="Times New Roman"/>
          <w:b/>
          <w:noProof/>
          <w:color w:val="000000"/>
          <w:sz w:val="24"/>
          <w:u w:val="single"/>
        </w:rPr>
        <w:t>O.4. Jalons, cibles, indicateurs et calendrier de suivi et de mise en œuvre en vue du prêt</w:t>
      </w:r>
    </w:p>
    <w:tbl>
      <w:tblPr>
        <w:tblW w:w="16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780"/>
        <w:gridCol w:w="1918"/>
        <w:gridCol w:w="1985"/>
        <w:gridCol w:w="1417"/>
        <w:gridCol w:w="1129"/>
        <w:gridCol w:w="992"/>
        <w:gridCol w:w="1134"/>
        <w:gridCol w:w="856"/>
        <w:gridCol w:w="3140"/>
      </w:tblGrid>
      <w:tr w:rsidR="005003AB" w:rsidRPr="00481798" w14:paraId="53B4D1EE" w14:textId="77777777" w:rsidTr="0072504F">
        <w:trPr>
          <w:trHeight w:val="927"/>
          <w:tblHeader/>
          <w:jc w:val="center"/>
        </w:trPr>
        <w:tc>
          <w:tcPr>
            <w:tcW w:w="1129" w:type="dxa"/>
            <w:vMerge w:val="restart"/>
            <w:shd w:val="clear" w:color="auto" w:fill="BDD7EE"/>
            <w:vAlign w:val="center"/>
            <w:hideMark/>
          </w:tcPr>
          <w:p w14:paraId="039EF24E"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03C25143"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780" w:type="dxa"/>
            <w:vMerge w:val="restart"/>
            <w:shd w:val="clear" w:color="auto" w:fill="BDD7EE"/>
            <w:vAlign w:val="center"/>
            <w:hideMark/>
          </w:tcPr>
          <w:p w14:paraId="50B43049"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918" w:type="dxa"/>
            <w:vMerge w:val="restart"/>
            <w:shd w:val="clear" w:color="auto" w:fill="BDD7EE"/>
            <w:vAlign w:val="center"/>
            <w:hideMark/>
          </w:tcPr>
          <w:p w14:paraId="2BAD3C29"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985" w:type="dxa"/>
            <w:vMerge w:val="restart"/>
            <w:shd w:val="clear" w:color="auto" w:fill="BDD7EE"/>
            <w:vAlign w:val="center"/>
            <w:hideMark/>
          </w:tcPr>
          <w:p w14:paraId="2FE9A9FE"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538" w:type="dxa"/>
            <w:gridSpan w:val="3"/>
            <w:shd w:val="clear" w:color="auto" w:fill="BDD7EE"/>
            <w:vAlign w:val="center"/>
            <w:hideMark/>
          </w:tcPr>
          <w:p w14:paraId="322B387C"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90" w:type="dxa"/>
            <w:gridSpan w:val="2"/>
            <w:shd w:val="clear" w:color="auto" w:fill="BDD7EE"/>
            <w:vAlign w:val="center"/>
            <w:hideMark/>
          </w:tcPr>
          <w:p w14:paraId="3F22C444"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140" w:type="dxa"/>
            <w:vMerge w:val="restart"/>
            <w:shd w:val="clear" w:color="auto" w:fill="BDD7EE"/>
            <w:vAlign w:val="center"/>
            <w:hideMark/>
          </w:tcPr>
          <w:p w14:paraId="33D028AA"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F76C04" w:rsidRPr="00481798" w14:paraId="0AB226D0" w14:textId="77777777" w:rsidTr="0072504F">
        <w:trPr>
          <w:trHeight w:val="1013"/>
          <w:jc w:val="center"/>
        </w:trPr>
        <w:tc>
          <w:tcPr>
            <w:tcW w:w="1129" w:type="dxa"/>
            <w:vMerge/>
            <w:vAlign w:val="center"/>
            <w:hideMark/>
          </w:tcPr>
          <w:p w14:paraId="5AE67EF0"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57A0911B"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780" w:type="dxa"/>
            <w:vMerge/>
            <w:vAlign w:val="center"/>
            <w:hideMark/>
          </w:tcPr>
          <w:p w14:paraId="45EBA36E"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918" w:type="dxa"/>
            <w:vMerge/>
            <w:vAlign w:val="center"/>
            <w:hideMark/>
          </w:tcPr>
          <w:p w14:paraId="7BE99F01"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985" w:type="dxa"/>
            <w:vMerge/>
            <w:vAlign w:val="center"/>
            <w:hideMark/>
          </w:tcPr>
          <w:p w14:paraId="4C85E6B8"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417" w:type="dxa"/>
            <w:shd w:val="clear" w:color="auto" w:fill="BDD7EE"/>
            <w:vAlign w:val="center"/>
            <w:hideMark/>
          </w:tcPr>
          <w:p w14:paraId="47F0F656"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29" w:type="dxa"/>
            <w:shd w:val="clear" w:color="auto" w:fill="BDD7EE"/>
            <w:vAlign w:val="center"/>
            <w:hideMark/>
          </w:tcPr>
          <w:p w14:paraId="022724C0"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2" w:type="dxa"/>
            <w:shd w:val="clear" w:color="auto" w:fill="BDD7EE"/>
            <w:vAlign w:val="center"/>
            <w:hideMark/>
          </w:tcPr>
          <w:p w14:paraId="32B9959E"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shd w:val="clear" w:color="auto" w:fill="BDD7EE"/>
            <w:vAlign w:val="center"/>
            <w:hideMark/>
          </w:tcPr>
          <w:p w14:paraId="14ADAD43"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6" w:type="dxa"/>
            <w:shd w:val="clear" w:color="auto" w:fill="BDD7EE"/>
            <w:vAlign w:val="center"/>
            <w:hideMark/>
          </w:tcPr>
          <w:p w14:paraId="65DCAC2B" w14:textId="77777777" w:rsidR="000D1388" w:rsidRPr="00481798" w:rsidRDefault="00E71057" w:rsidP="0072504F">
            <w:pPr>
              <w:spacing w:after="0"/>
              <w:ind w:left="27" w:hanging="27"/>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140" w:type="dxa"/>
            <w:vMerge/>
            <w:vAlign w:val="center"/>
            <w:hideMark/>
          </w:tcPr>
          <w:p w14:paraId="5DC5DCBD"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r>
      <w:tr w:rsidR="005003AB" w:rsidRPr="00481798" w14:paraId="48E8BF6A" w14:textId="77777777" w:rsidTr="0072504F">
        <w:trPr>
          <w:trHeight w:val="309"/>
          <w:jc w:val="center"/>
        </w:trPr>
        <w:tc>
          <w:tcPr>
            <w:tcW w:w="1129" w:type="dxa"/>
            <w:shd w:val="clear" w:color="auto" w:fill="C6EFCE"/>
            <w:noWrap/>
          </w:tcPr>
          <w:p w14:paraId="6F87BF78"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259</w:t>
            </w:r>
          </w:p>
        </w:tc>
        <w:tc>
          <w:tcPr>
            <w:tcW w:w="1560" w:type="dxa"/>
            <w:shd w:val="clear" w:color="auto" w:fill="C6EFCE"/>
            <w:noWrap/>
          </w:tcPr>
          <w:p w14:paraId="45C94A7E"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Mesure renforcée: Injection de capitaux dans la SFPIM Defence (I-5.21)</w:t>
            </w:r>
          </w:p>
        </w:tc>
        <w:tc>
          <w:tcPr>
            <w:tcW w:w="780" w:type="dxa"/>
            <w:shd w:val="clear" w:color="auto" w:fill="C6EFCE"/>
            <w:noWrap/>
          </w:tcPr>
          <w:p w14:paraId="563B8CD4"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tcPr>
          <w:p w14:paraId="45967EAD"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Injection de fonds propres</w:t>
            </w:r>
          </w:p>
        </w:tc>
        <w:tc>
          <w:tcPr>
            <w:tcW w:w="1985" w:type="dxa"/>
            <w:shd w:val="clear" w:color="auto" w:fill="C6EFCE"/>
            <w:noWrap/>
          </w:tcPr>
          <w:p w14:paraId="39868EA3"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Attestation de versement </w:t>
            </w:r>
          </w:p>
        </w:tc>
        <w:tc>
          <w:tcPr>
            <w:tcW w:w="1417" w:type="dxa"/>
            <w:shd w:val="clear" w:color="auto" w:fill="C6EFCE"/>
            <w:noWrap/>
          </w:tcPr>
          <w:p w14:paraId="7A1ACA3E" w14:textId="77777777" w:rsidR="000D1388" w:rsidRPr="00481798" w:rsidRDefault="000D1388">
            <w:pPr>
              <w:spacing w:after="0"/>
              <w:jc w:val="center"/>
              <w:rPr>
                <w:rFonts w:ascii="Times New Roman" w:eastAsia="Calibri" w:hAnsi="Times New Roman" w:cs="Arial"/>
                <w:noProof/>
                <w:color w:val="006100"/>
                <w:sz w:val="20"/>
                <w:szCs w:val="20"/>
                <w:lang w:val="en-GB"/>
              </w:rPr>
            </w:pPr>
          </w:p>
        </w:tc>
        <w:tc>
          <w:tcPr>
            <w:tcW w:w="1129" w:type="dxa"/>
            <w:shd w:val="clear" w:color="auto" w:fill="C6EFCE"/>
            <w:noWrap/>
          </w:tcPr>
          <w:p w14:paraId="70CDB437" w14:textId="77777777" w:rsidR="000D1388" w:rsidRPr="00481798" w:rsidRDefault="000D1388">
            <w:pPr>
              <w:spacing w:after="0"/>
              <w:jc w:val="center"/>
              <w:rPr>
                <w:rFonts w:ascii="Times New Roman" w:eastAsia="Calibri" w:hAnsi="Times New Roman" w:cs="Arial"/>
                <w:noProof/>
                <w:color w:val="006100"/>
                <w:sz w:val="20"/>
                <w:szCs w:val="20"/>
                <w:lang w:val="en-GB"/>
              </w:rPr>
            </w:pPr>
          </w:p>
        </w:tc>
        <w:tc>
          <w:tcPr>
            <w:tcW w:w="992" w:type="dxa"/>
            <w:shd w:val="clear" w:color="auto" w:fill="C6EFCE"/>
            <w:noWrap/>
          </w:tcPr>
          <w:p w14:paraId="1E87A063" w14:textId="77777777" w:rsidR="000D1388" w:rsidRPr="00481798" w:rsidRDefault="000D1388">
            <w:pPr>
              <w:spacing w:after="0"/>
              <w:jc w:val="center"/>
              <w:rPr>
                <w:rFonts w:ascii="Times New Roman" w:eastAsia="Calibri" w:hAnsi="Times New Roman" w:cs="Arial"/>
                <w:noProof/>
                <w:color w:val="006100"/>
                <w:sz w:val="20"/>
                <w:szCs w:val="20"/>
                <w:lang w:val="en-GB"/>
              </w:rPr>
            </w:pPr>
          </w:p>
        </w:tc>
        <w:tc>
          <w:tcPr>
            <w:tcW w:w="1134" w:type="dxa"/>
            <w:shd w:val="clear" w:color="auto" w:fill="C6EFCE"/>
            <w:noWrap/>
          </w:tcPr>
          <w:p w14:paraId="5420B9ED"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T3</w:t>
            </w:r>
          </w:p>
        </w:tc>
        <w:tc>
          <w:tcPr>
            <w:tcW w:w="856" w:type="dxa"/>
            <w:shd w:val="clear" w:color="auto" w:fill="C6EFCE"/>
            <w:noWrap/>
          </w:tcPr>
          <w:p w14:paraId="06898946"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140" w:type="dxa"/>
            <w:shd w:val="clear" w:color="auto" w:fill="C6EFCE"/>
            <w:noWrap/>
          </w:tcPr>
          <w:p w14:paraId="6564038A" w14:textId="68FECDF3"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La Belgique transfère 91 904 000 EUR à la SFPIM Defence afin d’en augmenter les fonds propres.</w:t>
            </w:r>
          </w:p>
        </w:tc>
      </w:tr>
    </w:tbl>
    <w:p w14:paraId="24043022" w14:textId="77777777" w:rsidR="000D1388" w:rsidRPr="00746A1A" w:rsidRDefault="000D1388" w:rsidP="00E71057">
      <w:pPr>
        <w:spacing w:before="120" w:after="120" w:line="240" w:lineRule="auto"/>
        <w:jc w:val="both"/>
        <w:rPr>
          <w:rFonts w:ascii="Times New Roman" w:eastAsia="Calibri" w:hAnsi="Times New Roman" w:cs="Times New Roman"/>
          <w:noProof/>
          <w:sz w:val="24"/>
          <w:szCs w:val="24"/>
          <w:lang w:val="fr-BE"/>
        </w:rPr>
      </w:pPr>
    </w:p>
    <w:p w14:paraId="4FB74E09" w14:textId="77777777" w:rsidR="000D1388" w:rsidRPr="00746A1A" w:rsidRDefault="000D1388" w:rsidP="00E71057">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lang w:val="fr-BE"/>
        </w:rPr>
        <w:sectPr w:rsidR="000D1388" w:rsidRPr="00746A1A" w:rsidSect="00E71057">
          <w:headerReference w:type="even" r:id="rId210"/>
          <w:headerReference w:type="default" r:id="rId211"/>
          <w:footerReference w:type="even" r:id="rId212"/>
          <w:footerReference w:type="default" r:id="rId213"/>
          <w:headerReference w:type="first" r:id="rId214"/>
          <w:footerReference w:type="first" r:id="rId215"/>
          <w:pgSz w:w="16839" w:h="11907" w:orient="landscape"/>
          <w:pgMar w:top="1134" w:right="1134" w:bottom="1134" w:left="1134" w:header="567" w:footer="567" w:gutter="0"/>
          <w:cols w:space="720"/>
          <w:docGrid w:linePitch="360"/>
        </w:sectPr>
      </w:pPr>
    </w:p>
    <w:p w14:paraId="46398643"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P. COMPOSANTE 5.3: Économie circulaire</w:t>
      </w:r>
    </w:p>
    <w:p w14:paraId="27E08DC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figurant dans cette composante du plan pour la reprise et la résilience de la Belgique visent de manière générale à contribuer au déploiement d’une économie circulaire et à faible émission de carbone. Ils visent plus particulièrement à développer le recyclage, la réutilisation et les symbioses industrielles. Outre promouvoir certaines pratiques, l’objectif est aussi de soutenir l’innovation en matière de traitement des déchets et des ressources, et de développer la formation dans divers domaines de l’économie circulaire</w:t>
      </w:r>
    </w:p>
    <w:p w14:paraId="6CAB280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composante contribue à répondre à la recommandation par pays nº 3 de 2019 appelant la Belgique à axer la politique économique liée aux investissements sur, entre autres, la transition énergétique et vers une économie à faible intensité de carbone, et sur la recherche et l’innovation, ainsi qu’à la recommandation par pays nº 3 de 2020 invitant la Belgique à axer les investissements sur la transition écologique et numérique, en particulier sur la production et l’utilisation propres et efficientes d’énergie, l’économie circulaire et la recherche et l’innovation.</w:t>
      </w:r>
    </w:p>
    <w:p w14:paraId="7D2AE170"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71178AAF" w14:textId="77777777" w:rsidR="000D1388" w:rsidRPr="00746A1A" w:rsidRDefault="000D1388" w:rsidP="00E71057">
      <w:pPr>
        <w:spacing w:before="120" w:after="120" w:line="240" w:lineRule="auto"/>
        <w:jc w:val="both"/>
        <w:rPr>
          <w:rFonts w:ascii="Times New Roman" w:eastAsia="Calibri" w:hAnsi="Times New Roman" w:cs="Times New Roman"/>
          <w:noProof/>
          <w:sz w:val="24"/>
          <w:szCs w:val="24"/>
          <w:lang w:val="fr-BE"/>
        </w:rPr>
      </w:pPr>
    </w:p>
    <w:p w14:paraId="2F30454D"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P.1.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69DF59D6"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R-5.08: «Stratégie régionale de transition économique (SRTE)» de la Région de Bruxelles-Capitale</w:t>
      </w:r>
    </w:p>
    <w:p w14:paraId="38864FCB"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L’objectif de cette réforme est de concevoir une stratégie régionale de transition économique en mobilisant tous les instruments économiques régionaux, de mettre en place une coordination et une coopération renforcées entre acteurs publics, et d’encourager une participation active du secteur privé. Ses objectifs opérationnels seront basés sur les résultats de 10 groupes de travail.</w:t>
      </w:r>
    </w:p>
    <w:p w14:paraId="13AFEB8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stratégie régionale de transition économique définira des objectifs pour 2030 et un plan d’action sur cinq ans. Elle devrait être adoptée par une décision du gouvernement de la Région de Bruxelles-Capitale d’ici le 31 mars 2022.</w:t>
      </w:r>
    </w:p>
    <w:p w14:paraId="5EEC3AAA"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R-5.09: «Gouvernance du circulaire en Flandre» de la Région flamande</w:t>
      </w:r>
    </w:p>
    <w:p w14:paraId="27937FAC"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Vlaanderen Circulair (Flandre Circulaire) est la plateforme centrale en Flandre dont la mission est de faciliter la transition vers une économie circulaire en collaboration avec des partenaires industriels, des institutions de connaissance, des gouvernements, des banques et la société civile. Grâce à cette réforme, la gouvernance de cette plateforme sera considérablement améliorée et étendue. Dans ce cadre, le partenariat public-privé se concentrera sur une combinaison de programmes de travail thématiques, tels que construction circulaire, chimie/plastique, autres chaînes de produits dans l’industrie manufacturière, bioéconomie et chaîne alimentaire, et sur un certain nombre de leviers stratégiques (financement, innovation, achats circulaires, recherche, sensibilisation). Les textes de la feuille de route et des programmes de travail sont prévus pour le 31 décembre 2021.</w:t>
      </w:r>
    </w:p>
    <w:p w14:paraId="6095C33F"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I-5.14: «Recyclage Hub» de la Région flamande</w:t>
      </w:r>
    </w:p>
    <w:p w14:paraId="6C7038F3"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 investissement vise à construire, adapter ou élargir six installations de recyclage afin de permettre une production circulaire locale. </w:t>
      </w:r>
    </w:p>
    <w:p w14:paraId="2845C627" w14:textId="77777777" w:rsidR="000D1388" w:rsidRPr="009D65D8" w:rsidRDefault="00E71057" w:rsidP="00E71057">
      <w:pPr>
        <w:tabs>
          <w:tab w:val="right" w:pos="9639"/>
        </w:tabs>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u w:val="single"/>
        </w:rPr>
        <w:t>Investissement I-5.15: «Belgium Builds Back Circular» de l’État fédéral</w:t>
      </w:r>
    </w:p>
    <w:p w14:paraId="17CF9405" w14:textId="77777777" w:rsidR="000D1388" w:rsidRPr="009D65D8" w:rsidRDefault="00E71057" w:rsidP="00E71057">
      <w:pPr>
        <w:spacing w:before="120" w:after="120" w:line="240" w:lineRule="auto"/>
        <w:jc w:val="both"/>
        <w:rPr>
          <w:rFonts w:ascii="Calibri" w:eastAsia="Calibri" w:hAnsi="Calibri" w:cs="Arial"/>
          <w:noProof/>
        </w:rPr>
      </w:pPr>
      <w:r>
        <w:rPr>
          <w:rFonts w:ascii="Times New Roman" w:hAnsi="Times New Roman"/>
          <w:noProof/>
          <w:sz w:val="24"/>
        </w:rPr>
        <w:t>Cet investissement vise à accélérer la transition vers une économie circulaire en Belgique. Cette mesure consiste à faire progresser les initiatives en faveur de l’économie circulaire en achevant les projets et en mettant en œuvre des actions de sensibilisation à l’intention des PME.</w:t>
      </w:r>
    </w:p>
    <w:p w14:paraId="116E5318"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I-5.16: «Déploiement de l’économie circulaire en Wallonie» de la Région wallonne</w:t>
      </w:r>
    </w:p>
    <w:p w14:paraId="507679F0"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Dans le but de déployer l’économie circulaire wallonne, des investissements seront réalisés dans des projets de recherche et de développement qui réutilisent, développent et/ou recyclent des métaux, des batteries ou des minéraux.</w:t>
      </w:r>
    </w:p>
    <w:p w14:paraId="6C30CB32" w14:textId="77777777" w:rsidR="000D1388" w:rsidRPr="00746A1A" w:rsidRDefault="000D1388" w:rsidP="00E71057">
      <w:pPr>
        <w:spacing w:before="120" w:after="120" w:line="240" w:lineRule="auto"/>
        <w:jc w:val="both"/>
        <w:rPr>
          <w:rFonts w:ascii="Times New Roman" w:eastAsia="Calibri" w:hAnsi="Times New Roman" w:cs="Arial"/>
          <w:noProof/>
          <w:sz w:val="24"/>
          <w:szCs w:val="24"/>
          <w:lang w:val="fr-BE"/>
        </w:rPr>
        <w:sectPr w:rsidR="000D1388" w:rsidRPr="00746A1A" w:rsidSect="00E71057">
          <w:headerReference w:type="even" r:id="rId216"/>
          <w:headerReference w:type="default" r:id="rId217"/>
          <w:footerReference w:type="even" r:id="rId218"/>
          <w:footerReference w:type="default" r:id="rId219"/>
          <w:headerReference w:type="first" r:id="rId220"/>
          <w:footerReference w:type="first" r:id="rId221"/>
          <w:pgSz w:w="11907" w:h="16839"/>
          <w:pgMar w:top="1134" w:right="1134" w:bottom="1134" w:left="1134" w:header="567" w:footer="567" w:gutter="0"/>
          <w:cols w:space="720"/>
          <w:docGrid w:linePitch="360"/>
        </w:sectPr>
      </w:pPr>
    </w:p>
    <w:p w14:paraId="26F0234B"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P.2.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93" w:type="dxa"/>
        <w:jc w:val="center"/>
        <w:tblLayout w:type="fixed"/>
        <w:tblLook w:val="04A0" w:firstRow="1" w:lastRow="0" w:firstColumn="1" w:lastColumn="0" w:noHBand="0" w:noVBand="1"/>
      </w:tblPr>
      <w:tblGrid>
        <w:gridCol w:w="1129"/>
        <w:gridCol w:w="1560"/>
        <w:gridCol w:w="713"/>
        <w:gridCol w:w="1555"/>
        <w:gridCol w:w="1422"/>
        <w:gridCol w:w="992"/>
        <w:gridCol w:w="1129"/>
        <w:gridCol w:w="993"/>
        <w:gridCol w:w="1134"/>
        <w:gridCol w:w="850"/>
        <w:gridCol w:w="4116"/>
      </w:tblGrid>
      <w:tr w:rsidR="005003AB" w:rsidRPr="00481798" w14:paraId="0F5F4ED7" w14:textId="77777777" w:rsidTr="0072504F">
        <w:trPr>
          <w:trHeight w:val="927"/>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86BDE6"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300F98"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7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D341C4"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5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8EC64F"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4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5A90D5"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11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B72DD78"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84" w:type="dxa"/>
            <w:gridSpan w:val="2"/>
            <w:tcBorders>
              <w:top w:val="single" w:sz="4" w:space="0" w:color="auto"/>
              <w:left w:val="nil"/>
              <w:bottom w:val="single" w:sz="4" w:space="0" w:color="auto"/>
              <w:right w:val="single" w:sz="4" w:space="0" w:color="auto"/>
            </w:tcBorders>
            <w:shd w:val="clear" w:color="auto" w:fill="BDD7EE"/>
            <w:vAlign w:val="center"/>
            <w:hideMark/>
          </w:tcPr>
          <w:p w14:paraId="60A7373B"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411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FECF31" w14:textId="77777777" w:rsidR="000D1388" w:rsidRPr="00481798" w:rsidRDefault="00E71057">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F76C04" w:rsidRPr="00481798" w14:paraId="049A9D78" w14:textId="77777777" w:rsidTr="0072504F">
        <w:trPr>
          <w:trHeight w:val="1013"/>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6603EE2"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5594775"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14:paraId="0D1727CD"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4C5EA436"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422" w:type="dxa"/>
            <w:vMerge/>
            <w:tcBorders>
              <w:top w:val="single" w:sz="4" w:space="0" w:color="auto"/>
              <w:left w:val="single" w:sz="4" w:space="0" w:color="auto"/>
              <w:bottom w:val="single" w:sz="4" w:space="0" w:color="auto"/>
              <w:right w:val="single" w:sz="4" w:space="0" w:color="auto"/>
            </w:tcBorders>
            <w:vAlign w:val="center"/>
            <w:hideMark/>
          </w:tcPr>
          <w:p w14:paraId="65CE830E"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86AF51"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2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007A3C"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5E3866"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A66A68"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54D1151" w14:textId="77777777" w:rsidR="000D1388" w:rsidRPr="00481798"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4116" w:type="dxa"/>
            <w:vMerge/>
            <w:tcBorders>
              <w:top w:val="single" w:sz="4" w:space="0" w:color="auto"/>
              <w:bottom w:val="single" w:sz="4" w:space="0" w:color="auto"/>
              <w:right w:val="single" w:sz="4" w:space="0" w:color="auto"/>
            </w:tcBorders>
            <w:vAlign w:val="center"/>
            <w:hideMark/>
          </w:tcPr>
          <w:p w14:paraId="189E1BBB" w14:textId="77777777" w:rsidR="000D1388" w:rsidRPr="00481798" w:rsidRDefault="000D1388">
            <w:pPr>
              <w:spacing w:after="0"/>
              <w:rPr>
                <w:rFonts w:ascii="Times New Roman" w:eastAsia="Times New Roman" w:hAnsi="Times New Roman" w:cs="Times New Roman"/>
                <w:b/>
                <w:bCs/>
                <w:noProof/>
                <w:sz w:val="20"/>
                <w:szCs w:val="20"/>
                <w:lang w:val="en-GB" w:eastAsia="en-GB"/>
              </w:rPr>
            </w:pPr>
          </w:p>
        </w:tc>
      </w:tr>
      <w:tr w:rsidR="005003AB" w:rsidRPr="00481798" w14:paraId="3E65B318" w14:textId="77777777" w:rsidTr="0072504F">
        <w:trPr>
          <w:trHeight w:val="2596"/>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97B17A"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195</w:t>
            </w:r>
          </w:p>
        </w:tc>
        <w:tc>
          <w:tcPr>
            <w:tcW w:w="1560" w:type="dxa"/>
            <w:tcBorders>
              <w:top w:val="single" w:sz="4" w:space="0" w:color="auto"/>
              <w:left w:val="nil"/>
              <w:bottom w:val="single" w:sz="4" w:space="0" w:color="auto"/>
              <w:right w:val="single" w:sz="4" w:space="0" w:color="auto"/>
            </w:tcBorders>
            <w:shd w:val="clear" w:color="auto" w:fill="C6EFCE"/>
            <w:noWrap/>
            <w:vAlign w:val="center"/>
            <w:hideMark/>
          </w:tcPr>
          <w:p w14:paraId="68806797"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régionale de transition économique – Bruxelles-Capitale (R-5.08)</w:t>
            </w:r>
          </w:p>
        </w:tc>
        <w:tc>
          <w:tcPr>
            <w:tcW w:w="713" w:type="dxa"/>
            <w:tcBorders>
              <w:top w:val="single" w:sz="4" w:space="0" w:color="auto"/>
              <w:left w:val="nil"/>
              <w:bottom w:val="single" w:sz="4" w:space="0" w:color="auto"/>
              <w:right w:val="single" w:sz="4" w:space="0" w:color="auto"/>
            </w:tcBorders>
            <w:shd w:val="clear" w:color="auto" w:fill="C6EFCE"/>
            <w:noWrap/>
            <w:vAlign w:val="center"/>
            <w:hideMark/>
          </w:tcPr>
          <w:p w14:paraId="2112F6A1"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5" w:type="dxa"/>
            <w:tcBorders>
              <w:top w:val="single" w:sz="4" w:space="0" w:color="auto"/>
              <w:left w:val="nil"/>
              <w:bottom w:val="single" w:sz="4" w:space="0" w:color="auto"/>
              <w:right w:val="single" w:sz="4" w:space="0" w:color="auto"/>
            </w:tcBorders>
            <w:shd w:val="clear" w:color="auto" w:fill="C6EFCE"/>
            <w:noWrap/>
            <w:vAlign w:val="center"/>
            <w:hideMark/>
          </w:tcPr>
          <w:p w14:paraId="6F8C521B"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stratégie régionale de transition économique</w:t>
            </w:r>
          </w:p>
        </w:tc>
        <w:tc>
          <w:tcPr>
            <w:tcW w:w="1422" w:type="dxa"/>
            <w:tcBorders>
              <w:top w:val="single" w:sz="4" w:space="0" w:color="auto"/>
              <w:left w:val="nil"/>
              <w:bottom w:val="single" w:sz="4" w:space="0" w:color="auto"/>
              <w:right w:val="single" w:sz="4" w:space="0" w:color="auto"/>
            </w:tcBorders>
            <w:shd w:val="clear" w:color="auto" w:fill="C6EFCE"/>
            <w:noWrap/>
            <w:vAlign w:val="center"/>
            <w:hideMark/>
          </w:tcPr>
          <w:p w14:paraId="7536CAEB" w14:textId="77777777" w:rsidR="000D1388" w:rsidRPr="00481798"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Décision du gouvernement de la Région de Bruxelles-Capitale indiquant l’adoption de la stratégie</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521395FA"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9" w:type="dxa"/>
            <w:tcBorders>
              <w:top w:val="single" w:sz="4" w:space="0" w:color="auto"/>
              <w:left w:val="nil"/>
              <w:bottom w:val="single" w:sz="4" w:space="0" w:color="auto"/>
              <w:right w:val="single" w:sz="4" w:space="0" w:color="auto"/>
            </w:tcBorders>
            <w:shd w:val="clear" w:color="auto" w:fill="C6EFCE"/>
            <w:noWrap/>
            <w:vAlign w:val="center"/>
            <w:hideMark/>
          </w:tcPr>
          <w:p w14:paraId="546D745B"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3" w:type="dxa"/>
            <w:tcBorders>
              <w:top w:val="single" w:sz="4" w:space="0" w:color="auto"/>
              <w:left w:val="nil"/>
              <w:bottom w:val="single" w:sz="4" w:space="0" w:color="auto"/>
              <w:right w:val="single" w:sz="4" w:space="0" w:color="auto"/>
            </w:tcBorders>
            <w:shd w:val="clear" w:color="auto" w:fill="C6EFCE"/>
            <w:noWrap/>
            <w:vAlign w:val="center"/>
          </w:tcPr>
          <w:p w14:paraId="0615AD6A"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08AA73A2"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0" w:type="dxa"/>
            <w:tcBorders>
              <w:top w:val="single" w:sz="4" w:space="0" w:color="auto"/>
              <w:left w:val="nil"/>
              <w:bottom w:val="single" w:sz="4" w:space="0" w:color="auto"/>
              <w:right w:val="single" w:sz="4" w:space="0" w:color="auto"/>
            </w:tcBorders>
            <w:shd w:val="clear" w:color="auto" w:fill="C6EFCE"/>
            <w:noWrap/>
            <w:vAlign w:val="center"/>
            <w:hideMark/>
          </w:tcPr>
          <w:p w14:paraId="0E22C334"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116" w:type="dxa"/>
            <w:tcBorders>
              <w:top w:val="single" w:sz="4" w:space="0" w:color="auto"/>
              <w:left w:val="nil"/>
              <w:bottom w:val="single" w:sz="4" w:space="0" w:color="auto"/>
              <w:right w:val="single" w:sz="4" w:space="0" w:color="auto"/>
            </w:tcBorders>
            <w:shd w:val="clear" w:color="auto" w:fill="C6EFCE"/>
            <w:noWrap/>
            <w:vAlign w:val="center"/>
            <w:hideMark/>
          </w:tcPr>
          <w:p w14:paraId="66A761F4"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régionale de transition économique adoptée par le gouvernement de la Région de Bruxelles-Capitale (décision du gouvernement de la Région de Bruxelles-Capitale), définissant des objectifs à l’horizon 2030, reposant sur la coordination entre les acteurs publics et la participation active du secteur privé, comprenant un plan d’action quinquennal couvrant les domaines d’action prioritaires, mettant en place un ensemble cohérent d’incitations publiques à l’innovation et favorables à l’entrepreneuriat pour la transition écologique</w:t>
            </w:r>
          </w:p>
        </w:tc>
      </w:tr>
      <w:tr w:rsidR="00F76C04" w:rsidRPr="00481798" w14:paraId="623263BC" w14:textId="77777777" w:rsidTr="0072504F">
        <w:trPr>
          <w:trHeight w:val="1941"/>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5E94774F"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196</w:t>
            </w:r>
          </w:p>
        </w:tc>
        <w:tc>
          <w:tcPr>
            <w:tcW w:w="1560" w:type="dxa"/>
            <w:tcBorders>
              <w:top w:val="nil"/>
              <w:left w:val="nil"/>
              <w:bottom w:val="single" w:sz="4" w:space="0" w:color="auto"/>
              <w:right w:val="single" w:sz="4" w:space="0" w:color="auto"/>
            </w:tcBorders>
            <w:shd w:val="clear" w:color="auto" w:fill="C6EFCE"/>
            <w:noWrap/>
            <w:vAlign w:val="center"/>
            <w:hideMark/>
          </w:tcPr>
          <w:p w14:paraId="00B1F881"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Gouvernance du circulaire en Flandre (R-5.09)</w:t>
            </w:r>
          </w:p>
        </w:tc>
        <w:tc>
          <w:tcPr>
            <w:tcW w:w="713" w:type="dxa"/>
            <w:tcBorders>
              <w:top w:val="nil"/>
              <w:left w:val="nil"/>
              <w:bottom w:val="single" w:sz="4" w:space="0" w:color="auto"/>
              <w:right w:val="single" w:sz="4" w:space="0" w:color="auto"/>
            </w:tcBorders>
            <w:shd w:val="clear" w:color="auto" w:fill="C6EFCE"/>
            <w:noWrap/>
            <w:vAlign w:val="center"/>
            <w:hideMark/>
          </w:tcPr>
          <w:p w14:paraId="4697286E"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5" w:type="dxa"/>
            <w:tcBorders>
              <w:top w:val="nil"/>
              <w:left w:val="nil"/>
              <w:bottom w:val="single" w:sz="4" w:space="0" w:color="auto"/>
              <w:right w:val="single" w:sz="4" w:space="0" w:color="auto"/>
            </w:tcBorders>
            <w:shd w:val="clear" w:color="auto" w:fill="C6EFCE"/>
            <w:noWrap/>
            <w:vAlign w:val="center"/>
            <w:hideMark/>
          </w:tcPr>
          <w:p w14:paraId="2FF6ED50"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Lancement du groupe directeur de la Flandre circulaire</w:t>
            </w:r>
          </w:p>
        </w:tc>
        <w:tc>
          <w:tcPr>
            <w:tcW w:w="1422" w:type="dxa"/>
            <w:tcBorders>
              <w:top w:val="nil"/>
              <w:left w:val="nil"/>
              <w:bottom w:val="single" w:sz="4" w:space="0" w:color="auto"/>
              <w:right w:val="single" w:sz="4" w:space="0" w:color="auto"/>
            </w:tcBorders>
            <w:shd w:val="clear" w:color="auto" w:fill="C6EFCE"/>
            <w:noWrap/>
            <w:vAlign w:val="center"/>
            <w:hideMark/>
          </w:tcPr>
          <w:p w14:paraId="2EFAE3D7"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Groupe directeur pour la gouvernance de Flandre circulaire nommé et feuille de route et programmes de travail adoptés </w:t>
            </w:r>
          </w:p>
        </w:tc>
        <w:tc>
          <w:tcPr>
            <w:tcW w:w="992" w:type="dxa"/>
            <w:tcBorders>
              <w:top w:val="nil"/>
              <w:left w:val="nil"/>
              <w:bottom w:val="single" w:sz="4" w:space="0" w:color="auto"/>
              <w:right w:val="single" w:sz="4" w:space="0" w:color="auto"/>
            </w:tcBorders>
            <w:shd w:val="clear" w:color="auto" w:fill="C6EFCE"/>
            <w:noWrap/>
            <w:vAlign w:val="center"/>
            <w:hideMark/>
          </w:tcPr>
          <w:p w14:paraId="6A037769"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9" w:type="dxa"/>
            <w:tcBorders>
              <w:top w:val="nil"/>
              <w:left w:val="nil"/>
              <w:bottom w:val="single" w:sz="4" w:space="0" w:color="auto"/>
              <w:right w:val="single" w:sz="4" w:space="0" w:color="auto"/>
            </w:tcBorders>
            <w:shd w:val="clear" w:color="auto" w:fill="C6EFCE"/>
            <w:noWrap/>
            <w:vAlign w:val="center"/>
            <w:hideMark/>
          </w:tcPr>
          <w:p w14:paraId="2208DBDA"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993" w:type="dxa"/>
            <w:tcBorders>
              <w:top w:val="nil"/>
              <w:left w:val="nil"/>
              <w:bottom w:val="single" w:sz="4" w:space="0" w:color="auto"/>
              <w:right w:val="single" w:sz="4" w:space="0" w:color="auto"/>
            </w:tcBorders>
            <w:shd w:val="clear" w:color="auto" w:fill="C6EFCE"/>
            <w:noWrap/>
            <w:vAlign w:val="center"/>
          </w:tcPr>
          <w:p w14:paraId="48E6F277"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5EF0A8E1"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tcBorders>
              <w:top w:val="nil"/>
              <w:left w:val="nil"/>
              <w:bottom w:val="single" w:sz="4" w:space="0" w:color="auto"/>
              <w:right w:val="single" w:sz="4" w:space="0" w:color="auto"/>
            </w:tcBorders>
            <w:shd w:val="clear" w:color="auto" w:fill="C6EFCE"/>
            <w:noWrap/>
            <w:vAlign w:val="center"/>
            <w:hideMark/>
          </w:tcPr>
          <w:p w14:paraId="518B9DEC" w14:textId="77777777" w:rsidR="000D1388" w:rsidRPr="00481798" w:rsidRDefault="00E71057">
            <w:pPr>
              <w:spacing w:after="0"/>
              <w:jc w:val="center"/>
              <w:rPr>
                <w:rFonts w:ascii="Times New Roman" w:eastAsia="Times New Roman" w:hAnsi="Times New Roman" w:cs="Times New Roman"/>
                <w:strike/>
                <w:noProof/>
                <w:color w:val="006100"/>
                <w:sz w:val="20"/>
                <w:szCs w:val="20"/>
              </w:rPr>
            </w:pPr>
            <w:r>
              <w:rPr>
                <w:rFonts w:ascii="Times New Roman" w:hAnsi="Times New Roman"/>
                <w:noProof/>
                <w:color w:val="006100"/>
                <w:sz w:val="20"/>
              </w:rPr>
              <w:t>2021</w:t>
            </w:r>
          </w:p>
        </w:tc>
        <w:tc>
          <w:tcPr>
            <w:tcW w:w="4116" w:type="dxa"/>
            <w:tcBorders>
              <w:top w:val="nil"/>
              <w:left w:val="nil"/>
              <w:bottom w:val="single" w:sz="4" w:space="0" w:color="auto"/>
              <w:right w:val="single" w:sz="4" w:space="0" w:color="auto"/>
            </w:tcBorders>
            <w:shd w:val="clear" w:color="auto" w:fill="C6EFCE"/>
            <w:noWrap/>
            <w:vAlign w:val="center"/>
            <w:hideMark/>
          </w:tcPr>
          <w:p w14:paraId="74364CEF"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Groupe directeur pour la gouvernance de la Flandre circulaire nommé et feuille de route et programmes de travail pour orienter les projets d’économie circulaire et le développement de leviers stratégiques adoptés.</w:t>
            </w:r>
          </w:p>
        </w:tc>
      </w:tr>
      <w:tr w:rsidR="00F76C04" w:rsidRPr="00481798" w14:paraId="05B060E7" w14:textId="77777777" w:rsidTr="0072504F">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42290754"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197</w:t>
            </w:r>
          </w:p>
        </w:tc>
        <w:tc>
          <w:tcPr>
            <w:tcW w:w="1560" w:type="dxa"/>
            <w:tcBorders>
              <w:top w:val="nil"/>
              <w:left w:val="nil"/>
              <w:bottom w:val="single" w:sz="4" w:space="0" w:color="auto"/>
              <w:right w:val="single" w:sz="4" w:space="0" w:color="auto"/>
            </w:tcBorders>
            <w:shd w:val="clear" w:color="auto" w:fill="C6EFCE"/>
            <w:noWrap/>
            <w:vAlign w:val="center"/>
            <w:hideMark/>
          </w:tcPr>
          <w:p w14:paraId="3B0AE7CD"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Recyclage Hub (I-5.14)</w:t>
            </w:r>
          </w:p>
        </w:tc>
        <w:tc>
          <w:tcPr>
            <w:tcW w:w="713" w:type="dxa"/>
            <w:tcBorders>
              <w:top w:val="nil"/>
              <w:left w:val="nil"/>
              <w:bottom w:val="single" w:sz="4" w:space="0" w:color="auto"/>
              <w:right w:val="single" w:sz="4" w:space="0" w:color="auto"/>
            </w:tcBorders>
            <w:shd w:val="clear" w:color="auto" w:fill="C6EFCE"/>
            <w:noWrap/>
            <w:vAlign w:val="center"/>
            <w:hideMark/>
          </w:tcPr>
          <w:p w14:paraId="2C6B657C"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5" w:type="dxa"/>
            <w:tcBorders>
              <w:top w:val="nil"/>
              <w:left w:val="nil"/>
              <w:bottom w:val="single" w:sz="4" w:space="0" w:color="auto"/>
              <w:right w:val="single" w:sz="4" w:space="0" w:color="auto"/>
            </w:tcBorders>
            <w:shd w:val="clear" w:color="auto" w:fill="C6EFCE"/>
            <w:noWrap/>
            <w:vAlign w:val="center"/>
            <w:hideMark/>
          </w:tcPr>
          <w:p w14:paraId="2F2120DC"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six marchés publics pour les installations de recyclage</w:t>
            </w:r>
          </w:p>
        </w:tc>
        <w:tc>
          <w:tcPr>
            <w:tcW w:w="1422" w:type="dxa"/>
            <w:tcBorders>
              <w:top w:val="nil"/>
              <w:left w:val="nil"/>
              <w:bottom w:val="single" w:sz="4" w:space="0" w:color="auto"/>
              <w:right w:val="single" w:sz="4" w:space="0" w:color="auto"/>
            </w:tcBorders>
            <w:shd w:val="clear" w:color="auto" w:fill="C6EFCE"/>
            <w:noWrap/>
            <w:vAlign w:val="center"/>
            <w:hideMark/>
          </w:tcPr>
          <w:p w14:paraId="24F67775"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1E518DAF"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Installations</w:t>
            </w:r>
          </w:p>
        </w:tc>
        <w:tc>
          <w:tcPr>
            <w:tcW w:w="1129" w:type="dxa"/>
            <w:tcBorders>
              <w:top w:val="nil"/>
              <w:left w:val="nil"/>
              <w:bottom w:val="single" w:sz="4" w:space="0" w:color="auto"/>
              <w:right w:val="single" w:sz="4" w:space="0" w:color="auto"/>
            </w:tcBorders>
            <w:shd w:val="clear" w:color="auto" w:fill="C6EFCE"/>
            <w:noWrap/>
            <w:vAlign w:val="center"/>
            <w:hideMark/>
          </w:tcPr>
          <w:p w14:paraId="39B545AC" w14:textId="77777777" w:rsidR="000D1388" w:rsidRPr="00481798"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3" w:type="dxa"/>
            <w:tcBorders>
              <w:top w:val="nil"/>
              <w:left w:val="nil"/>
              <w:bottom w:val="single" w:sz="4" w:space="0" w:color="auto"/>
              <w:right w:val="single" w:sz="4" w:space="0" w:color="auto"/>
            </w:tcBorders>
            <w:shd w:val="clear" w:color="auto" w:fill="C6EFCE"/>
            <w:noWrap/>
            <w:vAlign w:val="center"/>
            <w:hideMark/>
          </w:tcPr>
          <w:p w14:paraId="7A3E9BD1" w14:textId="77777777" w:rsidR="000D1388" w:rsidRPr="00481798"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6</w:t>
            </w:r>
          </w:p>
        </w:tc>
        <w:tc>
          <w:tcPr>
            <w:tcW w:w="1134" w:type="dxa"/>
            <w:tcBorders>
              <w:top w:val="nil"/>
              <w:left w:val="nil"/>
              <w:bottom w:val="single" w:sz="4" w:space="0" w:color="auto"/>
              <w:right w:val="single" w:sz="4" w:space="0" w:color="auto"/>
            </w:tcBorders>
            <w:shd w:val="clear" w:color="auto" w:fill="C6EFCE"/>
            <w:noWrap/>
            <w:vAlign w:val="center"/>
            <w:hideMark/>
          </w:tcPr>
          <w:p w14:paraId="4EEC93F1"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tcBorders>
              <w:top w:val="nil"/>
              <w:left w:val="nil"/>
              <w:bottom w:val="single" w:sz="4" w:space="0" w:color="auto"/>
              <w:right w:val="single" w:sz="4" w:space="0" w:color="auto"/>
            </w:tcBorders>
            <w:shd w:val="clear" w:color="auto" w:fill="C6EFCE"/>
            <w:noWrap/>
            <w:vAlign w:val="center"/>
            <w:hideMark/>
          </w:tcPr>
          <w:p w14:paraId="64F4577F"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116" w:type="dxa"/>
            <w:tcBorders>
              <w:top w:val="nil"/>
              <w:left w:val="nil"/>
              <w:bottom w:val="single" w:sz="4" w:space="0" w:color="auto"/>
              <w:right w:val="single" w:sz="4" w:space="0" w:color="auto"/>
            </w:tcBorders>
            <w:shd w:val="clear" w:color="auto" w:fill="C6EFCE"/>
            <w:noWrap/>
            <w:vAlign w:val="center"/>
            <w:hideMark/>
          </w:tcPr>
          <w:p w14:paraId="0CCD7FE7"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Six projets d’investissement pour des installations de recyclage ont été sélectionnés pour bénéficier d’un soutien. Un jury procède à l’évaluation des projets et la sélection finale est confirmée par le ministre flamand en charge de l’environnement</w:t>
            </w:r>
          </w:p>
          <w:p w14:paraId="42B06F73"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aux projets retenus à la suite de l’appel à propositions, les cahiers des charges devant inclure des critères d’éligibilité garantissant la conformité des projets sélectionnés avec les orientations techniques sur l’application du principe consistant à «ne pas causer de préjudice important» (JO C 58 du 18.2.2021, p. 1) au moyen du recours à une liste d’exclusion et de l’exigence du respect de la législation environnementale européenne et nationale pertinente Les décisions d’attribution des subventions précisent que les aides sont octroyées pour autant que l’activité soit conforme à la législation environnementale nationale et de l’UE applicable.</w:t>
            </w:r>
          </w:p>
        </w:tc>
      </w:tr>
      <w:tr w:rsidR="00F76C04" w:rsidRPr="00481798" w14:paraId="33B8DAB7" w14:textId="77777777" w:rsidTr="0072504F">
        <w:trPr>
          <w:trHeight w:val="1180"/>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hideMark/>
          </w:tcPr>
          <w:p w14:paraId="5A823464"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198</w:t>
            </w:r>
          </w:p>
        </w:tc>
        <w:tc>
          <w:tcPr>
            <w:tcW w:w="1560" w:type="dxa"/>
            <w:tcBorders>
              <w:top w:val="nil"/>
              <w:left w:val="nil"/>
              <w:bottom w:val="single" w:sz="4" w:space="0" w:color="auto"/>
              <w:right w:val="single" w:sz="4" w:space="0" w:color="auto"/>
            </w:tcBorders>
            <w:shd w:val="clear" w:color="auto" w:fill="C6EFCE"/>
            <w:noWrap/>
            <w:vAlign w:val="center"/>
            <w:hideMark/>
          </w:tcPr>
          <w:p w14:paraId="5020BC31"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Recyclage Hub (I-5.14)</w:t>
            </w:r>
          </w:p>
        </w:tc>
        <w:tc>
          <w:tcPr>
            <w:tcW w:w="713" w:type="dxa"/>
            <w:tcBorders>
              <w:top w:val="nil"/>
              <w:left w:val="nil"/>
              <w:bottom w:val="single" w:sz="4" w:space="0" w:color="auto"/>
              <w:right w:val="single" w:sz="4" w:space="0" w:color="auto"/>
            </w:tcBorders>
            <w:shd w:val="clear" w:color="auto" w:fill="C6EFCE"/>
            <w:noWrap/>
            <w:vAlign w:val="center"/>
            <w:hideMark/>
          </w:tcPr>
          <w:p w14:paraId="12E071CE"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5" w:type="dxa"/>
            <w:tcBorders>
              <w:top w:val="nil"/>
              <w:left w:val="nil"/>
              <w:bottom w:val="single" w:sz="4" w:space="0" w:color="auto"/>
              <w:right w:val="single" w:sz="4" w:space="0" w:color="auto"/>
            </w:tcBorders>
            <w:shd w:val="clear" w:color="auto" w:fill="C6EFCE"/>
            <w:noWrap/>
            <w:vAlign w:val="center"/>
            <w:hideMark/>
          </w:tcPr>
          <w:p w14:paraId="477AA2AF"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dans les six installations de recyclage</w:t>
            </w:r>
          </w:p>
        </w:tc>
        <w:tc>
          <w:tcPr>
            <w:tcW w:w="1422" w:type="dxa"/>
            <w:tcBorders>
              <w:top w:val="nil"/>
              <w:left w:val="nil"/>
              <w:bottom w:val="single" w:sz="4" w:space="0" w:color="auto"/>
              <w:right w:val="single" w:sz="4" w:space="0" w:color="auto"/>
            </w:tcBorders>
            <w:shd w:val="clear" w:color="auto" w:fill="C6EFCE"/>
            <w:noWrap/>
            <w:vAlign w:val="center"/>
            <w:hideMark/>
          </w:tcPr>
          <w:p w14:paraId="46BFEBEA"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4BCA4FC4"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Installations</w:t>
            </w:r>
          </w:p>
        </w:tc>
        <w:tc>
          <w:tcPr>
            <w:tcW w:w="1129" w:type="dxa"/>
            <w:tcBorders>
              <w:top w:val="nil"/>
              <w:left w:val="nil"/>
              <w:bottom w:val="single" w:sz="4" w:space="0" w:color="auto"/>
              <w:right w:val="single" w:sz="4" w:space="0" w:color="auto"/>
            </w:tcBorders>
            <w:shd w:val="clear" w:color="auto" w:fill="C6EFCE"/>
            <w:noWrap/>
            <w:vAlign w:val="center"/>
            <w:hideMark/>
          </w:tcPr>
          <w:p w14:paraId="2B62F14A"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3" w:type="dxa"/>
            <w:tcBorders>
              <w:top w:val="nil"/>
              <w:left w:val="nil"/>
              <w:bottom w:val="single" w:sz="4" w:space="0" w:color="auto"/>
              <w:right w:val="single" w:sz="4" w:space="0" w:color="auto"/>
            </w:tcBorders>
            <w:shd w:val="clear" w:color="auto" w:fill="C6EFCE"/>
            <w:noWrap/>
            <w:vAlign w:val="center"/>
            <w:hideMark/>
          </w:tcPr>
          <w:p w14:paraId="0DCF6A9E"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w:t>
            </w:r>
          </w:p>
        </w:tc>
        <w:tc>
          <w:tcPr>
            <w:tcW w:w="1134" w:type="dxa"/>
            <w:tcBorders>
              <w:top w:val="nil"/>
              <w:left w:val="nil"/>
              <w:bottom w:val="single" w:sz="4" w:space="0" w:color="auto"/>
              <w:right w:val="single" w:sz="4" w:space="0" w:color="auto"/>
            </w:tcBorders>
            <w:shd w:val="clear" w:color="auto" w:fill="C6EFCE"/>
            <w:noWrap/>
            <w:vAlign w:val="center"/>
            <w:hideMark/>
          </w:tcPr>
          <w:p w14:paraId="6939F4DB"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tcBorders>
              <w:top w:val="nil"/>
              <w:left w:val="nil"/>
              <w:bottom w:val="single" w:sz="4" w:space="0" w:color="auto"/>
              <w:right w:val="single" w:sz="4" w:space="0" w:color="auto"/>
            </w:tcBorders>
            <w:shd w:val="clear" w:color="auto" w:fill="C6EFCE"/>
            <w:noWrap/>
            <w:vAlign w:val="center"/>
            <w:hideMark/>
          </w:tcPr>
          <w:p w14:paraId="6F735E02"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116" w:type="dxa"/>
            <w:tcBorders>
              <w:top w:val="nil"/>
              <w:left w:val="nil"/>
              <w:bottom w:val="single" w:sz="4" w:space="0" w:color="auto"/>
              <w:right w:val="single" w:sz="4" w:space="0" w:color="auto"/>
            </w:tcBorders>
            <w:shd w:val="clear" w:color="auto" w:fill="C6EFCE"/>
            <w:noWrap/>
            <w:vAlign w:val="center"/>
            <w:hideMark/>
          </w:tcPr>
          <w:p w14:paraId="37EA5482" w14:textId="122FE249" w:rsidR="000D1388" w:rsidRPr="00481798" w:rsidRDefault="00E71057">
            <w:pPr>
              <w:spacing w:after="0"/>
              <w:rPr>
                <w:rFonts w:ascii="Times New Roman" w:eastAsia="Times New Roman" w:hAnsi="Times New Roman" w:cs="Times New Roman"/>
                <w:noProof/>
                <w:sz w:val="20"/>
                <w:szCs w:val="20"/>
              </w:rPr>
            </w:pPr>
            <w:r>
              <w:rPr>
                <w:rFonts w:ascii="Times New Roman" w:hAnsi="Times New Roman"/>
                <w:noProof/>
                <w:color w:val="006100"/>
                <w:sz w:val="20"/>
              </w:rPr>
              <w:t>Six installations de recyclage construites, agrandies ou adaptées pour des procédés de recyclage.</w:t>
            </w:r>
          </w:p>
        </w:tc>
      </w:tr>
      <w:tr w:rsidR="00F76C04" w:rsidRPr="00481798" w14:paraId="18987F84" w14:textId="77777777" w:rsidTr="0072504F">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5AB7000"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200</w:t>
            </w:r>
          </w:p>
        </w:tc>
        <w:tc>
          <w:tcPr>
            <w:tcW w:w="1560" w:type="dxa"/>
            <w:tcBorders>
              <w:top w:val="nil"/>
              <w:left w:val="nil"/>
              <w:bottom w:val="single" w:sz="4" w:space="0" w:color="auto"/>
              <w:right w:val="single" w:sz="4" w:space="0" w:color="auto"/>
            </w:tcBorders>
            <w:shd w:val="clear" w:color="auto" w:fill="C6EFCE"/>
            <w:noWrap/>
            <w:vAlign w:val="center"/>
          </w:tcPr>
          <w:p w14:paraId="2CF4A1D1" w14:textId="77777777" w:rsidR="000D1388" w:rsidRPr="00746A1A" w:rsidRDefault="00E71057">
            <w:pPr>
              <w:spacing w:after="0"/>
              <w:rPr>
                <w:rFonts w:ascii="Times New Roman" w:eastAsia="Calibri" w:hAnsi="Times New Roman" w:cs="Arial"/>
                <w:noProof/>
                <w:color w:val="006100"/>
                <w:sz w:val="20"/>
                <w:szCs w:val="20"/>
                <w:lang w:val="en-IE"/>
              </w:rPr>
            </w:pPr>
            <w:r w:rsidRPr="00746A1A">
              <w:rPr>
                <w:rFonts w:ascii="Times New Roman" w:hAnsi="Times New Roman"/>
                <w:noProof/>
                <w:color w:val="006100"/>
                <w:sz w:val="20"/>
                <w:lang w:val="en-IE"/>
              </w:rPr>
              <w:t>Belgium Builds Back Circular (I-5.15)</w:t>
            </w:r>
          </w:p>
        </w:tc>
        <w:tc>
          <w:tcPr>
            <w:tcW w:w="713" w:type="dxa"/>
            <w:tcBorders>
              <w:top w:val="nil"/>
              <w:left w:val="nil"/>
              <w:bottom w:val="single" w:sz="4" w:space="0" w:color="auto"/>
              <w:right w:val="single" w:sz="4" w:space="0" w:color="auto"/>
            </w:tcBorders>
            <w:shd w:val="clear" w:color="auto" w:fill="C6EFCE"/>
            <w:noWrap/>
            <w:vAlign w:val="center"/>
          </w:tcPr>
          <w:p w14:paraId="3FF0A565"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555" w:type="dxa"/>
            <w:tcBorders>
              <w:top w:val="nil"/>
              <w:left w:val="nil"/>
              <w:bottom w:val="single" w:sz="4" w:space="0" w:color="auto"/>
              <w:right w:val="single" w:sz="4" w:space="0" w:color="auto"/>
            </w:tcBorders>
            <w:shd w:val="clear" w:color="auto" w:fill="C6EFCE"/>
            <w:noWrap/>
            <w:vAlign w:val="center"/>
          </w:tcPr>
          <w:p w14:paraId="0E05DEB3"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Livraison des actions de sensibilisation à l’intention des PME et des projets circulaires</w:t>
            </w:r>
          </w:p>
        </w:tc>
        <w:tc>
          <w:tcPr>
            <w:tcW w:w="1422" w:type="dxa"/>
            <w:tcBorders>
              <w:top w:val="nil"/>
              <w:left w:val="nil"/>
              <w:bottom w:val="single" w:sz="4" w:space="0" w:color="auto"/>
              <w:right w:val="single" w:sz="4" w:space="0" w:color="auto"/>
            </w:tcBorders>
            <w:shd w:val="clear" w:color="auto" w:fill="C6EFCE"/>
            <w:noWrap/>
            <w:vAlign w:val="center"/>
          </w:tcPr>
          <w:p w14:paraId="123D25B0"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Rapport confirmant l’achèvement des projets circulaires</w:t>
            </w:r>
          </w:p>
        </w:tc>
        <w:tc>
          <w:tcPr>
            <w:tcW w:w="992" w:type="dxa"/>
            <w:tcBorders>
              <w:top w:val="nil"/>
              <w:left w:val="nil"/>
              <w:bottom w:val="single" w:sz="4" w:space="0" w:color="auto"/>
              <w:right w:val="single" w:sz="4" w:space="0" w:color="auto"/>
            </w:tcBorders>
            <w:shd w:val="clear" w:color="auto" w:fill="C6EFCE"/>
            <w:noWrap/>
            <w:vAlign w:val="center"/>
          </w:tcPr>
          <w:p w14:paraId="4EDB8E4E"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9" w:type="dxa"/>
            <w:tcBorders>
              <w:top w:val="nil"/>
              <w:left w:val="nil"/>
              <w:bottom w:val="single" w:sz="4" w:space="0" w:color="auto"/>
              <w:right w:val="single" w:sz="4" w:space="0" w:color="auto"/>
            </w:tcBorders>
            <w:shd w:val="clear" w:color="auto" w:fill="C6EFCE"/>
            <w:noWrap/>
            <w:vAlign w:val="center"/>
          </w:tcPr>
          <w:p w14:paraId="57EF171C"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3" w:type="dxa"/>
            <w:tcBorders>
              <w:top w:val="nil"/>
              <w:left w:val="nil"/>
              <w:bottom w:val="single" w:sz="4" w:space="0" w:color="auto"/>
              <w:right w:val="single" w:sz="4" w:space="0" w:color="auto"/>
            </w:tcBorders>
            <w:shd w:val="clear" w:color="auto" w:fill="C6EFCE"/>
            <w:noWrap/>
            <w:vAlign w:val="center"/>
          </w:tcPr>
          <w:p w14:paraId="0A565FAC"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2EA0FC70"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50" w:type="dxa"/>
            <w:tcBorders>
              <w:top w:val="nil"/>
              <w:left w:val="nil"/>
              <w:bottom w:val="single" w:sz="4" w:space="0" w:color="auto"/>
              <w:right w:val="single" w:sz="4" w:space="0" w:color="auto"/>
            </w:tcBorders>
            <w:shd w:val="clear" w:color="auto" w:fill="C6EFCE"/>
            <w:noWrap/>
            <w:vAlign w:val="center"/>
          </w:tcPr>
          <w:p w14:paraId="71011BF1" w14:textId="77777777" w:rsidR="000D1388" w:rsidRPr="0048179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4116" w:type="dxa"/>
            <w:tcBorders>
              <w:top w:val="nil"/>
              <w:left w:val="nil"/>
              <w:bottom w:val="single" w:sz="4" w:space="0" w:color="auto"/>
              <w:right w:val="single" w:sz="4" w:space="0" w:color="auto"/>
            </w:tcBorders>
            <w:shd w:val="clear" w:color="auto" w:fill="C6EFCE"/>
            <w:noWrap/>
            <w:vAlign w:val="center"/>
          </w:tcPr>
          <w:p w14:paraId="5299E2C9" w14:textId="77777777" w:rsidR="000D1388" w:rsidRPr="0048179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Livraison de: </w:t>
            </w:r>
          </w:p>
          <w:p w14:paraId="749E2B22" w14:textId="77777777" w:rsidR="000D1388" w:rsidRPr="00481798" w:rsidRDefault="00E71057" w:rsidP="00F70F65">
            <w:pPr>
              <w:numPr>
                <w:ilvl w:val="0"/>
                <w:numId w:val="58"/>
              </w:numPr>
              <w:spacing w:after="0"/>
              <w:contextualSpacing/>
              <w:rPr>
                <w:rFonts w:ascii="Times New Roman" w:eastAsia="Calibri" w:hAnsi="Times New Roman" w:cs="Arial"/>
                <w:noProof/>
                <w:color w:val="006100"/>
                <w:sz w:val="20"/>
                <w:szCs w:val="20"/>
              </w:rPr>
            </w:pPr>
            <w:r>
              <w:rPr>
                <w:rFonts w:ascii="Times New Roman" w:hAnsi="Times New Roman"/>
                <w:noProof/>
                <w:color w:val="006100"/>
                <w:sz w:val="20"/>
              </w:rPr>
              <w:t>une campagne de sensibilisation sur trois ans</w:t>
            </w:r>
          </w:p>
          <w:p w14:paraId="72E9A9B0" w14:textId="77777777" w:rsidR="000D1388" w:rsidRPr="00481798" w:rsidRDefault="00E71057" w:rsidP="00F70F65">
            <w:pPr>
              <w:numPr>
                <w:ilvl w:val="0"/>
                <w:numId w:val="58"/>
              </w:numPr>
              <w:spacing w:after="0"/>
              <w:contextualSpacing/>
              <w:rPr>
                <w:rFonts w:ascii="Times New Roman" w:eastAsia="Calibri" w:hAnsi="Times New Roman" w:cs="Arial"/>
                <w:noProof/>
                <w:color w:val="006100"/>
                <w:sz w:val="20"/>
                <w:szCs w:val="20"/>
              </w:rPr>
            </w:pPr>
            <w:r>
              <w:rPr>
                <w:rFonts w:ascii="Times New Roman" w:hAnsi="Times New Roman"/>
                <w:noProof/>
                <w:color w:val="006100"/>
                <w:sz w:val="20"/>
              </w:rPr>
              <w:t>un site web pour les PME, dont un outil d’autoévaluation</w:t>
            </w:r>
          </w:p>
          <w:p w14:paraId="091FCC56" w14:textId="77777777" w:rsidR="000D1388" w:rsidRPr="00746A1A" w:rsidRDefault="000D1388">
            <w:pPr>
              <w:spacing w:after="0"/>
              <w:rPr>
                <w:rFonts w:ascii="Times New Roman" w:eastAsia="Calibri" w:hAnsi="Times New Roman" w:cs="Arial"/>
                <w:noProof/>
                <w:color w:val="006100"/>
                <w:sz w:val="20"/>
                <w:szCs w:val="20"/>
                <w:lang w:val="fr-BE"/>
              </w:rPr>
            </w:pPr>
          </w:p>
          <w:p w14:paraId="23EEBB69" w14:textId="5208B96D" w:rsidR="000D1388" w:rsidRPr="00481798" w:rsidRDefault="35ACE7A7">
            <w:pPr>
              <w:spacing w:after="0"/>
              <w:rPr>
                <w:rFonts w:ascii="Times New Roman" w:eastAsia="Calibri" w:hAnsi="Times New Roman" w:cs="Arial"/>
                <w:noProof/>
                <w:color w:val="006100"/>
                <w:sz w:val="20"/>
                <w:szCs w:val="20"/>
              </w:rPr>
            </w:pPr>
            <w:r>
              <w:rPr>
                <w:rFonts w:ascii="Times New Roman" w:hAnsi="Times New Roman"/>
                <w:noProof/>
                <w:color w:val="006100"/>
                <w:sz w:val="20"/>
              </w:rPr>
              <w:t>Lettres confirmant la validation du rapport final délivrées pour neuf projets circulaires retenus à la suite d’un appel à propositions qui prévoyait des critères d’éligibilité garantissant la conformité des projets sélectionnés avec les orientations techniques sur l’application du principe consistant à «ne pas causer de préjudice important» (JO C 58 du 18.2.2021, p. 1) au moyen d’une liste d’activités exclues: i) les activités liées aux combustibles fossiles, y compris l’utilisation en aval; ii) les activités relevant du système d’échange de quotas d’émission de l’UE dont le niveau projeté d’émissions de gaz à effet de serre n’est pas inférieur aux valeurs des référentiels pertinentes; iii) les activités liées aux décharges de déchets, aux incinérateurs et aux installations de traitement mécanique biologique; et iv) les activités pour lesquelles l’élimination à long terme des déchets peut nuire à l’environnement.</w:t>
            </w:r>
          </w:p>
        </w:tc>
      </w:tr>
      <w:tr w:rsidR="00F76C04" w:rsidRPr="00481798" w14:paraId="7CF999EF" w14:textId="77777777" w:rsidTr="0072504F">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2D60B2A9"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201</w:t>
            </w:r>
          </w:p>
        </w:tc>
        <w:tc>
          <w:tcPr>
            <w:tcW w:w="1560" w:type="dxa"/>
            <w:tcBorders>
              <w:top w:val="nil"/>
              <w:left w:val="nil"/>
              <w:bottom w:val="single" w:sz="4" w:space="0" w:color="auto"/>
              <w:right w:val="single" w:sz="4" w:space="0" w:color="auto"/>
            </w:tcBorders>
            <w:shd w:val="clear" w:color="auto" w:fill="C6EFCE"/>
            <w:noWrap/>
            <w:vAlign w:val="center"/>
          </w:tcPr>
          <w:p w14:paraId="71B2D0B6"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de l’économie circulaire en Wallonie (I-5.16)</w:t>
            </w:r>
          </w:p>
        </w:tc>
        <w:tc>
          <w:tcPr>
            <w:tcW w:w="713" w:type="dxa"/>
            <w:tcBorders>
              <w:top w:val="nil"/>
              <w:left w:val="nil"/>
              <w:bottom w:val="single" w:sz="4" w:space="0" w:color="auto"/>
              <w:right w:val="single" w:sz="4" w:space="0" w:color="auto"/>
            </w:tcBorders>
            <w:shd w:val="clear" w:color="auto" w:fill="C6EFCE"/>
            <w:noWrap/>
            <w:vAlign w:val="center"/>
          </w:tcPr>
          <w:p w14:paraId="73FDD5B8"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5" w:type="dxa"/>
            <w:tcBorders>
              <w:top w:val="nil"/>
              <w:left w:val="nil"/>
              <w:bottom w:val="single" w:sz="4" w:space="0" w:color="auto"/>
              <w:right w:val="single" w:sz="4" w:space="0" w:color="auto"/>
            </w:tcBorders>
            <w:shd w:val="clear" w:color="auto" w:fill="C6EFCE"/>
            <w:noWrap/>
            <w:vAlign w:val="center"/>
          </w:tcPr>
          <w:p w14:paraId="6BFCDA91" w14:textId="77777777" w:rsidR="000D1388" w:rsidRPr="00481798" w:rsidRDefault="00E71057">
            <w:pPr>
              <w:spacing w:after="0"/>
              <w:rPr>
                <w:rFonts w:ascii="Times New Roman" w:eastAsia="Times New Roman" w:hAnsi="Times New Roman" w:cs="Times New Roman"/>
                <w:strike/>
                <w:noProof/>
                <w:color w:val="006100"/>
                <w:sz w:val="20"/>
                <w:szCs w:val="20"/>
              </w:rPr>
            </w:pPr>
            <w:r>
              <w:rPr>
                <w:rFonts w:ascii="Times New Roman" w:hAnsi="Times New Roman"/>
                <w:noProof/>
                <w:color w:val="006100"/>
                <w:sz w:val="20"/>
              </w:rPr>
              <w:t>Attribution de marchés publics pour des projets promouvant l’économie circulaire en Wallonie</w:t>
            </w:r>
          </w:p>
        </w:tc>
        <w:tc>
          <w:tcPr>
            <w:tcW w:w="1422" w:type="dxa"/>
            <w:tcBorders>
              <w:top w:val="nil"/>
              <w:left w:val="nil"/>
              <w:bottom w:val="single" w:sz="4" w:space="0" w:color="auto"/>
              <w:right w:val="single" w:sz="4" w:space="0" w:color="auto"/>
            </w:tcBorders>
            <w:shd w:val="clear" w:color="auto" w:fill="C6EFCE"/>
            <w:noWrap/>
            <w:vAlign w:val="center"/>
          </w:tcPr>
          <w:p w14:paraId="5E59EE13"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des marchés publics aux candidats retenus</w:t>
            </w:r>
          </w:p>
        </w:tc>
        <w:tc>
          <w:tcPr>
            <w:tcW w:w="992" w:type="dxa"/>
            <w:tcBorders>
              <w:top w:val="nil"/>
              <w:left w:val="nil"/>
              <w:bottom w:val="single" w:sz="4" w:space="0" w:color="auto"/>
              <w:right w:val="single" w:sz="4" w:space="0" w:color="auto"/>
            </w:tcBorders>
            <w:shd w:val="clear" w:color="auto" w:fill="C6EFCE"/>
            <w:noWrap/>
            <w:vAlign w:val="center"/>
          </w:tcPr>
          <w:p w14:paraId="3B0F436B"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29" w:type="dxa"/>
            <w:tcBorders>
              <w:top w:val="nil"/>
              <w:left w:val="nil"/>
              <w:bottom w:val="single" w:sz="4" w:space="0" w:color="auto"/>
              <w:right w:val="single" w:sz="4" w:space="0" w:color="auto"/>
            </w:tcBorders>
            <w:shd w:val="clear" w:color="auto" w:fill="C6EFCE"/>
            <w:noWrap/>
            <w:vAlign w:val="center"/>
          </w:tcPr>
          <w:p w14:paraId="539A24A8"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993" w:type="dxa"/>
            <w:tcBorders>
              <w:top w:val="nil"/>
              <w:left w:val="nil"/>
              <w:bottom w:val="single" w:sz="4" w:space="0" w:color="auto"/>
              <w:right w:val="single" w:sz="4" w:space="0" w:color="auto"/>
            </w:tcBorders>
            <w:shd w:val="clear" w:color="auto" w:fill="C6EFCE"/>
            <w:noWrap/>
            <w:vAlign w:val="center"/>
          </w:tcPr>
          <w:p w14:paraId="5B7D1121"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6806FF7E"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tcBorders>
              <w:top w:val="nil"/>
              <w:left w:val="nil"/>
              <w:bottom w:val="single" w:sz="4" w:space="0" w:color="auto"/>
              <w:right w:val="single" w:sz="4" w:space="0" w:color="auto"/>
            </w:tcBorders>
            <w:shd w:val="clear" w:color="auto" w:fill="C6EFCE"/>
            <w:noWrap/>
            <w:vAlign w:val="center"/>
          </w:tcPr>
          <w:p w14:paraId="6F84832D"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116" w:type="dxa"/>
            <w:tcBorders>
              <w:top w:val="nil"/>
              <w:left w:val="nil"/>
              <w:bottom w:val="single" w:sz="4" w:space="0" w:color="auto"/>
              <w:right w:val="single" w:sz="4" w:space="0" w:color="auto"/>
            </w:tcBorders>
            <w:shd w:val="clear" w:color="auto" w:fill="C6EFCE"/>
            <w:noWrap/>
            <w:vAlign w:val="center"/>
          </w:tcPr>
          <w:p w14:paraId="49A93F99"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Sélection des candidats retenus dans le cadre de l’appel à propositions pour des projets sur le recyclage et la réutilisation des métaux, des batteries et des minéraux. Le cahier des charges de l’appel à propositions devra inclure des critères d’éligibilité garantissant la conformité des projets sélectionnés avec les orientations techniques sur l’application du principe consistant à «ne pas causer de préjudice important» (JO C 58 du 18.2.2021, p. 1), au moyen du recours à une liste d’exclusion et de l’obligation de respecter la législation environnementale européenne et nationale pertinente.</w:t>
            </w:r>
          </w:p>
        </w:tc>
      </w:tr>
      <w:tr w:rsidR="00F76C04" w:rsidRPr="00481798" w14:paraId="5D9E170B" w14:textId="77777777" w:rsidTr="0072504F">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0E935F5C"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w:t>
            </w:r>
          </w:p>
        </w:tc>
        <w:tc>
          <w:tcPr>
            <w:tcW w:w="1560" w:type="dxa"/>
            <w:tcBorders>
              <w:top w:val="nil"/>
              <w:left w:val="nil"/>
              <w:bottom w:val="single" w:sz="4" w:space="0" w:color="auto"/>
              <w:right w:val="single" w:sz="4" w:space="0" w:color="auto"/>
            </w:tcBorders>
            <w:shd w:val="clear" w:color="auto" w:fill="C6EFCE"/>
            <w:noWrap/>
            <w:vAlign w:val="center"/>
          </w:tcPr>
          <w:p w14:paraId="46BE17E0"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de l’économie circulaire en Wallonie (I-5.16)</w:t>
            </w:r>
          </w:p>
        </w:tc>
        <w:tc>
          <w:tcPr>
            <w:tcW w:w="713" w:type="dxa"/>
            <w:tcBorders>
              <w:top w:val="nil"/>
              <w:left w:val="nil"/>
              <w:bottom w:val="single" w:sz="4" w:space="0" w:color="auto"/>
              <w:right w:val="single" w:sz="4" w:space="0" w:color="auto"/>
            </w:tcBorders>
            <w:shd w:val="clear" w:color="auto" w:fill="C6EFCE"/>
            <w:noWrap/>
            <w:vAlign w:val="center"/>
          </w:tcPr>
          <w:p w14:paraId="05A6C2D9"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5" w:type="dxa"/>
            <w:tcBorders>
              <w:top w:val="nil"/>
              <w:left w:val="nil"/>
              <w:bottom w:val="single" w:sz="4" w:space="0" w:color="auto"/>
              <w:right w:val="single" w:sz="4" w:space="0" w:color="auto"/>
            </w:tcBorders>
            <w:shd w:val="clear" w:color="auto" w:fill="C6EFCE"/>
            <w:noWrap/>
            <w:vAlign w:val="center"/>
          </w:tcPr>
          <w:p w14:paraId="698DA378" w14:textId="33BE5933" w:rsidR="000D1388" w:rsidRPr="00481798" w:rsidRDefault="00BB0488">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Lettres d’évaluation positives</w:t>
            </w:r>
          </w:p>
        </w:tc>
        <w:tc>
          <w:tcPr>
            <w:tcW w:w="1422" w:type="dxa"/>
            <w:tcBorders>
              <w:top w:val="nil"/>
              <w:left w:val="nil"/>
              <w:bottom w:val="single" w:sz="4" w:space="0" w:color="auto"/>
              <w:right w:val="single" w:sz="4" w:space="0" w:color="auto"/>
            </w:tcBorders>
            <w:shd w:val="clear" w:color="auto" w:fill="C6EFCE"/>
            <w:noWrap/>
            <w:vAlign w:val="center"/>
          </w:tcPr>
          <w:p w14:paraId="79C52BF9" w14:textId="77777777" w:rsidR="000D1388" w:rsidRPr="00481798" w:rsidRDefault="000D1388">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tcPr>
          <w:p w14:paraId="1C34F98D"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129" w:type="dxa"/>
            <w:tcBorders>
              <w:top w:val="nil"/>
              <w:left w:val="nil"/>
              <w:bottom w:val="single" w:sz="4" w:space="0" w:color="auto"/>
              <w:right w:val="single" w:sz="4" w:space="0" w:color="auto"/>
            </w:tcBorders>
            <w:shd w:val="clear" w:color="auto" w:fill="C6EFCE"/>
            <w:noWrap/>
            <w:vAlign w:val="center"/>
          </w:tcPr>
          <w:p w14:paraId="37566712"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3" w:type="dxa"/>
            <w:tcBorders>
              <w:top w:val="nil"/>
              <w:left w:val="nil"/>
              <w:bottom w:val="single" w:sz="4" w:space="0" w:color="auto"/>
              <w:right w:val="single" w:sz="4" w:space="0" w:color="auto"/>
            </w:tcBorders>
            <w:shd w:val="clear" w:color="auto" w:fill="C6EFCE"/>
            <w:noWrap/>
            <w:vAlign w:val="center"/>
          </w:tcPr>
          <w:p w14:paraId="08BCF702" w14:textId="77777777" w:rsidR="000D1388" w:rsidRPr="0048179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11</w:t>
            </w:r>
          </w:p>
        </w:tc>
        <w:tc>
          <w:tcPr>
            <w:tcW w:w="1134" w:type="dxa"/>
            <w:tcBorders>
              <w:top w:val="nil"/>
              <w:left w:val="nil"/>
              <w:bottom w:val="single" w:sz="4" w:space="0" w:color="auto"/>
              <w:right w:val="single" w:sz="4" w:space="0" w:color="auto"/>
            </w:tcBorders>
            <w:shd w:val="clear" w:color="auto" w:fill="C6EFCE"/>
            <w:noWrap/>
            <w:vAlign w:val="center"/>
          </w:tcPr>
          <w:p w14:paraId="545CB68E"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tcBorders>
              <w:top w:val="nil"/>
              <w:left w:val="nil"/>
              <w:bottom w:val="single" w:sz="4" w:space="0" w:color="auto"/>
              <w:right w:val="single" w:sz="4" w:space="0" w:color="auto"/>
            </w:tcBorders>
            <w:shd w:val="clear" w:color="auto" w:fill="C6EFCE"/>
            <w:noWrap/>
            <w:vAlign w:val="center"/>
          </w:tcPr>
          <w:p w14:paraId="03D45396" w14:textId="77777777" w:rsidR="000D1388" w:rsidRPr="0048179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116" w:type="dxa"/>
            <w:tcBorders>
              <w:top w:val="nil"/>
              <w:left w:val="nil"/>
              <w:bottom w:val="single" w:sz="4" w:space="0" w:color="auto"/>
              <w:right w:val="single" w:sz="4" w:space="0" w:color="auto"/>
            </w:tcBorders>
            <w:shd w:val="clear" w:color="auto" w:fill="C6EFCE"/>
            <w:noWrap/>
            <w:vAlign w:val="center"/>
          </w:tcPr>
          <w:p w14:paraId="0397477C" w14:textId="77777777" w:rsidR="000D1388" w:rsidRPr="00481798" w:rsidRDefault="00E71057">
            <w:pPr>
              <w:spacing w:after="0"/>
              <w:rPr>
                <w:rFonts w:ascii="Times New Roman" w:eastAsia="Times New Roman" w:hAnsi="Times New Roman" w:cs="Times New Roman"/>
                <w:noProof/>
                <w:sz w:val="20"/>
                <w:szCs w:val="20"/>
              </w:rPr>
            </w:pPr>
            <w:r>
              <w:rPr>
                <w:rFonts w:ascii="Times New Roman" w:hAnsi="Times New Roman"/>
                <w:noProof/>
                <w:color w:val="006100"/>
                <w:sz w:val="20"/>
              </w:rPr>
              <w:t>Lettres d’évaluation positives délivrées pour 11 projets concernant le recyclage, le renforcement ou la réutilisation des métaux, des batteries ou des minéraux.</w:t>
            </w:r>
          </w:p>
        </w:tc>
      </w:tr>
    </w:tbl>
    <w:p w14:paraId="14E6E747" w14:textId="77777777" w:rsidR="000D1388" w:rsidRPr="00746A1A" w:rsidRDefault="000D1388" w:rsidP="00E71057">
      <w:pPr>
        <w:spacing w:before="120" w:after="120" w:line="240" w:lineRule="auto"/>
        <w:ind w:left="850"/>
        <w:jc w:val="both"/>
        <w:rPr>
          <w:rFonts w:ascii="Times New Roman" w:eastAsia="Calibri" w:hAnsi="Times New Roman" w:cs="Times New Roman"/>
          <w:noProof/>
          <w:sz w:val="24"/>
          <w:lang w:val="fr-BE"/>
        </w:rPr>
      </w:pPr>
    </w:p>
    <w:p w14:paraId="79433FF1" w14:textId="77777777" w:rsidR="000D1388" w:rsidRPr="00746A1A" w:rsidRDefault="000D1388" w:rsidP="00E71057">
      <w:pPr>
        <w:spacing w:before="120" w:after="120" w:line="240" w:lineRule="auto"/>
        <w:ind w:left="709"/>
        <w:jc w:val="both"/>
        <w:rPr>
          <w:rFonts w:ascii="Times New Roman" w:eastAsia="Calibri" w:hAnsi="Times New Roman" w:cs="Times New Roman"/>
          <w:noProof/>
          <w:sz w:val="24"/>
          <w:lang w:val="fr-BE"/>
        </w:rPr>
        <w:sectPr w:rsidR="000D1388" w:rsidRPr="00746A1A" w:rsidSect="00E71057">
          <w:headerReference w:type="even" r:id="rId222"/>
          <w:headerReference w:type="default" r:id="rId223"/>
          <w:footerReference w:type="even" r:id="rId224"/>
          <w:footerReference w:type="default" r:id="rId225"/>
          <w:headerReference w:type="first" r:id="rId226"/>
          <w:footerReference w:type="first" r:id="rId227"/>
          <w:pgSz w:w="16839" w:h="11907" w:orient="landscape"/>
          <w:pgMar w:top="1134" w:right="1134" w:bottom="1134" w:left="1134" w:header="567" w:footer="567" w:gutter="0"/>
          <w:cols w:space="720"/>
          <w:docGrid w:linePitch="360"/>
        </w:sectPr>
      </w:pPr>
    </w:p>
    <w:p w14:paraId="23F906C0" w14:textId="77777777" w:rsidR="000D1388" w:rsidRPr="009D65D8" w:rsidRDefault="00E71057" w:rsidP="00E71057">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Q. COMPOSANTE 6.1: Revue des dépenses</w:t>
      </w:r>
    </w:p>
    <w:p w14:paraId="2384B384"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composante du plan pour la reprise et la résilience de la Belgique comporte des mesures centrées sur la revue des dépenses à différents niveaux du gouvernement. L’objectif global est d’améliorer la qualité et la composition des dépenses publiques.</w:t>
      </w:r>
    </w:p>
    <w:p w14:paraId="34E79889"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La composante contribue à répondre à la recommandation par pays nº 1 de 2019 appelant à améliorer la composition et l’efficacité des dépenses publiques.</w:t>
      </w:r>
    </w:p>
    <w:p w14:paraId="33D3817C" w14:textId="77777777" w:rsidR="000D1388" w:rsidRPr="009D65D8" w:rsidRDefault="00E71057" w:rsidP="00E71057">
      <w:pPr>
        <w:spacing w:before="120" w:after="120" w:line="240" w:lineRule="auto"/>
        <w:jc w:val="both"/>
        <w:rPr>
          <w:rFonts w:ascii="Times New Roman" w:eastAsia="Calibri" w:hAnsi="Times New Roman" w:cs="Times New Roman"/>
          <w:b/>
          <w:noProof/>
          <w:sz w:val="24"/>
          <w:szCs w:val="24"/>
          <w:u w:val="single"/>
        </w:rPr>
      </w:pPr>
      <w:r>
        <w:rPr>
          <w:rFonts w:ascii="Times New Roman" w:hAnsi="Times New Roman"/>
          <w:b/>
          <w:noProof/>
          <w:sz w:val="24"/>
          <w:u w:val="single"/>
        </w:rPr>
        <w:t xml:space="preserve">Q.1.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541B30FC"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u w:val="single"/>
        </w:rPr>
        <w:t>Réforme R-6: «Revue des dépenses»</w:t>
      </w:r>
    </w:p>
    <w:p w14:paraId="32332391"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L’objectif de la réforme est d’introduire des revues des dépenses à différents niveaux du gouvernement. Cette mesure est constituée des cinq sous-mesures suivantes:</w:t>
      </w:r>
    </w:p>
    <w:p w14:paraId="6EE83A5B" w14:textId="77777777" w:rsidR="000D1388" w:rsidRPr="009D65D8" w:rsidRDefault="00E71057" w:rsidP="00F70F65">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réforme R-6.01 «Revue des dépenses» de l’État fédéral,</w:t>
      </w:r>
    </w:p>
    <w:p w14:paraId="5E13963D" w14:textId="77777777" w:rsidR="000D1388" w:rsidRPr="009D65D8" w:rsidRDefault="00E71057" w:rsidP="00F70F65">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réforme R-6.02 «Revue des dépenses – La révision générale flamande et la norme de dépenses» de la Région flamande,</w:t>
      </w:r>
    </w:p>
    <w:p w14:paraId="307792A1" w14:textId="77777777" w:rsidR="000D1388" w:rsidRPr="009D65D8" w:rsidRDefault="00E71057" w:rsidP="00F70F65">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réforme R-6.03 «Revue des dépenses – Budget Base Zéro» de la Région wallonne,</w:t>
      </w:r>
    </w:p>
    <w:p w14:paraId="7640F69D" w14:textId="77777777" w:rsidR="000D1388" w:rsidRPr="009D65D8" w:rsidRDefault="00E71057" w:rsidP="00F70F65">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réforme R-6.04 «Revue des dépenses» de la Région de Bruxelles-Capitale,</w:t>
      </w:r>
    </w:p>
    <w:p w14:paraId="3541D3DB" w14:textId="77777777" w:rsidR="000D1388" w:rsidRPr="009D65D8" w:rsidRDefault="00E71057" w:rsidP="00F70F65">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réforme R-6.05 «Revue des dépenses» de la Communauté française.</w:t>
      </w:r>
    </w:p>
    <w:p w14:paraId="396944E9" w14:textId="77777777" w:rsidR="000D1388" w:rsidRPr="00746A1A" w:rsidRDefault="000D1388" w:rsidP="00E71057">
      <w:pPr>
        <w:spacing w:before="120" w:after="120" w:line="240" w:lineRule="auto"/>
        <w:jc w:val="both"/>
        <w:rPr>
          <w:rFonts w:ascii="Times New Roman" w:eastAsia="Calibri" w:hAnsi="Times New Roman" w:cs="Times New Roman"/>
          <w:noProof/>
          <w:color w:val="000000" w:themeColor="text1"/>
          <w:sz w:val="24"/>
          <w:szCs w:val="24"/>
          <w:u w:val="single"/>
          <w:lang w:val="fr-BE"/>
        </w:rPr>
      </w:pPr>
    </w:p>
    <w:p w14:paraId="16857C02"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R-6.01: «Revue des dépenses» de l’État fédéral</w:t>
      </w:r>
    </w:p>
    <w:p w14:paraId="19F318A5"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L’objectif de la réforme est de mettre en œuvre les revues des dépenses de manière structurelle au niveau du gouvernement fédéral et du secteur de la sécurité sociale. Dans le cadre du programme d’appui aux réformes structurelles de la Commission européenne, l’OCDE a apporté son soutien à l’élaboration des revues des dépenses. En 2019 et 2020, l’OCDE a fourni une assistance technique et formulé des recommandations pour la mise en œuvre des revues des dépenses dans le processus budgétaire de la Belgique. Conformément aux recommandations de l’OCDE, le gouvernement fédéral a décidé de lancer des exercices pilotes au début de 2021 dans trois grands domaines différents: dépenses fiscales, dépenses primaires et secteur de la sécurité sociale. Des groupes de travail ont été créés à cette fin et doivent remettre leur rapport en vue de la préparation du budget 2022. À ce moment, le gouvernement sélectionnera une nouvelle série de sujets pour l’année suivante. Au terme des exercices pilotes, le gouvernement décidera en 2022 de la manière dont les revues de dépenses deviendront récurrentes et feront partie intégrante de la procédure budgétaire.</w:t>
      </w:r>
    </w:p>
    <w:p w14:paraId="1E052319"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R-6.02: «Revue des dépenses – La révision générale flamande et la norme de dépenses» de la Région flamande</w:t>
      </w:r>
    </w:p>
    <w:p w14:paraId="46202F8D"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 xml:space="preserve">La mesure de réforme vise à réorienter les dépenses du gouvernement régional flamand et à les limiter lorsque c’est possible: d’une part, par le biais de l’élaboration d’une norme de dépenses et, d’autre part, par le biais de ce que l’on appelle la Vlaamse Brede Heroverweging (VBH), qui vise à ancrer structurellement l’examen des dépenses dans le processus budgétaire flamand au cours des prochaines années. La norme de dépenses dont l’adoption est prévue en 2022 définit la trajectoire de croissance maximale des dépenses publiques, en tenant compte de la croissance tendancielle des recettes et des objectifs budgétaires fixés. </w:t>
      </w:r>
      <w:r>
        <w:rPr>
          <w:rFonts w:ascii="Times New Roman" w:hAnsi="Times New Roman"/>
          <w:noProof/>
          <w:sz w:val="24"/>
        </w:rPr>
        <w:t xml:space="preserve">L’objectif du programme VBH </w:t>
      </w:r>
      <w:r>
        <w:rPr>
          <w:rFonts w:ascii="Times New Roman" w:hAnsi="Times New Roman"/>
          <w:noProof/>
          <w:color w:val="000000"/>
          <w:sz w:val="24"/>
        </w:rPr>
        <w:t xml:space="preserve">est d’effectuer une évaluation dans dix domaines politiques d’ici la mi-2021, qui servira de base pour déterminer la portée des revues des dépenses. </w:t>
      </w:r>
      <w:r>
        <w:rPr>
          <w:rFonts w:ascii="Times New Roman" w:hAnsi="Times New Roman"/>
          <w:noProof/>
          <w:color w:val="000000"/>
        </w:rPr>
        <w:t>La mesure vise à soutenir les revues des dépenses dans onze domaines d’action entre septembre 2021 et octobre 2025.</w:t>
      </w:r>
    </w:p>
    <w:p w14:paraId="5BCD1A46"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sz w:val="24"/>
          <w:u w:val="single"/>
        </w:rPr>
        <w:t>Réforme R-6.03: «Revue des dépenses – Budget Base Zéro» de la Région wallonne</w:t>
      </w:r>
    </w:p>
    <w:p w14:paraId="6675D867"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Cette mesure de réforme vise à procéder à des revues des dépenses afin d’optimiser les processus budgétaires et d’améliorer la gestion financière de la Région wallonne. Elle consiste à intégrer la revue des dépenses dans le processus budgétaire. </w:t>
      </w:r>
    </w:p>
    <w:p w14:paraId="51FBD39D"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sz w:val="24"/>
          <w:u w:val="single"/>
        </w:rPr>
        <w:t>Réforme R-6.04: «Revue des dépenses» de la Région de Bruxelles-Capitale</w:t>
      </w:r>
    </w:p>
    <w:p w14:paraId="44F212F7"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Cette mesure de réforme vise à procéder à des revues des dépenses afin d’optimiser les processus budgétaires et d’améliorer la gestion financière de la Région de Bruxelles-Capitale. Elle consiste à intégrer la revue des dépenses dans le processus budgétaire. </w:t>
      </w:r>
    </w:p>
    <w:p w14:paraId="15CE5AE9"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sz w:val="24"/>
          <w:u w:val="single"/>
        </w:rPr>
        <w:t>Réforme R-6.05: «Revue des dépenses» de la Communauté française</w:t>
      </w:r>
    </w:p>
    <w:p w14:paraId="28825392" w14:textId="77777777"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themeColor="text1"/>
          <w:sz w:val="24"/>
        </w:rPr>
        <w:t>Cette mesure de réforme vise à procéder à des revues des dépenses afin d’optimiser les processus budgétaires et d’améliorer la gestion financière de la Communauté française. Elle consiste à intégrer la revue des dépenses dans le processus budgétaire.</w:t>
      </w:r>
    </w:p>
    <w:p w14:paraId="2ACCC0FC" w14:textId="77777777" w:rsidR="000D1388" w:rsidRPr="00746A1A" w:rsidRDefault="000D1388" w:rsidP="00E71057">
      <w:pPr>
        <w:spacing w:before="120" w:after="120" w:line="240" w:lineRule="auto"/>
        <w:jc w:val="both"/>
        <w:rPr>
          <w:rFonts w:ascii="Times New Roman" w:eastAsia="Calibri" w:hAnsi="Times New Roman" w:cs="Times New Roman"/>
          <w:noProof/>
          <w:color w:val="000000"/>
          <w:sz w:val="24"/>
          <w:lang w:val="fr-BE"/>
        </w:rPr>
        <w:sectPr w:rsidR="000D1388" w:rsidRPr="00746A1A" w:rsidSect="00E71057">
          <w:headerReference w:type="even" r:id="rId228"/>
          <w:headerReference w:type="default" r:id="rId229"/>
          <w:footerReference w:type="even" r:id="rId230"/>
          <w:footerReference w:type="default" r:id="rId231"/>
          <w:headerReference w:type="first" r:id="rId232"/>
          <w:footerReference w:type="first" r:id="rId233"/>
          <w:pgSz w:w="11907" w:h="16839"/>
          <w:pgMar w:top="1134" w:right="1134" w:bottom="1134" w:left="1134" w:header="567" w:footer="567" w:gutter="0"/>
          <w:cols w:space="720"/>
          <w:docGrid w:linePitch="360"/>
        </w:sectPr>
      </w:pPr>
    </w:p>
    <w:p w14:paraId="0C145F30"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Q.2.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6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708"/>
        <w:gridCol w:w="1872"/>
        <w:gridCol w:w="1920"/>
        <w:gridCol w:w="1200"/>
        <w:gridCol w:w="1104"/>
        <w:gridCol w:w="992"/>
        <w:gridCol w:w="1134"/>
        <w:gridCol w:w="850"/>
        <w:gridCol w:w="3657"/>
      </w:tblGrid>
      <w:tr w:rsidR="005003AB" w:rsidRPr="00FE72EE" w14:paraId="273781D5" w14:textId="77777777" w:rsidTr="00F525E1">
        <w:trPr>
          <w:trHeight w:val="939"/>
          <w:tblHeader/>
          <w:jc w:val="center"/>
        </w:trPr>
        <w:tc>
          <w:tcPr>
            <w:tcW w:w="1129" w:type="dxa"/>
            <w:vMerge w:val="restart"/>
            <w:shd w:val="clear" w:color="auto" w:fill="BDD7EE"/>
            <w:vAlign w:val="center"/>
            <w:hideMark/>
          </w:tcPr>
          <w:p w14:paraId="04946D89"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4D3AE3FB"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708" w:type="dxa"/>
            <w:vMerge w:val="restart"/>
            <w:shd w:val="clear" w:color="auto" w:fill="BDD7EE"/>
            <w:vAlign w:val="center"/>
            <w:hideMark/>
          </w:tcPr>
          <w:p w14:paraId="6748EB66"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872" w:type="dxa"/>
            <w:vMerge w:val="restart"/>
            <w:shd w:val="clear" w:color="auto" w:fill="BDD7EE"/>
            <w:vAlign w:val="center"/>
            <w:hideMark/>
          </w:tcPr>
          <w:p w14:paraId="737B9260"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920" w:type="dxa"/>
            <w:vMerge w:val="restart"/>
            <w:shd w:val="clear" w:color="auto" w:fill="BDD7EE"/>
            <w:vAlign w:val="center"/>
            <w:hideMark/>
          </w:tcPr>
          <w:p w14:paraId="66AB6369"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qualitatifs </w:t>
            </w:r>
            <w:r>
              <w:rPr>
                <w:rFonts w:ascii="Times New Roman" w:hAnsi="Times New Roman"/>
                <w:noProof/>
                <w:sz w:val="20"/>
              </w:rPr>
              <w:br/>
            </w:r>
            <w:r>
              <w:rPr>
                <w:rFonts w:ascii="Times New Roman" w:hAnsi="Times New Roman"/>
                <w:b/>
                <w:noProof/>
                <w:sz w:val="20"/>
              </w:rPr>
              <w:t>(pour les jalons)</w:t>
            </w:r>
          </w:p>
        </w:tc>
        <w:tc>
          <w:tcPr>
            <w:tcW w:w="3296" w:type="dxa"/>
            <w:gridSpan w:val="3"/>
            <w:shd w:val="clear" w:color="auto" w:fill="BDD7EE"/>
            <w:vAlign w:val="center"/>
            <w:hideMark/>
          </w:tcPr>
          <w:p w14:paraId="58119AC5"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quantitatifs </w:t>
            </w:r>
            <w:r>
              <w:rPr>
                <w:rFonts w:ascii="Times New Roman" w:hAnsi="Times New Roman"/>
                <w:noProof/>
                <w:sz w:val="20"/>
              </w:rPr>
              <w:br/>
            </w:r>
            <w:r>
              <w:rPr>
                <w:rFonts w:ascii="Times New Roman" w:hAnsi="Times New Roman"/>
                <w:b/>
                <w:noProof/>
                <w:sz w:val="20"/>
              </w:rPr>
              <w:t>(pour les cibles)</w:t>
            </w:r>
          </w:p>
        </w:tc>
        <w:tc>
          <w:tcPr>
            <w:tcW w:w="1984" w:type="dxa"/>
            <w:gridSpan w:val="2"/>
            <w:shd w:val="clear" w:color="auto" w:fill="BDD7EE"/>
            <w:vAlign w:val="center"/>
            <w:hideMark/>
          </w:tcPr>
          <w:p w14:paraId="366B596C"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657" w:type="dxa"/>
            <w:vMerge w:val="restart"/>
            <w:shd w:val="clear" w:color="auto" w:fill="BDD7EE"/>
            <w:vAlign w:val="center"/>
            <w:hideMark/>
          </w:tcPr>
          <w:p w14:paraId="4F52669D"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F76C04" w:rsidRPr="00FE72EE" w14:paraId="131BBF4F" w14:textId="77777777" w:rsidTr="00F525E1">
        <w:trPr>
          <w:trHeight w:val="1027"/>
          <w:jc w:val="center"/>
        </w:trPr>
        <w:tc>
          <w:tcPr>
            <w:tcW w:w="1129" w:type="dxa"/>
            <w:vMerge/>
            <w:vAlign w:val="center"/>
            <w:hideMark/>
          </w:tcPr>
          <w:p w14:paraId="177C9855"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21ECA117"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708" w:type="dxa"/>
            <w:vMerge/>
            <w:vAlign w:val="center"/>
            <w:hideMark/>
          </w:tcPr>
          <w:p w14:paraId="0DECA947"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872" w:type="dxa"/>
            <w:vMerge/>
            <w:vAlign w:val="center"/>
            <w:hideMark/>
          </w:tcPr>
          <w:p w14:paraId="4B26CBEE"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920" w:type="dxa"/>
            <w:vMerge/>
            <w:vAlign w:val="center"/>
            <w:hideMark/>
          </w:tcPr>
          <w:p w14:paraId="2A6A39B6"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200" w:type="dxa"/>
            <w:shd w:val="clear" w:color="auto" w:fill="BDD7EE"/>
            <w:vAlign w:val="center"/>
            <w:hideMark/>
          </w:tcPr>
          <w:p w14:paraId="4834C333"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04" w:type="dxa"/>
            <w:shd w:val="clear" w:color="auto" w:fill="BDD7EE"/>
            <w:vAlign w:val="center"/>
            <w:hideMark/>
          </w:tcPr>
          <w:p w14:paraId="2B314B54"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2" w:type="dxa"/>
            <w:shd w:val="clear" w:color="auto" w:fill="BDD7EE"/>
            <w:vAlign w:val="center"/>
            <w:hideMark/>
          </w:tcPr>
          <w:p w14:paraId="1D239A27"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shd w:val="clear" w:color="auto" w:fill="BDD7EE"/>
            <w:vAlign w:val="center"/>
            <w:hideMark/>
          </w:tcPr>
          <w:p w14:paraId="79DD8C54"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0" w:type="dxa"/>
            <w:shd w:val="clear" w:color="auto" w:fill="BDD7EE"/>
            <w:vAlign w:val="center"/>
            <w:hideMark/>
          </w:tcPr>
          <w:p w14:paraId="435D5B44" w14:textId="77777777" w:rsidR="000D1388" w:rsidRPr="00FE72EE"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657" w:type="dxa"/>
            <w:vMerge/>
            <w:vAlign w:val="center"/>
            <w:hideMark/>
          </w:tcPr>
          <w:p w14:paraId="6F831724" w14:textId="77777777" w:rsidR="000D1388" w:rsidRPr="00FE72EE" w:rsidRDefault="000D1388">
            <w:pPr>
              <w:spacing w:after="0"/>
              <w:rPr>
                <w:rFonts w:ascii="Times New Roman" w:eastAsia="Times New Roman" w:hAnsi="Times New Roman" w:cs="Times New Roman"/>
                <w:b/>
                <w:bCs/>
                <w:noProof/>
                <w:sz w:val="20"/>
                <w:szCs w:val="20"/>
                <w:lang w:val="en-GB" w:eastAsia="en-GB"/>
              </w:rPr>
            </w:pPr>
          </w:p>
        </w:tc>
      </w:tr>
      <w:tr w:rsidR="00F76C04" w:rsidRPr="00FE72EE" w14:paraId="3217BFEF" w14:textId="77777777" w:rsidTr="00F525E1">
        <w:trPr>
          <w:trHeight w:val="313"/>
          <w:jc w:val="center"/>
        </w:trPr>
        <w:tc>
          <w:tcPr>
            <w:tcW w:w="1129" w:type="dxa"/>
            <w:shd w:val="clear" w:color="auto" w:fill="C6EFCE"/>
            <w:noWrap/>
            <w:vAlign w:val="center"/>
          </w:tcPr>
          <w:p w14:paraId="2A86FDA9"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205</w:t>
            </w:r>
          </w:p>
        </w:tc>
        <w:tc>
          <w:tcPr>
            <w:tcW w:w="1560" w:type="dxa"/>
            <w:shd w:val="clear" w:color="auto" w:fill="C6EFCE"/>
            <w:noWrap/>
            <w:vAlign w:val="center"/>
          </w:tcPr>
          <w:p w14:paraId="17BE0C92" w14:textId="77777777" w:rsidR="000D1388" w:rsidRPr="00FE72EE"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Revues des dépenses (R-6)</w:t>
            </w:r>
          </w:p>
        </w:tc>
        <w:tc>
          <w:tcPr>
            <w:tcW w:w="708" w:type="dxa"/>
            <w:shd w:val="clear" w:color="auto" w:fill="C6EFCE"/>
            <w:noWrap/>
            <w:vAlign w:val="center"/>
          </w:tcPr>
          <w:p w14:paraId="70F4FE26"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872" w:type="dxa"/>
            <w:shd w:val="clear" w:color="auto" w:fill="C6EFCE"/>
            <w:noWrap/>
            <w:vAlign w:val="center"/>
          </w:tcPr>
          <w:p w14:paraId="01C6F217"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 des dépenses pilote ou intégration dans le processus budgétaire (1)</w:t>
            </w:r>
          </w:p>
        </w:tc>
        <w:tc>
          <w:tcPr>
            <w:tcW w:w="1920" w:type="dxa"/>
            <w:shd w:val="clear" w:color="auto" w:fill="C6EFCE"/>
            <w:noWrap/>
            <w:vAlign w:val="center"/>
          </w:tcPr>
          <w:p w14:paraId="4842209D"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Pilotes achevés et rapports associés</w:t>
            </w:r>
          </w:p>
        </w:tc>
        <w:tc>
          <w:tcPr>
            <w:tcW w:w="1200" w:type="dxa"/>
            <w:shd w:val="clear" w:color="auto" w:fill="C6EFCE"/>
            <w:noWrap/>
            <w:vAlign w:val="center"/>
          </w:tcPr>
          <w:p w14:paraId="2BEA1316" w14:textId="77777777" w:rsidR="000D1388" w:rsidRPr="00746A1A" w:rsidRDefault="000D1388">
            <w:pPr>
              <w:spacing w:after="0"/>
              <w:rPr>
                <w:rFonts w:ascii="Times New Roman" w:eastAsia="Times New Roman" w:hAnsi="Times New Roman" w:cs="Times New Roman"/>
                <w:noProof/>
                <w:color w:val="006100"/>
                <w:sz w:val="20"/>
                <w:szCs w:val="20"/>
                <w:lang w:val="fr-BE" w:eastAsia="en-GB"/>
              </w:rPr>
            </w:pPr>
          </w:p>
        </w:tc>
        <w:tc>
          <w:tcPr>
            <w:tcW w:w="1104" w:type="dxa"/>
            <w:shd w:val="clear" w:color="auto" w:fill="C6EFCE"/>
            <w:noWrap/>
            <w:vAlign w:val="center"/>
          </w:tcPr>
          <w:p w14:paraId="4DEAFAA0"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4A9D987A" w14:textId="77777777" w:rsidR="000D1388" w:rsidRPr="00746A1A" w:rsidRDefault="000D1388">
            <w:pPr>
              <w:spacing w:after="0"/>
              <w:jc w:val="right"/>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AEF5DAF"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6BE9C27C"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657" w:type="dxa"/>
            <w:shd w:val="clear" w:color="auto" w:fill="C6EFCE"/>
            <w:noWrap/>
            <w:vAlign w:val="center"/>
          </w:tcPr>
          <w:p w14:paraId="01D70CEE"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Pour les autorités fédérales, de la Région wallonne et de la Région de Bruxelles-Capitale: achèvement de la revue des dépenses pilote et rédaction du rapport. Pour les autorités de la Région flamande: intégration de la revue de dépenses dans le processus budgétaire (1): Décisions du gouvernement déterminant la manière dont les revues des dépenses (ou une approche similaire) sont intégrées dans le processus budgétaire. Les décisions définissent la stratégie de revue des dépenses et un calendrier pour les revues futures, incluant éventuellement des objectifs quantifiés. Conformément aux orientations de l’Eurogroupe, faire en sorte, entre autres, que le champ d’application et la conception des revues soient clairs, et que le suivi, les rapports et l’évaluation soient transparents</w:t>
            </w:r>
          </w:p>
        </w:tc>
      </w:tr>
      <w:tr w:rsidR="00F76C04" w:rsidRPr="00FE72EE" w14:paraId="562E0C7C" w14:textId="77777777" w:rsidTr="00F525E1">
        <w:trPr>
          <w:trHeight w:val="313"/>
          <w:jc w:val="center"/>
        </w:trPr>
        <w:tc>
          <w:tcPr>
            <w:tcW w:w="1129" w:type="dxa"/>
            <w:shd w:val="clear" w:color="auto" w:fill="C6EFCE"/>
            <w:noWrap/>
            <w:vAlign w:val="center"/>
            <w:hideMark/>
          </w:tcPr>
          <w:p w14:paraId="542AF384"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206</w:t>
            </w:r>
          </w:p>
        </w:tc>
        <w:tc>
          <w:tcPr>
            <w:tcW w:w="1560" w:type="dxa"/>
            <w:shd w:val="clear" w:color="auto" w:fill="C6EFCE"/>
            <w:noWrap/>
            <w:vAlign w:val="center"/>
          </w:tcPr>
          <w:p w14:paraId="0ECCE892"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Revues des dépenses (R-6)</w:t>
            </w:r>
          </w:p>
        </w:tc>
        <w:tc>
          <w:tcPr>
            <w:tcW w:w="708" w:type="dxa"/>
            <w:shd w:val="clear" w:color="auto" w:fill="C6EFCE"/>
            <w:noWrap/>
            <w:vAlign w:val="center"/>
          </w:tcPr>
          <w:p w14:paraId="6602E5CE"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872" w:type="dxa"/>
            <w:shd w:val="clear" w:color="auto" w:fill="C6EFCE"/>
            <w:noWrap/>
            <w:vAlign w:val="center"/>
          </w:tcPr>
          <w:p w14:paraId="1836F597"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Intégration de la revue des dépenses dans le processus budgétaire (1) ou achèvement du pilote</w:t>
            </w:r>
          </w:p>
        </w:tc>
        <w:tc>
          <w:tcPr>
            <w:tcW w:w="1920" w:type="dxa"/>
            <w:shd w:val="clear" w:color="auto" w:fill="C6EFCE"/>
            <w:noWrap/>
            <w:vAlign w:val="center"/>
          </w:tcPr>
          <w:p w14:paraId="0F786EF6"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Décision gouvernementale</w:t>
            </w:r>
          </w:p>
        </w:tc>
        <w:tc>
          <w:tcPr>
            <w:tcW w:w="1200" w:type="dxa"/>
            <w:shd w:val="clear" w:color="auto" w:fill="C6EFCE"/>
            <w:noWrap/>
            <w:vAlign w:val="center"/>
          </w:tcPr>
          <w:p w14:paraId="1A458353" w14:textId="77777777" w:rsidR="000D1388" w:rsidRPr="00FE72EE" w:rsidRDefault="000D1388">
            <w:pPr>
              <w:spacing w:after="0"/>
              <w:rPr>
                <w:rFonts w:ascii="Times New Roman" w:eastAsia="Times New Roman" w:hAnsi="Times New Roman" w:cs="Times New Roman"/>
                <w:noProof/>
                <w:color w:val="006100"/>
                <w:sz w:val="20"/>
                <w:szCs w:val="20"/>
                <w:lang w:val="en-GB" w:eastAsia="en-GB"/>
              </w:rPr>
            </w:pPr>
          </w:p>
        </w:tc>
        <w:tc>
          <w:tcPr>
            <w:tcW w:w="1104" w:type="dxa"/>
            <w:shd w:val="clear" w:color="auto" w:fill="C6EFCE"/>
            <w:noWrap/>
            <w:vAlign w:val="center"/>
          </w:tcPr>
          <w:p w14:paraId="77CBC437" w14:textId="77777777" w:rsidR="000D1388" w:rsidRPr="00FE72EE"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5F33739B" w14:textId="77777777" w:rsidR="000D1388" w:rsidRPr="00FE72EE" w:rsidRDefault="000D1388">
            <w:pPr>
              <w:spacing w:after="0"/>
              <w:jc w:val="right"/>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53E6E470"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5BD68270"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657" w:type="dxa"/>
            <w:shd w:val="clear" w:color="auto" w:fill="C6EFCE"/>
            <w:noWrap/>
            <w:vAlign w:val="center"/>
          </w:tcPr>
          <w:p w14:paraId="4F56F627"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Pour les autorités fédérales, de la Région wallonne et de la Région de Bruxelles-Capitale: intégration de la revue de dépenses dans le processus budgétaire (1): Décisions du gouvernement déterminant la manière dont les revues des dépenses (ou une approche similaire) sont intégrées dans le processus budgétaire. Les décisions définissent la stratégie de revue des dépenses et un calendrier pour les revues futures, incluant éventuellement des objectifs quantifiés. Conformément aux orientations de l’Eurogroupe, faire en sorte, entre autres, que le champ d’application et la conception des revues soient clairs, et que le suivi, les rapports et l’évaluation soient transparents. Pour les autorités de la Communauté française: Conclusion de la revue des dépenses pilote et rédaction du rapport</w:t>
            </w:r>
          </w:p>
        </w:tc>
      </w:tr>
      <w:tr w:rsidR="00F76C04" w:rsidRPr="00FE72EE" w14:paraId="04F137EE" w14:textId="77777777" w:rsidTr="00F525E1">
        <w:trPr>
          <w:trHeight w:val="1591"/>
          <w:jc w:val="center"/>
        </w:trPr>
        <w:tc>
          <w:tcPr>
            <w:tcW w:w="1129" w:type="dxa"/>
            <w:shd w:val="clear" w:color="auto" w:fill="C6EFCE"/>
            <w:noWrap/>
            <w:vAlign w:val="center"/>
            <w:hideMark/>
          </w:tcPr>
          <w:p w14:paraId="3FA1D47A"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207</w:t>
            </w:r>
          </w:p>
        </w:tc>
        <w:tc>
          <w:tcPr>
            <w:tcW w:w="1560" w:type="dxa"/>
            <w:shd w:val="clear" w:color="auto" w:fill="C6EFCE"/>
            <w:noWrap/>
            <w:vAlign w:val="center"/>
          </w:tcPr>
          <w:p w14:paraId="3E612795"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Revues des dépenses (R-6)</w:t>
            </w:r>
          </w:p>
        </w:tc>
        <w:tc>
          <w:tcPr>
            <w:tcW w:w="708" w:type="dxa"/>
            <w:shd w:val="clear" w:color="auto" w:fill="C6EFCE"/>
            <w:noWrap/>
            <w:vAlign w:val="center"/>
          </w:tcPr>
          <w:p w14:paraId="3038621C"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872" w:type="dxa"/>
            <w:shd w:val="clear" w:color="auto" w:fill="C6EFCE"/>
            <w:noWrap/>
            <w:vAlign w:val="center"/>
          </w:tcPr>
          <w:p w14:paraId="7E18A3FC"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intégration de la revue de dépenses dans le processus budgétaire (1) ou (2)/évaluation ex post de la revue des dépenses</w:t>
            </w:r>
          </w:p>
        </w:tc>
        <w:tc>
          <w:tcPr>
            <w:tcW w:w="1920" w:type="dxa"/>
            <w:shd w:val="clear" w:color="auto" w:fill="C6EFCE"/>
            <w:noWrap/>
            <w:vAlign w:val="center"/>
          </w:tcPr>
          <w:p w14:paraId="1257F642"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Décision gouvernementale</w:t>
            </w:r>
          </w:p>
        </w:tc>
        <w:tc>
          <w:tcPr>
            <w:tcW w:w="1200" w:type="dxa"/>
            <w:shd w:val="clear" w:color="auto" w:fill="C6EFCE"/>
            <w:noWrap/>
            <w:vAlign w:val="center"/>
          </w:tcPr>
          <w:p w14:paraId="538EF141"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1104" w:type="dxa"/>
            <w:shd w:val="clear" w:color="auto" w:fill="C6EFCE"/>
            <w:noWrap/>
            <w:vAlign w:val="center"/>
          </w:tcPr>
          <w:p w14:paraId="2DCA3C0E"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992" w:type="dxa"/>
            <w:shd w:val="clear" w:color="auto" w:fill="C6EFCE"/>
            <w:noWrap/>
            <w:vAlign w:val="center"/>
          </w:tcPr>
          <w:p w14:paraId="426EBF13"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1134" w:type="dxa"/>
            <w:shd w:val="clear" w:color="auto" w:fill="C6EFCE"/>
            <w:noWrap/>
            <w:vAlign w:val="center"/>
          </w:tcPr>
          <w:p w14:paraId="2DA51B83"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321D41BD"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657" w:type="dxa"/>
            <w:shd w:val="clear" w:color="auto" w:fill="C6EFCE"/>
            <w:noWrap/>
            <w:vAlign w:val="center"/>
          </w:tcPr>
          <w:p w14:paraId="276FBEA3" w14:textId="77777777" w:rsidR="000D1388" w:rsidRPr="00FE72EE"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Pour les autorités de la Communauté française: intégration de la revue de dépenses dans le processus budgétaire (1): Décisions du gouvernement déterminant la manière dont les revues des dépenses (ou une approche similaire) sont intégrées dans le processus budgétaire. Les décisions définissent la stratégie de revue des dépenses et un calendrier pour les revues futures, incluant éventuellement des objectifs quantifiés. Conformément aux orientations de l’Eurogroupe, faire en sorte, entre autres, que le champ d’application et la conception des revues soient clairs, et que le suivi, les rapports et l’évaluation soient transparents. Pour les autorités fédérales, de la Région flamande, de la Région wallonne et de la Région de Bruxelles-Capitale: intégration de la revue de dépenses dans le processus budgétaire (2): Intégration systématique des résultats des revues de dépenses dans la planification budgétaire annuelle et/ou pluriannuelle dès la préparation de la loi budgétaire pour 2024. Cela comprend, entre autres, la quantification ex post des résultats, y compris les économies, associés au programme de revue des dépenses Pour les autorités fédérales et les autorités de la Région flamande: Évaluation ex post de la revue des dépenses: Publication du rapport d’évaluation des revues des dépenses</w:t>
            </w:r>
          </w:p>
        </w:tc>
      </w:tr>
      <w:tr w:rsidR="00F76C04" w:rsidRPr="00FE72EE" w14:paraId="71DC555D" w14:textId="77777777" w:rsidTr="00F525E1">
        <w:trPr>
          <w:trHeight w:val="313"/>
          <w:jc w:val="center"/>
        </w:trPr>
        <w:tc>
          <w:tcPr>
            <w:tcW w:w="1129" w:type="dxa"/>
            <w:shd w:val="clear" w:color="auto" w:fill="C6EFCE"/>
            <w:noWrap/>
            <w:vAlign w:val="center"/>
            <w:hideMark/>
          </w:tcPr>
          <w:p w14:paraId="34FB483B"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208</w:t>
            </w:r>
          </w:p>
        </w:tc>
        <w:tc>
          <w:tcPr>
            <w:tcW w:w="1560" w:type="dxa"/>
            <w:shd w:val="clear" w:color="auto" w:fill="C6EFCE"/>
            <w:noWrap/>
            <w:vAlign w:val="center"/>
          </w:tcPr>
          <w:p w14:paraId="270EBDB3"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Revues des dépenses (R-6)</w:t>
            </w:r>
          </w:p>
        </w:tc>
        <w:tc>
          <w:tcPr>
            <w:tcW w:w="708" w:type="dxa"/>
            <w:shd w:val="clear" w:color="auto" w:fill="C6EFCE"/>
            <w:noWrap/>
            <w:vAlign w:val="center"/>
          </w:tcPr>
          <w:p w14:paraId="7B9053B1"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872" w:type="dxa"/>
            <w:shd w:val="clear" w:color="auto" w:fill="C6EFCE"/>
            <w:noWrap/>
            <w:vAlign w:val="center"/>
          </w:tcPr>
          <w:p w14:paraId="6AE79B12"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intégration de la revue de dépenses dans le processus budgétaire/évaluation ex post de la revue des dépenses:</w:t>
            </w:r>
          </w:p>
        </w:tc>
        <w:tc>
          <w:tcPr>
            <w:tcW w:w="1920" w:type="dxa"/>
            <w:shd w:val="clear" w:color="auto" w:fill="C6EFCE"/>
            <w:noWrap/>
            <w:vAlign w:val="center"/>
          </w:tcPr>
          <w:p w14:paraId="5234DF6C"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 d’évaluation</w:t>
            </w:r>
          </w:p>
        </w:tc>
        <w:tc>
          <w:tcPr>
            <w:tcW w:w="1200" w:type="dxa"/>
            <w:shd w:val="clear" w:color="auto" w:fill="C6EFCE"/>
            <w:noWrap/>
            <w:vAlign w:val="center"/>
          </w:tcPr>
          <w:p w14:paraId="516C2300"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1104" w:type="dxa"/>
            <w:shd w:val="clear" w:color="auto" w:fill="C6EFCE"/>
            <w:noWrap/>
            <w:vAlign w:val="center"/>
          </w:tcPr>
          <w:p w14:paraId="3C879F00"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992" w:type="dxa"/>
            <w:shd w:val="clear" w:color="auto" w:fill="C6EFCE"/>
            <w:noWrap/>
            <w:vAlign w:val="center"/>
          </w:tcPr>
          <w:p w14:paraId="39EBA156"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1134" w:type="dxa"/>
            <w:shd w:val="clear" w:color="auto" w:fill="C6EFCE"/>
            <w:noWrap/>
            <w:vAlign w:val="center"/>
          </w:tcPr>
          <w:p w14:paraId="1F992E05"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52873E1F" w14:textId="77777777" w:rsidR="000D1388" w:rsidRPr="00FE72EE"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657" w:type="dxa"/>
            <w:shd w:val="clear" w:color="auto" w:fill="C6EFCE"/>
            <w:noWrap/>
            <w:vAlign w:val="center"/>
          </w:tcPr>
          <w:p w14:paraId="29670FF8" w14:textId="77777777" w:rsidR="000D1388" w:rsidRPr="00FE72EE"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Pour les autorités de la Communauté française: intégration de la revue de dépenses dans le processus budgétaire: Intégration systématique des résultats des revues de dépenses dans la planification budgétaire annuelle et/ou pluriannuelle dès la préparation de la loi budgétaire pour 2025. Cela comprend, entre autres, la quantification ex post des résultats, y compris les économies, associés au programme de revue des dépenses Pour les autorités de la Région wallonne, de la Région de Bruxelles-Capitale et de la Communauté française: Évaluation ex post de la revue des dépenses: Publication du rapport d’évaluation des revues des dépenses</w:t>
            </w:r>
          </w:p>
        </w:tc>
      </w:tr>
    </w:tbl>
    <w:p w14:paraId="2CC3BA70" w14:textId="77777777" w:rsidR="000D1388" w:rsidRPr="00746A1A" w:rsidRDefault="000D1388" w:rsidP="00E71057">
      <w:pPr>
        <w:spacing w:before="120" w:after="120" w:line="240" w:lineRule="auto"/>
        <w:ind w:left="709"/>
        <w:jc w:val="both"/>
        <w:rPr>
          <w:rFonts w:ascii="Times New Roman" w:eastAsia="Calibri" w:hAnsi="Times New Roman" w:cs="Times New Roman"/>
          <w:noProof/>
          <w:sz w:val="24"/>
          <w:lang w:val="fr-BE"/>
        </w:rPr>
        <w:sectPr w:rsidR="000D1388" w:rsidRPr="00746A1A" w:rsidSect="00E71057">
          <w:headerReference w:type="even" r:id="rId234"/>
          <w:headerReference w:type="default" r:id="rId235"/>
          <w:footerReference w:type="even" r:id="rId236"/>
          <w:footerReference w:type="default" r:id="rId237"/>
          <w:headerReference w:type="first" r:id="rId238"/>
          <w:footerReference w:type="first" r:id="rId239"/>
          <w:pgSz w:w="16839" w:h="11907" w:orient="landscape"/>
          <w:pgMar w:top="1134" w:right="1134" w:bottom="1134" w:left="1134" w:header="567" w:footer="567" w:gutter="0"/>
          <w:cols w:space="720"/>
          <w:docGrid w:linePitch="360"/>
        </w:sectPr>
      </w:pPr>
    </w:p>
    <w:p w14:paraId="6BD412A8" w14:textId="77777777" w:rsidR="000D1388" w:rsidRPr="009D65D8" w:rsidRDefault="00E71057" w:rsidP="00E71057">
      <w:pPr>
        <w:spacing w:before="120" w:after="120" w:line="240" w:lineRule="auto"/>
        <w:rPr>
          <w:rFonts w:ascii="Times New Roman" w:eastAsia="Yu Gothic" w:hAnsi="Times New Roman" w:cs="Times New Roman"/>
          <w:b/>
          <w:caps/>
          <w:noProof/>
          <w:sz w:val="24"/>
          <w:szCs w:val="24"/>
        </w:rPr>
      </w:pPr>
      <w:r>
        <w:rPr>
          <w:rFonts w:ascii="Times New Roman" w:hAnsi="Times New Roman"/>
          <w:b/>
          <w:caps/>
          <w:noProof/>
          <w:sz w:val="24"/>
        </w:rPr>
        <w:t>Chapitre REPowerEU</w:t>
      </w:r>
    </w:p>
    <w:p w14:paraId="41DCAB2C"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 xml:space="preserve">R. </w:t>
      </w:r>
      <w:r>
        <w:rPr>
          <w:rFonts w:ascii="Times New Roman" w:hAnsi="Times New Roman"/>
          <w:b/>
          <w:caps/>
          <w:noProof/>
          <w:sz w:val="24"/>
        </w:rPr>
        <w:t>COMPOSANTE</w:t>
      </w:r>
      <w:r>
        <w:rPr>
          <w:rFonts w:ascii="Times New Roman" w:hAnsi="Times New Roman"/>
          <w:b/>
          <w:smallCaps/>
          <w:noProof/>
          <w:sz w:val="24"/>
        </w:rPr>
        <w:t> 7.1: Rénovation de bâtiments</w:t>
      </w:r>
    </w:p>
    <w:p w14:paraId="499F7F71"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Le chapitre REPowerEU constitue la réponse au défi consistant à réduire la dépendance à l’égard des combustibles fossiles et à renforcer l’efficacité énergétique. L’objectif de cette composante du chapitre REPowerEU du plan pour la reprise et la résilience de la Belgique est de rénover le parc immobilier existant et de le rendre plus économe en énergie et en ressources. Cette composante est axée sur la rénovation des bâtiments privés et publics, y compris les infrastructures sociales et les logements résidentiels, et plus généralement les bâtiments les moins performants sur le plan de l’efficacité énergétique. Dès lors, cette composante contribue à la réduction des émissions de gaz à effet de serre et à la croissance dans le domaine de la construction durable, ainsi qu’à la résilience sociale grâce à la réduction des factures d’énergie. </w:t>
      </w:r>
    </w:p>
    <w:p w14:paraId="06E8DE55"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Elle contribue à répondre à la recommandation par pays nº 4 de 2022 et à la recommandation par pays nº 4 de 2023, appelant la Belgique à </w:t>
      </w:r>
      <w:r>
        <w:rPr>
          <w:rFonts w:ascii="Times New Roman" w:hAnsi="Times New Roman"/>
          <w:i/>
          <w:noProof/>
          <w:sz w:val="24"/>
        </w:rPr>
        <w:t>réduire la dépendance globale à l’égard des combustibles fossiles en intensifiant les améliorations de l’efficacité énergétique et en réduisant l’utilisation de combustibles fossiles dans les bâtiments</w:t>
      </w:r>
      <w:r>
        <w:rPr>
          <w:rFonts w:ascii="Times New Roman" w:hAnsi="Times New Roman"/>
          <w:noProof/>
          <w:sz w:val="24"/>
        </w:rPr>
        <w:t>.</w:t>
      </w:r>
    </w:p>
    <w:p w14:paraId="2EA612E9"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343038AE" w14:textId="77777777" w:rsidR="000D1388" w:rsidRPr="009D65D8" w:rsidRDefault="00E71057" w:rsidP="00E71057">
      <w:pPr>
        <w:spacing w:before="120" w:after="120" w:line="240" w:lineRule="auto"/>
        <w:jc w:val="both"/>
        <w:rPr>
          <w:rFonts w:ascii="Times New Roman" w:eastAsia="Calibri" w:hAnsi="Times New Roman" w:cs="Times New Roman"/>
          <w:b/>
          <w:noProof/>
          <w:sz w:val="24"/>
          <w:szCs w:val="24"/>
          <w:u w:val="single"/>
        </w:rPr>
      </w:pPr>
      <w:r>
        <w:rPr>
          <w:rFonts w:ascii="Times New Roman" w:hAnsi="Times New Roman"/>
          <w:b/>
          <w:noProof/>
          <w:sz w:val="24"/>
          <w:u w:val="single"/>
        </w:rPr>
        <w:t xml:space="preserve">R.1.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38FB425A"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Réforme R-7.01: «Révision du Code de l’air, du climat et de la maîtrise de l’énergie» de la Région de Bruxelles-Capitale</w:t>
      </w:r>
    </w:p>
    <w:p w14:paraId="1A2D5A0E"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de réforme vise à réviser les règles relatives à la performance énergétique des bâtiments de la Région de Bruxelles-Capitale. La mesure consiste en la publication au Moniteur belge de l’acte juridique modifiant le Code bruxellois de l’air, du climat et de la maîtrise de l’énergie (CoBrACE), introduisant de nouvelles obligations et fixant un calendrier pour la mise en œuvre des obligations en matière de rénovation et de construction de bâtiments. Compte tenu de l’évolution significative des coûts pour les ménages et de la nécessité de garantir une mise en œuvre dans des délais raisonnables, la présente mesure relevant de la FRR concerne la publication au Moniteur belge et ne couvre pas l’entrée en vigueur ou la mise en œuvre de ces dispositions. </w:t>
      </w:r>
    </w:p>
    <w:p w14:paraId="58E47904" w14:textId="2870C1C3" w:rsidR="000D1388" w:rsidRPr="009D65D8" w:rsidRDefault="00E71057" w:rsidP="00E71057">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I-7.01: «Régime amélioré de subventions énergétiques» (Région de Bruxelles-Capitale)</w:t>
      </w:r>
    </w:p>
    <w:p w14:paraId="5003758E"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d’investissement vise à améliorer le régime de subventions énergétiques de la Région de Bruxelles-Capitale. Elle consiste dans le financement de subventions au titre du programme de subventions à la rénovation RENOLUTION pour les rénovations ayant vocation à améliorer l’efficacité énergétique. </w:t>
      </w:r>
    </w:p>
    <w:p w14:paraId="2FC1A007"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Investissement I-7.02: «Mesure de renforcement: Régime amélioré de subventions énergétiques» de la Région flamande</w:t>
      </w:r>
    </w:p>
    <w:p w14:paraId="32250569"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Cet investissement renforce la réforme R-1.01, sous-investissement i) «Régime amélioré de subventions énergétiques» de la Région flamande, dans le cadre de la composante 1.1 «Rénovation». Le renforcement de cette mesure financera l’augmentation de la subvention par bénéficiaire final pour les travaux de rénovation énergétique de logements privés. La mise en œuvre de la mesure devrait être achevée au plus tard le 30 juin 2026.</w:t>
      </w:r>
    </w:p>
    <w:p w14:paraId="514D50F4" w14:textId="77777777" w:rsidR="000D1388" w:rsidRPr="00DD67A6" w:rsidRDefault="00E71057" w:rsidP="00E71057">
      <w:pPr>
        <w:spacing w:before="120" w:after="120" w:line="240" w:lineRule="auto"/>
        <w:rPr>
          <w:rFonts w:ascii="Times New Roman" w:eastAsia="Times New Roman" w:hAnsi="Times New Roman" w:cs="Times New Roman"/>
          <w:noProof/>
          <w:color w:val="000000"/>
          <w:sz w:val="24"/>
          <w:szCs w:val="24"/>
        </w:rPr>
      </w:pPr>
      <w:r>
        <w:rPr>
          <w:rFonts w:ascii="Times New Roman" w:hAnsi="Times New Roman"/>
          <w:noProof/>
          <w:sz w:val="24"/>
          <w:u w:val="single"/>
        </w:rPr>
        <w:t>Investissement I-7.03: «Primes à l’énergie pour les logements privés» de la Communauté germanophone</w:t>
      </w:r>
    </w:p>
    <w:p w14:paraId="1E27893E"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d’investissement vise à améliorer l’efficacité énergétique des logements privés de la Communauté germanophone. Elle consiste à octroyer des primes à l’énergie pour les rénovations de logements privés. </w:t>
      </w:r>
    </w:p>
    <w:p w14:paraId="6DC8D8E0" w14:textId="71BCD16F" w:rsidR="000D1388" w:rsidRPr="00DD67A6" w:rsidRDefault="00E71057" w:rsidP="00E71057">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I-7.04: «Mesures d’efficacité énergétique dans les logements sociaux» (Région wallonne)</w:t>
      </w:r>
    </w:p>
    <w:p w14:paraId="4D3502E9" w14:textId="5CEF2CC9" w:rsidR="000D1388" w:rsidRPr="009D65D8" w:rsidRDefault="00E71057" w:rsidP="00E71057">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 investissement vise à mettre en œuvre des mesures d’efficacité énergétique dans les logements sociaux en Région wallonne. Il consiste à équiper les logements sociaux de panneaux solaires et de pompes à chaleur. </w:t>
      </w:r>
    </w:p>
    <w:p w14:paraId="05BD701A" w14:textId="77777777" w:rsidR="000D1388" w:rsidRPr="00DD67A6" w:rsidRDefault="00E71057" w:rsidP="00E71057">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I-7.05: «Mesures pour la neutralité énergétique et climatique des bâtiments publics» de l’État fédéral</w:t>
      </w:r>
    </w:p>
    <w:p w14:paraId="4F82458C"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vise à installer des éléments énergétiques et climatiques dans les bâtiments publics de l’État fédéral. Elle consiste à équiper les bâtiments publics fédéraux de bornes de recharge, de panneaux solaires et de lampes LED. </w:t>
      </w:r>
    </w:p>
    <w:p w14:paraId="53B2FD3A" w14:textId="3B0D4004" w:rsidR="000D1388" w:rsidRPr="00875D4B" w:rsidRDefault="00E71057" w:rsidP="00E71057">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 «Mesures énergétiques pour les bâtiments» de la Région flamande</w:t>
      </w:r>
    </w:p>
    <w:p w14:paraId="14A96D18" w14:textId="77777777" w:rsidR="000D1388" w:rsidRPr="00875D4B" w:rsidRDefault="00E71057" w:rsidP="00E71057">
      <w:pPr>
        <w:spacing w:before="120" w:after="0" w:line="240" w:lineRule="auto"/>
        <w:jc w:val="both"/>
        <w:rPr>
          <w:rFonts w:ascii="Times New Roman" w:eastAsia="Times New Roman" w:hAnsi="Times New Roman" w:cs="Times New Roman"/>
          <w:b/>
          <w:noProof/>
          <w:color w:val="000000"/>
          <w:sz w:val="24"/>
          <w:szCs w:val="24"/>
        </w:rPr>
      </w:pPr>
      <w:r>
        <w:rPr>
          <w:rFonts w:ascii="Times New Roman" w:hAnsi="Times New Roman"/>
          <w:noProof/>
          <w:sz w:val="24"/>
        </w:rPr>
        <w:t xml:space="preserve">Cette mesure </w:t>
      </w:r>
      <w:r>
        <w:rPr>
          <w:rFonts w:ascii="Times New Roman" w:hAnsi="Times New Roman"/>
          <w:noProof/>
          <w:color w:val="000000"/>
          <w:sz w:val="24"/>
        </w:rPr>
        <w:t>se compose des sous-mesures/actions suivantes:</w:t>
      </w:r>
    </w:p>
    <w:p w14:paraId="42CAEF16" w14:textId="5803C0FD" w:rsidR="000D1388" w:rsidRPr="008A63A6" w:rsidRDefault="00E71057" w:rsidP="00F70F65">
      <w:pPr>
        <w:numPr>
          <w:ilvl w:val="0"/>
          <w:numId w:val="60"/>
        </w:numPr>
        <w:spacing w:after="0" w:line="240" w:lineRule="auto"/>
        <w:ind w:left="714" w:hanging="357"/>
        <w:contextualSpacing/>
        <w:jc w:val="both"/>
        <w:rPr>
          <w:rFonts w:ascii="Times New Roman" w:eastAsia="Yu Gothic" w:hAnsi="Times New Roman" w:cs="Times New Roman"/>
          <w:noProof/>
          <w:sz w:val="24"/>
          <w:szCs w:val="24"/>
        </w:rPr>
      </w:pPr>
      <w:r>
        <w:rPr>
          <w:rFonts w:ascii="Times New Roman" w:hAnsi="Times New Roman"/>
          <w:noProof/>
          <w:sz w:val="24"/>
        </w:rPr>
        <w:t>Investissement I-7.06: «Rénovation de bâtiments» (Région flamande)</w:t>
      </w:r>
    </w:p>
    <w:p w14:paraId="7E42EFC3" w14:textId="097AA5DB" w:rsidR="000D1388" w:rsidRPr="008A63A6" w:rsidRDefault="00E71057" w:rsidP="00F70F65">
      <w:pPr>
        <w:numPr>
          <w:ilvl w:val="0"/>
          <w:numId w:val="60"/>
        </w:numPr>
        <w:spacing w:after="0" w:line="240" w:lineRule="auto"/>
        <w:ind w:left="714" w:hanging="357"/>
        <w:contextualSpacing/>
        <w:jc w:val="both"/>
        <w:rPr>
          <w:rFonts w:ascii="Times New Roman" w:eastAsia="Yu Gothic" w:hAnsi="Times New Roman" w:cs="Times New Roman"/>
          <w:noProof/>
          <w:sz w:val="24"/>
          <w:szCs w:val="24"/>
        </w:rPr>
      </w:pPr>
      <w:r>
        <w:rPr>
          <w:rFonts w:ascii="Times New Roman" w:hAnsi="Times New Roman"/>
          <w:noProof/>
          <w:sz w:val="24"/>
        </w:rPr>
        <w:t>Investissement I-7.07: «Mesures énergétiques pour les bâtiments» (Région flamande)</w:t>
      </w:r>
    </w:p>
    <w:p w14:paraId="68F504B2" w14:textId="3389A38F" w:rsidR="000D1388" w:rsidRPr="00875D4B" w:rsidRDefault="00E71057" w:rsidP="00F70F65">
      <w:pPr>
        <w:numPr>
          <w:ilvl w:val="0"/>
          <w:numId w:val="60"/>
        </w:numPr>
        <w:spacing w:after="0" w:line="240" w:lineRule="auto"/>
        <w:ind w:left="714" w:hanging="357"/>
        <w:contextualSpacing/>
        <w:jc w:val="both"/>
        <w:rPr>
          <w:rFonts w:ascii="Times New Roman" w:eastAsia="Yu Gothic" w:hAnsi="Times New Roman" w:cs="Times New Roman"/>
          <w:noProof/>
          <w:sz w:val="24"/>
          <w:szCs w:val="24"/>
        </w:rPr>
      </w:pPr>
      <w:r>
        <w:rPr>
          <w:rFonts w:ascii="Times New Roman" w:hAnsi="Times New Roman"/>
          <w:noProof/>
          <w:sz w:val="24"/>
        </w:rPr>
        <w:t>Investissement I-7.08: «Mesures énergétiques pour les bâtiments» (Région flamande)</w:t>
      </w:r>
    </w:p>
    <w:p w14:paraId="1AC2206B" w14:textId="42546204" w:rsidR="000D1388" w:rsidRPr="00875D4B" w:rsidRDefault="00E71057" w:rsidP="00F70F65">
      <w:pPr>
        <w:numPr>
          <w:ilvl w:val="0"/>
          <w:numId w:val="60"/>
        </w:numPr>
        <w:spacing w:before="120" w:after="240" w:line="240" w:lineRule="auto"/>
        <w:ind w:left="714" w:hanging="357"/>
        <w:jc w:val="both"/>
        <w:rPr>
          <w:rFonts w:ascii="Times New Roman" w:eastAsia="Yu Gothic" w:hAnsi="Times New Roman" w:cs="Times New Roman"/>
          <w:noProof/>
          <w:sz w:val="24"/>
          <w:szCs w:val="24"/>
        </w:rPr>
      </w:pPr>
      <w:r>
        <w:rPr>
          <w:rFonts w:ascii="Times New Roman" w:hAnsi="Times New Roman"/>
          <w:noProof/>
          <w:sz w:val="24"/>
        </w:rPr>
        <w:t>Investissement I-7.09: «Mesures énergétiques pour le bâtiment de la VRT» (Région flamande)</w:t>
      </w:r>
    </w:p>
    <w:p w14:paraId="24627719" w14:textId="12AFDBC4" w:rsidR="000D1388" w:rsidRPr="009D65D8" w:rsidRDefault="00E71057" w:rsidP="00E71057">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I-7.06: «Rénovation de bâtiments» (Région flamande)</w:t>
      </w:r>
    </w:p>
    <w:p w14:paraId="707FC5D5" w14:textId="2AE737AF" w:rsidR="000D1388" w:rsidRPr="009D65D8" w:rsidRDefault="00E71057" w:rsidP="00E71057">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Cette mesure vise à améliorer l’efficacité énergétique des bâtiments publics en Région flamande. Elle concerne les travaux de rénovation énergétique de trois bâtiments:</w:t>
      </w:r>
    </w:p>
    <w:p w14:paraId="70D56EB8" w14:textId="04E94EAB" w:rsidR="000D1388" w:rsidRPr="009D65D8" w:rsidRDefault="00E71057" w:rsidP="00E71057">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I-7.07: «Mesures énergétiques pour les bâtiments» (Région flamande)</w:t>
      </w:r>
    </w:p>
    <w:p w14:paraId="470569E0" w14:textId="057B9E83" w:rsidR="000D1388" w:rsidRPr="009D65D8" w:rsidRDefault="00E71057" w:rsidP="00E71057">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Cet investissement consiste à déployer des panneaux solaires sur des bâtiments.</w:t>
      </w:r>
    </w:p>
    <w:p w14:paraId="35BB98E8" w14:textId="35947330" w:rsidR="000D1388" w:rsidRPr="009D65D8" w:rsidDel="001F760C" w:rsidRDefault="00E71057" w:rsidP="00E71057">
      <w:pPr>
        <w:spacing w:before="120" w:after="120" w:line="240" w:lineRule="auto"/>
        <w:jc w:val="both"/>
        <w:rPr>
          <w:rFonts w:ascii="Calibri" w:eastAsia="Calibri" w:hAnsi="Calibri" w:cs="Arial"/>
          <w:b/>
          <w:noProof/>
          <w:sz w:val="24"/>
          <w:szCs w:val="24"/>
          <w:u w:val="single"/>
        </w:rPr>
      </w:pPr>
      <w:r>
        <w:rPr>
          <w:rFonts w:ascii="Times New Roman" w:hAnsi="Times New Roman"/>
          <w:noProof/>
          <w:sz w:val="24"/>
          <w:u w:val="single"/>
        </w:rPr>
        <w:t>Investissement I-7.08: «Mesures énergétiques pour les bâtiments» (Région flamande)</w:t>
      </w:r>
    </w:p>
    <w:p w14:paraId="78E5D0A6" w14:textId="1B13B5A8" w:rsidR="000D1388" w:rsidRPr="009D65D8" w:rsidRDefault="00E71057" w:rsidP="00E71057">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 investissement couvre 1) la réalisation d’audits énergétiques et 2) l’achèvement des mesures énergétiques dans les bâtiments. </w:t>
      </w:r>
    </w:p>
    <w:p w14:paraId="23825E60" w14:textId="5E2CB0DE" w:rsidR="000D1388" w:rsidRPr="009D65D8" w:rsidDel="001F760C" w:rsidRDefault="00E71057" w:rsidP="00E71057">
      <w:pPr>
        <w:spacing w:before="120" w:after="120" w:line="240" w:lineRule="auto"/>
        <w:jc w:val="both"/>
        <w:rPr>
          <w:rFonts w:ascii="Calibri" w:eastAsia="Calibri" w:hAnsi="Calibri" w:cs="Arial"/>
          <w:b/>
          <w:noProof/>
          <w:sz w:val="24"/>
          <w:szCs w:val="24"/>
          <w:u w:val="single"/>
        </w:rPr>
      </w:pPr>
      <w:r>
        <w:rPr>
          <w:rFonts w:ascii="Times New Roman" w:hAnsi="Times New Roman"/>
          <w:noProof/>
          <w:sz w:val="24"/>
          <w:u w:val="single"/>
        </w:rPr>
        <w:t>Investissement I-7.09: «Mesures énergétiques pour le bâtiment de la VRT» (Région flamande)</w:t>
      </w:r>
    </w:p>
    <w:p w14:paraId="5B6B5C45" w14:textId="738A0F62" w:rsidR="000D1388" w:rsidRPr="009D65D8" w:rsidRDefault="00E71057" w:rsidP="00E71057">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Cet investissement prévoit le déploiement de pompes à chaleur dans le bâtiment de la VRT (</w:t>
      </w:r>
      <w:r>
        <w:rPr>
          <w:rFonts w:ascii="Times New Roman" w:hAnsi="Times New Roman"/>
          <w:i/>
          <w:noProof/>
          <w:sz w:val="24"/>
        </w:rPr>
        <w:t>Vlaamse Radio en Televisie</w:t>
      </w:r>
      <w:r>
        <w:rPr>
          <w:rFonts w:ascii="Times New Roman" w:hAnsi="Times New Roman"/>
          <w:noProof/>
          <w:sz w:val="24"/>
        </w:rPr>
        <w:t xml:space="preserve">) ainsi que de panneaux isolants pour la toiture. </w:t>
      </w:r>
    </w:p>
    <w:p w14:paraId="40BFA346" w14:textId="127D2189" w:rsidR="000D1388" w:rsidRPr="009D65D8" w:rsidRDefault="00E71057" w:rsidP="00E71057">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I-7.10: «Pompes à chaleur, isolation, panneaux solaires ou lampes LED dans les bâtiments» de la Région flamande</w:t>
      </w:r>
    </w:p>
    <w:p w14:paraId="12E796F7" w14:textId="66523C2F" w:rsidR="000D1388" w:rsidRDefault="00E71057" w:rsidP="00E71057">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consiste à installer dans les bâtiments: isolation, pompes à chaleur, panneaux solaires ou lampes LED. </w:t>
      </w:r>
    </w:p>
    <w:p w14:paraId="59972FBC" w14:textId="485DDAC6" w:rsidR="000D1388" w:rsidRPr="00DD67A6" w:rsidRDefault="00E71057" w:rsidP="00E71057">
      <w:pPr>
        <w:tabs>
          <w:tab w:val="left" w:pos="6525"/>
        </w:tabs>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I-7.26: «Rénovation de logements» (Région wallonne)</w:t>
      </w:r>
    </w:p>
    <w:p w14:paraId="180F2D5F" w14:textId="029C7328" w:rsidR="000D1388" w:rsidRPr="00DD67A6" w:rsidRDefault="00E71057" w:rsidP="00E71057">
      <w:pPr>
        <w:tabs>
          <w:tab w:val="left" w:pos="6525"/>
        </w:tabs>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Cette mesure d’investissement entend stimuler la rénovation énergétique des logements. Elle consiste en l’octroi de primes à la mise en œuvre de mesures d’économie d’énergie dans les logements.</w:t>
      </w:r>
    </w:p>
    <w:p w14:paraId="194C4279" w14:textId="77777777" w:rsidR="000D1388" w:rsidRPr="009D65D8" w:rsidRDefault="000D1388" w:rsidP="00E71057">
      <w:pPr>
        <w:spacing w:before="120" w:after="120" w:line="240" w:lineRule="auto"/>
        <w:jc w:val="both"/>
        <w:rPr>
          <w:rFonts w:ascii="Times New Roman" w:eastAsia="Yu Gothic" w:hAnsi="Times New Roman" w:cs="Times New Roman"/>
          <w:noProof/>
          <w:sz w:val="24"/>
          <w:szCs w:val="24"/>
        </w:rPr>
        <w:sectPr w:rsidR="000D1388" w:rsidRPr="009D65D8" w:rsidSect="00E71057">
          <w:headerReference w:type="even" r:id="rId240"/>
          <w:headerReference w:type="default" r:id="rId241"/>
          <w:footerReference w:type="even" r:id="rId242"/>
          <w:footerReference w:type="default" r:id="rId243"/>
          <w:headerReference w:type="first" r:id="rId244"/>
          <w:footerReference w:type="first" r:id="rId245"/>
          <w:pgSz w:w="11906" w:h="16838"/>
          <w:pgMar w:top="1134" w:right="1134" w:bottom="1134" w:left="1134" w:header="567" w:footer="567" w:gutter="0"/>
          <w:cols w:space="708"/>
          <w:docGrid w:linePitch="360"/>
        </w:sectPr>
      </w:pPr>
    </w:p>
    <w:p w14:paraId="1D9ECED6" w14:textId="77777777" w:rsidR="000D1388" w:rsidRPr="009D65D8" w:rsidRDefault="00E71057" w:rsidP="00E71057">
      <w:pPr>
        <w:spacing w:before="120" w:after="120" w:line="240" w:lineRule="auto"/>
        <w:jc w:val="both"/>
        <w:rPr>
          <w:rFonts w:ascii="Times New Roman" w:eastAsia="Calibri" w:hAnsi="Times New Roman" w:cs="Times New Roman"/>
          <w:b/>
          <w:noProof/>
          <w:sz w:val="24"/>
          <w:szCs w:val="24"/>
          <w:u w:val="single"/>
        </w:rPr>
      </w:pPr>
      <w:r>
        <w:rPr>
          <w:rFonts w:ascii="Times New Roman" w:hAnsi="Times New Roman"/>
          <w:b/>
          <w:noProof/>
          <w:sz w:val="24"/>
          <w:u w:val="single"/>
        </w:rPr>
        <w:t xml:space="preserve">R.2. </w:t>
      </w:r>
      <w:r>
        <w:rPr>
          <w:rFonts w:ascii="Calibri" w:hAnsi="Calibri"/>
          <w:noProof/>
        </w:rPr>
        <w:tab/>
      </w:r>
      <w:r>
        <w:rPr>
          <w:rFonts w:ascii="Times New Roman" w:hAnsi="Times New Roman"/>
          <w:b/>
          <w:noProof/>
          <w:sz w:val="24"/>
          <w:u w:val="single"/>
        </w:rPr>
        <w:t>Jalons, cibles, indicateurs et calendrier de suivi et de mise en œuvre en vue du soutien financier non remboursable</w:t>
      </w:r>
    </w:p>
    <w:tbl>
      <w:tblPr>
        <w:tblW w:w="15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271"/>
        <w:gridCol w:w="1559"/>
        <w:gridCol w:w="709"/>
        <w:gridCol w:w="1418"/>
        <w:gridCol w:w="1275"/>
        <w:gridCol w:w="993"/>
        <w:gridCol w:w="1134"/>
        <w:gridCol w:w="992"/>
        <w:gridCol w:w="1134"/>
        <w:gridCol w:w="992"/>
        <w:gridCol w:w="4113"/>
      </w:tblGrid>
      <w:tr w:rsidR="005003AB" w:rsidRPr="00875D4B" w14:paraId="0011C22D" w14:textId="77777777" w:rsidTr="008B6800">
        <w:trPr>
          <w:trHeight w:val="1309"/>
          <w:tblHeader/>
          <w:jc w:val="center"/>
        </w:trPr>
        <w:tc>
          <w:tcPr>
            <w:tcW w:w="1271" w:type="dxa"/>
            <w:vMerge w:val="restart"/>
            <w:shd w:val="clear" w:color="auto" w:fill="BDD7EE"/>
            <w:vAlign w:val="center"/>
          </w:tcPr>
          <w:p w14:paraId="7071A807" w14:textId="77777777" w:rsidR="000D1388" w:rsidRPr="00875D4B" w:rsidRDefault="00E71057">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Numéro séquentiel</w:t>
            </w:r>
          </w:p>
        </w:tc>
        <w:tc>
          <w:tcPr>
            <w:tcW w:w="1559" w:type="dxa"/>
            <w:vMerge w:val="restart"/>
            <w:shd w:val="clear" w:color="auto" w:fill="BDD7EE"/>
            <w:vAlign w:val="center"/>
          </w:tcPr>
          <w:p w14:paraId="53480EE6" w14:textId="77777777" w:rsidR="000D1388" w:rsidRPr="00875D4B" w:rsidRDefault="00E71057">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Mesure connexe (réforme ou investissement)</w:t>
            </w:r>
          </w:p>
        </w:tc>
        <w:tc>
          <w:tcPr>
            <w:tcW w:w="709" w:type="dxa"/>
            <w:vMerge w:val="restart"/>
            <w:shd w:val="clear" w:color="auto" w:fill="BDD7EE"/>
            <w:vAlign w:val="center"/>
          </w:tcPr>
          <w:p w14:paraId="0E707F39" w14:textId="77777777" w:rsidR="000D1388" w:rsidRPr="00875D4B" w:rsidRDefault="00E71057">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Jalon/cible</w:t>
            </w:r>
          </w:p>
        </w:tc>
        <w:tc>
          <w:tcPr>
            <w:tcW w:w="1418" w:type="dxa"/>
            <w:vMerge w:val="restart"/>
            <w:shd w:val="clear" w:color="auto" w:fill="BDD7EE"/>
            <w:vAlign w:val="center"/>
          </w:tcPr>
          <w:p w14:paraId="0CCD763E" w14:textId="77777777" w:rsidR="000D1388" w:rsidRPr="00875D4B" w:rsidRDefault="00E71057">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Dénomination</w:t>
            </w:r>
          </w:p>
        </w:tc>
        <w:tc>
          <w:tcPr>
            <w:tcW w:w="1275" w:type="dxa"/>
            <w:vMerge w:val="restart"/>
            <w:shd w:val="clear" w:color="auto" w:fill="BDD7EE"/>
            <w:vAlign w:val="center"/>
          </w:tcPr>
          <w:p w14:paraId="413DD568" w14:textId="77777777" w:rsidR="000D1388" w:rsidRPr="00875D4B" w:rsidRDefault="00E71057">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Indicateurs qualitatifs (pour les jalons)</w:t>
            </w:r>
          </w:p>
        </w:tc>
        <w:tc>
          <w:tcPr>
            <w:tcW w:w="3119" w:type="dxa"/>
            <w:gridSpan w:val="3"/>
            <w:shd w:val="clear" w:color="auto" w:fill="BDD7EE"/>
            <w:vAlign w:val="center"/>
          </w:tcPr>
          <w:p w14:paraId="7C30C90D" w14:textId="77777777" w:rsidR="000D1388" w:rsidRPr="00875D4B" w:rsidRDefault="00E71057">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Indicateurs quantitatifs (pour les cibles)</w:t>
            </w:r>
          </w:p>
        </w:tc>
        <w:tc>
          <w:tcPr>
            <w:tcW w:w="2126" w:type="dxa"/>
            <w:gridSpan w:val="2"/>
            <w:shd w:val="clear" w:color="auto" w:fill="BDD7EE"/>
            <w:vAlign w:val="center"/>
          </w:tcPr>
          <w:p w14:paraId="769DE27E" w14:textId="77777777" w:rsidR="000D1388" w:rsidRPr="00875D4B" w:rsidRDefault="00E71057">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Calendrier de réalisation</w:t>
            </w:r>
          </w:p>
        </w:tc>
        <w:tc>
          <w:tcPr>
            <w:tcW w:w="4113" w:type="dxa"/>
            <w:vMerge w:val="restart"/>
            <w:shd w:val="clear" w:color="auto" w:fill="BDD7EE"/>
            <w:vAlign w:val="center"/>
          </w:tcPr>
          <w:p w14:paraId="2206F5D5" w14:textId="77777777" w:rsidR="000D1388" w:rsidRPr="00875D4B" w:rsidRDefault="00E71057">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Description de chaque jalon et cible</w:t>
            </w:r>
          </w:p>
        </w:tc>
      </w:tr>
      <w:tr w:rsidR="00F76C04" w:rsidRPr="00875D4B" w14:paraId="403B55AA" w14:textId="77777777" w:rsidTr="008B6800">
        <w:trPr>
          <w:trHeight w:val="589"/>
          <w:tblHeader/>
          <w:jc w:val="center"/>
        </w:trPr>
        <w:tc>
          <w:tcPr>
            <w:tcW w:w="1271" w:type="dxa"/>
            <w:vMerge/>
            <w:vAlign w:val="center"/>
          </w:tcPr>
          <w:p w14:paraId="4452EB00" w14:textId="77777777" w:rsidR="000D1388" w:rsidRPr="00746A1A" w:rsidRDefault="000D1388">
            <w:pPr>
              <w:spacing w:after="0" w:line="240" w:lineRule="auto"/>
              <w:rPr>
                <w:rFonts w:ascii="Times New Roman" w:eastAsia="Times New Roman" w:hAnsi="Times New Roman" w:cs="Times New Roman"/>
                <w:noProof/>
                <w:color w:val="006100"/>
                <w:sz w:val="20"/>
                <w:szCs w:val="20"/>
                <w:lang w:val="fr-BE"/>
              </w:rPr>
            </w:pPr>
          </w:p>
        </w:tc>
        <w:tc>
          <w:tcPr>
            <w:tcW w:w="1559" w:type="dxa"/>
            <w:vMerge/>
            <w:vAlign w:val="center"/>
          </w:tcPr>
          <w:p w14:paraId="3C0E30C0" w14:textId="77777777" w:rsidR="000D1388" w:rsidRPr="00746A1A" w:rsidRDefault="000D1388">
            <w:pPr>
              <w:spacing w:after="0" w:line="240" w:lineRule="auto"/>
              <w:rPr>
                <w:rFonts w:ascii="Times New Roman" w:eastAsia="Times New Roman" w:hAnsi="Times New Roman" w:cs="Times New Roman"/>
                <w:noProof/>
                <w:color w:val="006100"/>
                <w:sz w:val="20"/>
                <w:szCs w:val="20"/>
                <w:lang w:val="fr-BE"/>
              </w:rPr>
            </w:pPr>
          </w:p>
        </w:tc>
        <w:tc>
          <w:tcPr>
            <w:tcW w:w="709" w:type="dxa"/>
            <w:vMerge/>
            <w:vAlign w:val="center"/>
          </w:tcPr>
          <w:p w14:paraId="0770FD63" w14:textId="77777777" w:rsidR="000D1388" w:rsidRPr="00746A1A" w:rsidRDefault="000D1388">
            <w:pPr>
              <w:spacing w:after="0" w:line="240" w:lineRule="auto"/>
              <w:rPr>
                <w:rFonts w:ascii="Times New Roman" w:eastAsia="Times New Roman" w:hAnsi="Times New Roman" w:cs="Times New Roman"/>
                <w:noProof/>
                <w:color w:val="006100"/>
                <w:sz w:val="20"/>
                <w:szCs w:val="20"/>
                <w:lang w:val="fr-BE"/>
              </w:rPr>
            </w:pPr>
          </w:p>
        </w:tc>
        <w:tc>
          <w:tcPr>
            <w:tcW w:w="1418" w:type="dxa"/>
            <w:vMerge/>
            <w:vAlign w:val="center"/>
          </w:tcPr>
          <w:p w14:paraId="14B564F5" w14:textId="77777777" w:rsidR="000D1388" w:rsidRPr="00746A1A" w:rsidRDefault="000D1388">
            <w:pPr>
              <w:spacing w:after="0" w:line="240" w:lineRule="auto"/>
              <w:rPr>
                <w:rFonts w:ascii="Times New Roman" w:eastAsia="Times New Roman" w:hAnsi="Times New Roman" w:cs="Times New Roman"/>
                <w:noProof/>
                <w:color w:val="006100"/>
                <w:sz w:val="20"/>
                <w:szCs w:val="20"/>
                <w:lang w:val="fr-BE"/>
              </w:rPr>
            </w:pPr>
          </w:p>
        </w:tc>
        <w:tc>
          <w:tcPr>
            <w:tcW w:w="1275" w:type="dxa"/>
            <w:vMerge/>
            <w:vAlign w:val="center"/>
          </w:tcPr>
          <w:p w14:paraId="0DEEC201" w14:textId="77777777" w:rsidR="000D1388" w:rsidRPr="00746A1A" w:rsidRDefault="000D1388">
            <w:pPr>
              <w:spacing w:after="0" w:line="240" w:lineRule="auto"/>
              <w:rPr>
                <w:rFonts w:ascii="Times New Roman" w:eastAsia="Times New Roman" w:hAnsi="Times New Roman" w:cs="Times New Roman"/>
                <w:noProof/>
                <w:color w:val="006100"/>
                <w:sz w:val="20"/>
                <w:szCs w:val="20"/>
                <w:lang w:val="fr-BE"/>
              </w:rPr>
            </w:pPr>
          </w:p>
        </w:tc>
        <w:tc>
          <w:tcPr>
            <w:tcW w:w="993" w:type="dxa"/>
            <w:shd w:val="clear" w:color="auto" w:fill="BDD7EE"/>
            <w:vAlign w:val="center"/>
          </w:tcPr>
          <w:p w14:paraId="1B956048"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b/>
                <w:noProof/>
                <w:sz w:val="20"/>
              </w:rPr>
              <w:t>Unité de mesure</w:t>
            </w:r>
          </w:p>
        </w:tc>
        <w:tc>
          <w:tcPr>
            <w:tcW w:w="1134" w:type="dxa"/>
            <w:shd w:val="clear" w:color="auto" w:fill="BDD7EE"/>
            <w:vAlign w:val="center"/>
          </w:tcPr>
          <w:p w14:paraId="4C9B5B4F"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b/>
                <w:noProof/>
                <w:sz w:val="20"/>
              </w:rPr>
              <w:t>Référence</w:t>
            </w:r>
          </w:p>
        </w:tc>
        <w:tc>
          <w:tcPr>
            <w:tcW w:w="992" w:type="dxa"/>
            <w:shd w:val="clear" w:color="auto" w:fill="BDD7EE"/>
            <w:vAlign w:val="center"/>
          </w:tcPr>
          <w:p w14:paraId="7F0AC587"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b/>
                <w:noProof/>
                <w:sz w:val="20"/>
              </w:rPr>
              <w:t>Objectif</w:t>
            </w:r>
          </w:p>
        </w:tc>
        <w:tc>
          <w:tcPr>
            <w:tcW w:w="1134" w:type="dxa"/>
            <w:shd w:val="clear" w:color="auto" w:fill="BDD7EE"/>
            <w:vAlign w:val="center"/>
          </w:tcPr>
          <w:p w14:paraId="5B48D875"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b/>
                <w:noProof/>
                <w:sz w:val="20"/>
              </w:rPr>
              <w:t>Trimestre</w:t>
            </w:r>
          </w:p>
        </w:tc>
        <w:tc>
          <w:tcPr>
            <w:tcW w:w="992" w:type="dxa"/>
            <w:shd w:val="clear" w:color="auto" w:fill="BDD7EE"/>
            <w:vAlign w:val="center"/>
          </w:tcPr>
          <w:p w14:paraId="14A4E9A2"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b/>
                <w:noProof/>
                <w:sz w:val="20"/>
              </w:rPr>
              <w:t>Année</w:t>
            </w:r>
          </w:p>
        </w:tc>
        <w:tc>
          <w:tcPr>
            <w:tcW w:w="4113" w:type="dxa"/>
            <w:vMerge/>
            <w:vAlign w:val="center"/>
          </w:tcPr>
          <w:p w14:paraId="15A39943" w14:textId="77777777" w:rsidR="000D1388" w:rsidRPr="00875D4B" w:rsidRDefault="000D1388">
            <w:pPr>
              <w:spacing w:after="0" w:line="240" w:lineRule="auto"/>
              <w:rPr>
                <w:rFonts w:ascii="Times New Roman" w:eastAsia="Times New Roman" w:hAnsi="Times New Roman" w:cs="Times New Roman"/>
                <w:noProof/>
                <w:color w:val="006100"/>
                <w:sz w:val="20"/>
                <w:szCs w:val="20"/>
                <w:lang w:val="en-GB"/>
              </w:rPr>
            </w:pPr>
          </w:p>
        </w:tc>
      </w:tr>
      <w:tr w:rsidR="00F76C04" w:rsidRPr="00875D4B" w14:paraId="395B2AC7" w14:textId="77777777" w:rsidTr="008B6800">
        <w:trPr>
          <w:jc w:val="center"/>
        </w:trPr>
        <w:tc>
          <w:tcPr>
            <w:tcW w:w="1271" w:type="dxa"/>
            <w:shd w:val="clear" w:color="auto" w:fill="C6EFCE"/>
            <w:vAlign w:val="center"/>
          </w:tcPr>
          <w:p w14:paraId="3F5228AF"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211</w:t>
            </w:r>
          </w:p>
        </w:tc>
        <w:tc>
          <w:tcPr>
            <w:tcW w:w="1559" w:type="dxa"/>
            <w:shd w:val="clear" w:color="auto" w:fill="C6EFCE"/>
            <w:vAlign w:val="center"/>
          </w:tcPr>
          <w:p w14:paraId="4DEF97D1"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Révision du Code de l’air, du climat et de la maîtrise de l’énergie – BCR (R-7.01)</w:t>
            </w:r>
          </w:p>
        </w:tc>
        <w:tc>
          <w:tcPr>
            <w:tcW w:w="709" w:type="dxa"/>
            <w:shd w:val="clear" w:color="auto" w:fill="C6EFCE"/>
            <w:vAlign w:val="center"/>
          </w:tcPr>
          <w:p w14:paraId="7BA00962" w14:textId="77777777" w:rsidR="000D1388" w:rsidRPr="00875D4B" w:rsidRDefault="00E71057">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8" w:type="dxa"/>
            <w:shd w:val="clear" w:color="auto" w:fill="C6EFCE"/>
            <w:vAlign w:val="center"/>
          </w:tcPr>
          <w:p w14:paraId="4594FA59"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Nouvelles obligations en matière de rénovation des bâtiments</w:t>
            </w:r>
          </w:p>
        </w:tc>
        <w:tc>
          <w:tcPr>
            <w:tcW w:w="1275" w:type="dxa"/>
            <w:shd w:val="clear" w:color="auto" w:fill="C6EFCE"/>
            <w:vAlign w:val="center"/>
          </w:tcPr>
          <w:p w14:paraId="7F550B02"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 de l’acte juridique modifiant le CoBrACE </w:t>
            </w:r>
          </w:p>
        </w:tc>
        <w:tc>
          <w:tcPr>
            <w:tcW w:w="993" w:type="dxa"/>
            <w:shd w:val="clear" w:color="auto" w:fill="C6EFCE"/>
            <w:vAlign w:val="center"/>
          </w:tcPr>
          <w:p w14:paraId="7C945464" w14:textId="77777777" w:rsidR="000D1388" w:rsidRPr="00875D4B" w:rsidRDefault="000D1388">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61768C84" w14:textId="77777777" w:rsidR="000D1388" w:rsidRPr="00875D4B" w:rsidRDefault="000D1388">
            <w:pPr>
              <w:spacing w:line="240" w:lineRule="auto"/>
              <w:rPr>
                <w:rFonts w:ascii="Times New Roman" w:eastAsia="Times New Roman" w:hAnsi="Times New Roman" w:cs="Times New Roman"/>
                <w:noProof/>
                <w:color w:val="006100"/>
                <w:sz w:val="20"/>
                <w:szCs w:val="20"/>
              </w:rPr>
            </w:pPr>
          </w:p>
        </w:tc>
        <w:tc>
          <w:tcPr>
            <w:tcW w:w="992" w:type="dxa"/>
            <w:shd w:val="clear" w:color="auto" w:fill="C6EFCE"/>
            <w:vAlign w:val="center"/>
          </w:tcPr>
          <w:p w14:paraId="1BF99E77" w14:textId="77777777" w:rsidR="000D1388" w:rsidRPr="00875D4B" w:rsidRDefault="000D1388">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5240EE08"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1FF88898"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4113" w:type="dxa"/>
            <w:shd w:val="clear" w:color="auto" w:fill="C6EFCE"/>
            <w:vAlign w:val="center"/>
          </w:tcPr>
          <w:p w14:paraId="1C9CE0F9"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 de l’acte juridique modifiant le Code bruxellois de l’air, du climat et de la maîtrise de l’énergie (CoBrACE).</w:t>
            </w:r>
          </w:p>
          <w:p w14:paraId="496F7B4F"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L’acte juridique prévoit une transition progressive vers des normes plus strictes, selon les étapes ci-après.</w:t>
            </w:r>
          </w:p>
          <w:p w14:paraId="54DA7125" w14:textId="77777777" w:rsidR="000D1388" w:rsidRPr="00875D4B" w:rsidRDefault="00E71057" w:rsidP="00F70F65">
            <w:pPr>
              <w:numPr>
                <w:ilvl w:val="0"/>
                <w:numId w:val="61"/>
              </w:num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À partir du 1</w:t>
            </w:r>
            <w:r>
              <w:rPr>
                <w:rFonts w:ascii="Times New Roman" w:hAnsi="Times New Roman"/>
                <w:noProof/>
                <w:color w:val="006100"/>
                <w:sz w:val="20"/>
                <w:vertAlign w:val="superscript"/>
              </w:rPr>
              <w:t>er</w:t>
            </w:r>
            <w:r>
              <w:rPr>
                <w:rFonts w:ascii="Times New Roman" w:hAnsi="Times New Roman"/>
                <w:noProof/>
                <w:color w:val="006100"/>
                <w:sz w:val="20"/>
              </w:rPr>
              <w:t> janvier 2025, les systèmes de chauffage d’un projet pour lequel une demande de permis d’urbanisme a été introduite, et qui porte exclusivement sur une ou plusieurs unités soumises à la PEB, nouvelles ou traitées comme telles, devront satisfaire aux conditions suivantes: 1) leurs générateurs de chaleur sont conformes aux exigences en matière d’écoconception et produisent de la chaleur exclusivement à partir d’électricité et/ou d’énergie produite à partir de sources renouvelables; 2) et/ou ils sont raccordés à un réseau d’énergie thermique efficace tel que défini par le Gouvernement.</w:t>
            </w:r>
          </w:p>
          <w:p w14:paraId="5B338469" w14:textId="77777777" w:rsidR="000D1388" w:rsidRPr="00875D4B" w:rsidRDefault="00E71057" w:rsidP="00F70F65">
            <w:pPr>
              <w:numPr>
                <w:ilvl w:val="0"/>
                <w:numId w:val="62"/>
              </w:num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À partir du 31 décembre 2026, toute nouvelle construction détenue, occupée ou destinée à être occupée par une autorité publique devra satisfaire aux exigences PEB «zéro émission» et être équipée d’une installation de production d’énergie à partir de l’énergie solaire. </w:t>
            </w:r>
          </w:p>
          <w:p w14:paraId="626BA688" w14:textId="77777777" w:rsidR="000D1388" w:rsidRPr="00875D4B" w:rsidRDefault="00E71057" w:rsidP="00F70F65">
            <w:pPr>
              <w:numPr>
                <w:ilvl w:val="0"/>
                <w:numId w:val="62"/>
              </w:num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À partir du 31 décembre 2029, les nouvelles unités soumises à la PEB devront être conformes aux exigences PEB «zéro émission».</w:t>
            </w:r>
          </w:p>
          <w:p w14:paraId="56E088F2" w14:textId="77777777" w:rsidR="000D1388" w:rsidRPr="00875D4B" w:rsidRDefault="00E71057" w:rsidP="00F70F65">
            <w:pPr>
              <w:numPr>
                <w:ilvl w:val="0"/>
                <w:numId w:val="62"/>
              </w:num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À partir du 1</w:t>
            </w:r>
            <w:r>
              <w:rPr>
                <w:rFonts w:ascii="Times New Roman" w:hAnsi="Times New Roman"/>
                <w:noProof/>
                <w:color w:val="006100"/>
                <w:sz w:val="20"/>
                <w:vertAlign w:val="superscript"/>
              </w:rPr>
              <w:t>er</w:t>
            </w:r>
            <w:r>
              <w:rPr>
                <w:rFonts w:ascii="Times New Roman" w:hAnsi="Times New Roman"/>
                <w:noProof/>
                <w:color w:val="006100"/>
                <w:sz w:val="20"/>
              </w:rPr>
              <w:t> juillet 2033, tout titulaire d’un droit réel sur une unité soumise à la PEB doit être en possession d’un certificat PEB valide.</w:t>
            </w:r>
          </w:p>
          <w:p w14:paraId="7EF28813" w14:textId="77777777" w:rsidR="000D1388" w:rsidRPr="00875D4B" w:rsidRDefault="00E71057" w:rsidP="00F70F65">
            <w:pPr>
              <w:numPr>
                <w:ilvl w:val="0"/>
                <w:numId w:val="62"/>
              </w:numPr>
              <w:spacing w:line="240" w:lineRule="auto"/>
              <w:rPr>
                <w:rFonts w:ascii="Times New Roman" w:eastAsia="Calibri" w:hAnsi="Times New Roman" w:cs="Arial"/>
                <w:noProof/>
                <w:color w:val="006100"/>
                <w:sz w:val="20"/>
                <w:szCs w:val="20"/>
              </w:rPr>
            </w:pPr>
            <w:r>
              <w:rPr>
                <w:rFonts w:ascii="Times New Roman" w:hAnsi="Times New Roman"/>
                <w:noProof/>
                <w:color w:val="006100"/>
                <w:sz w:val="20"/>
              </w:rPr>
              <w:t>Les unités soumises à la PEB du parc immobilier résidentiel devront atteindre, au minimum, une consommation annuelle d’énergie primaire inférieure ou égale à 275 kWh/m² d’ici à 2033 et à 150 kWh/m² d’ici à 2048.</w:t>
            </w:r>
          </w:p>
        </w:tc>
      </w:tr>
      <w:tr w:rsidR="00F76C04" w:rsidRPr="00875D4B" w14:paraId="37E3C4DC" w14:textId="77777777" w:rsidTr="008B6800">
        <w:trPr>
          <w:trHeight w:val="1047"/>
          <w:jc w:val="center"/>
        </w:trPr>
        <w:tc>
          <w:tcPr>
            <w:tcW w:w="1271" w:type="dxa"/>
            <w:shd w:val="clear" w:color="auto" w:fill="C6EFCE"/>
            <w:vAlign w:val="center"/>
          </w:tcPr>
          <w:p w14:paraId="7984E117"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212</w:t>
            </w:r>
          </w:p>
        </w:tc>
        <w:tc>
          <w:tcPr>
            <w:tcW w:w="1559" w:type="dxa"/>
            <w:shd w:val="clear" w:color="auto" w:fill="C6EFCE"/>
            <w:vAlign w:val="center"/>
          </w:tcPr>
          <w:p w14:paraId="79BC3686"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 BCR (I-7.01)</w:t>
            </w:r>
          </w:p>
        </w:tc>
        <w:tc>
          <w:tcPr>
            <w:tcW w:w="709" w:type="dxa"/>
            <w:shd w:val="clear" w:color="auto" w:fill="C6EFCE"/>
            <w:vAlign w:val="center"/>
          </w:tcPr>
          <w:p w14:paraId="4484A698" w14:textId="77777777" w:rsidR="000D1388" w:rsidRPr="00875D4B" w:rsidRDefault="00E71057">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8" w:type="dxa"/>
            <w:shd w:val="clear" w:color="auto" w:fill="C6EFCE"/>
            <w:vAlign w:val="center"/>
          </w:tcPr>
          <w:p w14:paraId="2FF7EF0F"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Rénovation de logements résidentiels </w:t>
            </w:r>
          </w:p>
        </w:tc>
        <w:tc>
          <w:tcPr>
            <w:tcW w:w="1275" w:type="dxa"/>
            <w:shd w:val="clear" w:color="auto" w:fill="C6EFCE"/>
            <w:vAlign w:val="center"/>
          </w:tcPr>
          <w:p w14:paraId="559AE41F" w14:textId="77777777" w:rsidR="000D1388" w:rsidRPr="00875D4B" w:rsidRDefault="000D1388">
            <w:pPr>
              <w:spacing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322E52A7"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34" w:type="dxa"/>
            <w:shd w:val="clear" w:color="auto" w:fill="C6EFCE"/>
            <w:vAlign w:val="center"/>
          </w:tcPr>
          <w:p w14:paraId="36259EE5"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vAlign w:val="center"/>
          </w:tcPr>
          <w:p w14:paraId="5C4D82F1"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4 200</w:t>
            </w:r>
          </w:p>
        </w:tc>
        <w:tc>
          <w:tcPr>
            <w:tcW w:w="1134" w:type="dxa"/>
            <w:shd w:val="clear" w:color="auto" w:fill="C6EFCE"/>
            <w:vAlign w:val="center"/>
          </w:tcPr>
          <w:p w14:paraId="24A549E5"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741090B5"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4113" w:type="dxa"/>
            <w:shd w:val="clear" w:color="auto" w:fill="C6EFCE"/>
            <w:vAlign w:val="center"/>
          </w:tcPr>
          <w:p w14:paraId="3A8C6AA3"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4 200 logements résidentiels sont rénovés afin de réduire la demande d’énergie primaire.</w:t>
            </w:r>
          </w:p>
        </w:tc>
      </w:tr>
      <w:tr w:rsidR="00F76C04" w:rsidRPr="00875D4B" w14:paraId="57627E36" w14:textId="77777777" w:rsidTr="008B6800">
        <w:trPr>
          <w:jc w:val="center"/>
        </w:trPr>
        <w:tc>
          <w:tcPr>
            <w:tcW w:w="1271" w:type="dxa"/>
            <w:shd w:val="clear" w:color="auto" w:fill="C6EFCE"/>
            <w:vAlign w:val="center"/>
          </w:tcPr>
          <w:p w14:paraId="3803F700" w14:textId="77777777" w:rsidR="000D1388" w:rsidRPr="00875D4B" w:rsidRDefault="00E71057">
            <w:pPr>
              <w:spacing w:line="240" w:lineRule="auto"/>
              <w:rPr>
                <w:rFonts w:ascii="Times New Roman" w:eastAsia="Calibri" w:hAnsi="Times New Roman" w:cs="Times New Roman"/>
                <w:noProof/>
                <w:color w:val="006100"/>
                <w:sz w:val="20"/>
                <w:szCs w:val="20"/>
              </w:rPr>
            </w:pPr>
            <w:r>
              <w:rPr>
                <w:rFonts w:ascii="Times New Roman" w:hAnsi="Times New Roman"/>
                <w:noProof/>
                <w:color w:val="006100"/>
                <w:sz w:val="20"/>
              </w:rPr>
              <w:t>213</w:t>
            </w:r>
          </w:p>
        </w:tc>
        <w:tc>
          <w:tcPr>
            <w:tcW w:w="1559" w:type="dxa"/>
            <w:shd w:val="clear" w:color="auto" w:fill="C6EFCE"/>
            <w:vAlign w:val="center"/>
          </w:tcPr>
          <w:p w14:paraId="0B2794FE"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 (I-7.02)</w:t>
            </w:r>
          </w:p>
        </w:tc>
        <w:tc>
          <w:tcPr>
            <w:tcW w:w="709" w:type="dxa"/>
            <w:shd w:val="clear" w:color="auto" w:fill="C6EFCE"/>
            <w:vAlign w:val="center"/>
          </w:tcPr>
          <w:p w14:paraId="088B8D86" w14:textId="77777777" w:rsidR="000D1388" w:rsidRPr="00875D4B" w:rsidRDefault="00E71057">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8" w:type="dxa"/>
            <w:shd w:val="clear" w:color="auto" w:fill="C6EFCE"/>
            <w:vAlign w:val="center"/>
          </w:tcPr>
          <w:p w14:paraId="6CC0F876"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w:t>
            </w:r>
          </w:p>
        </w:tc>
        <w:tc>
          <w:tcPr>
            <w:tcW w:w="1275" w:type="dxa"/>
            <w:shd w:val="clear" w:color="auto" w:fill="C6EFCE"/>
            <w:vAlign w:val="center"/>
          </w:tcPr>
          <w:p w14:paraId="4208BC35"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modification de l’arrêté relatif au régime de subventions énergétiques du gouvernement flamand</w:t>
            </w:r>
          </w:p>
        </w:tc>
        <w:tc>
          <w:tcPr>
            <w:tcW w:w="993" w:type="dxa"/>
            <w:shd w:val="clear" w:color="auto" w:fill="C6EFCE"/>
            <w:vAlign w:val="center"/>
          </w:tcPr>
          <w:p w14:paraId="6429021C" w14:textId="77777777" w:rsidR="000D1388" w:rsidRPr="00746A1A" w:rsidRDefault="000D1388">
            <w:pPr>
              <w:spacing w:line="240" w:lineRule="auto"/>
              <w:rPr>
                <w:rFonts w:ascii="Times New Roman" w:eastAsia="Times New Roman" w:hAnsi="Times New Roman" w:cs="Times New Roman"/>
                <w:noProof/>
                <w:color w:val="006100"/>
                <w:sz w:val="20"/>
                <w:szCs w:val="20"/>
                <w:lang w:val="fr-BE"/>
              </w:rPr>
            </w:pPr>
          </w:p>
        </w:tc>
        <w:tc>
          <w:tcPr>
            <w:tcW w:w="1134" w:type="dxa"/>
            <w:shd w:val="clear" w:color="auto" w:fill="C6EFCE"/>
            <w:vAlign w:val="center"/>
          </w:tcPr>
          <w:p w14:paraId="1442E99B" w14:textId="77777777" w:rsidR="000D1388" w:rsidRPr="00746A1A" w:rsidRDefault="000D1388">
            <w:pPr>
              <w:spacing w:line="240" w:lineRule="auto"/>
              <w:rPr>
                <w:rFonts w:ascii="Times New Roman" w:eastAsia="Times New Roman" w:hAnsi="Times New Roman" w:cs="Times New Roman"/>
                <w:noProof/>
                <w:color w:val="006100"/>
                <w:sz w:val="20"/>
                <w:szCs w:val="20"/>
                <w:lang w:val="fr-BE"/>
              </w:rPr>
            </w:pPr>
          </w:p>
        </w:tc>
        <w:tc>
          <w:tcPr>
            <w:tcW w:w="992" w:type="dxa"/>
            <w:shd w:val="clear" w:color="auto" w:fill="C6EFCE"/>
            <w:vAlign w:val="center"/>
          </w:tcPr>
          <w:p w14:paraId="66089554" w14:textId="77777777" w:rsidR="000D1388" w:rsidRPr="00746A1A" w:rsidRDefault="000D1388">
            <w:pPr>
              <w:spacing w:line="240" w:lineRule="auto"/>
              <w:rPr>
                <w:rFonts w:ascii="Times New Roman" w:eastAsia="Times New Roman" w:hAnsi="Times New Roman" w:cs="Times New Roman"/>
                <w:noProof/>
                <w:color w:val="006100"/>
                <w:sz w:val="20"/>
                <w:szCs w:val="20"/>
                <w:lang w:val="fr-BE"/>
              </w:rPr>
            </w:pPr>
          </w:p>
        </w:tc>
        <w:tc>
          <w:tcPr>
            <w:tcW w:w="1134" w:type="dxa"/>
            <w:shd w:val="clear" w:color="auto" w:fill="C6EFCE"/>
            <w:vAlign w:val="center"/>
          </w:tcPr>
          <w:p w14:paraId="7255B64B"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992" w:type="dxa"/>
            <w:shd w:val="clear" w:color="auto" w:fill="C6EFCE"/>
            <w:vAlign w:val="center"/>
          </w:tcPr>
          <w:p w14:paraId="5D3F41F9"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113" w:type="dxa"/>
            <w:shd w:val="clear" w:color="auto" w:fill="C6EFCE"/>
            <w:vAlign w:val="center"/>
          </w:tcPr>
          <w:p w14:paraId="5ED2C87E"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modification de l’arrêté relatif au régime de subventions énergétiques dans le cadre de la réforme R-1.01, sous-réforme i). Sont établies une augmentation de l’aide pour les deux groupes cibles aux revenus les plus faibles, ainsi qu’une augmentation des subventions pour l’isolation de la toiture et des subventions pour les pompes à chaleur</w:t>
            </w:r>
          </w:p>
        </w:tc>
      </w:tr>
      <w:tr w:rsidR="00F76C04" w:rsidRPr="00875D4B" w14:paraId="0241EBC8" w14:textId="77777777" w:rsidTr="008B6800">
        <w:trPr>
          <w:jc w:val="center"/>
        </w:trPr>
        <w:tc>
          <w:tcPr>
            <w:tcW w:w="1271" w:type="dxa"/>
            <w:shd w:val="clear" w:color="auto" w:fill="C6EFCE"/>
            <w:vAlign w:val="center"/>
          </w:tcPr>
          <w:p w14:paraId="7890C1CB"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214</w:t>
            </w:r>
          </w:p>
        </w:tc>
        <w:tc>
          <w:tcPr>
            <w:tcW w:w="1559" w:type="dxa"/>
            <w:shd w:val="clear" w:color="auto" w:fill="C6EFCE"/>
            <w:vAlign w:val="center"/>
          </w:tcPr>
          <w:p w14:paraId="64678354"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Primes à l’énergie – Communauté germanophone (I-7.03)</w:t>
            </w:r>
          </w:p>
        </w:tc>
        <w:tc>
          <w:tcPr>
            <w:tcW w:w="709" w:type="dxa"/>
            <w:shd w:val="clear" w:color="auto" w:fill="C6EFCE"/>
            <w:vAlign w:val="center"/>
          </w:tcPr>
          <w:p w14:paraId="72260DA5"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8" w:type="dxa"/>
            <w:shd w:val="clear" w:color="auto" w:fill="C6EFCE"/>
            <w:vAlign w:val="center"/>
          </w:tcPr>
          <w:p w14:paraId="38E674DE"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w:t>
            </w:r>
          </w:p>
        </w:tc>
        <w:tc>
          <w:tcPr>
            <w:tcW w:w="1275" w:type="dxa"/>
            <w:shd w:val="clear" w:color="auto" w:fill="C6EFCE"/>
            <w:vAlign w:val="center"/>
          </w:tcPr>
          <w:p w14:paraId="7C1E4149" w14:textId="77777777" w:rsidR="000D1388" w:rsidRPr="00875D4B" w:rsidRDefault="000D1388">
            <w:pPr>
              <w:spacing w:after="0"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2FBB8927"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34" w:type="dxa"/>
            <w:shd w:val="clear" w:color="auto" w:fill="C6EFCE"/>
            <w:vAlign w:val="center"/>
          </w:tcPr>
          <w:p w14:paraId="48896BEB"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vAlign w:val="center"/>
          </w:tcPr>
          <w:p w14:paraId="5AFDEC8A"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774</w:t>
            </w:r>
          </w:p>
        </w:tc>
        <w:tc>
          <w:tcPr>
            <w:tcW w:w="1134" w:type="dxa"/>
            <w:shd w:val="clear" w:color="auto" w:fill="C6EFCE"/>
            <w:vAlign w:val="center"/>
          </w:tcPr>
          <w:p w14:paraId="5A683FA0"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6C5DC0A1"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4113" w:type="dxa"/>
            <w:shd w:val="clear" w:color="auto" w:fill="C6EFCE"/>
            <w:vAlign w:val="center"/>
          </w:tcPr>
          <w:p w14:paraId="63B3C2B8"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774 subventions octroyées dans le domaine de l’énergie</w:t>
            </w:r>
          </w:p>
        </w:tc>
      </w:tr>
      <w:tr w:rsidR="00F76C04" w:rsidRPr="00875D4B" w14:paraId="562658BE" w14:textId="77777777" w:rsidTr="008B6800">
        <w:trPr>
          <w:jc w:val="center"/>
        </w:trPr>
        <w:tc>
          <w:tcPr>
            <w:tcW w:w="1271" w:type="dxa"/>
            <w:shd w:val="clear" w:color="auto" w:fill="C6EFCE"/>
            <w:vAlign w:val="center"/>
          </w:tcPr>
          <w:p w14:paraId="35FF1074"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215</w:t>
            </w:r>
          </w:p>
        </w:tc>
        <w:tc>
          <w:tcPr>
            <w:tcW w:w="1559" w:type="dxa"/>
            <w:shd w:val="clear" w:color="auto" w:fill="C6EFCE"/>
            <w:vAlign w:val="center"/>
          </w:tcPr>
          <w:p w14:paraId="1526FFD9" w14:textId="46FA7DF4" w:rsidR="000D1388" w:rsidRPr="00875D4B" w:rsidRDefault="008C1C25">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Mesures d’efficacité énergétique dans les logements sociaux – WAL (I-7.04)</w:t>
            </w:r>
          </w:p>
        </w:tc>
        <w:tc>
          <w:tcPr>
            <w:tcW w:w="709" w:type="dxa"/>
            <w:shd w:val="clear" w:color="auto" w:fill="C6EFCE"/>
            <w:vAlign w:val="center"/>
          </w:tcPr>
          <w:p w14:paraId="1431D9D0" w14:textId="77777777" w:rsidR="000D1388" w:rsidRPr="00875D4B" w:rsidRDefault="00E71057">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8" w:type="dxa"/>
            <w:shd w:val="clear" w:color="auto" w:fill="C6EFCE"/>
            <w:vAlign w:val="center"/>
          </w:tcPr>
          <w:p w14:paraId="577DB9F5"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Panneaux solaires et pompes à chaleur dans les logements sociaux</w:t>
            </w:r>
          </w:p>
        </w:tc>
        <w:tc>
          <w:tcPr>
            <w:tcW w:w="1275" w:type="dxa"/>
            <w:shd w:val="clear" w:color="auto" w:fill="C6EFCE"/>
            <w:vAlign w:val="center"/>
          </w:tcPr>
          <w:p w14:paraId="0D53CB17" w14:textId="77777777" w:rsidR="000D1388" w:rsidRPr="00875D4B" w:rsidRDefault="000D1388">
            <w:pPr>
              <w:spacing w:after="0"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62A2F816"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34" w:type="dxa"/>
            <w:shd w:val="clear" w:color="auto" w:fill="C6EFCE"/>
            <w:vAlign w:val="center"/>
          </w:tcPr>
          <w:p w14:paraId="21144FD1"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vAlign w:val="center"/>
          </w:tcPr>
          <w:p w14:paraId="2346C704"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1 532</w:t>
            </w:r>
          </w:p>
        </w:tc>
        <w:tc>
          <w:tcPr>
            <w:tcW w:w="1134" w:type="dxa"/>
            <w:shd w:val="clear" w:color="auto" w:fill="C6EFCE"/>
            <w:vAlign w:val="center"/>
          </w:tcPr>
          <w:p w14:paraId="6D4D9FDE"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55FB096C"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113" w:type="dxa"/>
            <w:shd w:val="clear" w:color="auto" w:fill="C6EFCE"/>
            <w:vAlign w:val="center"/>
          </w:tcPr>
          <w:p w14:paraId="1AA56527"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1 532 logements sociaux seront équipés de panneaux solaires, dont 112 de panneaux solaires et de pompes à chaleur.</w:t>
            </w:r>
          </w:p>
        </w:tc>
      </w:tr>
      <w:tr w:rsidR="00F76C04" w:rsidRPr="00875D4B" w14:paraId="6E1EF0D0" w14:textId="77777777" w:rsidTr="008B6800">
        <w:trPr>
          <w:jc w:val="center"/>
        </w:trPr>
        <w:tc>
          <w:tcPr>
            <w:tcW w:w="1271" w:type="dxa"/>
            <w:shd w:val="clear" w:color="auto" w:fill="C6EFCE"/>
            <w:vAlign w:val="center"/>
          </w:tcPr>
          <w:p w14:paraId="1827471E"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216</w:t>
            </w:r>
          </w:p>
        </w:tc>
        <w:tc>
          <w:tcPr>
            <w:tcW w:w="1559" w:type="dxa"/>
            <w:shd w:val="clear" w:color="auto" w:fill="C6EFCE"/>
            <w:vAlign w:val="center"/>
          </w:tcPr>
          <w:p w14:paraId="35E0186D" w14:textId="77777777" w:rsidR="000D1388" w:rsidRPr="00875D4B" w:rsidRDefault="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Mesures pour la neutralité énergétique et climatique des bâtiments publics – État fédéral (I-7.05)</w:t>
            </w:r>
          </w:p>
        </w:tc>
        <w:tc>
          <w:tcPr>
            <w:tcW w:w="709" w:type="dxa"/>
            <w:shd w:val="clear" w:color="auto" w:fill="C6EFCE"/>
            <w:vAlign w:val="center"/>
          </w:tcPr>
          <w:p w14:paraId="7115CEDC"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8" w:type="dxa"/>
            <w:shd w:val="clear" w:color="auto" w:fill="C6EFCE"/>
            <w:vAlign w:val="center"/>
          </w:tcPr>
          <w:p w14:paraId="6CADAFC7"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Projets d’installation</w:t>
            </w:r>
          </w:p>
        </w:tc>
        <w:tc>
          <w:tcPr>
            <w:tcW w:w="1275" w:type="dxa"/>
            <w:shd w:val="clear" w:color="auto" w:fill="C6EFCE"/>
            <w:vAlign w:val="center"/>
          </w:tcPr>
          <w:p w14:paraId="5E3D47D2" w14:textId="77777777" w:rsidR="000D1388" w:rsidRPr="00875D4B" w:rsidRDefault="000D1388">
            <w:pPr>
              <w:spacing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6FF93E18"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34" w:type="dxa"/>
            <w:shd w:val="clear" w:color="auto" w:fill="C6EFCE"/>
            <w:vAlign w:val="center"/>
          </w:tcPr>
          <w:p w14:paraId="47D013C2"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vAlign w:val="center"/>
          </w:tcPr>
          <w:p w14:paraId="1492C8D4" w14:textId="77777777" w:rsidR="000D1388" w:rsidRPr="00875D4B" w:rsidRDefault="00E71057">
            <w:pPr>
              <w:spacing w:line="240" w:lineRule="auto"/>
              <w:rPr>
                <w:rFonts w:ascii="Times New Roman" w:eastAsia="Calibri" w:hAnsi="Times New Roman" w:cs="Arial"/>
                <w:noProof/>
                <w:color w:val="006100"/>
                <w:sz w:val="20"/>
                <w:szCs w:val="20"/>
              </w:rPr>
            </w:pPr>
            <w:r>
              <w:rPr>
                <w:rFonts w:ascii="Times New Roman" w:hAnsi="Times New Roman"/>
                <w:noProof/>
                <w:color w:val="006100"/>
                <w:sz w:val="20"/>
              </w:rPr>
              <w:t>52</w:t>
            </w:r>
          </w:p>
        </w:tc>
        <w:tc>
          <w:tcPr>
            <w:tcW w:w="1134" w:type="dxa"/>
            <w:shd w:val="clear" w:color="auto" w:fill="C6EFCE"/>
            <w:vAlign w:val="center"/>
          </w:tcPr>
          <w:p w14:paraId="5E2F2E34"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shd w:val="clear" w:color="auto" w:fill="C6EFCE"/>
            <w:vAlign w:val="center"/>
          </w:tcPr>
          <w:p w14:paraId="530C5BC7"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4113" w:type="dxa"/>
            <w:shd w:val="clear" w:color="auto" w:fill="C6EFCE"/>
            <w:vAlign w:val="center"/>
          </w:tcPr>
          <w:p w14:paraId="1C29C7CC" w14:textId="77777777" w:rsidR="000D1388" w:rsidRPr="00875D4B" w:rsidRDefault="00E71057">
            <w:pPr>
              <w:spacing w:before="210" w:after="21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Rapports officiels de réception de chacun des 52 projets, confirmant l’installation:</w:t>
            </w:r>
          </w:p>
          <w:p w14:paraId="09E2A32C" w14:textId="77777777" w:rsidR="000D1388" w:rsidRPr="00875D4B" w:rsidRDefault="00E71057" w:rsidP="00F70F65">
            <w:pPr>
              <w:numPr>
                <w:ilvl w:val="0"/>
                <w:numId w:val="63"/>
              </w:numPr>
              <w:spacing w:after="0" w:line="240"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 LED de 161 kW,</w:t>
            </w:r>
          </w:p>
          <w:p w14:paraId="569A7C17" w14:textId="77777777" w:rsidR="000D1388" w:rsidRPr="00875D4B" w:rsidRDefault="00E71057" w:rsidP="00F70F65">
            <w:pPr>
              <w:numPr>
                <w:ilvl w:val="0"/>
                <w:numId w:val="63"/>
              </w:numPr>
              <w:spacing w:after="0" w:line="240"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 panneaux solaires de 3 624 kWp; et</w:t>
            </w:r>
          </w:p>
          <w:p w14:paraId="7F976587" w14:textId="77777777" w:rsidR="000D1388" w:rsidRPr="00875D4B" w:rsidRDefault="00E71057" w:rsidP="00F70F65">
            <w:pPr>
              <w:numPr>
                <w:ilvl w:val="0"/>
                <w:numId w:val="63"/>
              </w:numPr>
              <w:spacing w:after="0" w:line="240"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 172 bornes de recharge</w:t>
            </w:r>
          </w:p>
        </w:tc>
      </w:tr>
      <w:tr w:rsidR="00F76C04" w:rsidRPr="00875D4B" w14:paraId="0389391E" w14:textId="77777777" w:rsidTr="008B6800">
        <w:trPr>
          <w:jc w:val="center"/>
        </w:trPr>
        <w:tc>
          <w:tcPr>
            <w:tcW w:w="1271" w:type="dxa"/>
            <w:shd w:val="clear" w:color="auto" w:fill="C6EFCE"/>
            <w:vAlign w:val="center"/>
          </w:tcPr>
          <w:p w14:paraId="340956AC"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217</w:t>
            </w:r>
          </w:p>
        </w:tc>
        <w:tc>
          <w:tcPr>
            <w:tcW w:w="1559" w:type="dxa"/>
            <w:shd w:val="clear" w:color="auto" w:fill="C6EFCE"/>
            <w:vAlign w:val="center"/>
          </w:tcPr>
          <w:p w14:paraId="654EC8BE" w14:textId="12BECADE" w:rsidR="000D1388" w:rsidRPr="00875D4B" w:rsidRDefault="7DBA1871">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Pompes à chaleur, isolation, panneaux solaires ou lampes LED dans les bâtiments (I-7.10)</w:t>
            </w:r>
          </w:p>
        </w:tc>
        <w:tc>
          <w:tcPr>
            <w:tcW w:w="709" w:type="dxa"/>
            <w:shd w:val="clear" w:color="auto" w:fill="C6EFCE"/>
            <w:vAlign w:val="center"/>
          </w:tcPr>
          <w:p w14:paraId="1A780D13" w14:textId="77777777" w:rsidR="000D1388" w:rsidRPr="00875D4B" w:rsidRDefault="00E71057">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8" w:type="dxa"/>
            <w:shd w:val="clear" w:color="auto" w:fill="C6EFCE"/>
            <w:vAlign w:val="center"/>
          </w:tcPr>
          <w:p w14:paraId="0A9A4289" w14:textId="3C796D3B" w:rsidR="000D1388" w:rsidRPr="001D3FCA" w:rsidRDefault="3DD1BA30">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Pompes à chaleur, isolation, panneaux solaires ou lampes LED</w:t>
            </w:r>
          </w:p>
        </w:tc>
        <w:tc>
          <w:tcPr>
            <w:tcW w:w="1275" w:type="dxa"/>
            <w:shd w:val="clear" w:color="auto" w:fill="C6EFCE"/>
            <w:vAlign w:val="center"/>
          </w:tcPr>
          <w:p w14:paraId="5AF730D3" w14:textId="77777777" w:rsidR="000D1388" w:rsidRPr="001D3FCA" w:rsidRDefault="000D1388">
            <w:pPr>
              <w:spacing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5818EB30"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34" w:type="dxa"/>
            <w:shd w:val="clear" w:color="auto" w:fill="C6EFCE"/>
            <w:vAlign w:val="center"/>
          </w:tcPr>
          <w:p w14:paraId="4F0376CA"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vAlign w:val="center"/>
          </w:tcPr>
          <w:p w14:paraId="52F101DE" w14:textId="19604E52" w:rsidR="000D1388" w:rsidRPr="00875D4B" w:rsidRDefault="44506A58">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w:t>
            </w:r>
          </w:p>
        </w:tc>
        <w:tc>
          <w:tcPr>
            <w:tcW w:w="1134" w:type="dxa"/>
            <w:shd w:val="clear" w:color="auto" w:fill="C6EFCE"/>
            <w:vAlign w:val="center"/>
          </w:tcPr>
          <w:p w14:paraId="02E17D5D"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1F9318DA"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113" w:type="dxa"/>
            <w:shd w:val="clear" w:color="auto" w:fill="C6EFCE"/>
            <w:vAlign w:val="center"/>
          </w:tcPr>
          <w:p w14:paraId="692D2249" w14:textId="778089C5" w:rsidR="000D1388" w:rsidRPr="00875D4B" w:rsidRDefault="5D23607F">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de pompes à chaleur, d’isolation, de panneaux solaires ou de lampes LED dans 20 bâtiments.</w:t>
            </w:r>
          </w:p>
        </w:tc>
      </w:tr>
      <w:tr w:rsidR="00F76C04" w:rsidRPr="00875D4B" w14:paraId="08EF74F4" w14:textId="77777777" w:rsidTr="008B6800">
        <w:trPr>
          <w:jc w:val="center"/>
        </w:trPr>
        <w:tc>
          <w:tcPr>
            <w:tcW w:w="1271" w:type="dxa"/>
            <w:shd w:val="clear" w:color="auto" w:fill="C6EFCE"/>
            <w:vAlign w:val="center"/>
          </w:tcPr>
          <w:p w14:paraId="4260EB45"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218</w:t>
            </w:r>
          </w:p>
        </w:tc>
        <w:tc>
          <w:tcPr>
            <w:tcW w:w="1559" w:type="dxa"/>
            <w:shd w:val="clear" w:color="auto" w:fill="C6EFCE"/>
            <w:vAlign w:val="center"/>
          </w:tcPr>
          <w:p w14:paraId="1B2E98D3" w14:textId="19323CC3" w:rsidR="000D1388" w:rsidRPr="00875D4B" w:rsidRDefault="2017EBD9">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Mesures énergétiques pour les bâtiments - VLA (I-7)</w:t>
            </w:r>
          </w:p>
        </w:tc>
        <w:tc>
          <w:tcPr>
            <w:tcW w:w="709" w:type="dxa"/>
            <w:shd w:val="clear" w:color="auto" w:fill="C6EFCE"/>
            <w:vAlign w:val="center"/>
          </w:tcPr>
          <w:p w14:paraId="65A99990" w14:textId="77777777" w:rsidR="000D1388" w:rsidRPr="00875D4B" w:rsidRDefault="00E71057">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8" w:type="dxa"/>
            <w:shd w:val="clear" w:color="auto" w:fill="C6EFCE"/>
            <w:vAlign w:val="center"/>
          </w:tcPr>
          <w:p w14:paraId="36750B05" w14:textId="2AD4CC03"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Mesures énergétiques pour les bâtiments</w:t>
            </w:r>
          </w:p>
        </w:tc>
        <w:tc>
          <w:tcPr>
            <w:tcW w:w="1275" w:type="dxa"/>
            <w:shd w:val="clear" w:color="auto" w:fill="C6EFCE"/>
            <w:vAlign w:val="center"/>
          </w:tcPr>
          <w:p w14:paraId="43349343" w14:textId="77777777" w:rsidR="000D1388" w:rsidRPr="00875D4B" w:rsidRDefault="000D1388">
            <w:pPr>
              <w:spacing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53024004"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34" w:type="dxa"/>
            <w:shd w:val="clear" w:color="auto" w:fill="C6EFCE"/>
            <w:vAlign w:val="center"/>
          </w:tcPr>
          <w:p w14:paraId="185EA8A8"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vAlign w:val="center"/>
          </w:tcPr>
          <w:p w14:paraId="0278E849"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554</w:t>
            </w:r>
          </w:p>
        </w:tc>
        <w:tc>
          <w:tcPr>
            <w:tcW w:w="1134" w:type="dxa"/>
            <w:shd w:val="clear" w:color="auto" w:fill="C6EFCE"/>
            <w:vAlign w:val="center"/>
          </w:tcPr>
          <w:p w14:paraId="7373F549"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4295D746"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113" w:type="dxa"/>
            <w:shd w:val="clear" w:color="auto" w:fill="C6EFCE"/>
            <w:vAlign w:val="center"/>
          </w:tcPr>
          <w:p w14:paraId="09707C9D" w14:textId="4A1B4A8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Trois bâtiments seront rénovés (I-7.06).</w:t>
            </w:r>
          </w:p>
          <w:p w14:paraId="3B6940E4" w14:textId="1406F9E2"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Au moins 100 bâtiments seront équipés d’au moins 20 300 kWp cumulés de panneaux solaires (I-7.07).</w:t>
            </w:r>
          </w:p>
          <w:p w14:paraId="4FEB4AF6" w14:textId="0647D2D2" w:rsidR="000D1388" w:rsidRPr="00875D4B" w:rsidRDefault="2EACC362">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Au moins 450 bâtiments feront l’objet d’un audit énergétique ou auront finalisé des mesures énergétiques (I-7.08). </w:t>
            </w:r>
          </w:p>
          <w:p w14:paraId="10A79AEF"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Le bâtiment de la VRT sera équipé de pompes à chaleur et de panneaux isolants pour la toiture (I-7.09).</w:t>
            </w:r>
          </w:p>
        </w:tc>
      </w:tr>
      <w:tr w:rsidR="00F76C04" w:rsidRPr="00875D4B" w14:paraId="1ADC13D8" w14:textId="77777777" w:rsidTr="008B6800">
        <w:trPr>
          <w:jc w:val="center"/>
        </w:trPr>
        <w:tc>
          <w:tcPr>
            <w:tcW w:w="1271" w:type="dxa"/>
            <w:shd w:val="clear" w:color="auto" w:fill="C6EFCE"/>
            <w:vAlign w:val="center"/>
          </w:tcPr>
          <w:p w14:paraId="65667BF8"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260</w:t>
            </w:r>
          </w:p>
        </w:tc>
        <w:tc>
          <w:tcPr>
            <w:tcW w:w="1559" w:type="dxa"/>
            <w:shd w:val="clear" w:color="auto" w:fill="C6EFCE"/>
            <w:vAlign w:val="center"/>
          </w:tcPr>
          <w:p w14:paraId="27AED64D" w14:textId="40434C28" w:rsidR="000D1388" w:rsidRPr="00E2248F"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en Région wallonne (I-7.26)</w:t>
            </w:r>
          </w:p>
        </w:tc>
        <w:tc>
          <w:tcPr>
            <w:tcW w:w="709" w:type="dxa"/>
            <w:shd w:val="clear" w:color="auto" w:fill="C6EFCE"/>
            <w:vAlign w:val="center"/>
          </w:tcPr>
          <w:p w14:paraId="79600F73" w14:textId="77777777" w:rsidR="000D1388" w:rsidRPr="00E2248F" w:rsidRDefault="00E71057">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8" w:type="dxa"/>
            <w:shd w:val="clear" w:color="auto" w:fill="C6EFCE"/>
            <w:vAlign w:val="center"/>
          </w:tcPr>
          <w:p w14:paraId="753DB9EB" w14:textId="03176EED" w:rsidR="000D1388" w:rsidRPr="00E2248F"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Versement des primes à la rénovation énergétique des logements</w:t>
            </w:r>
          </w:p>
        </w:tc>
        <w:tc>
          <w:tcPr>
            <w:tcW w:w="1275" w:type="dxa"/>
            <w:shd w:val="clear" w:color="auto" w:fill="C6EFCE"/>
            <w:vAlign w:val="center"/>
          </w:tcPr>
          <w:p w14:paraId="5C12520C" w14:textId="77777777" w:rsidR="000D1388" w:rsidRPr="00746A1A" w:rsidRDefault="000D1388">
            <w:pPr>
              <w:spacing w:line="240" w:lineRule="auto"/>
              <w:rPr>
                <w:rFonts w:ascii="Times New Roman" w:eastAsia="Times New Roman" w:hAnsi="Times New Roman" w:cs="Times New Roman"/>
                <w:noProof/>
                <w:color w:val="006100"/>
                <w:sz w:val="20"/>
                <w:szCs w:val="20"/>
                <w:lang w:val="fr-BE"/>
              </w:rPr>
            </w:pPr>
          </w:p>
        </w:tc>
        <w:tc>
          <w:tcPr>
            <w:tcW w:w="993" w:type="dxa"/>
            <w:shd w:val="clear" w:color="auto" w:fill="C6EFCE"/>
            <w:vAlign w:val="center"/>
          </w:tcPr>
          <w:p w14:paraId="45E282EE"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34" w:type="dxa"/>
            <w:shd w:val="clear" w:color="auto" w:fill="C6EFCE"/>
            <w:vAlign w:val="center"/>
          </w:tcPr>
          <w:p w14:paraId="1DC5C5DF"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vAlign w:val="center"/>
          </w:tcPr>
          <w:p w14:paraId="4744B495"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48 800</w:t>
            </w:r>
          </w:p>
        </w:tc>
        <w:tc>
          <w:tcPr>
            <w:tcW w:w="1134" w:type="dxa"/>
            <w:shd w:val="clear" w:color="auto" w:fill="C6EFCE"/>
            <w:vAlign w:val="center"/>
          </w:tcPr>
          <w:p w14:paraId="31D0974A"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2A48BF96"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113" w:type="dxa"/>
            <w:shd w:val="clear" w:color="auto" w:fill="C6EFCE"/>
            <w:vAlign w:val="center"/>
          </w:tcPr>
          <w:p w14:paraId="43EA9ED4" w14:textId="2A8C9431" w:rsidR="000D1388" w:rsidRPr="00875D4B" w:rsidDel="249E366D" w:rsidRDefault="73B59D02">
            <w:pPr>
              <w:spacing w:line="240" w:lineRule="auto"/>
              <w:rPr>
                <w:rFonts w:ascii="Times New Roman" w:eastAsia="Calibri" w:hAnsi="Times New Roman" w:cs="Arial"/>
                <w:noProof/>
                <w:color w:val="006100"/>
                <w:sz w:val="20"/>
                <w:szCs w:val="20"/>
              </w:rPr>
            </w:pPr>
            <w:r>
              <w:rPr>
                <w:rFonts w:ascii="Times New Roman" w:hAnsi="Times New Roman"/>
                <w:noProof/>
                <w:color w:val="006100"/>
                <w:sz w:val="20"/>
              </w:rPr>
              <w:t xml:space="preserve">48 800 primes à la rénovation énergétique des logements seront versées. </w:t>
            </w:r>
          </w:p>
        </w:tc>
      </w:tr>
      <w:tr w:rsidR="00F76C04" w:rsidRPr="00875D4B" w14:paraId="66B3220B" w14:textId="77777777" w:rsidTr="008B6800">
        <w:trPr>
          <w:trHeight w:val="300"/>
          <w:jc w:val="center"/>
        </w:trPr>
        <w:tc>
          <w:tcPr>
            <w:tcW w:w="1271" w:type="dxa"/>
            <w:shd w:val="clear" w:color="auto" w:fill="C6EFCE"/>
            <w:vAlign w:val="center"/>
          </w:tcPr>
          <w:p w14:paraId="07F1FD5E" w14:textId="77777777" w:rsidR="000D1388" w:rsidRPr="00875D4B"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261</w:t>
            </w:r>
          </w:p>
        </w:tc>
        <w:tc>
          <w:tcPr>
            <w:tcW w:w="1559" w:type="dxa"/>
            <w:shd w:val="clear" w:color="auto" w:fill="C6EFCE"/>
            <w:vAlign w:val="center"/>
          </w:tcPr>
          <w:p w14:paraId="6991C5F4" w14:textId="77777777" w:rsidR="000D1388" w:rsidRPr="00875D4B"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 BCR (I-7.01)</w:t>
            </w:r>
          </w:p>
        </w:tc>
        <w:tc>
          <w:tcPr>
            <w:tcW w:w="709" w:type="dxa"/>
            <w:shd w:val="clear" w:color="auto" w:fill="C6EFCE"/>
            <w:vAlign w:val="center"/>
          </w:tcPr>
          <w:p w14:paraId="1864146F" w14:textId="77777777" w:rsidR="000D1388" w:rsidRPr="00875D4B" w:rsidRDefault="00E71057" w:rsidP="00E71057">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8" w:type="dxa"/>
            <w:shd w:val="clear" w:color="auto" w:fill="C6EFCE"/>
            <w:vAlign w:val="center"/>
          </w:tcPr>
          <w:p w14:paraId="5270A44A" w14:textId="219E24EC" w:rsidR="000D1388" w:rsidRPr="000208DC"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Rénovation de logements </w:t>
            </w:r>
          </w:p>
        </w:tc>
        <w:tc>
          <w:tcPr>
            <w:tcW w:w="1275" w:type="dxa"/>
            <w:shd w:val="clear" w:color="auto" w:fill="C6EFCE"/>
            <w:vAlign w:val="center"/>
          </w:tcPr>
          <w:p w14:paraId="465B8D0A" w14:textId="77777777" w:rsidR="000D1388" w:rsidRPr="000208DC" w:rsidRDefault="000D1388">
            <w:pPr>
              <w:spacing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413E9086" w14:textId="77777777" w:rsidR="000D1388" w:rsidRPr="000208DC"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34" w:type="dxa"/>
            <w:shd w:val="clear" w:color="auto" w:fill="C6EFCE"/>
            <w:vAlign w:val="center"/>
          </w:tcPr>
          <w:p w14:paraId="183B40FE" w14:textId="77777777" w:rsidR="000D1388" w:rsidRPr="000208DC"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4 200</w:t>
            </w:r>
          </w:p>
        </w:tc>
        <w:tc>
          <w:tcPr>
            <w:tcW w:w="992" w:type="dxa"/>
            <w:shd w:val="clear" w:color="auto" w:fill="C6EFCE"/>
            <w:vAlign w:val="center"/>
          </w:tcPr>
          <w:p w14:paraId="343921B9" w14:textId="77777777" w:rsidR="000D1388" w:rsidRPr="000208DC"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6 256</w:t>
            </w:r>
          </w:p>
        </w:tc>
        <w:tc>
          <w:tcPr>
            <w:tcW w:w="1134" w:type="dxa"/>
            <w:shd w:val="clear" w:color="auto" w:fill="C6EFCE"/>
            <w:vAlign w:val="center"/>
          </w:tcPr>
          <w:p w14:paraId="0ECF7AB2" w14:textId="77777777" w:rsidR="000D1388" w:rsidRPr="000208DC"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48A2B2E4" w14:textId="77777777" w:rsidR="000D1388" w:rsidRPr="000208DC" w:rsidRDefault="00E71057">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113" w:type="dxa"/>
            <w:shd w:val="clear" w:color="auto" w:fill="C6EFCE"/>
            <w:vAlign w:val="center"/>
          </w:tcPr>
          <w:p w14:paraId="24B59F75" w14:textId="2459CBA2" w:rsidR="000D1388" w:rsidRPr="000208DC" w:rsidRDefault="73B59D02" w:rsidP="00E71057">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2 056 logements sont rénovés afin de réduire la demande d’énergie primaire.</w:t>
            </w:r>
          </w:p>
        </w:tc>
      </w:tr>
    </w:tbl>
    <w:p w14:paraId="012DF856" w14:textId="77777777" w:rsidR="000D1388" w:rsidRPr="00746A1A" w:rsidRDefault="000D1388" w:rsidP="00E71057">
      <w:pPr>
        <w:spacing w:line="276" w:lineRule="auto"/>
        <w:rPr>
          <w:rFonts w:ascii="Times New Roman" w:eastAsia="Times New Roman" w:hAnsi="Times New Roman" w:cs="Times New Roman"/>
          <w:b/>
          <w:noProof/>
          <w:color w:val="44546A"/>
          <w:sz w:val="32"/>
          <w:szCs w:val="32"/>
          <w:lang w:val="fr-BE"/>
        </w:rPr>
        <w:sectPr w:rsidR="000D1388" w:rsidRPr="00746A1A" w:rsidSect="00E71057">
          <w:headerReference w:type="even" r:id="rId246"/>
          <w:headerReference w:type="default" r:id="rId247"/>
          <w:footerReference w:type="even" r:id="rId248"/>
          <w:footerReference w:type="default" r:id="rId249"/>
          <w:headerReference w:type="first" r:id="rId250"/>
          <w:footerReference w:type="first" r:id="rId251"/>
          <w:pgSz w:w="16838" w:h="11906" w:orient="landscape"/>
          <w:pgMar w:top="1134" w:right="1134" w:bottom="1134" w:left="1134" w:header="567" w:footer="567" w:gutter="0"/>
          <w:cols w:space="708"/>
          <w:docGrid w:linePitch="360"/>
        </w:sectPr>
      </w:pPr>
    </w:p>
    <w:p w14:paraId="5B9CA3C7"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 xml:space="preserve">S. </w:t>
      </w:r>
      <w:r>
        <w:rPr>
          <w:rFonts w:ascii="Times New Roman" w:hAnsi="Times New Roman"/>
          <w:b/>
          <w:caps/>
          <w:noProof/>
          <w:sz w:val="24"/>
        </w:rPr>
        <w:t>COMPOSANTE</w:t>
      </w:r>
      <w:r>
        <w:rPr>
          <w:rFonts w:ascii="Times New Roman" w:hAnsi="Times New Roman"/>
          <w:b/>
          <w:smallCaps/>
          <w:noProof/>
          <w:sz w:val="24"/>
        </w:rPr>
        <w:t> 7.2: Nouvelles technologies énergétiques émergentes</w:t>
      </w:r>
    </w:p>
    <w:p w14:paraId="2343ED67"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vise à donner une forte impulsion aux développements technologiques au soutien de la transition énergétique pour réduire les émissions de CO</w:t>
      </w:r>
      <w:r>
        <w:rPr>
          <w:rFonts w:ascii="Times New Roman" w:hAnsi="Times New Roman"/>
          <w:noProof/>
          <w:sz w:val="24"/>
          <w:vertAlign w:val="subscript"/>
        </w:rPr>
        <w:t>2</w:t>
      </w:r>
      <w:r>
        <w:rPr>
          <w:rFonts w:ascii="Times New Roman" w:hAnsi="Times New Roman"/>
          <w:noProof/>
          <w:sz w:val="24"/>
        </w:rPr>
        <w:t>, en mettant l’accent sur l’intégration des systèmes et la décarbonation industrielle.</w:t>
      </w:r>
    </w:p>
    <w:p w14:paraId="7FF73AC4"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bookmarkStart w:id="15" w:name="_Hlk142416993"/>
      <w:r>
        <w:rPr>
          <w:rFonts w:ascii="Times New Roman" w:hAnsi="Times New Roman"/>
          <w:noProof/>
          <w:sz w:val="24"/>
        </w:rPr>
        <w:t>Elle contribue à répondre à la recommandation par pays nº 4 de 2022 et à la recommandation par pays nº 4 de 2023, appelant la Belgique à réduire la dépendance globale à l’égard des combustibles fossiles</w:t>
      </w:r>
      <w:bookmarkEnd w:id="15"/>
      <w:r>
        <w:rPr>
          <w:rFonts w:ascii="Times New Roman" w:hAnsi="Times New Roman"/>
          <w:noProof/>
          <w:sz w:val="24"/>
        </w:rPr>
        <w:t>, entre autres, en stimulant davantage la décarbonation de l’industrie et à intensifier les efforts visant à acquérir les aptitudes et les compétences nécessaires à la transition écologique.</w:t>
      </w:r>
    </w:p>
    <w:p w14:paraId="4A9673CE"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bookmarkStart w:id="16" w:name="_Hlk142416148"/>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bookmarkEnd w:id="16"/>
    </w:p>
    <w:p w14:paraId="08E57065" w14:textId="77777777" w:rsidR="000D1388" w:rsidRPr="009D65D8" w:rsidRDefault="00E71057" w:rsidP="00E71057">
      <w:pPr>
        <w:spacing w:after="120" w:line="240" w:lineRule="auto"/>
        <w:rPr>
          <w:rFonts w:ascii="Times New Roman" w:eastAsia="Times New Roman" w:hAnsi="Times New Roman" w:cs="Times New Roman"/>
          <w:b/>
          <w:noProof/>
          <w:sz w:val="32"/>
          <w:szCs w:val="32"/>
          <w:u w:val="single"/>
        </w:rPr>
      </w:pPr>
      <w:bookmarkStart w:id="17" w:name="_Hlk142330835"/>
      <w:r>
        <w:rPr>
          <w:rFonts w:ascii="Times New Roman" w:hAnsi="Times New Roman"/>
          <w:b/>
          <w:noProof/>
          <w:sz w:val="24"/>
          <w:u w:val="single"/>
        </w:rPr>
        <w:t>S.1. Description des réformes et des investissements en vue du soutien financier non remboursable</w:t>
      </w:r>
    </w:p>
    <w:bookmarkEnd w:id="17"/>
    <w:p w14:paraId="65157BE6" w14:textId="77777777" w:rsidR="000D1388" w:rsidRPr="009D65D8" w:rsidRDefault="00E71057" w:rsidP="00E71057">
      <w:pPr>
        <w:spacing w:before="120" w:after="120" w:line="240" w:lineRule="auto"/>
        <w:rPr>
          <w:rFonts w:ascii="Times New Roman" w:eastAsia="Times New Roman" w:hAnsi="Times New Roman" w:cs="Times New Roman"/>
          <w:b/>
          <w:noProof/>
          <w:color w:val="000000"/>
          <w:sz w:val="24"/>
          <w:szCs w:val="24"/>
        </w:rPr>
      </w:pPr>
      <w:r>
        <w:rPr>
          <w:rFonts w:ascii="Times New Roman" w:hAnsi="Times New Roman"/>
          <w:noProof/>
          <w:sz w:val="24"/>
          <w:u w:val="single"/>
        </w:rPr>
        <w:t>Investissement I-7.11: «Plateforme de recherche sur la transition énergétique» de la Communauté française</w:t>
      </w:r>
    </w:p>
    <w:p w14:paraId="043F2304"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32"/>
        </w:rPr>
      </w:pPr>
      <w:r>
        <w:rPr>
          <w:rFonts w:ascii="Times New Roman" w:hAnsi="Times New Roman"/>
          <w:noProof/>
          <w:sz w:val="24"/>
        </w:rPr>
        <w:t xml:space="preserve">Cette mesure consiste en des investissements dans une série d’installations et d’équipements de R&amp;D au profit des universités francophones. </w:t>
      </w:r>
    </w:p>
    <w:p w14:paraId="052EF89E" w14:textId="54179857" w:rsidR="000D1388" w:rsidRPr="009D65D8" w:rsidRDefault="00E71057" w:rsidP="00E71057">
      <w:pPr>
        <w:spacing w:before="120" w:after="120" w:line="240" w:lineRule="auto"/>
        <w:rPr>
          <w:rFonts w:ascii="Times New Roman" w:eastAsia="Times New Roman" w:hAnsi="Times New Roman" w:cs="Times New Roman"/>
          <w:bCs/>
          <w:noProof/>
          <w:sz w:val="24"/>
          <w:szCs w:val="24"/>
        </w:rPr>
      </w:pPr>
      <w:r>
        <w:rPr>
          <w:rFonts w:ascii="Times New Roman" w:hAnsi="Times New Roman"/>
          <w:noProof/>
          <w:sz w:val="24"/>
          <w:u w:val="single"/>
        </w:rPr>
        <w:t>Investissement I-7.14: «Appel à des mesures pour le climat dans l’agriculture» (Région flamande)</w:t>
      </w:r>
    </w:p>
    <w:p w14:paraId="760486A8" w14:textId="40F234D1" w:rsidR="000D1388" w:rsidRPr="009D65D8" w:rsidRDefault="00E71057" w:rsidP="00E71057">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d’investissement vise à réduire les émissions de gaz à effet de serre dans le secteur agricole. Elle consiste à soutenir </w:t>
      </w:r>
      <w:r>
        <w:rPr>
          <w:rFonts w:ascii="Times New Roman" w:hAnsi="Times New Roman"/>
          <w:noProof/>
          <w:color w:val="000000" w:themeColor="text1"/>
          <w:sz w:val="24"/>
        </w:rPr>
        <w:t xml:space="preserve">les techniques d’économie d’énergie et les énergies renouvelables. </w:t>
      </w:r>
    </w:p>
    <w:p w14:paraId="26AEE341" w14:textId="77777777" w:rsidR="000D1388" w:rsidRPr="00746A1A" w:rsidRDefault="000D1388" w:rsidP="00E71057">
      <w:pPr>
        <w:spacing w:before="120" w:after="120" w:line="240" w:lineRule="auto"/>
        <w:jc w:val="both"/>
        <w:rPr>
          <w:rFonts w:ascii="Times New Roman" w:eastAsia="Yu Gothic" w:hAnsi="Times New Roman" w:cs="Times New Roman"/>
          <w:noProof/>
          <w:sz w:val="24"/>
          <w:szCs w:val="24"/>
          <w:lang w:val="fr-BE"/>
        </w:rPr>
        <w:sectPr w:rsidR="000D1388" w:rsidRPr="00746A1A" w:rsidSect="00E71057">
          <w:headerReference w:type="even" r:id="rId252"/>
          <w:headerReference w:type="default" r:id="rId253"/>
          <w:footerReference w:type="even" r:id="rId254"/>
          <w:footerReference w:type="default" r:id="rId255"/>
          <w:headerReference w:type="first" r:id="rId256"/>
          <w:footerReference w:type="first" r:id="rId257"/>
          <w:pgSz w:w="11906" w:h="16838"/>
          <w:pgMar w:top="1134" w:right="1134" w:bottom="1134" w:left="1134" w:header="567" w:footer="567" w:gutter="0"/>
          <w:cols w:space="708"/>
          <w:docGrid w:linePitch="360"/>
        </w:sectPr>
      </w:pPr>
    </w:p>
    <w:p w14:paraId="1E50F0C8" w14:textId="77777777" w:rsidR="000D1388" w:rsidRPr="009D65D8" w:rsidRDefault="00E71057" w:rsidP="00E71057">
      <w:pPr>
        <w:spacing w:before="120" w:after="120" w:line="240" w:lineRule="auto"/>
        <w:rPr>
          <w:rFonts w:ascii="Times New Roman" w:eastAsia="Yu Gothic" w:hAnsi="Times New Roman" w:cs="Times New Roman"/>
          <w:b/>
          <w:noProof/>
          <w:color w:val="000000"/>
          <w:sz w:val="24"/>
          <w:szCs w:val="32"/>
          <w:u w:val="single"/>
        </w:rPr>
      </w:pPr>
      <w:r>
        <w:rPr>
          <w:rFonts w:ascii="Times New Roman" w:hAnsi="Times New Roman"/>
          <w:b/>
          <w:noProof/>
          <w:color w:val="000000"/>
          <w:sz w:val="24"/>
          <w:u w:val="single"/>
        </w:rPr>
        <w:t>S.2. Jalons, cibles, indicateurs et calendrier de suivi et de mise en œuvre en vue du soutien financier non remboursable</w:t>
      </w:r>
    </w:p>
    <w:tbl>
      <w:tblPr>
        <w:tblW w:w="1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708"/>
        <w:gridCol w:w="1848"/>
        <w:gridCol w:w="1843"/>
        <w:gridCol w:w="1039"/>
        <w:gridCol w:w="1082"/>
        <w:gridCol w:w="992"/>
        <w:gridCol w:w="1134"/>
        <w:gridCol w:w="851"/>
        <w:gridCol w:w="3621"/>
      </w:tblGrid>
      <w:tr w:rsidR="005003AB" w:rsidRPr="00FF07F2" w14:paraId="5523F139" w14:textId="77777777" w:rsidTr="008B6800">
        <w:trPr>
          <w:trHeight w:val="927"/>
          <w:tblHeader/>
          <w:jc w:val="center"/>
        </w:trPr>
        <w:tc>
          <w:tcPr>
            <w:tcW w:w="1129" w:type="dxa"/>
            <w:vMerge w:val="restart"/>
            <w:shd w:val="clear" w:color="auto" w:fill="BDD7EE"/>
            <w:vAlign w:val="center"/>
            <w:hideMark/>
          </w:tcPr>
          <w:p w14:paraId="2231FD07" w14:textId="77777777" w:rsidR="000D1388" w:rsidRDefault="00E71057">
            <w:pPr>
              <w:spacing w:after="0"/>
              <w:jc w:val="center"/>
              <w:rPr>
                <w:rFonts w:ascii="Times New Roman" w:eastAsia="Calibri" w:hAnsi="Times New Roman" w:cs="Arial"/>
                <w:b/>
                <w:noProof/>
                <w:sz w:val="20"/>
                <w:szCs w:val="20"/>
              </w:rPr>
            </w:pPr>
            <w:r>
              <w:rPr>
                <w:rFonts w:ascii="Times New Roman" w:hAnsi="Times New Roman"/>
                <w:b/>
                <w:noProof/>
                <w:sz w:val="20"/>
              </w:rPr>
              <w:t>Numéro</w:t>
            </w:r>
          </w:p>
          <w:p w14:paraId="72C4BD3F" w14:textId="77777777" w:rsidR="000D1388" w:rsidRPr="00FF07F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séquentiel</w:t>
            </w:r>
          </w:p>
        </w:tc>
        <w:tc>
          <w:tcPr>
            <w:tcW w:w="1560" w:type="dxa"/>
            <w:vMerge w:val="restart"/>
            <w:shd w:val="clear" w:color="auto" w:fill="BDD7EE"/>
            <w:vAlign w:val="center"/>
            <w:hideMark/>
          </w:tcPr>
          <w:p w14:paraId="009D1393" w14:textId="77777777" w:rsidR="000D1388" w:rsidRPr="00FF07F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708" w:type="dxa"/>
            <w:vMerge w:val="restart"/>
            <w:shd w:val="clear" w:color="auto" w:fill="BDD7EE"/>
            <w:vAlign w:val="center"/>
            <w:hideMark/>
          </w:tcPr>
          <w:p w14:paraId="2504A148" w14:textId="77777777" w:rsidR="000D1388" w:rsidRPr="00FF07F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848" w:type="dxa"/>
            <w:vMerge w:val="restart"/>
            <w:shd w:val="clear" w:color="auto" w:fill="BDD7EE"/>
            <w:vAlign w:val="center"/>
            <w:hideMark/>
          </w:tcPr>
          <w:p w14:paraId="3DAC0772" w14:textId="77777777" w:rsidR="000D1388" w:rsidRPr="00FF07F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843" w:type="dxa"/>
            <w:vMerge w:val="restart"/>
            <w:shd w:val="clear" w:color="auto" w:fill="BDD7EE"/>
            <w:vAlign w:val="center"/>
            <w:hideMark/>
          </w:tcPr>
          <w:p w14:paraId="0BA67FEA" w14:textId="77777777" w:rsidR="000D1388" w:rsidRPr="00FF07F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qualitatifs</w:t>
            </w:r>
            <w:r>
              <w:rPr>
                <w:rFonts w:ascii="Calibri" w:hAnsi="Calibri"/>
                <w:noProof/>
                <w:sz w:val="20"/>
              </w:rPr>
              <w:br/>
            </w:r>
            <w:r>
              <w:rPr>
                <w:rFonts w:ascii="Times New Roman" w:hAnsi="Times New Roman"/>
                <w:b/>
                <w:noProof/>
                <w:sz w:val="20"/>
              </w:rPr>
              <w:t>(pour les jalons)</w:t>
            </w:r>
          </w:p>
        </w:tc>
        <w:tc>
          <w:tcPr>
            <w:tcW w:w="3113" w:type="dxa"/>
            <w:gridSpan w:val="3"/>
            <w:shd w:val="clear" w:color="auto" w:fill="BDD7EE"/>
            <w:vAlign w:val="center"/>
            <w:hideMark/>
          </w:tcPr>
          <w:p w14:paraId="0D85E790" w14:textId="77777777" w:rsidR="000D1388" w:rsidRPr="00FF07F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quantitatifs</w:t>
            </w:r>
            <w:r>
              <w:rPr>
                <w:rFonts w:ascii="Calibri" w:hAnsi="Calibri"/>
                <w:noProof/>
                <w:sz w:val="20"/>
              </w:rPr>
              <w:br/>
            </w:r>
            <w:r>
              <w:rPr>
                <w:rFonts w:ascii="Times New Roman" w:hAnsi="Times New Roman"/>
                <w:b/>
                <w:noProof/>
                <w:sz w:val="20"/>
              </w:rPr>
              <w:t>(pour les cibles)</w:t>
            </w:r>
          </w:p>
        </w:tc>
        <w:tc>
          <w:tcPr>
            <w:tcW w:w="1985" w:type="dxa"/>
            <w:gridSpan w:val="2"/>
            <w:shd w:val="clear" w:color="auto" w:fill="BDD7EE"/>
            <w:vAlign w:val="center"/>
            <w:hideMark/>
          </w:tcPr>
          <w:p w14:paraId="65113196" w14:textId="77777777" w:rsidR="000D1388" w:rsidRPr="00FF07F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621" w:type="dxa"/>
            <w:vMerge w:val="restart"/>
            <w:shd w:val="clear" w:color="auto" w:fill="BDD7EE"/>
            <w:vAlign w:val="center"/>
            <w:hideMark/>
          </w:tcPr>
          <w:p w14:paraId="5FA8431F" w14:textId="77777777" w:rsidR="000D1388" w:rsidRPr="00FF07F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F76C04" w:rsidRPr="00FF07F2" w14:paraId="674CE8B5" w14:textId="77777777" w:rsidTr="008B6800">
        <w:trPr>
          <w:trHeight w:val="1013"/>
          <w:jc w:val="center"/>
        </w:trPr>
        <w:tc>
          <w:tcPr>
            <w:tcW w:w="1129" w:type="dxa"/>
            <w:vMerge/>
            <w:vAlign w:val="center"/>
            <w:hideMark/>
          </w:tcPr>
          <w:p w14:paraId="5EEA064D" w14:textId="77777777" w:rsidR="000D1388" w:rsidRPr="00746A1A" w:rsidRDefault="000D1388">
            <w:pPr>
              <w:spacing w:after="0"/>
              <w:jc w:val="center"/>
              <w:rPr>
                <w:rFonts w:ascii="Times New Roman" w:eastAsia="Times New Roman" w:hAnsi="Times New Roman" w:cs="Times New Roman"/>
                <w:b/>
                <w:bCs/>
                <w:noProof/>
                <w:sz w:val="20"/>
                <w:szCs w:val="20"/>
                <w:lang w:val="fr-BE" w:eastAsia="en-GB"/>
              </w:rPr>
            </w:pPr>
          </w:p>
        </w:tc>
        <w:tc>
          <w:tcPr>
            <w:tcW w:w="1560" w:type="dxa"/>
            <w:vMerge/>
            <w:vAlign w:val="center"/>
            <w:hideMark/>
          </w:tcPr>
          <w:p w14:paraId="530095B5"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708" w:type="dxa"/>
            <w:vMerge/>
            <w:vAlign w:val="center"/>
            <w:hideMark/>
          </w:tcPr>
          <w:p w14:paraId="587C2382"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848" w:type="dxa"/>
            <w:vMerge/>
            <w:vAlign w:val="center"/>
            <w:hideMark/>
          </w:tcPr>
          <w:p w14:paraId="2D6B1B81"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843" w:type="dxa"/>
            <w:vMerge/>
            <w:vAlign w:val="center"/>
            <w:hideMark/>
          </w:tcPr>
          <w:p w14:paraId="010ADF36" w14:textId="77777777" w:rsidR="000D1388" w:rsidRPr="00746A1A" w:rsidRDefault="000D1388">
            <w:pPr>
              <w:spacing w:after="0"/>
              <w:rPr>
                <w:rFonts w:ascii="Times New Roman" w:eastAsia="Times New Roman" w:hAnsi="Times New Roman" w:cs="Times New Roman"/>
                <w:b/>
                <w:bCs/>
                <w:noProof/>
                <w:sz w:val="20"/>
                <w:szCs w:val="20"/>
                <w:lang w:val="fr-BE" w:eastAsia="en-GB"/>
              </w:rPr>
            </w:pPr>
          </w:p>
        </w:tc>
        <w:tc>
          <w:tcPr>
            <w:tcW w:w="1039" w:type="dxa"/>
            <w:shd w:val="clear" w:color="auto" w:fill="BDD7EE"/>
            <w:vAlign w:val="center"/>
            <w:hideMark/>
          </w:tcPr>
          <w:p w14:paraId="1921C8B3" w14:textId="77777777" w:rsidR="000D1388" w:rsidRPr="00FF07F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82" w:type="dxa"/>
            <w:shd w:val="clear" w:color="auto" w:fill="BDD7EE"/>
            <w:vAlign w:val="center"/>
            <w:hideMark/>
          </w:tcPr>
          <w:p w14:paraId="401D49B4" w14:textId="77777777" w:rsidR="000D1388" w:rsidRPr="00FF07F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2" w:type="dxa"/>
            <w:shd w:val="clear" w:color="auto" w:fill="BDD7EE"/>
            <w:vAlign w:val="center"/>
            <w:hideMark/>
          </w:tcPr>
          <w:p w14:paraId="3EA15917" w14:textId="77777777" w:rsidR="000D1388" w:rsidRPr="00FF07F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34" w:type="dxa"/>
            <w:shd w:val="clear" w:color="auto" w:fill="BDD7EE"/>
            <w:vAlign w:val="center"/>
            <w:hideMark/>
          </w:tcPr>
          <w:p w14:paraId="4EE3AFA8" w14:textId="77777777" w:rsidR="000D1388" w:rsidRPr="00FF07F2" w:rsidRDefault="00E71057">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tcPr>
          <w:p w14:paraId="0FD693E1" w14:textId="35FBA1F5" w:rsidR="000D1388" w:rsidRPr="00FF07F2" w:rsidRDefault="00870BB6">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621" w:type="dxa"/>
            <w:vMerge/>
            <w:vAlign w:val="center"/>
          </w:tcPr>
          <w:p w14:paraId="35F3DC08" w14:textId="77777777" w:rsidR="000D1388" w:rsidRPr="00FF07F2" w:rsidRDefault="000D1388">
            <w:pPr>
              <w:spacing w:after="0"/>
              <w:rPr>
                <w:rFonts w:ascii="Times New Roman" w:eastAsia="Times New Roman" w:hAnsi="Times New Roman" w:cs="Times New Roman"/>
                <w:b/>
                <w:bCs/>
                <w:noProof/>
                <w:sz w:val="20"/>
                <w:szCs w:val="20"/>
                <w:lang w:val="en-GB" w:eastAsia="en-GB"/>
              </w:rPr>
            </w:pPr>
          </w:p>
        </w:tc>
      </w:tr>
      <w:tr w:rsidR="00F76C04" w:rsidRPr="00FF07F2" w14:paraId="5B194C6A" w14:textId="77777777" w:rsidTr="008B680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8864BD" w14:textId="77777777" w:rsidR="000D1388" w:rsidRPr="00FF07F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D593C" w14:textId="77777777" w:rsidR="000D1388" w:rsidRPr="00FF07F2"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Plateforme de recherche sur la transition énergétique (I-7.11) </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543F1"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8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2C32AB"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Octroi de subventions publiques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A093DB"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publiques</w:t>
            </w:r>
          </w:p>
        </w:tc>
        <w:tc>
          <w:tcPr>
            <w:tcW w:w="10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4E1D8" w14:textId="77777777" w:rsidR="000D1388" w:rsidRPr="00FF07F2" w:rsidRDefault="000D1388">
            <w:pPr>
              <w:spacing w:after="0"/>
              <w:rPr>
                <w:rFonts w:ascii="Times New Roman" w:eastAsia="Times New Roman" w:hAnsi="Times New Roman" w:cs="Times New Roman"/>
                <w:noProof/>
                <w:color w:val="006100"/>
                <w:sz w:val="20"/>
                <w:szCs w:val="20"/>
                <w:lang w:val="en-GB" w:eastAsia="en-GB"/>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68F888" w14:textId="77777777" w:rsidR="000D1388" w:rsidRPr="00FF07F2"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343D0" w14:textId="77777777" w:rsidR="000D1388" w:rsidRPr="00FF07F2" w:rsidRDefault="000D1388">
            <w:pPr>
              <w:spacing w:after="0"/>
              <w:jc w:val="right"/>
              <w:rPr>
                <w:rFonts w:ascii="Times New Roman" w:eastAsia="Times New Roman" w:hAnsi="Times New Roman" w:cs="Times New Roman"/>
                <w:noProof/>
                <w:color w:val="006100"/>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1D4434"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E36DD"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6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1B8A10"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Octroi de subventions publiques dans le cadre du projet «Plateforme de recherche sur la transition énergétique» (Fédération Wallonie-Bruxelles), d’équipements remplissant les conditions suivantes en ce qui concerne les activités de recherche et d’innovation (R&amp;I) prévues: </w:t>
            </w:r>
          </w:p>
          <w:p w14:paraId="358C501F"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principalement axée sur les options à faible impact; ou</w:t>
            </w:r>
          </w:p>
          <w:p w14:paraId="62EA739A"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consacrée à l’amélioration des technologies de pointe, et des mesures d’accompagnement sont mises en place pour prévenir les effets de verrouillage; ou</w:t>
            </w:r>
          </w:p>
          <w:p w14:paraId="5761B994"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résultats du processus de R&amp;I sont technologiquement neutres au niveau de leur application (c’est-à-dire qu’ils peuvent être appliqués à toutes les technologies disponibles)</w:t>
            </w:r>
          </w:p>
        </w:tc>
      </w:tr>
      <w:tr w:rsidR="00F76C04" w:rsidRPr="00FF07F2" w14:paraId="7574F981" w14:textId="77777777" w:rsidTr="008B6800">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955CB1" w14:textId="77777777" w:rsidR="000D1388" w:rsidRPr="00FF07F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11D881"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Plateforme de recherche sur la transition énergétique (I-7.11) </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AB9D69"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8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2A91A"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Acquisition d’équipements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DE09C2"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Rapport de recherche final </w:t>
            </w:r>
          </w:p>
        </w:tc>
        <w:tc>
          <w:tcPr>
            <w:tcW w:w="10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943FA" w14:textId="77777777" w:rsidR="000D1388" w:rsidRPr="00FF07F2" w:rsidRDefault="000D1388">
            <w:pPr>
              <w:spacing w:after="0"/>
              <w:rPr>
                <w:rFonts w:ascii="Times New Roman" w:eastAsia="Times New Roman" w:hAnsi="Times New Roman" w:cs="Times New Roman"/>
                <w:noProof/>
                <w:color w:val="006100"/>
                <w:sz w:val="20"/>
                <w:szCs w:val="20"/>
                <w:lang w:val="en-GB" w:eastAsia="en-GB"/>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2181E6" w14:textId="77777777" w:rsidR="000D1388" w:rsidRPr="00FF07F2" w:rsidRDefault="000D1388">
            <w:pPr>
              <w:spacing w:after="0"/>
              <w:jc w:val="right"/>
              <w:rPr>
                <w:rFonts w:ascii="Times New Roman" w:eastAsia="Times New Roman" w:hAnsi="Times New Roman" w:cs="Times New Roman"/>
                <w:noProof/>
                <w:color w:val="006100"/>
                <w:sz w:val="20"/>
                <w:szCs w:val="20"/>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81113E" w14:textId="77777777" w:rsidR="000D1388" w:rsidRPr="00FF07F2" w:rsidRDefault="000D1388">
            <w:pPr>
              <w:spacing w:after="0"/>
              <w:jc w:val="right"/>
              <w:rPr>
                <w:rFonts w:ascii="Times New Roman" w:eastAsia="Times New Roman" w:hAnsi="Times New Roman" w:cs="Times New Roman"/>
                <w:noProof/>
                <w:color w:val="006100"/>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7F7CAC"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EA3C8"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6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3E0C91"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Au moins 18 500 000 EUR sont exécutés à l’issue de l’achat d’équipement. L’équipement correspondant au solde restant a été commandé. Le montant total à allouer est d’au moins 23 500 000 EUR.</w:t>
            </w:r>
          </w:p>
        </w:tc>
      </w:tr>
      <w:tr w:rsidR="00F76C04" w:rsidRPr="00FF07F2" w14:paraId="6B91FAED" w14:textId="77777777" w:rsidTr="008B6800">
        <w:trPr>
          <w:trHeight w:val="309"/>
          <w:jc w:val="center"/>
        </w:trPr>
        <w:tc>
          <w:tcPr>
            <w:tcW w:w="1129" w:type="dxa"/>
            <w:shd w:val="clear" w:color="auto" w:fill="C6EFCE"/>
            <w:noWrap/>
            <w:vAlign w:val="center"/>
          </w:tcPr>
          <w:p w14:paraId="2394BA1C" w14:textId="77777777" w:rsidR="000D1388" w:rsidRPr="00FF07F2"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225</w:t>
            </w:r>
          </w:p>
        </w:tc>
        <w:tc>
          <w:tcPr>
            <w:tcW w:w="1560" w:type="dxa"/>
            <w:shd w:val="clear" w:color="auto" w:fill="C6EFCE"/>
            <w:noWrap/>
            <w:vAlign w:val="center"/>
          </w:tcPr>
          <w:p w14:paraId="1BB47B8C" w14:textId="31FB8EF1"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Mesures pour le climat dans l’agriculture (I-7.14)</w:t>
            </w:r>
          </w:p>
        </w:tc>
        <w:tc>
          <w:tcPr>
            <w:tcW w:w="708" w:type="dxa"/>
            <w:shd w:val="clear" w:color="auto" w:fill="C6EFCE"/>
            <w:noWrap/>
            <w:vAlign w:val="center"/>
          </w:tcPr>
          <w:p w14:paraId="75F46640"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848" w:type="dxa"/>
            <w:shd w:val="clear" w:color="auto" w:fill="C6EFCE"/>
            <w:noWrap/>
            <w:vAlign w:val="center"/>
          </w:tcPr>
          <w:p w14:paraId="3C038E86" w14:textId="4FF05B61" w:rsidR="000D1388" w:rsidRPr="00FF07F2" w:rsidRDefault="4DB97CA3">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visite établis</w:t>
            </w:r>
          </w:p>
        </w:tc>
        <w:tc>
          <w:tcPr>
            <w:tcW w:w="1843" w:type="dxa"/>
            <w:shd w:val="clear" w:color="auto" w:fill="C6EFCE"/>
            <w:noWrap/>
            <w:vAlign w:val="center"/>
          </w:tcPr>
          <w:p w14:paraId="6F7F8C75" w14:textId="77777777" w:rsidR="000D1388" w:rsidRPr="00FF07F2" w:rsidRDefault="000D1388">
            <w:pPr>
              <w:spacing w:after="0"/>
              <w:rPr>
                <w:rFonts w:ascii="Times New Roman" w:eastAsia="Times New Roman" w:hAnsi="Times New Roman" w:cs="Times New Roman"/>
                <w:noProof/>
                <w:color w:val="006100"/>
                <w:sz w:val="20"/>
                <w:szCs w:val="20"/>
                <w:lang w:val="en-GB"/>
              </w:rPr>
            </w:pPr>
          </w:p>
        </w:tc>
        <w:tc>
          <w:tcPr>
            <w:tcW w:w="1039" w:type="dxa"/>
            <w:shd w:val="clear" w:color="auto" w:fill="C6EFCE"/>
            <w:noWrap/>
            <w:vAlign w:val="center"/>
          </w:tcPr>
          <w:p w14:paraId="0B3C6649"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082" w:type="dxa"/>
            <w:shd w:val="clear" w:color="auto" w:fill="C6EFCE"/>
            <w:noWrap/>
            <w:vAlign w:val="center"/>
          </w:tcPr>
          <w:p w14:paraId="272CA2B6"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766AEFB0"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270</w:t>
            </w:r>
          </w:p>
        </w:tc>
        <w:tc>
          <w:tcPr>
            <w:tcW w:w="1134" w:type="dxa"/>
            <w:shd w:val="clear" w:color="auto" w:fill="C6EFCE"/>
            <w:noWrap/>
            <w:vAlign w:val="center"/>
          </w:tcPr>
          <w:p w14:paraId="7F7A2F64"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0D79044B" w14:textId="77777777" w:rsidR="000D1388" w:rsidRPr="00FF07F2"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21" w:type="dxa"/>
            <w:shd w:val="clear" w:color="auto" w:fill="C6EFCE"/>
            <w:noWrap/>
            <w:vAlign w:val="center"/>
          </w:tcPr>
          <w:p w14:paraId="76A6798D" w14:textId="40A354C6" w:rsidR="000D1388" w:rsidRPr="00FF07F2" w:rsidRDefault="7E8FD8CC" w:rsidP="00E71057">
            <w:pPr>
              <w:spacing w:after="0" w:line="240" w:lineRule="auto"/>
              <w:rPr>
                <w:rFonts w:ascii="Times New Roman" w:eastAsia="Calibri" w:hAnsi="Times New Roman" w:cs="Arial"/>
                <w:noProof/>
                <w:color w:val="006100"/>
                <w:sz w:val="20"/>
                <w:szCs w:val="20"/>
              </w:rPr>
            </w:pPr>
            <w:r>
              <w:rPr>
                <w:rFonts w:ascii="Times New Roman" w:hAnsi="Times New Roman"/>
                <w:noProof/>
                <w:color w:val="006100"/>
                <w:sz w:val="20"/>
              </w:rPr>
              <w:t>Rapports de visite établis par le VLIF pour 270 projets dans le domaine de l’agriculture sur les techniques d’économie d’énergie ou les énergies renouvelables.</w:t>
            </w:r>
          </w:p>
        </w:tc>
      </w:tr>
    </w:tbl>
    <w:p w14:paraId="5A5434BB" w14:textId="77777777" w:rsidR="000D1388" w:rsidRPr="00746A1A" w:rsidRDefault="000D1388" w:rsidP="00E71057">
      <w:pPr>
        <w:spacing w:before="120" w:after="120" w:line="240" w:lineRule="auto"/>
        <w:jc w:val="both"/>
        <w:rPr>
          <w:rFonts w:ascii="Times New Roman" w:eastAsia="Times New Roman" w:hAnsi="Times New Roman" w:cs="Times New Roman"/>
          <w:b/>
          <w:noProof/>
          <w:color w:val="000000"/>
          <w:sz w:val="24"/>
          <w:szCs w:val="24"/>
          <w:u w:val="single"/>
          <w:lang w:val="fr-BE"/>
        </w:rPr>
        <w:sectPr w:rsidR="000D1388" w:rsidRPr="00746A1A" w:rsidSect="00E71057">
          <w:headerReference w:type="even" r:id="rId258"/>
          <w:headerReference w:type="default" r:id="rId259"/>
          <w:footerReference w:type="even" r:id="rId260"/>
          <w:footerReference w:type="default" r:id="rId261"/>
          <w:headerReference w:type="first" r:id="rId262"/>
          <w:footerReference w:type="first" r:id="rId263"/>
          <w:pgSz w:w="16838" w:h="11906" w:orient="landscape"/>
          <w:pgMar w:top="1134" w:right="1134" w:bottom="1134" w:left="1134" w:header="567" w:footer="567" w:gutter="0"/>
          <w:cols w:space="708"/>
          <w:docGrid w:linePitch="360"/>
        </w:sectPr>
      </w:pPr>
    </w:p>
    <w:p w14:paraId="6B77D3A8"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 xml:space="preserve">T. </w:t>
      </w:r>
      <w:r>
        <w:rPr>
          <w:rFonts w:ascii="Times New Roman" w:hAnsi="Times New Roman"/>
          <w:b/>
          <w:caps/>
          <w:noProof/>
          <w:sz w:val="24"/>
        </w:rPr>
        <w:t>COMPOSANTE</w:t>
      </w:r>
      <w:r>
        <w:rPr>
          <w:rFonts w:ascii="Times New Roman" w:hAnsi="Times New Roman"/>
          <w:b/>
          <w:smallCaps/>
          <w:noProof/>
          <w:sz w:val="24"/>
        </w:rPr>
        <w:t> 7.3: Énergies renouvelables</w:t>
      </w:r>
    </w:p>
    <w:p w14:paraId="6EFFB92F"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L’objectif de cette composante est de réduire la dépendance à l’égard des combustibles fossiles en soutenant la production d’électricité à partir de sources renouvelables, en garantissant une plus grande interconnexion et une plus grande flexibilité du système électrique, ainsi qu’en accélérant l’intégration des sources d’énergie renouvelables. En particulier, les mesures relevant de cette composante soutiendront la capacité de production d’énergie renouvelable par des investissements dans l’énergie éolienne et solaire en mer, en particulier, et par une réforme du cadre réglementaire afin de stimuler l’installation d’éoliennes et de panneaux photovoltaïques et de raccourcir la durée des procédures judiciaires liées aux projets de transition énergétique.</w:t>
      </w:r>
    </w:p>
    <w:p w14:paraId="6370224E"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composante contribue à répondre à la recommandation par pays nº 4 de 2022 et à la recommandation par pays nº 4 de 2023, appelant la Belgique à réduire la dépendance globale à l’égard des combustibles fossiles et à «</w:t>
      </w:r>
      <w:r>
        <w:rPr>
          <w:rFonts w:ascii="Times New Roman" w:hAnsi="Times New Roman"/>
          <w:i/>
          <w:noProof/>
          <w:sz w:val="24"/>
        </w:rPr>
        <w:t>accélérer le déploiement des énergies renouvelables et des infrastructures de réseau connexes en rationalisant davantage les procédures d’autorisation, notamment en réduisant la durée des procédures de recours et en adoptant des cadres juridiques pour stimuler davantage les investissements dans les installations d’énergie renouvelable et faciliter le partage de l’énergie</w:t>
      </w:r>
      <w:r>
        <w:rPr>
          <w:rFonts w:ascii="Times New Roman" w:hAnsi="Times New Roman"/>
          <w:noProof/>
          <w:sz w:val="24"/>
        </w:rPr>
        <w:t>».</w:t>
      </w:r>
    </w:p>
    <w:p w14:paraId="5FE0E945"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5261DB39" w14:textId="77777777" w:rsidR="000D1388" w:rsidRPr="009D65D8" w:rsidRDefault="00E71057" w:rsidP="00E71057">
      <w:pPr>
        <w:spacing w:before="120" w:after="120" w:line="240" w:lineRule="auto"/>
        <w:jc w:val="both"/>
        <w:rPr>
          <w:rFonts w:ascii="Times New Roman" w:eastAsia="Times New Roman" w:hAnsi="Times New Roman" w:cs="Times New Roman"/>
          <w:b/>
          <w:noProof/>
          <w:sz w:val="24"/>
          <w:u w:val="single"/>
        </w:rPr>
      </w:pPr>
      <w:r>
        <w:rPr>
          <w:rFonts w:ascii="Times New Roman" w:hAnsi="Times New Roman"/>
          <w:b/>
          <w:noProof/>
          <w:sz w:val="24"/>
          <w:u w:val="single"/>
        </w:rPr>
        <w:t>T.1. Description des réformes et des investissements en vue du soutien financier non remboursable</w:t>
      </w:r>
    </w:p>
    <w:p w14:paraId="0F240DC6"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u w:val="single"/>
        </w:rPr>
      </w:pPr>
      <w:r>
        <w:rPr>
          <w:rFonts w:ascii="Times New Roman" w:hAnsi="Times New Roman"/>
          <w:noProof/>
          <w:color w:val="000000"/>
          <w:sz w:val="24"/>
          <w:u w:val="single"/>
        </w:rPr>
        <w:t>Réforme R-7.02: «Réforme des procédures de recours devant le Conseil d’État» de l’État fédéral</w:t>
      </w:r>
    </w:p>
    <w:p w14:paraId="75312644"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hd w:val="clear" w:color="auto" w:fill="E6E6E6"/>
        </w:rPr>
      </w:pPr>
      <w:r>
        <w:rPr>
          <w:rFonts w:ascii="Times New Roman" w:hAnsi="Times New Roman"/>
          <w:noProof/>
          <w:color w:val="000000"/>
          <w:sz w:val="24"/>
        </w:rPr>
        <w:t>Cette réforme du Conseil d’État consiste à 1) réduire les délais de traitement des procédures de recours</w:t>
      </w:r>
      <w:r>
        <w:rPr>
          <w:rFonts w:ascii="Times New Roman" w:hAnsi="Times New Roman"/>
          <w:noProof/>
          <w:sz w:val="24"/>
        </w:rPr>
        <w:t xml:space="preserve"> portant sur des décisions relatives à des investissements énergétiques et à des projets d’énergie renouvelable (dans la mesure où le Conseil d’État est l’organe compétent</w:t>
      </w:r>
      <w:r>
        <w:rPr>
          <w:rFonts w:ascii="Times New Roman" w:hAnsi="Times New Roman"/>
          <w:noProof/>
        </w:rPr>
        <w:t>)</w:t>
      </w:r>
      <w:r>
        <w:rPr>
          <w:rFonts w:ascii="Times New Roman" w:hAnsi="Times New Roman"/>
          <w:noProof/>
          <w:sz w:val="24"/>
        </w:rPr>
        <w:t xml:space="preserve"> et à 2) accorder la priorité au traitement des dossiers de transition énergétique. Cette mesure vise à accroître la part des énergies renouvelables en Belgique et à accélérer leur déploiement en supprimant les goulets d’étranglement administratifs liés aux procédures de recours lors de l’exécution des investissements dans les énergies renouvelables. </w:t>
      </w:r>
      <w:r>
        <w:rPr>
          <w:rFonts w:ascii="Times New Roman" w:hAnsi="Times New Roman"/>
          <w:noProof/>
          <w:color w:val="000000"/>
          <w:sz w:val="24"/>
        </w:rPr>
        <w:t>La mise en œuvre de la mesure devrait être achevée au plus tard le 30 juin 2024.</w:t>
      </w:r>
    </w:p>
    <w:p w14:paraId="7995E786"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u w:val="single"/>
        </w:rPr>
      </w:pPr>
      <w:r>
        <w:rPr>
          <w:rFonts w:ascii="Times New Roman" w:hAnsi="Times New Roman"/>
          <w:noProof/>
          <w:sz w:val="24"/>
          <w:u w:val="single"/>
        </w:rPr>
        <w:t>Réforme R-7.03: «Installation obligatoire de panneaux photovoltaïques pour les grands consommateurs» de la Région flamande</w:t>
      </w:r>
    </w:p>
    <w:p w14:paraId="06E00462"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rPr>
      </w:pPr>
      <w:r>
        <w:rPr>
          <w:rFonts w:ascii="Times New Roman" w:hAnsi="Times New Roman"/>
          <w:noProof/>
          <w:sz w:val="24"/>
        </w:rPr>
        <w:t>Cette réforme crée une obligation d’installer des panneaux solaires photovoltaïques pour les bâtiments privés situés en Flandre qui sont raccordés à des points de prélèvement d’électricité où, à partir de l’année civile 2021, sont prélevés plus de 1 GWh par an et pour les bâtiments d’organismes publics situés en Flandre qui sont raccordés à des points de prélèvement d’électricité où, à partir de l’année civile 2021, sont prélevés plus de 250 MWh par an. La mise en œuvre de la mesure devrait être achevée au plus tard le 30 juin 2023.</w:t>
      </w:r>
    </w:p>
    <w:p w14:paraId="5B14CB16"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rPr>
      </w:pPr>
      <w:r>
        <w:rPr>
          <w:rFonts w:ascii="Times New Roman" w:hAnsi="Times New Roman"/>
          <w:noProof/>
          <w:sz w:val="24"/>
          <w:u w:val="single"/>
        </w:rPr>
        <w:t>Réforme R-7.04: «Accélérer la transition énergétique» de la Région wallonne</w:t>
      </w:r>
    </w:p>
    <w:p w14:paraId="47C000A1"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color w:val="000000"/>
          <w:sz w:val="24"/>
        </w:rPr>
        <w:t>Cette réforme vise à faciliter le développement de projets dans le domaine des énergies renouvelables. Elle consiste à</w:t>
      </w:r>
      <w:r>
        <w:rPr>
          <w:rFonts w:ascii="Times New Roman" w:hAnsi="Times New Roman"/>
          <w:noProof/>
          <w:sz w:val="24"/>
        </w:rPr>
        <w:t xml:space="preserve"> modifier le cadre législatif pertinent. Elle entrera en vigueur le 31 août 2026 au plus tard.</w:t>
      </w:r>
    </w:p>
    <w:p w14:paraId="2BE50113" w14:textId="77777777" w:rsidR="000D1388" w:rsidRPr="009D65D8" w:rsidRDefault="00E71057" w:rsidP="00E71057">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I-7.17: «Optimisation de la distribution d’énergie» de la Région wallonne</w:t>
      </w:r>
    </w:p>
    <w:p w14:paraId="0B66EE8D"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 investissement consiste en l’octroi de subventions à deux opérateurs du réseau électrique en Région wallonne (ORES et RESA) pour l’installation de compteurs intelligents. </w:t>
      </w:r>
    </w:p>
    <w:p w14:paraId="06DA56FE" w14:textId="402C3557" w:rsidR="000D1388" w:rsidRPr="00335273" w:rsidRDefault="00E71057" w:rsidP="00E71057">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 xml:space="preserve">Investissement I-7.18: Investissements dans l’électrification des infrastructures portuaires de la Région flamande </w:t>
      </w:r>
    </w:p>
    <w:p w14:paraId="0147F17E" w14:textId="064A8120" w:rsidR="000D1388" w:rsidRPr="009D65D8" w:rsidRDefault="00E71057" w:rsidP="00E71057">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sz w:val="24"/>
        </w:rPr>
        <w:t>Cette mesure d’investissement a pour objectif de renforcer la durabilité de l’approvisionnement en énergie des navires à quai grâce à l’électrification. Elle consiste en l’octroi de subventions aux entreprises qui investissent dans l’électrification des infrastructures portuaires en Flandre.</w:t>
      </w:r>
    </w:p>
    <w:p w14:paraId="4008307C" w14:textId="77777777" w:rsidR="000D1388" w:rsidRPr="00746A1A" w:rsidRDefault="000D1388" w:rsidP="00E71057">
      <w:pPr>
        <w:spacing w:before="120" w:after="120" w:line="240" w:lineRule="auto"/>
        <w:jc w:val="both"/>
        <w:rPr>
          <w:rFonts w:ascii="Times New Roman" w:eastAsia="Calibri" w:hAnsi="Times New Roman" w:cs="Times New Roman"/>
          <w:noProof/>
          <w:sz w:val="24"/>
          <w:szCs w:val="24"/>
          <w:lang w:val="fr-BE"/>
        </w:rPr>
        <w:sectPr w:rsidR="000D1388" w:rsidRPr="00746A1A" w:rsidSect="00E71057">
          <w:headerReference w:type="even" r:id="rId264"/>
          <w:headerReference w:type="default" r:id="rId265"/>
          <w:footerReference w:type="even" r:id="rId266"/>
          <w:footerReference w:type="default" r:id="rId267"/>
          <w:headerReference w:type="first" r:id="rId268"/>
          <w:footerReference w:type="first" r:id="rId269"/>
          <w:pgSz w:w="11907" w:h="16839"/>
          <w:pgMar w:top="1134" w:right="1134" w:bottom="1134" w:left="1134" w:header="567" w:footer="567" w:gutter="0"/>
          <w:cols w:space="720"/>
          <w:docGrid w:linePitch="360"/>
        </w:sectPr>
      </w:pPr>
    </w:p>
    <w:p w14:paraId="1538EA5B" w14:textId="77777777" w:rsidR="000D1388" w:rsidRPr="009D65D8" w:rsidRDefault="00E71057" w:rsidP="00E71057">
      <w:pPr>
        <w:spacing w:before="120" w:after="120" w:line="240" w:lineRule="auto"/>
        <w:rPr>
          <w:rFonts w:ascii="Times New Roman" w:eastAsia="Times New Roman" w:hAnsi="Times New Roman" w:cs="Times New Roman"/>
          <w:b/>
          <w:noProof/>
          <w:color w:val="000000"/>
          <w:sz w:val="24"/>
          <w:szCs w:val="24"/>
          <w:u w:val="single"/>
        </w:rPr>
      </w:pPr>
      <w:r>
        <w:rPr>
          <w:rFonts w:ascii="Times New Roman" w:hAnsi="Times New Roman"/>
          <w:b/>
          <w:noProof/>
          <w:color w:val="000000"/>
          <w:sz w:val="24"/>
          <w:u w:val="single"/>
        </w:rPr>
        <w:t>T.2. Jalons, cibles, indicateurs et calendrier de suivi et de mise en œuvre en vue du soutien financier non remboursable</w:t>
      </w:r>
    </w:p>
    <w:tbl>
      <w:tblPr>
        <w:tblStyle w:val="TableGrid"/>
        <w:tblpPr w:leftFromText="180" w:rightFromText="180" w:vertAnchor="text" w:tblpXSpec="center" w:tblpY="1"/>
        <w:tblOverlap w:val="never"/>
        <w:tblW w:w="15735" w:type="dxa"/>
        <w:tblLayout w:type="fixed"/>
        <w:tblLook w:val="06A0" w:firstRow="1" w:lastRow="0" w:firstColumn="1" w:lastColumn="0" w:noHBand="1" w:noVBand="1"/>
      </w:tblPr>
      <w:tblGrid>
        <w:gridCol w:w="1129"/>
        <w:gridCol w:w="1560"/>
        <w:gridCol w:w="708"/>
        <w:gridCol w:w="1565"/>
        <w:gridCol w:w="1984"/>
        <w:gridCol w:w="993"/>
        <w:gridCol w:w="1128"/>
        <w:gridCol w:w="993"/>
        <w:gridCol w:w="1134"/>
        <w:gridCol w:w="850"/>
        <w:gridCol w:w="3691"/>
      </w:tblGrid>
      <w:tr w:rsidR="00E71057" w:rsidRPr="00FF07F2" w14:paraId="1BDA5F0D" w14:textId="77777777" w:rsidTr="008B6800">
        <w:trPr>
          <w:trHeight w:val="720"/>
          <w:tblHeader/>
        </w:trPr>
        <w:tc>
          <w:tcPr>
            <w:tcW w:w="1129" w:type="dxa"/>
            <w:vMerge w:val="restart"/>
            <w:shd w:val="clear" w:color="auto" w:fill="BDD7EE"/>
            <w:vAlign w:val="center"/>
          </w:tcPr>
          <w:p w14:paraId="438353D0" w14:textId="77777777" w:rsidR="000D1388" w:rsidRPr="00FF07F2" w:rsidRDefault="00E71057" w:rsidP="003027B3">
            <w:pPr>
              <w:jc w:val="both"/>
              <w:rPr>
                <w:rFonts w:ascii="Times New Roman" w:eastAsia="Times New Roman" w:hAnsi="Times New Roman"/>
                <w:b/>
                <w:noProof/>
                <w:sz w:val="20"/>
                <w:szCs w:val="20"/>
              </w:rPr>
            </w:pPr>
            <w:r>
              <w:rPr>
                <w:rFonts w:ascii="Times New Roman" w:hAnsi="Times New Roman"/>
                <w:b/>
                <w:noProof/>
                <w:sz w:val="20"/>
              </w:rPr>
              <w:t>Numéro séquentiel</w:t>
            </w:r>
          </w:p>
        </w:tc>
        <w:tc>
          <w:tcPr>
            <w:tcW w:w="1560" w:type="dxa"/>
            <w:vMerge w:val="restart"/>
            <w:shd w:val="clear" w:color="auto" w:fill="BDD7EE"/>
            <w:vAlign w:val="center"/>
          </w:tcPr>
          <w:p w14:paraId="20333997" w14:textId="77777777" w:rsidR="000D1388" w:rsidRPr="00FF07F2" w:rsidRDefault="00E71057" w:rsidP="003027B3">
            <w:pPr>
              <w:jc w:val="both"/>
              <w:rPr>
                <w:rFonts w:ascii="Times New Roman" w:eastAsia="Times New Roman" w:hAnsi="Times New Roman"/>
                <w:b/>
                <w:noProof/>
                <w:sz w:val="20"/>
                <w:szCs w:val="20"/>
              </w:rPr>
            </w:pPr>
            <w:r>
              <w:rPr>
                <w:rFonts w:ascii="Times New Roman" w:hAnsi="Times New Roman"/>
                <w:b/>
                <w:noProof/>
                <w:sz w:val="20"/>
              </w:rPr>
              <w:t>Mesure connexe (réforme ou investissement)</w:t>
            </w:r>
          </w:p>
        </w:tc>
        <w:tc>
          <w:tcPr>
            <w:tcW w:w="708" w:type="dxa"/>
            <w:vMerge w:val="restart"/>
            <w:shd w:val="clear" w:color="auto" w:fill="BDD7EE"/>
            <w:vAlign w:val="center"/>
          </w:tcPr>
          <w:p w14:paraId="68352654" w14:textId="6342A13C" w:rsidR="000D1388" w:rsidRPr="00FF07F2" w:rsidRDefault="00E71057" w:rsidP="003027B3">
            <w:pPr>
              <w:jc w:val="both"/>
              <w:rPr>
                <w:rFonts w:ascii="Times New Roman" w:eastAsia="Times New Roman" w:hAnsi="Times New Roman"/>
                <w:b/>
                <w:noProof/>
                <w:sz w:val="20"/>
                <w:szCs w:val="20"/>
              </w:rPr>
            </w:pPr>
            <w:r>
              <w:rPr>
                <w:rFonts w:ascii="Times New Roman" w:hAnsi="Times New Roman"/>
                <w:b/>
                <w:noProof/>
                <w:sz w:val="20"/>
              </w:rPr>
              <w:t>Jalon/cible</w:t>
            </w:r>
          </w:p>
        </w:tc>
        <w:tc>
          <w:tcPr>
            <w:tcW w:w="1565" w:type="dxa"/>
            <w:vMerge w:val="restart"/>
            <w:shd w:val="clear" w:color="auto" w:fill="BDD7EE"/>
            <w:vAlign w:val="center"/>
          </w:tcPr>
          <w:p w14:paraId="5A0C4180" w14:textId="77777777" w:rsidR="000D1388" w:rsidRPr="00FF07F2" w:rsidRDefault="00E71057" w:rsidP="003027B3">
            <w:pPr>
              <w:jc w:val="center"/>
              <w:rPr>
                <w:rFonts w:ascii="Times New Roman" w:eastAsia="Times New Roman" w:hAnsi="Times New Roman"/>
                <w:b/>
                <w:noProof/>
                <w:sz w:val="20"/>
                <w:szCs w:val="20"/>
              </w:rPr>
            </w:pPr>
            <w:r>
              <w:rPr>
                <w:rFonts w:ascii="Times New Roman" w:hAnsi="Times New Roman"/>
                <w:b/>
                <w:noProof/>
                <w:sz w:val="20"/>
              </w:rPr>
              <w:t>Dénomination</w:t>
            </w:r>
          </w:p>
        </w:tc>
        <w:tc>
          <w:tcPr>
            <w:tcW w:w="1984" w:type="dxa"/>
            <w:vMerge w:val="restart"/>
            <w:shd w:val="clear" w:color="auto" w:fill="BDD7EE"/>
            <w:vAlign w:val="center"/>
          </w:tcPr>
          <w:p w14:paraId="2339B54D" w14:textId="77777777" w:rsidR="000D1388" w:rsidRPr="00FF07F2" w:rsidRDefault="00E71057" w:rsidP="003027B3">
            <w:pPr>
              <w:jc w:val="center"/>
              <w:rPr>
                <w:rFonts w:ascii="Times New Roman" w:eastAsia="Times New Roman" w:hAnsi="Times New Roman"/>
                <w:b/>
                <w:noProof/>
                <w:sz w:val="20"/>
                <w:szCs w:val="20"/>
              </w:rPr>
            </w:pPr>
            <w:r>
              <w:rPr>
                <w:rFonts w:ascii="Times New Roman" w:hAnsi="Times New Roman"/>
                <w:b/>
                <w:noProof/>
                <w:sz w:val="20"/>
              </w:rPr>
              <w:t>Indicateurs qualitatifs</w:t>
            </w:r>
          </w:p>
          <w:p w14:paraId="77ED10BA" w14:textId="77777777" w:rsidR="000D1388" w:rsidRPr="00FF07F2" w:rsidRDefault="00E71057" w:rsidP="003027B3">
            <w:pPr>
              <w:jc w:val="center"/>
              <w:rPr>
                <w:rFonts w:ascii="Times New Roman" w:eastAsia="Times New Roman" w:hAnsi="Times New Roman"/>
                <w:b/>
                <w:noProof/>
                <w:sz w:val="20"/>
                <w:szCs w:val="20"/>
              </w:rPr>
            </w:pPr>
            <w:r>
              <w:rPr>
                <w:rFonts w:ascii="Times New Roman" w:hAnsi="Times New Roman"/>
                <w:b/>
                <w:noProof/>
                <w:sz w:val="20"/>
              </w:rPr>
              <w:t>(pour les jalons)</w:t>
            </w:r>
          </w:p>
        </w:tc>
        <w:tc>
          <w:tcPr>
            <w:tcW w:w="3114" w:type="dxa"/>
            <w:gridSpan w:val="3"/>
            <w:shd w:val="clear" w:color="auto" w:fill="BDD7EE"/>
            <w:vAlign w:val="center"/>
          </w:tcPr>
          <w:p w14:paraId="5CA7B3E4" w14:textId="77777777" w:rsidR="000D1388" w:rsidRPr="00FF07F2" w:rsidRDefault="00E71057" w:rsidP="003027B3">
            <w:pPr>
              <w:jc w:val="center"/>
              <w:rPr>
                <w:rFonts w:ascii="Times New Roman" w:eastAsia="Times New Roman" w:hAnsi="Times New Roman"/>
                <w:b/>
                <w:noProof/>
                <w:sz w:val="20"/>
                <w:szCs w:val="20"/>
              </w:rPr>
            </w:pPr>
            <w:r>
              <w:rPr>
                <w:rFonts w:ascii="Times New Roman" w:hAnsi="Times New Roman"/>
                <w:b/>
                <w:noProof/>
                <w:sz w:val="20"/>
              </w:rPr>
              <w:t>Indicateurs quantitatifs</w:t>
            </w:r>
          </w:p>
          <w:p w14:paraId="28AD29A4" w14:textId="77777777" w:rsidR="000D1388" w:rsidRPr="00FF07F2" w:rsidRDefault="00E71057" w:rsidP="003027B3">
            <w:pPr>
              <w:jc w:val="center"/>
              <w:rPr>
                <w:rFonts w:ascii="Times New Roman" w:eastAsia="Times New Roman" w:hAnsi="Times New Roman"/>
                <w:b/>
                <w:noProof/>
                <w:sz w:val="20"/>
                <w:szCs w:val="20"/>
              </w:rPr>
            </w:pPr>
            <w:r>
              <w:rPr>
                <w:rFonts w:ascii="Times New Roman" w:hAnsi="Times New Roman"/>
                <w:b/>
                <w:noProof/>
                <w:sz w:val="20"/>
              </w:rPr>
              <w:t>(pour les cibles)</w:t>
            </w:r>
          </w:p>
        </w:tc>
        <w:tc>
          <w:tcPr>
            <w:tcW w:w="1984" w:type="dxa"/>
            <w:gridSpan w:val="2"/>
            <w:shd w:val="clear" w:color="auto" w:fill="BDD7EE"/>
            <w:vAlign w:val="center"/>
          </w:tcPr>
          <w:p w14:paraId="16233D11" w14:textId="77777777" w:rsidR="000D1388" w:rsidRPr="00FF07F2" w:rsidRDefault="00E71057" w:rsidP="003027B3">
            <w:pPr>
              <w:jc w:val="center"/>
              <w:rPr>
                <w:rFonts w:ascii="Times New Roman" w:eastAsia="Times New Roman" w:hAnsi="Times New Roman"/>
                <w:b/>
                <w:noProof/>
                <w:sz w:val="20"/>
                <w:szCs w:val="20"/>
              </w:rPr>
            </w:pPr>
            <w:r>
              <w:rPr>
                <w:rFonts w:ascii="Times New Roman" w:hAnsi="Times New Roman"/>
                <w:b/>
                <w:noProof/>
                <w:sz w:val="20"/>
              </w:rPr>
              <w:t>Calendrier indicatif de réalisation</w:t>
            </w:r>
          </w:p>
        </w:tc>
        <w:tc>
          <w:tcPr>
            <w:tcW w:w="3691" w:type="dxa"/>
            <w:vMerge w:val="restart"/>
            <w:shd w:val="clear" w:color="auto" w:fill="BDD7EE"/>
            <w:vAlign w:val="center"/>
          </w:tcPr>
          <w:p w14:paraId="60EA6966" w14:textId="77777777" w:rsidR="000D1388" w:rsidRPr="00FF07F2" w:rsidRDefault="00E71057" w:rsidP="003027B3">
            <w:pPr>
              <w:jc w:val="center"/>
              <w:rPr>
                <w:rFonts w:ascii="Times New Roman" w:eastAsia="Times New Roman" w:hAnsi="Times New Roman"/>
                <w:b/>
                <w:noProof/>
                <w:sz w:val="20"/>
                <w:szCs w:val="20"/>
              </w:rPr>
            </w:pPr>
            <w:r>
              <w:rPr>
                <w:rFonts w:ascii="Times New Roman" w:hAnsi="Times New Roman"/>
                <w:b/>
                <w:noProof/>
                <w:sz w:val="20"/>
              </w:rPr>
              <w:t>Description de chaque jalon et cible</w:t>
            </w:r>
          </w:p>
        </w:tc>
      </w:tr>
      <w:tr w:rsidR="00E71057" w:rsidRPr="00FF07F2" w14:paraId="196E66C4" w14:textId="77777777" w:rsidTr="008B6800">
        <w:trPr>
          <w:trHeight w:val="378"/>
        </w:trPr>
        <w:tc>
          <w:tcPr>
            <w:tcW w:w="1129" w:type="dxa"/>
            <w:vMerge/>
            <w:vAlign w:val="center"/>
          </w:tcPr>
          <w:p w14:paraId="237D25E7" w14:textId="77777777" w:rsidR="000D1388" w:rsidRPr="00746A1A" w:rsidRDefault="000D1388" w:rsidP="003027B3">
            <w:pPr>
              <w:rPr>
                <w:rFonts w:ascii="Times New Roman" w:eastAsia="Times New Roman" w:hAnsi="Times New Roman"/>
                <w:b/>
                <w:noProof/>
                <w:sz w:val="20"/>
                <w:szCs w:val="20"/>
                <w:lang w:val="fr-BE"/>
              </w:rPr>
            </w:pPr>
          </w:p>
        </w:tc>
        <w:tc>
          <w:tcPr>
            <w:tcW w:w="1560" w:type="dxa"/>
            <w:vMerge/>
            <w:vAlign w:val="center"/>
          </w:tcPr>
          <w:p w14:paraId="1323E0E5" w14:textId="77777777" w:rsidR="000D1388" w:rsidRPr="00746A1A" w:rsidRDefault="000D1388" w:rsidP="003027B3">
            <w:pPr>
              <w:rPr>
                <w:rFonts w:ascii="Times New Roman" w:eastAsia="Times New Roman" w:hAnsi="Times New Roman"/>
                <w:b/>
                <w:noProof/>
                <w:sz w:val="20"/>
                <w:szCs w:val="20"/>
                <w:lang w:val="fr-BE"/>
              </w:rPr>
            </w:pPr>
          </w:p>
        </w:tc>
        <w:tc>
          <w:tcPr>
            <w:tcW w:w="708" w:type="dxa"/>
            <w:vMerge/>
            <w:vAlign w:val="center"/>
          </w:tcPr>
          <w:p w14:paraId="627759BA" w14:textId="77777777" w:rsidR="000D1388" w:rsidRPr="00746A1A" w:rsidRDefault="000D1388" w:rsidP="003027B3">
            <w:pPr>
              <w:rPr>
                <w:rFonts w:ascii="Times New Roman" w:eastAsia="Times New Roman" w:hAnsi="Times New Roman"/>
                <w:b/>
                <w:noProof/>
                <w:sz w:val="20"/>
                <w:szCs w:val="20"/>
                <w:lang w:val="fr-BE"/>
              </w:rPr>
            </w:pPr>
          </w:p>
        </w:tc>
        <w:tc>
          <w:tcPr>
            <w:tcW w:w="1565" w:type="dxa"/>
            <w:vMerge/>
            <w:vAlign w:val="center"/>
          </w:tcPr>
          <w:p w14:paraId="17BA18AD" w14:textId="77777777" w:rsidR="000D1388" w:rsidRPr="00746A1A" w:rsidRDefault="000D1388" w:rsidP="003027B3">
            <w:pPr>
              <w:rPr>
                <w:rFonts w:ascii="Times New Roman" w:eastAsia="Times New Roman" w:hAnsi="Times New Roman"/>
                <w:b/>
                <w:noProof/>
                <w:sz w:val="20"/>
                <w:szCs w:val="20"/>
                <w:lang w:val="fr-BE"/>
              </w:rPr>
            </w:pPr>
          </w:p>
        </w:tc>
        <w:tc>
          <w:tcPr>
            <w:tcW w:w="1984" w:type="dxa"/>
            <w:vMerge/>
            <w:vAlign w:val="center"/>
          </w:tcPr>
          <w:p w14:paraId="59517219" w14:textId="77777777" w:rsidR="000D1388" w:rsidRPr="00746A1A" w:rsidRDefault="000D1388" w:rsidP="003027B3">
            <w:pPr>
              <w:rPr>
                <w:rFonts w:ascii="Times New Roman" w:eastAsia="Times New Roman" w:hAnsi="Times New Roman"/>
                <w:b/>
                <w:noProof/>
                <w:sz w:val="20"/>
                <w:szCs w:val="20"/>
                <w:lang w:val="fr-BE"/>
              </w:rPr>
            </w:pPr>
          </w:p>
        </w:tc>
        <w:tc>
          <w:tcPr>
            <w:tcW w:w="993" w:type="dxa"/>
            <w:shd w:val="clear" w:color="auto" w:fill="BDD7EE"/>
            <w:vAlign w:val="center"/>
          </w:tcPr>
          <w:p w14:paraId="24930D57" w14:textId="77777777" w:rsidR="000D1388" w:rsidRPr="00FF07F2" w:rsidRDefault="00E71057" w:rsidP="003027B3">
            <w:pPr>
              <w:jc w:val="center"/>
              <w:rPr>
                <w:rFonts w:ascii="Times New Roman" w:eastAsia="Times New Roman" w:hAnsi="Times New Roman"/>
                <w:b/>
                <w:noProof/>
                <w:sz w:val="20"/>
                <w:szCs w:val="20"/>
              </w:rPr>
            </w:pPr>
            <w:r>
              <w:rPr>
                <w:rFonts w:ascii="Times New Roman" w:hAnsi="Times New Roman"/>
                <w:b/>
                <w:noProof/>
                <w:sz w:val="20"/>
              </w:rPr>
              <w:t>Unité de mesure</w:t>
            </w:r>
          </w:p>
        </w:tc>
        <w:tc>
          <w:tcPr>
            <w:tcW w:w="1128" w:type="dxa"/>
            <w:shd w:val="clear" w:color="auto" w:fill="BDD7EE"/>
            <w:vAlign w:val="center"/>
          </w:tcPr>
          <w:p w14:paraId="3873776E" w14:textId="77777777" w:rsidR="000D1388" w:rsidRPr="00FF07F2" w:rsidRDefault="00E71057" w:rsidP="003027B3">
            <w:pPr>
              <w:jc w:val="both"/>
              <w:rPr>
                <w:rFonts w:ascii="Times New Roman" w:eastAsia="Times New Roman" w:hAnsi="Times New Roman"/>
                <w:b/>
                <w:noProof/>
                <w:sz w:val="20"/>
                <w:szCs w:val="20"/>
              </w:rPr>
            </w:pPr>
            <w:r>
              <w:rPr>
                <w:rFonts w:ascii="Times New Roman" w:hAnsi="Times New Roman"/>
                <w:b/>
                <w:noProof/>
                <w:sz w:val="20"/>
              </w:rPr>
              <w:t>Référence</w:t>
            </w:r>
          </w:p>
        </w:tc>
        <w:tc>
          <w:tcPr>
            <w:tcW w:w="993" w:type="dxa"/>
            <w:shd w:val="clear" w:color="auto" w:fill="BDD7EE"/>
            <w:vAlign w:val="center"/>
          </w:tcPr>
          <w:p w14:paraId="40B992F9" w14:textId="77777777" w:rsidR="000D1388" w:rsidRPr="00FF07F2" w:rsidRDefault="00E71057" w:rsidP="003027B3">
            <w:pPr>
              <w:jc w:val="both"/>
              <w:rPr>
                <w:rFonts w:ascii="Times New Roman" w:eastAsia="Times New Roman" w:hAnsi="Times New Roman"/>
                <w:b/>
                <w:noProof/>
                <w:sz w:val="20"/>
                <w:szCs w:val="20"/>
              </w:rPr>
            </w:pPr>
            <w:r>
              <w:rPr>
                <w:rFonts w:ascii="Times New Roman" w:hAnsi="Times New Roman"/>
                <w:b/>
                <w:noProof/>
                <w:sz w:val="20"/>
              </w:rPr>
              <w:t>Objectif</w:t>
            </w:r>
          </w:p>
        </w:tc>
        <w:tc>
          <w:tcPr>
            <w:tcW w:w="1134" w:type="dxa"/>
            <w:shd w:val="clear" w:color="auto" w:fill="BDD7EE"/>
            <w:vAlign w:val="center"/>
          </w:tcPr>
          <w:p w14:paraId="2A483665" w14:textId="77777777" w:rsidR="000D1388" w:rsidRPr="00FF07F2" w:rsidRDefault="00E71057" w:rsidP="003027B3">
            <w:pPr>
              <w:jc w:val="both"/>
              <w:rPr>
                <w:rFonts w:ascii="Times New Roman" w:eastAsia="Times New Roman" w:hAnsi="Times New Roman"/>
                <w:b/>
                <w:noProof/>
                <w:sz w:val="20"/>
                <w:szCs w:val="20"/>
              </w:rPr>
            </w:pPr>
            <w:r>
              <w:rPr>
                <w:rFonts w:ascii="Times New Roman" w:hAnsi="Times New Roman"/>
                <w:b/>
                <w:noProof/>
                <w:sz w:val="20"/>
              </w:rPr>
              <w:t>Trimestre</w:t>
            </w:r>
          </w:p>
        </w:tc>
        <w:tc>
          <w:tcPr>
            <w:tcW w:w="850" w:type="dxa"/>
            <w:shd w:val="clear" w:color="auto" w:fill="BDD7EE"/>
            <w:vAlign w:val="center"/>
          </w:tcPr>
          <w:p w14:paraId="2F5B95A9" w14:textId="77777777" w:rsidR="000D1388" w:rsidRPr="00FF07F2" w:rsidRDefault="00E71057" w:rsidP="003027B3">
            <w:pPr>
              <w:jc w:val="both"/>
              <w:rPr>
                <w:rFonts w:ascii="Times New Roman" w:eastAsia="Times New Roman" w:hAnsi="Times New Roman"/>
                <w:b/>
                <w:noProof/>
                <w:sz w:val="20"/>
                <w:szCs w:val="20"/>
              </w:rPr>
            </w:pPr>
            <w:r>
              <w:rPr>
                <w:rFonts w:ascii="Times New Roman" w:hAnsi="Times New Roman"/>
                <w:b/>
                <w:noProof/>
                <w:sz w:val="20"/>
              </w:rPr>
              <w:t>Année</w:t>
            </w:r>
          </w:p>
        </w:tc>
        <w:tc>
          <w:tcPr>
            <w:tcW w:w="3691" w:type="dxa"/>
            <w:vMerge/>
            <w:vAlign w:val="center"/>
          </w:tcPr>
          <w:p w14:paraId="67894D7B" w14:textId="77777777" w:rsidR="000D1388" w:rsidRPr="00FF07F2" w:rsidRDefault="000D1388" w:rsidP="003027B3">
            <w:pPr>
              <w:rPr>
                <w:rFonts w:ascii="Times New Roman" w:eastAsia="Times New Roman" w:hAnsi="Times New Roman"/>
                <w:b/>
                <w:noProof/>
                <w:sz w:val="20"/>
                <w:szCs w:val="20"/>
                <w:lang w:val="en-GB"/>
              </w:rPr>
            </w:pPr>
          </w:p>
        </w:tc>
      </w:tr>
      <w:tr w:rsidR="00D471F7" w:rsidRPr="00FF07F2" w14:paraId="3945EFF8" w14:textId="77777777" w:rsidTr="008B6800">
        <w:trPr>
          <w:trHeight w:val="300"/>
        </w:trPr>
        <w:tc>
          <w:tcPr>
            <w:tcW w:w="1129" w:type="dxa"/>
            <w:shd w:val="clear" w:color="auto" w:fill="C6EFCE"/>
            <w:vAlign w:val="center"/>
          </w:tcPr>
          <w:p w14:paraId="3B692314"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228</w:t>
            </w:r>
          </w:p>
        </w:tc>
        <w:tc>
          <w:tcPr>
            <w:tcW w:w="1560" w:type="dxa"/>
            <w:shd w:val="clear" w:color="auto" w:fill="C6EFCE"/>
            <w:vAlign w:val="center"/>
          </w:tcPr>
          <w:p w14:paraId="4B7380BE"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Procédures de recours devant le Conseil d’État (R-7.02)</w:t>
            </w:r>
          </w:p>
        </w:tc>
        <w:tc>
          <w:tcPr>
            <w:tcW w:w="708" w:type="dxa"/>
            <w:shd w:val="clear" w:color="auto" w:fill="C6EFCE"/>
            <w:vAlign w:val="center"/>
          </w:tcPr>
          <w:p w14:paraId="291EE7FE"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J</w:t>
            </w:r>
          </w:p>
        </w:tc>
        <w:tc>
          <w:tcPr>
            <w:tcW w:w="1565" w:type="dxa"/>
            <w:shd w:val="clear" w:color="auto" w:fill="C6EFCE"/>
            <w:vAlign w:val="center"/>
          </w:tcPr>
          <w:p w14:paraId="21B6D57D"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 xml:space="preserve">Entrée en vigueur de la législation </w:t>
            </w:r>
          </w:p>
        </w:tc>
        <w:tc>
          <w:tcPr>
            <w:tcW w:w="1984" w:type="dxa"/>
            <w:shd w:val="clear" w:color="auto" w:fill="C6EFCE"/>
            <w:vAlign w:val="center"/>
          </w:tcPr>
          <w:p w14:paraId="7E28EA8F"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Disposition dans la législation indiquant l’entrée en vigueur de la loi raccourcissant les procédures d’octroi des permis dans le domaine des énergies renouvelables</w:t>
            </w:r>
          </w:p>
        </w:tc>
        <w:tc>
          <w:tcPr>
            <w:tcW w:w="993" w:type="dxa"/>
            <w:shd w:val="clear" w:color="auto" w:fill="C6EFCE"/>
            <w:vAlign w:val="center"/>
          </w:tcPr>
          <w:p w14:paraId="02BB5B1A" w14:textId="77777777" w:rsidR="000D1388" w:rsidRPr="00746A1A" w:rsidRDefault="000D1388" w:rsidP="003027B3">
            <w:pPr>
              <w:rPr>
                <w:rFonts w:ascii="Times New Roman" w:eastAsia="Times New Roman" w:hAnsi="Times New Roman"/>
                <w:noProof/>
                <w:color w:val="006100"/>
                <w:sz w:val="20"/>
                <w:szCs w:val="20"/>
                <w:lang w:val="fr-BE"/>
              </w:rPr>
            </w:pPr>
          </w:p>
        </w:tc>
        <w:tc>
          <w:tcPr>
            <w:tcW w:w="1128" w:type="dxa"/>
            <w:shd w:val="clear" w:color="auto" w:fill="C6EFCE"/>
            <w:vAlign w:val="center"/>
          </w:tcPr>
          <w:p w14:paraId="68A29E54" w14:textId="77777777" w:rsidR="000D1388" w:rsidRPr="00746A1A" w:rsidRDefault="000D1388" w:rsidP="003027B3">
            <w:pPr>
              <w:rPr>
                <w:rFonts w:ascii="Times New Roman" w:eastAsia="Times New Roman" w:hAnsi="Times New Roman"/>
                <w:noProof/>
                <w:color w:val="006100"/>
                <w:sz w:val="20"/>
                <w:szCs w:val="20"/>
                <w:lang w:val="fr-BE"/>
              </w:rPr>
            </w:pPr>
          </w:p>
        </w:tc>
        <w:tc>
          <w:tcPr>
            <w:tcW w:w="993" w:type="dxa"/>
            <w:shd w:val="clear" w:color="auto" w:fill="C6EFCE"/>
            <w:vAlign w:val="center"/>
          </w:tcPr>
          <w:p w14:paraId="41A0EAF6" w14:textId="77777777" w:rsidR="000D1388" w:rsidRPr="00746A1A" w:rsidRDefault="000D1388" w:rsidP="003027B3">
            <w:pPr>
              <w:rPr>
                <w:rFonts w:ascii="Times New Roman" w:eastAsia="Times New Roman" w:hAnsi="Times New Roman"/>
                <w:noProof/>
                <w:color w:val="006100"/>
                <w:sz w:val="20"/>
                <w:szCs w:val="20"/>
                <w:lang w:val="fr-BE"/>
              </w:rPr>
            </w:pPr>
          </w:p>
        </w:tc>
        <w:tc>
          <w:tcPr>
            <w:tcW w:w="1134" w:type="dxa"/>
            <w:shd w:val="clear" w:color="auto" w:fill="C6EFCE"/>
            <w:vAlign w:val="center"/>
          </w:tcPr>
          <w:p w14:paraId="5562C62B"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T2</w:t>
            </w:r>
          </w:p>
        </w:tc>
        <w:tc>
          <w:tcPr>
            <w:tcW w:w="850" w:type="dxa"/>
            <w:shd w:val="clear" w:color="auto" w:fill="C6EFCE"/>
            <w:vAlign w:val="center"/>
          </w:tcPr>
          <w:p w14:paraId="4959418D"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2024</w:t>
            </w:r>
          </w:p>
        </w:tc>
        <w:tc>
          <w:tcPr>
            <w:tcW w:w="3691" w:type="dxa"/>
            <w:shd w:val="clear" w:color="auto" w:fill="C6EFCE"/>
            <w:vAlign w:val="center"/>
          </w:tcPr>
          <w:p w14:paraId="0034A793" w14:textId="77777777" w:rsidR="000D1388" w:rsidRPr="00FF07F2" w:rsidRDefault="00E71057" w:rsidP="003027B3">
            <w:pPr>
              <w:widowControl w:val="0"/>
              <w:spacing w:after="120"/>
              <w:rPr>
                <w:rFonts w:ascii="Times New Roman" w:eastAsia="Times New Roman" w:hAnsi="Times New Roman"/>
                <w:noProof/>
                <w:color w:val="006100"/>
                <w:sz w:val="20"/>
                <w:szCs w:val="20"/>
              </w:rPr>
            </w:pPr>
            <w:r>
              <w:rPr>
                <w:rFonts w:ascii="Times New Roman" w:hAnsi="Times New Roman"/>
                <w:noProof/>
                <w:color w:val="006100"/>
                <w:sz w:val="20"/>
              </w:rPr>
              <w:t>1) Entrée en vigueur de la loi réformant les procédures de recours portant sur des décisions relatives à des installations d’énergie renouvelable et des investissements énergétiques devant la section du contentieux administratif du Conseil d’État</w:t>
            </w:r>
          </w:p>
          <w:p w14:paraId="7F0D74B6" w14:textId="77777777" w:rsidR="000D1388" w:rsidRPr="00FF07F2" w:rsidRDefault="00E71057" w:rsidP="003027B3">
            <w:pPr>
              <w:widowControl w:val="0"/>
              <w:rPr>
                <w:rFonts w:ascii="Times New Roman" w:eastAsia="Times New Roman" w:hAnsi="Times New Roman"/>
                <w:noProof/>
                <w:color w:val="006100"/>
                <w:sz w:val="20"/>
                <w:szCs w:val="20"/>
              </w:rPr>
            </w:pPr>
            <w:r>
              <w:rPr>
                <w:rFonts w:ascii="Times New Roman" w:hAnsi="Times New Roman"/>
                <w:noProof/>
                <w:color w:val="006100"/>
                <w:sz w:val="20"/>
              </w:rPr>
              <w:t xml:space="preserve">Cette loi vise à raccourcir les procédures d’octroi des permis dans le domaine des énergies renouvelables, en </w:t>
            </w:r>
          </w:p>
          <w:p w14:paraId="424360CE" w14:textId="77777777" w:rsidR="000D1388" w:rsidRPr="00FF07F2" w:rsidRDefault="00E71057" w:rsidP="003027B3">
            <w:pPr>
              <w:widowControl w:val="0"/>
              <w:numPr>
                <w:ilvl w:val="0"/>
                <w:numId w:val="64"/>
              </w:numPr>
              <w:spacing w:line="240" w:lineRule="auto"/>
              <w:contextualSpacing/>
              <w:rPr>
                <w:rFonts w:ascii="Times New Roman" w:eastAsia="Times New Roman" w:hAnsi="Times New Roman"/>
                <w:noProof/>
                <w:color w:val="006100"/>
                <w:sz w:val="20"/>
                <w:szCs w:val="20"/>
              </w:rPr>
            </w:pPr>
            <w:r>
              <w:rPr>
                <w:rFonts w:ascii="Times New Roman" w:hAnsi="Times New Roman"/>
                <w:noProof/>
                <w:color w:val="006100"/>
                <w:sz w:val="20"/>
              </w:rPr>
              <w:t xml:space="preserve">supprimant l’injonction de mesures provisoires </w:t>
            </w:r>
          </w:p>
          <w:p w14:paraId="2DE59C46" w14:textId="77777777" w:rsidR="000D1388" w:rsidRPr="00FF07F2" w:rsidRDefault="00E71057" w:rsidP="003027B3">
            <w:pPr>
              <w:widowControl w:val="0"/>
              <w:numPr>
                <w:ilvl w:val="0"/>
                <w:numId w:val="64"/>
              </w:numPr>
              <w:spacing w:line="240" w:lineRule="auto"/>
              <w:contextualSpacing/>
              <w:rPr>
                <w:rFonts w:ascii="Times New Roman" w:eastAsia="Times New Roman" w:hAnsi="Times New Roman"/>
                <w:noProof/>
                <w:color w:val="006100"/>
                <w:sz w:val="20"/>
                <w:szCs w:val="20"/>
              </w:rPr>
            </w:pPr>
            <w:r>
              <w:rPr>
                <w:rFonts w:ascii="Times New Roman" w:hAnsi="Times New Roman"/>
                <w:noProof/>
                <w:color w:val="006100"/>
                <w:sz w:val="20"/>
              </w:rPr>
              <w:t>limitant à 6 mois le délai dans lequel l’auditorat soumet son rapport sur l’affaire</w:t>
            </w:r>
          </w:p>
          <w:p w14:paraId="5CA8F04F" w14:textId="77777777" w:rsidR="000D1388" w:rsidRPr="00FF07F2" w:rsidRDefault="00E71057" w:rsidP="003027B3">
            <w:pPr>
              <w:widowControl w:val="0"/>
              <w:numPr>
                <w:ilvl w:val="0"/>
                <w:numId w:val="64"/>
              </w:numPr>
              <w:spacing w:line="240" w:lineRule="auto"/>
              <w:contextualSpacing/>
              <w:rPr>
                <w:rFonts w:ascii="Times New Roman" w:eastAsia="Times New Roman" w:hAnsi="Times New Roman"/>
                <w:noProof/>
                <w:color w:val="006100"/>
                <w:sz w:val="20"/>
                <w:szCs w:val="20"/>
              </w:rPr>
            </w:pPr>
            <w:r>
              <w:rPr>
                <w:rFonts w:ascii="Times New Roman" w:hAnsi="Times New Roman"/>
                <w:noProof/>
                <w:color w:val="006100"/>
                <w:sz w:val="20"/>
              </w:rPr>
              <w:t xml:space="preserve">modifiant les procédures de suspension </w:t>
            </w:r>
          </w:p>
          <w:p w14:paraId="58180075" w14:textId="77777777" w:rsidR="000D1388" w:rsidRPr="00FF07F2" w:rsidRDefault="00E71057" w:rsidP="003027B3">
            <w:pPr>
              <w:widowControl w:val="0"/>
              <w:numPr>
                <w:ilvl w:val="0"/>
                <w:numId w:val="64"/>
              </w:numPr>
              <w:spacing w:line="240" w:lineRule="auto"/>
              <w:contextualSpacing/>
              <w:rPr>
                <w:rFonts w:ascii="Times New Roman" w:eastAsia="Times New Roman" w:hAnsi="Times New Roman"/>
                <w:noProof/>
                <w:color w:val="006100"/>
                <w:sz w:val="20"/>
                <w:szCs w:val="20"/>
              </w:rPr>
            </w:pPr>
            <w:r>
              <w:rPr>
                <w:rFonts w:ascii="Times New Roman" w:hAnsi="Times New Roman"/>
                <w:noProof/>
                <w:color w:val="006100"/>
                <w:sz w:val="20"/>
              </w:rPr>
              <w:t xml:space="preserve">donnant la priorité aux dossiers de transition énergétique </w:t>
            </w:r>
          </w:p>
          <w:p w14:paraId="2BD668B7" w14:textId="77777777" w:rsidR="000D1388" w:rsidRPr="00FF07F2" w:rsidRDefault="00E71057" w:rsidP="003027B3">
            <w:pPr>
              <w:widowControl w:val="0"/>
              <w:numPr>
                <w:ilvl w:val="0"/>
                <w:numId w:val="64"/>
              </w:numPr>
              <w:spacing w:line="240" w:lineRule="auto"/>
              <w:contextualSpacing/>
              <w:rPr>
                <w:rFonts w:ascii="Times New Roman" w:eastAsia="Times New Roman" w:hAnsi="Times New Roman"/>
                <w:noProof/>
                <w:color w:val="006100"/>
                <w:sz w:val="20"/>
                <w:szCs w:val="20"/>
              </w:rPr>
            </w:pPr>
            <w:r>
              <w:rPr>
                <w:rFonts w:ascii="Times New Roman" w:hAnsi="Times New Roman"/>
                <w:noProof/>
                <w:color w:val="006100"/>
                <w:sz w:val="20"/>
              </w:rPr>
              <w:t xml:space="preserve">réduisant le délai de traitement des procédures devant la section du contentieux administratif </w:t>
            </w:r>
          </w:p>
          <w:p w14:paraId="5B7BF0A6" w14:textId="77777777" w:rsidR="000D1388" w:rsidRPr="00FF07F2" w:rsidRDefault="00E71057" w:rsidP="003027B3">
            <w:pPr>
              <w:widowControl w:val="0"/>
              <w:numPr>
                <w:ilvl w:val="0"/>
                <w:numId w:val="64"/>
              </w:numPr>
              <w:spacing w:after="120" w:line="240" w:lineRule="auto"/>
              <w:ind w:left="714" w:hanging="357"/>
              <w:contextualSpacing/>
              <w:rPr>
                <w:rFonts w:ascii="Times New Roman" w:eastAsia="Times New Roman" w:hAnsi="Times New Roman"/>
                <w:noProof/>
                <w:color w:val="006100"/>
                <w:sz w:val="20"/>
                <w:szCs w:val="20"/>
              </w:rPr>
            </w:pPr>
            <w:r>
              <w:rPr>
                <w:rFonts w:ascii="Times New Roman" w:hAnsi="Times New Roman"/>
                <w:noProof/>
                <w:color w:val="006100"/>
                <w:sz w:val="20"/>
              </w:rPr>
              <w:t>réduisant le délai de traitement d’un recours en annulation classique, sauf en cas de problème de procédure</w:t>
            </w:r>
          </w:p>
          <w:p w14:paraId="3CCBE4AD" w14:textId="77777777" w:rsidR="000D1388" w:rsidRPr="00FF07F2" w:rsidRDefault="00E71057" w:rsidP="003027B3">
            <w:pPr>
              <w:widowControl w:val="0"/>
              <w:rPr>
                <w:rFonts w:ascii="Times New Roman" w:eastAsia="Times New Roman" w:hAnsi="Times New Roman"/>
                <w:noProof/>
                <w:color w:val="006100"/>
                <w:sz w:val="20"/>
                <w:szCs w:val="20"/>
              </w:rPr>
            </w:pPr>
            <w:r>
              <w:rPr>
                <w:rFonts w:ascii="Times New Roman" w:hAnsi="Times New Roman"/>
                <w:noProof/>
                <w:color w:val="006100"/>
                <w:sz w:val="20"/>
              </w:rPr>
              <w:t>2) Entrée en vigueur de l’arrêté royal qui</w:t>
            </w:r>
          </w:p>
          <w:p w14:paraId="7510888D" w14:textId="77777777" w:rsidR="000D1388" w:rsidRPr="00FF07F2" w:rsidRDefault="00E71057" w:rsidP="003027B3">
            <w:pPr>
              <w:widowControl w:val="0"/>
              <w:numPr>
                <w:ilvl w:val="0"/>
                <w:numId w:val="65"/>
              </w:numPr>
              <w:spacing w:line="240" w:lineRule="auto"/>
              <w:contextualSpacing/>
              <w:rPr>
                <w:rFonts w:ascii="Times New Roman" w:eastAsia="Times New Roman" w:hAnsi="Times New Roman"/>
                <w:noProof/>
                <w:color w:val="006100"/>
                <w:sz w:val="20"/>
                <w:szCs w:val="20"/>
              </w:rPr>
            </w:pPr>
            <w:r>
              <w:rPr>
                <w:rFonts w:ascii="Times New Roman" w:hAnsi="Times New Roman"/>
                <w:noProof/>
                <w:color w:val="006100"/>
                <w:sz w:val="20"/>
              </w:rPr>
              <w:t xml:space="preserve">accorde un traitement prioritaire aux recours concernant le déploiement des énergies renouvelables et les dossiers de transition énergétique </w:t>
            </w:r>
          </w:p>
          <w:p w14:paraId="165382E9" w14:textId="77777777" w:rsidR="000D1388" w:rsidRPr="00FF07F2" w:rsidRDefault="00E71057" w:rsidP="003027B3">
            <w:pPr>
              <w:widowControl w:val="0"/>
              <w:numPr>
                <w:ilvl w:val="0"/>
                <w:numId w:val="65"/>
              </w:numPr>
              <w:spacing w:line="240" w:lineRule="auto"/>
              <w:ind w:left="714" w:hanging="357"/>
              <w:contextualSpacing/>
              <w:rPr>
                <w:rFonts w:ascii="Times New Roman" w:eastAsia="Times New Roman" w:hAnsi="Times New Roman"/>
                <w:noProof/>
                <w:color w:val="006100"/>
                <w:sz w:val="20"/>
                <w:szCs w:val="20"/>
              </w:rPr>
            </w:pPr>
            <w:r>
              <w:rPr>
                <w:rFonts w:ascii="Times New Roman" w:hAnsi="Times New Roman"/>
                <w:noProof/>
                <w:color w:val="006100"/>
                <w:sz w:val="20"/>
              </w:rPr>
              <w:t xml:space="preserve">établit des outils permettant de hiérarchiser les dossiers, l’organisation interne et le renforcement des chambres ou des sections afin d’accélérer les procédures et le traitement des dossiers de transition énergétique </w:t>
            </w:r>
          </w:p>
          <w:p w14:paraId="1CD1D786" w14:textId="77777777" w:rsidR="000D1388" w:rsidRPr="00FF07F2" w:rsidRDefault="00E71057" w:rsidP="003027B3">
            <w:pPr>
              <w:widowControl w:val="0"/>
              <w:numPr>
                <w:ilvl w:val="0"/>
                <w:numId w:val="65"/>
              </w:numPr>
              <w:spacing w:line="240" w:lineRule="auto"/>
              <w:ind w:left="714" w:hanging="357"/>
              <w:contextualSpacing/>
              <w:rPr>
                <w:rFonts w:ascii="Times New Roman" w:eastAsia="Times New Roman" w:hAnsi="Times New Roman"/>
                <w:noProof/>
                <w:color w:val="006100"/>
                <w:sz w:val="20"/>
                <w:szCs w:val="20"/>
              </w:rPr>
            </w:pPr>
            <w:r>
              <w:rPr>
                <w:rFonts w:ascii="Times New Roman" w:hAnsi="Times New Roman"/>
                <w:noProof/>
                <w:color w:val="006100"/>
                <w:sz w:val="20"/>
              </w:rPr>
              <w:t>ramène à 15 mois le délai de traitement des recours dans ces affaires (sauf en cas de problème de procédure)</w:t>
            </w:r>
          </w:p>
        </w:tc>
      </w:tr>
      <w:tr w:rsidR="00D471F7" w:rsidRPr="00FF07F2" w14:paraId="7742A654" w14:textId="77777777" w:rsidTr="008B6800">
        <w:trPr>
          <w:trHeight w:val="660"/>
        </w:trPr>
        <w:tc>
          <w:tcPr>
            <w:tcW w:w="1129" w:type="dxa"/>
            <w:shd w:val="clear" w:color="auto" w:fill="C6EFCE"/>
            <w:vAlign w:val="center"/>
          </w:tcPr>
          <w:p w14:paraId="4B13D117"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229</w:t>
            </w:r>
          </w:p>
        </w:tc>
        <w:tc>
          <w:tcPr>
            <w:tcW w:w="1560" w:type="dxa"/>
            <w:shd w:val="clear" w:color="auto" w:fill="C6EFCE"/>
            <w:vAlign w:val="center"/>
          </w:tcPr>
          <w:p w14:paraId="52492A95"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Installation obligatoire de panneaux photovoltaïques pour les grands consommateurs (R-7.03)</w:t>
            </w:r>
          </w:p>
        </w:tc>
        <w:tc>
          <w:tcPr>
            <w:tcW w:w="708" w:type="dxa"/>
            <w:shd w:val="clear" w:color="auto" w:fill="C6EFCE"/>
            <w:vAlign w:val="center"/>
          </w:tcPr>
          <w:p w14:paraId="5BF37E0E"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J</w:t>
            </w:r>
          </w:p>
        </w:tc>
        <w:tc>
          <w:tcPr>
            <w:tcW w:w="1565" w:type="dxa"/>
            <w:shd w:val="clear" w:color="auto" w:fill="C6EFCE"/>
            <w:vAlign w:val="center"/>
          </w:tcPr>
          <w:p w14:paraId="2737B674"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Entrée en vigueur de la législation</w:t>
            </w:r>
          </w:p>
        </w:tc>
        <w:tc>
          <w:tcPr>
            <w:tcW w:w="1984" w:type="dxa"/>
            <w:shd w:val="clear" w:color="auto" w:fill="C6EFCE"/>
            <w:vAlign w:val="center"/>
          </w:tcPr>
          <w:p w14:paraId="1F5F520A"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Disposition dans l’acte juridique indiquant l’entrée en vigueur des dispositions créant l’obligation d’installer des panneaux solaires pour certains bâtiments</w:t>
            </w:r>
          </w:p>
        </w:tc>
        <w:tc>
          <w:tcPr>
            <w:tcW w:w="993" w:type="dxa"/>
            <w:shd w:val="clear" w:color="auto" w:fill="C6EFCE"/>
            <w:vAlign w:val="center"/>
          </w:tcPr>
          <w:p w14:paraId="26DB1191" w14:textId="77777777" w:rsidR="000D1388" w:rsidRPr="00746A1A" w:rsidRDefault="000D1388" w:rsidP="003027B3">
            <w:pPr>
              <w:rPr>
                <w:rFonts w:ascii="Times New Roman" w:eastAsia="Times New Roman" w:hAnsi="Times New Roman"/>
                <w:noProof/>
                <w:color w:val="006100"/>
                <w:sz w:val="20"/>
                <w:szCs w:val="20"/>
                <w:lang w:val="fr-BE"/>
              </w:rPr>
            </w:pPr>
          </w:p>
        </w:tc>
        <w:tc>
          <w:tcPr>
            <w:tcW w:w="1128" w:type="dxa"/>
            <w:shd w:val="clear" w:color="auto" w:fill="C6EFCE"/>
            <w:vAlign w:val="center"/>
          </w:tcPr>
          <w:p w14:paraId="3D3DA98A" w14:textId="77777777" w:rsidR="000D1388" w:rsidRPr="00746A1A" w:rsidRDefault="000D1388" w:rsidP="003027B3">
            <w:pPr>
              <w:rPr>
                <w:rFonts w:ascii="Times New Roman" w:eastAsia="Times New Roman" w:hAnsi="Times New Roman"/>
                <w:noProof/>
                <w:color w:val="006100"/>
                <w:sz w:val="20"/>
                <w:szCs w:val="20"/>
                <w:lang w:val="fr-BE"/>
              </w:rPr>
            </w:pPr>
          </w:p>
        </w:tc>
        <w:tc>
          <w:tcPr>
            <w:tcW w:w="993" w:type="dxa"/>
            <w:shd w:val="clear" w:color="auto" w:fill="C6EFCE"/>
            <w:vAlign w:val="center"/>
          </w:tcPr>
          <w:p w14:paraId="019DE003" w14:textId="77777777" w:rsidR="000D1388" w:rsidRPr="00746A1A" w:rsidRDefault="000D1388" w:rsidP="003027B3">
            <w:pPr>
              <w:rPr>
                <w:rFonts w:ascii="Times New Roman" w:eastAsia="Times New Roman" w:hAnsi="Times New Roman"/>
                <w:noProof/>
                <w:color w:val="006100"/>
                <w:sz w:val="20"/>
                <w:szCs w:val="20"/>
                <w:lang w:val="fr-BE"/>
              </w:rPr>
            </w:pPr>
          </w:p>
        </w:tc>
        <w:tc>
          <w:tcPr>
            <w:tcW w:w="1134" w:type="dxa"/>
            <w:shd w:val="clear" w:color="auto" w:fill="C6EFCE"/>
            <w:vAlign w:val="center"/>
          </w:tcPr>
          <w:p w14:paraId="20A79481"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T2</w:t>
            </w:r>
          </w:p>
        </w:tc>
        <w:tc>
          <w:tcPr>
            <w:tcW w:w="850" w:type="dxa"/>
            <w:shd w:val="clear" w:color="auto" w:fill="C6EFCE"/>
            <w:vAlign w:val="center"/>
          </w:tcPr>
          <w:p w14:paraId="57F8E24B"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2023</w:t>
            </w:r>
          </w:p>
        </w:tc>
        <w:tc>
          <w:tcPr>
            <w:tcW w:w="3691" w:type="dxa"/>
            <w:shd w:val="clear" w:color="auto" w:fill="C6EFCE"/>
            <w:vAlign w:val="center"/>
          </w:tcPr>
          <w:p w14:paraId="020E3CE4"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Entrée en vigueur du décret créant l’obligation d’installer des panneaux solaires photovoltaïques pour: 1) les bâtiments situés en Flandre qui sont raccordés à des points de prélèvement d’électricité où, à partir de l’année civile 2021, est prélevé plus de 1 GWh par an et 2) les bâtiments d’organismes publics situés en Flandre qui sont raccordés à des points de prélèvement d’électricité</w:t>
            </w:r>
            <w:r>
              <w:rPr>
                <w:rFonts w:ascii="Times New Roman" w:hAnsi="Times New Roman"/>
                <w:noProof/>
                <w:sz w:val="20"/>
              </w:rPr>
              <w:t xml:space="preserve"> </w:t>
            </w:r>
            <w:r>
              <w:rPr>
                <w:rFonts w:ascii="Times New Roman" w:hAnsi="Times New Roman"/>
                <w:noProof/>
                <w:color w:val="006100"/>
                <w:sz w:val="20"/>
              </w:rPr>
              <w:t>où, à partir de l’année civile 2021, sont prélevés plus de 250 MWh par an</w:t>
            </w:r>
          </w:p>
        </w:tc>
      </w:tr>
      <w:tr w:rsidR="00D471F7" w:rsidRPr="00FF07F2" w14:paraId="11ED7B4E" w14:textId="77777777" w:rsidTr="008B6800">
        <w:trPr>
          <w:trHeight w:val="660"/>
        </w:trPr>
        <w:tc>
          <w:tcPr>
            <w:tcW w:w="1129" w:type="dxa"/>
            <w:shd w:val="clear" w:color="auto" w:fill="C6EFCE"/>
            <w:vAlign w:val="center"/>
          </w:tcPr>
          <w:p w14:paraId="52F3EADD"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230</w:t>
            </w:r>
          </w:p>
        </w:tc>
        <w:tc>
          <w:tcPr>
            <w:tcW w:w="1560" w:type="dxa"/>
            <w:shd w:val="clear" w:color="auto" w:fill="C6EFCE"/>
            <w:vAlign w:val="center"/>
          </w:tcPr>
          <w:p w14:paraId="728604E9"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 xml:space="preserve">Accélérer la transition énergétique (R-7.04) </w:t>
            </w:r>
          </w:p>
        </w:tc>
        <w:tc>
          <w:tcPr>
            <w:tcW w:w="708" w:type="dxa"/>
            <w:shd w:val="clear" w:color="auto" w:fill="C6EFCE"/>
            <w:vAlign w:val="center"/>
          </w:tcPr>
          <w:p w14:paraId="1A775CAD"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J</w:t>
            </w:r>
          </w:p>
        </w:tc>
        <w:tc>
          <w:tcPr>
            <w:tcW w:w="1565" w:type="dxa"/>
            <w:shd w:val="clear" w:color="auto" w:fill="C6EFCE"/>
            <w:vAlign w:val="center"/>
          </w:tcPr>
          <w:p w14:paraId="702B2067"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Entrée en vigueur de l’acte juridique</w:t>
            </w:r>
          </w:p>
        </w:tc>
        <w:tc>
          <w:tcPr>
            <w:tcW w:w="1984" w:type="dxa"/>
            <w:shd w:val="clear" w:color="auto" w:fill="C6EFCE"/>
            <w:vAlign w:val="center"/>
          </w:tcPr>
          <w:p w14:paraId="4186FB2A"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Disposition dans l’acte juridique indiquant l’entrée en vigueur des dispositions révisant la loi sur la conservation de la nature et du cadre de référence révisé pour l’implantation d’éoliennes</w:t>
            </w:r>
          </w:p>
        </w:tc>
        <w:tc>
          <w:tcPr>
            <w:tcW w:w="993" w:type="dxa"/>
            <w:shd w:val="clear" w:color="auto" w:fill="C6EFCE"/>
            <w:vAlign w:val="center"/>
          </w:tcPr>
          <w:p w14:paraId="725E5BE3" w14:textId="77777777" w:rsidR="000D1388" w:rsidRPr="00746A1A" w:rsidRDefault="000D1388" w:rsidP="003027B3">
            <w:pPr>
              <w:rPr>
                <w:rFonts w:ascii="Times New Roman" w:eastAsia="Times New Roman" w:hAnsi="Times New Roman"/>
                <w:noProof/>
                <w:color w:val="006100"/>
                <w:sz w:val="20"/>
                <w:szCs w:val="20"/>
                <w:lang w:val="fr-BE"/>
              </w:rPr>
            </w:pPr>
          </w:p>
        </w:tc>
        <w:tc>
          <w:tcPr>
            <w:tcW w:w="1128" w:type="dxa"/>
            <w:shd w:val="clear" w:color="auto" w:fill="C6EFCE"/>
            <w:vAlign w:val="center"/>
          </w:tcPr>
          <w:p w14:paraId="28F8074E" w14:textId="77777777" w:rsidR="000D1388" w:rsidRPr="00746A1A" w:rsidRDefault="000D1388" w:rsidP="003027B3">
            <w:pPr>
              <w:rPr>
                <w:rFonts w:ascii="Times New Roman" w:eastAsia="Times New Roman" w:hAnsi="Times New Roman"/>
                <w:noProof/>
                <w:color w:val="006100"/>
                <w:sz w:val="20"/>
                <w:szCs w:val="20"/>
                <w:lang w:val="fr-BE"/>
              </w:rPr>
            </w:pPr>
          </w:p>
        </w:tc>
        <w:tc>
          <w:tcPr>
            <w:tcW w:w="993" w:type="dxa"/>
            <w:shd w:val="clear" w:color="auto" w:fill="C6EFCE"/>
            <w:vAlign w:val="center"/>
          </w:tcPr>
          <w:p w14:paraId="4E3D0E48" w14:textId="77777777" w:rsidR="000D1388" w:rsidRPr="00746A1A" w:rsidRDefault="000D1388" w:rsidP="003027B3">
            <w:pPr>
              <w:rPr>
                <w:rFonts w:ascii="Times New Roman" w:eastAsia="Times New Roman" w:hAnsi="Times New Roman"/>
                <w:noProof/>
                <w:color w:val="006100"/>
                <w:sz w:val="20"/>
                <w:szCs w:val="20"/>
                <w:lang w:val="fr-BE"/>
              </w:rPr>
            </w:pPr>
          </w:p>
        </w:tc>
        <w:tc>
          <w:tcPr>
            <w:tcW w:w="1134" w:type="dxa"/>
            <w:shd w:val="clear" w:color="auto" w:fill="C6EFCE"/>
            <w:vAlign w:val="center"/>
          </w:tcPr>
          <w:p w14:paraId="1759BCEC"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T4</w:t>
            </w:r>
          </w:p>
        </w:tc>
        <w:tc>
          <w:tcPr>
            <w:tcW w:w="850" w:type="dxa"/>
            <w:shd w:val="clear" w:color="auto" w:fill="C6EFCE"/>
            <w:vAlign w:val="center"/>
          </w:tcPr>
          <w:p w14:paraId="68B15843"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2024</w:t>
            </w:r>
          </w:p>
        </w:tc>
        <w:tc>
          <w:tcPr>
            <w:tcW w:w="3691" w:type="dxa"/>
            <w:shd w:val="clear" w:color="auto" w:fill="C6EFCE"/>
            <w:vAlign w:val="center"/>
          </w:tcPr>
          <w:p w14:paraId="7693FAD2" w14:textId="77777777" w:rsidR="000D1388" w:rsidRPr="00FF07F2" w:rsidRDefault="00E71057" w:rsidP="003027B3">
            <w:pPr>
              <w:spacing w:after="120"/>
              <w:rPr>
                <w:rFonts w:ascii="Times New Roman" w:eastAsia="Times New Roman" w:hAnsi="Times New Roman"/>
                <w:noProof/>
                <w:color w:val="006100"/>
                <w:sz w:val="20"/>
                <w:szCs w:val="20"/>
              </w:rPr>
            </w:pPr>
            <w:r>
              <w:rPr>
                <w:rFonts w:ascii="Times New Roman" w:hAnsi="Times New Roman"/>
                <w:noProof/>
                <w:color w:val="006100"/>
                <w:sz w:val="20"/>
              </w:rPr>
              <w:t>1) Entrée en vigueur de la réforme de la loi sur la conservation de la nature qui simplifie les procédures d’évaluation des incidences des projets d’installations de production d’énergie à partir de sources renouvelables sur la biodiversité dans les zones définies comme des «zones d’accélération des énergies renouvelables»</w:t>
            </w:r>
          </w:p>
          <w:p w14:paraId="260A4D7E" w14:textId="77777777" w:rsidR="000D1388" w:rsidRPr="00FF07F2" w:rsidRDefault="00E71057" w:rsidP="003027B3">
            <w:pPr>
              <w:spacing w:after="120"/>
              <w:jc w:val="both"/>
              <w:textAlignment w:val="baseline"/>
              <w:rPr>
                <w:rFonts w:ascii="Times New Roman" w:eastAsia="Times New Roman" w:hAnsi="Times New Roman"/>
                <w:noProof/>
                <w:color w:val="006100"/>
                <w:sz w:val="20"/>
                <w:szCs w:val="20"/>
              </w:rPr>
            </w:pPr>
            <w:r>
              <w:rPr>
                <w:rFonts w:ascii="Times New Roman" w:hAnsi="Times New Roman"/>
                <w:noProof/>
                <w:color w:val="006100"/>
                <w:sz w:val="20"/>
              </w:rPr>
              <w:t>2) Entrée en vigueur du cadre de référence révisé pour l’implantation d’éoliennes, en vue de consacrer l’intérêt public supérieur des énergies renouvelables, d’adapter la distance entre les mâts et les zones d’habitat, en modulant l’obligation d’installer un nombre minimal de mâts, et d’adapter les ambitions des installations d’énergie renouvelable aux meilleures technologies disponibles.</w:t>
            </w:r>
          </w:p>
          <w:p w14:paraId="744B9058" w14:textId="77777777" w:rsidR="000D1388" w:rsidRPr="00FF07F2" w:rsidRDefault="00E71057" w:rsidP="003027B3">
            <w:pPr>
              <w:spacing w:after="120"/>
              <w:textAlignment w:val="baseline"/>
              <w:rPr>
                <w:rFonts w:ascii="Times New Roman" w:hAnsi="Times New Roman"/>
                <w:noProof/>
                <w:color w:val="006100"/>
                <w:sz w:val="20"/>
                <w:szCs w:val="20"/>
              </w:rPr>
            </w:pPr>
            <w:r>
              <w:rPr>
                <w:rFonts w:ascii="Times New Roman" w:hAnsi="Times New Roman"/>
                <w:noProof/>
                <w:color w:val="006100"/>
                <w:sz w:val="20"/>
              </w:rPr>
              <w:t>3) Entrée en vigueur de la révision de l’acte juridique sur la performance énergétique des bâtiments, interdisant l’installation de charbon et de fioul pour le chauffage et l’eau chaude sanitaire dans les nouveaux bâtiments à partir du 1</w:t>
            </w:r>
            <w:r>
              <w:rPr>
                <w:rFonts w:ascii="Times New Roman" w:hAnsi="Times New Roman"/>
                <w:noProof/>
                <w:color w:val="006100"/>
                <w:sz w:val="20"/>
                <w:vertAlign w:val="superscript"/>
              </w:rPr>
              <w:t>er</w:t>
            </w:r>
            <w:r>
              <w:rPr>
                <w:rFonts w:ascii="Times New Roman" w:hAnsi="Times New Roman"/>
                <w:noProof/>
                <w:color w:val="006100"/>
                <w:sz w:val="20"/>
              </w:rPr>
              <w:t> janvier 2026.</w:t>
            </w:r>
          </w:p>
        </w:tc>
      </w:tr>
      <w:tr w:rsidR="00D471F7" w:rsidRPr="00FF07F2" w14:paraId="1A8F309E" w14:textId="77777777" w:rsidTr="008B6800">
        <w:trPr>
          <w:trHeight w:val="3420"/>
        </w:trPr>
        <w:tc>
          <w:tcPr>
            <w:tcW w:w="1129" w:type="dxa"/>
            <w:shd w:val="clear" w:color="auto" w:fill="C6EFCE"/>
            <w:vAlign w:val="center"/>
          </w:tcPr>
          <w:p w14:paraId="5EA01236"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231</w:t>
            </w:r>
          </w:p>
        </w:tc>
        <w:tc>
          <w:tcPr>
            <w:tcW w:w="1560" w:type="dxa"/>
            <w:shd w:val="clear" w:color="auto" w:fill="C6EFCE"/>
            <w:vAlign w:val="center"/>
          </w:tcPr>
          <w:p w14:paraId="3DE78845"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Accélérer la transition énergétique (R-7.04)</w:t>
            </w:r>
          </w:p>
        </w:tc>
        <w:tc>
          <w:tcPr>
            <w:tcW w:w="708" w:type="dxa"/>
            <w:shd w:val="clear" w:color="auto" w:fill="C6EFCE"/>
            <w:vAlign w:val="center"/>
          </w:tcPr>
          <w:p w14:paraId="7663930F"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J</w:t>
            </w:r>
          </w:p>
        </w:tc>
        <w:tc>
          <w:tcPr>
            <w:tcW w:w="1565" w:type="dxa"/>
            <w:shd w:val="clear" w:color="auto" w:fill="C6EFCE"/>
            <w:vAlign w:val="center"/>
          </w:tcPr>
          <w:p w14:paraId="650D980A"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Entrée en vigueur de l’acte juridique</w:t>
            </w:r>
          </w:p>
        </w:tc>
        <w:tc>
          <w:tcPr>
            <w:tcW w:w="1984" w:type="dxa"/>
            <w:shd w:val="clear" w:color="auto" w:fill="C6EFCE"/>
            <w:vAlign w:val="center"/>
          </w:tcPr>
          <w:p w14:paraId="558E9F8F"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Disposition dans l’acte juridique indiquant l’entrée en vigueur des dispositions interdisant le charbon et le mazout pour le chauffage</w:t>
            </w:r>
          </w:p>
        </w:tc>
        <w:tc>
          <w:tcPr>
            <w:tcW w:w="993" w:type="dxa"/>
            <w:shd w:val="clear" w:color="auto" w:fill="C6EFCE"/>
            <w:vAlign w:val="center"/>
          </w:tcPr>
          <w:p w14:paraId="5B8C0850" w14:textId="77777777" w:rsidR="000D1388" w:rsidRPr="00746A1A" w:rsidRDefault="000D1388" w:rsidP="003027B3">
            <w:pPr>
              <w:rPr>
                <w:rFonts w:ascii="Times New Roman" w:eastAsia="Times New Roman" w:hAnsi="Times New Roman"/>
                <w:noProof/>
                <w:color w:val="006100"/>
                <w:sz w:val="20"/>
                <w:szCs w:val="20"/>
                <w:lang w:val="fr-BE"/>
              </w:rPr>
            </w:pPr>
          </w:p>
        </w:tc>
        <w:tc>
          <w:tcPr>
            <w:tcW w:w="1128" w:type="dxa"/>
            <w:shd w:val="clear" w:color="auto" w:fill="C6EFCE"/>
            <w:vAlign w:val="center"/>
          </w:tcPr>
          <w:p w14:paraId="2627DD53" w14:textId="77777777" w:rsidR="000D1388" w:rsidRPr="00746A1A" w:rsidRDefault="000D1388" w:rsidP="003027B3">
            <w:pPr>
              <w:rPr>
                <w:rFonts w:ascii="Times New Roman" w:eastAsia="Times New Roman" w:hAnsi="Times New Roman"/>
                <w:noProof/>
                <w:color w:val="006100"/>
                <w:sz w:val="20"/>
                <w:szCs w:val="20"/>
                <w:lang w:val="fr-BE"/>
              </w:rPr>
            </w:pPr>
          </w:p>
        </w:tc>
        <w:tc>
          <w:tcPr>
            <w:tcW w:w="993" w:type="dxa"/>
            <w:shd w:val="clear" w:color="auto" w:fill="C6EFCE"/>
            <w:vAlign w:val="center"/>
          </w:tcPr>
          <w:p w14:paraId="62628115" w14:textId="77777777" w:rsidR="000D1388" w:rsidRPr="00746A1A" w:rsidRDefault="000D1388" w:rsidP="003027B3">
            <w:pPr>
              <w:rPr>
                <w:rFonts w:ascii="Times New Roman" w:eastAsia="Times New Roman" w:hAnsi="Times New Roman"/>
                <w:noProof/>
                <w:color w:val="006100"/>
                <w:sz w:val="20"/>
                <w:szCs w:val="20"/>
                <w:lang w:val="fr-BE"/>
              </w:rPr>
            </w:pPr>
          </w:p>
        </w:tc>
        <w:tc>
          <w:tcPr>
            <w:tcW w:w="1134" w:type="dxa"/>
            <w:shd w:val="clear" w:color="auto" w:fill="C6EFCE"/>
            <w:vAlign w:val="center"/>
          </w:tcPr>
          <w:p w14:paraId="77FEEADA"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T3</w:t>
            </w:r>
          </w:p>
        </w:tc>
        <w:tc>
          <w:tcPr>
            <w:tcW w:w="850" w:type="dxa"/>
            <w:shd w:val="clear" w:color="auto" w:fill="C6EFCE"/>
            <w:vAlign w:val="center"/>
          </w:tcPr>
          <w:p w14:paraId="0984A070"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2026</w:t>
            </w:r>
          </w:p>
        </w:tc>
        <w:tc>
          <w:tcPr>
            <w:tcW w:w="3691" w:type="dxa"/>
            <w:shd w:val="clear" w:color="auto" w:fill="C6EFCE"/>
            <w:vAlign w:val="center"/>
          </w:tcPr>
          <w:p w14:paraId="400BAA40" w14:textId="6FC36F06"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 xml:space="preserve">Entrée en vigueur, au plus tard le 31 août 2026, de la révision de l’acte juridique sur la performance énergétique des bâtiments, interdisant l’installation de charbon et de fioul pour le chauffage et l’eau chaude sanitaire dans les bâtiments existants à partir du 31 décembre 2030. </w:t>
            </w:r>
          </w:p>
        </w:tc>
      </w:tr>
      <w:tr w:rsidR="00D471F7" w:rsidRPr="00FF07F2" w14:paraId="740F5B64" w14:textId="77777777" w:rsidTr="008B6800">
        <w:trPr>
          <w:trHeight w:val="660"/>
        </w:trPr>
        <w:tc>
          <w:tcPr>
            <w:tcW w:w="1129" w:type="dxa"/>
            <w:shd w:val="clear" w:color="auto" w:fill="C6EFCE"/>
            <w:vAlign w:val="center"/>
          </w:tcPr>
          <w:p w14:paraId="0248EF4D"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233</w:t>
            </w:r>
          </w:p>
        </w:tc>
        <w:tc>
          <w:tcPr>
            <w:tcW w:w="1560" w:type="dxa"/>
            <w:shd w:val="clear" w:color="auto" w:fill="C6EFCE"/>
            <w:vAlign w:val="center"/>
          </w:tcPr>
          <w:p w14:paraId="4310FE8A"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Optimisation de la distribution d’énergie (I-7.17)</w:t>
            </w:r>
          </w:p>
        </w:tc>
        <w:tc>
          <w:tcPr>
            <w:tcW w:w="708" w:type="dxa"/>
            <w:shd w:val="clear" w:color="auto" w:fill="C6EFCE"/>
            <w:vAlign w:val="center"/>
          </w:tcPr>
          <w:p w14:paraId="7E01DC5B"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J</w:t>
            </w:r>
          </w:p>
        </w:tc>
        <w:tc>
          <w:tcPr>
            <w:tcW w:w="1565" w:type="dxa"/>
            <w:shd w:val="clear" w:color="auto" w:fill="C6EFCE"/>
            <w:vAlign w:val="center"/>
          </w:tcPr>
          <w:p w14:paraId="286F994E"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Octroi de subventions aux deux principaux opérateurs du réseau électrique de la Région wallonne</w:t>
            </w:r>
          </w:p>
        </w:tc>
        <w:tc>
          <w:tcPr>
            <w:tcW w:w="1984" w:type="dxa"/>
            <w:shd w:val="clear" w:color="auto" w:fill="C6EFCE"/>
            <w:vAlign w:val="center"/>
          </w:tcPr>
          <w:p w14:paraId="5C58FDC1"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Notification écrite de l’octroi des subventions par le gouvernement wallon</w:t>
            </w:r>
          </w:p>
        </w:tc>
        <w:tc>
          <w:tcPr>
            <w:tcW w:w="993" w:type="dxa"/>
            <w:shd w:val="clear" w:color="auto" w:fill="C6EFCE"/>
            <w:vAlign w:val="center"/>
          </w:tcPr>
          <w:p w14:paraId="5D0BCCB3" w14:textId="77777777" w:rsidR="000D1388" w:rsidRPr="00746A1A" w:rsidRDefault="000D1388" w:rsidP="003027B3">
            <w:pPr>
              <w:rPr>
                <w:rFonts w:ascii="Times New Roman" w:eastAsia="Times New Roman" w:hAnsi="Times New Roman"/>
                <w:noProof/>
                <w:color w:val="006100"/>
                <w:sz w:val="20"/>
                <w:szCs w:val="20"/>
                <w:lang w:val="fr-BE"/>
              </w:rPr>
            </w:pPr>
          </w:p>
        </w:tc>
        <w:tc>
          <w:tcPr>
            <w:tcW w:w="1128" w:type="dxa"/>
            <w:shd w:val="clear" w:color="auto" w:fill="C6EFCE"/>
            <w:vAlign w:val="center"/>
          </w:tcPr>
          <w:p w14:paraId="28B8C4F9" w14:textId="77777777" w:rsidR="000D1388" w:rsidRPr="00746A1A" w:rsidRDefault="000D1388" w:rsidP="003027B3">
            <w:pPr>
              <w:rPr>
                <w:rFonts w:ascii="Times New Roman" w:eastAsia="Times New Roman" w:hAnsi="Times New Roman"/>
                <w:noProof/>
                <w:color w:val="006100"/>
                <w:sz w:val="20"/>
                <w:szCs w:val="20"/>
                <w:lang w:val="fr-BE"/>
              </w:rPr>
            </w:pPr>
          </w:p>
        </w:tc>
        <w:tc>
          <w:tcPr>
            <w:tcW w:w="993" w:type="dxa"/>
            <w:shd w:val="clear" w:color="auto" w:fill="C6EFCE"/>
            <w:vAlign w:val="center"/>
          </w:tcPr>
          <w:p w14:paraId="5369450B" w14:textId="77777777" w:rsidR="000D1388" w:rsidRPr="00746A1A" w:rsidRDefault="000D1388" w:rsidP="003027B3">
            <w:pPr>
              <w:rPr>
                <w:rFonts w:ascii="Times New Roman" w:eastAsia="Times New Roman" w:hAnsi="Times New Roman"/>
                <w:noProof/>
                <w:color w:val="006100"/>
                <w:sz w:val="20"/>
                <w:szCs w:val="20"/>
                <w:lang w:val="fr-BE"/>
              </w:rPr>
            </w:pPr>
          </w:p>
        </w:tc>
        <w:tc>
          <w:tcPr>
            <w:tcW w:w="1134" w:type="dxa"/>
            <w:shd w:val="clear" w:color="auto" w:fill="C6EFCE"/>
            <w:vAlign w:val="center"/>
          </w:tcPr>
          <w:p w14:paraId="088AA6DE"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T1</w:t>
            </w:r>
          </w:p>
        </w:tc>
        <w:tc>
          <w:tcPr>
            <w:tcW w:w="850" w:type="dxa"/>
            <w:shd w:val="clear" w:color="auto" w:fill="C6EFCE"/>
            <w:vAlign w:val="center"/>
          </w:tcPr>
          <w:p w14:paraId="4A304D64"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2024</w:t>
            </w:r>
          </w:p>
        </w:tc>
        <w:tc>
          <w:tcPr>
            <w:tcW w:w="3691" w:type="dxa"/>
            <w:shd w:val="clear" w:color="auto" w:fill="C6EFCE"/>
            <w:vAlign w:val="center"/>
          </w:tcPr>
          <w:p w14:paraId="3A15DEC1" w14:textId="77777777" w:rsidR="000D1388" w:rsidRPr="00FF07F2" w:rsidRDefault="00E71057" w:rsidP="003027B3">
            <w:pPr>
              <w:spacing w:before="120" w:after="120"/>
              <w:rPr>
                <w:rFonts w:ascii="Times New Roman" w:eastAsia="Times New Roman" w:hAnsi="Times New Roman"/>
                <w:noProof/>
                <w:color w:val="006100"/>
                <w:sz w:val="20"/>
                <w:szCs w:val="20"/>
              </w:rPr>
            </w:pPr>
            <w:r>
              <w:rPr>
                <w:rFonts w:ascii="Times New Roman" w:hAnsi="Times New Roman"/>
                <w:noProof/>
                <w:color w:val="006100"/>
                <w:sz w:val="20"/>
              </w:rPr>
              <w:t>Octroi de subventions à deux opérateurs du réseau électrique de la Région wallonne (proportionnellement au nombre d’usagers du réseau qu’ils desservent respectivement) en vue de l’installation de compteurs intelligents.</w:t>
            </w:r>
          </w:p>
        </w:tc>
      </w:tr>
      <w:tr w:rsidR="00D471F7" w:rsidRPr="00FF07F2" w14:paraId="65C3CC11" w14:textId="77777777" w:rsidTr="008B6800">
        <w:trPr>
          <w:trHeight w:val="660"/>
        </w:trPr>
        <w:tc>
          <w:tcPr>
            <w:tcW w:w="1129" w:type="dxa"/>
            <w:shd w:val="clear" w:color="auto" w:fill="C6EFCE"/>
            <w:vAlign w:val="center"/>
          </w:tcPr>
          <w:p w14:paraId="0C31FDE6"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234</w:t>
            </w:r>
          </w:p>
        </w:tc>
        <w:tc>
          <w:tcPr>
            <w:tcW w:w="1560" w:type="dxa"/>
            <w:shd w:val="clear" w:color="auto" w:fill="C6EFCE"/>
            <w:vAlign w:val="center"/>
          </w:tcPr>
          <w:p w14:paraId="74E609B0"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Optimisation de la distribution d’énergie (I-7.17)</w:t>
            </w:r>
          </w:p>
        </w:tc>
        <w:tc>
          <w:tcPr>
            <w:tcW w:w="708" w:type="dxa"/>
            <w:shd w:val="clear" w:color="auto" w:fill="C6EFCE"/>
            <w:vAlign w:val="center"/>
          </w:tcPr>
          <w:p w14:paraId="380E9A6D"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C</w:t>
            </w:r>
          </w:p>
        </w:tc>
        <w:tc>
          <w:tcPr>
            <w:tcW w:w="1565" w:type="dxa"/>
            <w:shd w:val="clear" w:color="auto" w:fill="C6EFCE"/>
            <w:vAlign w:val="center"/>
          </w:tcPr>
          <w:p w14:paraId="23471A3F"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Installation de compteurs intelligents </w:t>
            </w:r>
          </w:p>
        </w:tc>
        <w:tc>
          <w:tcPr>
            <w:tcW w:w="1984" w:type="dxa"/>
            <w:shd w:val="clear" w:color="auto" w:fill="C6EFCE"/>
            <w:vAlign w:val="center"/>
          </w:tcPr>
          <w:p w14:paraId="79C6A3C5" w14:textId="77777777" w:rsidR="000D1388" w:rsidRPr="00FF07F2" w:rsidRDefault="000D1388" w:rsidP="003027B3">
            <w:pPr>
              <w:rPr>
                <w:rFonts w:ascii="Times New Roman" w:eastAsia="Times New Roman" w:hAnsi="Times New Roman"/>
                <w:noProof/>
                <w:color w:val="006100"/>
                <w:sz w:val="20"/>
                <w:szCs w:val="20"/>
              </w:rPr>
            </w:pPr>
          </w:p>
        </w:tc>
        <w:tc>
          <w:tcPr>
            <w:tcW w:w="993" w:type="dxa"/>
            <w:shd w:val="clear" w:color="auto" w:fill="C6EFCE"/>
            <w:vAlign w:val="center"/>
          </w:tcPr>
          <w:p w14:paraId="5485C84F" w14:textId="77777777" w:rsidR="000D1388" w:rsidRPr="00FF07F2" w:rsidRDefault="00E71057" w:rsidP="003027B3">
            <w:pPr>
              <w:widowControl w:val="0"/>
              <w:rPr>
                <w:rFonts w:ascii="Times New Roman" w:eastAsia="Times New Roman" w:hAnsi="Times New Roman"/>
                <w:noProof/>
                <w:color w:val="006100"/>
                <w:sz w:val="20"/>
                <w:szCs w:val="20"/>
              </w:rPr>
            </w:pPr>
            <w:r>
              <w:rPr>
                <w:rFonts w:ascii="Times New Roman" w:hAnsi="Times New Roman"/>
                <w:noProof/>
                <w:color w:val="006100"/>
                <w:sz w:val="20"/>
              </w:rPr>
              <w:t>Compteur intelligent</w:t>
            </w:r>
          </w:p>
        </w:tc>
        <w:tc>
          <w:tcPr>
            <w:tcW w:w="1128" w:type="dxa"/>
            <w:shd w:val="clear" w:color="auto" w:fill="C6EFCE"/>
            <w:vAlign w:val="center"/>
          </w:tcPr>
          <w:p w14:paraId="2B624F66"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0</w:t>
            </w:r>
          </w:p>
        </w:tc>
        <w:tc>
          <w:tcPr>
            <w:tcW w:w="993" w:type="dxa"/>
            <w:shd w:val="clear" w:color="auto" w:fill="C6EFCE"/>
            <w:vAlign w:val="center"/>
          </w:tcPr>
          <w:p w14:paraId="758CC794"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193 000</w:t>
            </w:r>
          </w:p>
        </w:tc>
        <w:tc>
          <w:tcPr>
            <w:tcW w:w="1134" w:type="dxa"/>
            <w:shd w:val="clear" w:color="auto" w:fill="C6EFCE"/>
            <w:vAlign w:val="center"/>
          </w:tcPr>
          <w:p w14:paraId="34D17C91"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T2</w:t>
            </w:r>
          </w:p>
        </w:tc>
        <w:tc>
          <w:tcPr>
            <w:tcW w:w="850" w:type="dxa"/>
            <w:shd w:val="clear" w:color="auto" w:fill="C6EFCE"/>
            <w:vAlign w:val="center"/>
          </w:tcPr>
          <w:p w14:paraId="63A48DA2"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2026</w:t>
            </w:r>
          </w:p>
        </w:tc>
        <w:tc>
          <w:tcPr>
            <w:tcW w:w="3691" w:type="dxa"/>
            <w:shd w:val="clear" w:color="auto" w:fill="C6EFCE"/>
            <w:vAlign w:val="center"/>
          </w:tcPr>
          <w:p w14:paraId="3ADA5A37" w14:textId="77777777" w:rsidR="000D1388" w:rsidRPr="00FF07F2" w:rsidRDefault="00E71057" w:rsidP="003027B3">
            <w:pPr>
              <w:rPr>
                <w:rFonts w:ascii="Times New Roman" w:eastAsia="Times New Roman" w:hAnsi="Times New Roman"/>
                <w:noProof/>
                <w:color w:val="6D5700"/>
                <w:sz w:val="20"/>
                <w:szCs w:val="20"/>
              </w:rPr>
            </w:pPr>
            <w:r>
              <w:rPr>
                <w:rFonts w:ascii="Times New Roman" w:hAnsi="Times New Roman"/>
                <w:noProof/>
                <w:color w:val="006100"/>
                <w:sz w:val="20"/>
              </w:rPr>
              <w:t>Des certificats d’installation ont été délivrés pour 193 000 compteurs intelligents installés par ORES ou RESA.</w:t>
            </w:r>
          </w:p>
        </w:tc>
      </w:tr>
      <w:tr w:rsidR="00D471F7" w:rsidRPr="00FF07F2" w14:paraId="7039A998" w14:textId="77777777" w:rsidTr="008B6800">
        <w:trPr>
          <w:trHeight w:val="660"/>
        </w:trPr>
        <w:tc>
          <w:tcPr>
            <w:tcW w:w="1129" w:type="dxa"/>
            <w:shd w:val="clear" w:color="auto" w:fill="C6EFCE"/>
            <w:vAlign w:val="center"/>
          </w:tcPr>
          <w:p w14:paraId="23788B15"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236</w:t>
            </w:r>
          </w:p>
        </w:tc>
        <w:tc>
          <w:tcPr>
            <w:tcW w:w="1560" w:type="dxa"/>
            <w:shd w:val="clear" w:color="auto" w:fill="C6EFCE"/>
            <w:vAlign w:val="center"/>
          </w:tcPr>
          <w:p w14:paraId="627C757A" w14:textId="0AA0628A" w:rsidR="000D1388" w:rsidRPr="00FF07F2" w:rsidRDefault="00E061B5" w:rsidP="003027B3">
            <w:pPr>
              <w:rPr>
                <w:rFonts w:ascii="Times New Roman" w:eastAsia="Times New Roman" w:hAnsi="Times New Roman"/>
                <w:noProof/>
                <w:color w:val="006100"/>
                <w:sz w:val="20"/>
                <w:szCs w:val="20"/>
              </w:rPr>
            </w:pPr>
            <w:r>
              <w:rPr>
                <w:rFonts w:ascii="Times New Roman" w:hAnsi="Times New Roman"/>
                <w:noProof/>
                <w:color w:val="006100"/>
                <w:sz w:val="20"/>
              </w:rPr>
              <w:t>Électrification des infrastructures portuaires de la Région flamande (I-7.18)</w:t>
            </w:r>
          </w:p>
        </w:tc>
        <w:tc>
          <w:tcPr>
            <w:tcW w:w="708" w:type="dxa"/>
            <w:shd w:val="clear" w:color="auto" w:fill="C6EFCE"/>
            <w:vAlign w:val="center"/>
          </w:tcPr>
          <w:p w14:paraId="5BB3A2C9"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J</w:t>
            </w:r>
          </w:p>
        </w:tc>
        <w:tc>
          <w:tcPr>
            <w:tcW w:w="1565" w:type="dxa"/>
            <w:shd w:val="clear" w:color="auto" w:fill="C6EFCE"/>
            <w:vAlign w:val="center"/>
          </w:tcPr>
          <w:p w14:paraId="1578CE37" w14:textId="77777777"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Lettres d’acceptation</w:t>
            </w:r>
          </w:p>
        </w:tc>
        <w:tc>
          <w:tcPr>
            <w:tcW w:w="1984" w:type="dxa"/>
            <w:shd w:val="clear" w:color="auto" w:fill="C6EFCE"/>
            <w:vAlign w:val="center"/>
          </w:tcPr>
          <w:p w14:paraId="568BDB9C" w14:textId="45F0F983" w:rsidR="000D1388" w:rsidRPr="00FF07F2" w:rsidRDefault="00A909E4" w:rsidP="003027B3">
            <w:pPr>
              <w:rPr>
                <w:rFonts w:ascii="Times New Roman" w:eastAsia="Times New Roman" w:hAnsi="Times New Roman"/>
                <w:noProof/>
                <w:color w:val="006100"/>
                <w:sz w:val="20"/>
                <w:szCs w:val="20"/>
              </w:rPr>
            </w:pPr>
            <w:r>
              <w:rPr>
                <w:rFonts w:ascii="Times New Roman" w:hAnsi="Times New Roman"/>
                <w:noProof/>
                <w:color w:val="006100"/>
                <w:sz w:val="20"/>
              </w:rPr>
              <w:t xml:space="preserve">Lettres d’acceptation </w:t>
            </w:r>
          </w:p>
        </w:tc>
        <w:tc>
          <w:tcPr>
            <w:tcW w:w="993" w:type="dxa"/>
            <w:shd w:val="clear" w:color="auto" w:fill="C6EFCE"/>
            <w:vAlign w:val="center"/>
          </w:tcPr>
          <w:p w14:paraId="4E74E263" w14:textId="77777777" w:rsidR="000D1388" w:rsidRPr="00FF07F2" w:rsidRDefault="000D1388" w:rsidP="003027B3">
            <w:pPr>
              <w:rPr>
                <w:rFonts w:ascii="Times New Roman" w:eastAsia="Times New Roman" w:hAnsi="Times New Roman"/>
                <w:noProof/>
                <w:color w:val="006100"/>
                <w:sz w:val="20"/>
                <w:szCs w:val="20"/>
                <w:lang w:val="en-GB"/>
              </w:rPr>
            </w:pPr>
          </w:p>
        </w:tc>
        <w:tc>
          <w:tcPr>
            <w:tcW w:w="1128" w:type="dxa"/>
            <w:shd w:val="clear" w:color="auto" w:fill="C6EFCE"/>
            <w:vAlign w:val="center"/>
          </w:tcPr>
          <w:p w14:paraId="751DCD53" w14:textId="77777777" w:rsidR="000D1388" w:rsidRPr="00FF07F2" w:rsidRDefault="000D1388" w:rsidP="003027B3">
            <w:pPr>
              <w:rPr>
                <w:rFonts w:ascii="Times New Roman" w:eastAsia="Times New Roman" w:hAnsi="Times New Roman"/>
                <w:noProof/>
                <w:color w:val="006100"/>
                <w:sz w:val="20"/>
                <w:szCs w:val="20"/>
                <w:lang w:val="en-GB"/>
              </w:rPr>
            </w:pPr>
          </w:p>
        </w:tc>
        <w:tc>
          <w:tcPr>
            <w:tcW w:w="993" w:type="dxa"/>
            <w:shd w:val="clear" w:color="auto" w:fill="C6EFCE"/>
            <w:vAlign w:val="center"/>
          </w:tcPr>
          <w:p w14:paraId="135ACF6F" w14:textId="77777777" w:rsidR="000D1388" w:rsidRPr="00FF07F2" w:rsidRDefault="000D1388" w:rsidP="003027B3">
            <w:pPr>
              <w:rPr>
                <w:rFonts w:ascii="Times New Roman" w:eastAsia="Times New Roman" w:hAnsi="Times New Roman"/>
                <w:noProof/>
                <w:color w:val="006100"/>
                <w:sz w:val="20"/>
                <w:szCs w:val="20"/>
                <w:lang w:val="en-GB"/>
              </w:rPr>
            </w:pPr>
          </w:p>
        </w:tc>
        <w:tc>
          <w:tcPr>
            <w:tcW w:w="1134" w:type="dxa"/>
            <w:shd w:val="clear" w:color="auto" w:fill="C6EFCE"/>
            <w:vAlign w:val="center"/>
          </w:tcPr>
          <w:p w14:paraId="1DD4868E"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T2</w:t>
            </w:r>
          </w:p>
        </w:tc>
        <w:tc>
          <w:tcPr>
            <w:tcW w:w="850" w:type="dxa"/>
            <w:shd w:val="clear" w:color="auto" w:fill="C6EFCE"/>
            <w:vAlign w:val="center"/>
          </w:tcPr>
          <w:p w14:paraId="7D3AB605" w14:textId="77777777" w:rsidR="000D1388" w:rsidRPr="00FF07F2" w:rsidRDefault="00E71057" w:rsidP="003027B3">
            <w:pPr>
              <w:jc w:val="center"/>
              <w:rPr>
                <w:rFonts w:ascii="Times New Roman" w:eastAsia="Times New Roman" w:hAnsi="Times New Roman"/>
                <w:noProof/>
                <w:color w:val="006100"/>
                <w:sz w:val="20"/>
                <w:szCs w:val="20"/>
              </w:rPr>
            </w:pPr>
            <w:r>
              <w:rPr>
                <w:rFonts w:ascii="Times New Roman" w:hAnsi="Times New Roman"/>
                <w:noProof/>
                <w:color w:val="006100"/>
                <w:sz w:val="20"/>
              </w:rPr>
              <w:t>2026</w:t>
            </w:r>
          </w:p>
        </w:tc>
        <w:tc>
          <w:tcPr>
            <w:tcW w:w="3691" w:type="dxa"/>
            <w:shd w:val="clear" w:color="auto" w:fill="C6EFCE"/>
            <w:vAlign w:val="center"/>
          </w:tcPr>
          <w:p w14:paraId="5065E61C" w14:textId="5F7CB16B" w:rsidR="000D1388" w:rsidRPr="00FF07F2" w:rsidRDefault="00E71057" w:rsidP="003027B3">
            <w:pPr>
              <w:rPr>
                <w:rFonts w:ascii="Times New Roman" w:eastAsia="Times New Roman" w:hAnsi="Times New Roman"/>
                <w:noProof/>
                <w:color w:val="006100"/>
                <w:sz w:val="20"/>
                <w:szCs w:val="20"/>
              </w:rPr>
            </w:pPr>
            <w:r>
              <w:rPr>
                <w:rFonts w:ascii="Times New Roman" w:hAnsi="Times New Roman"/>
                <w:noProof/>
                <w:color w:val="006100"/>
                <w:sz w:val="20"/>
              </w:rPr>
              <w:t xml:space="preserve">Des lettres d’acceptation seront émises par la VLAIO pour quatre projets attribués dans le cadre de l’appel organisé en application du «décret du gouvernement flamand accordant des subventions pour l’électrification des infrastructures portuaires au moyen d’un appel à propositions au titre du plan REPowerEU». </w:t>
            </w:r>
          </w:p>
        </w:tc>
      </w:tr>
    </w:tbl>
    <w:p w14:paraId="6F2C1BDC" w14:textId="11A2F71C" w:rsidR="000D1388" w:rsidRPr="009D65D8" w:rsidRDefault="003027B3" w:rsidP="00FE72EE">
      <w:pPr>
        <w:spacing w:before="120" w:after="120" w:line="240" w:lineRule="auto"/>
        <w:jc w:val="both"/>
        <w:rPr>
          <w:rFonts w:ascii="Times New Roman" w:eastAsia="Calibri" w:hAnsi="Times New Roman" w:cs="Times New Roman"/>
          <w:noProof/>
          <w:sz w:val="24"/>
        </w:rPr>
        <w:sectPr w:rsidR="000D1388" w:rsidRPr="009D65D8" w:rsidSect="00E71057">
          <w:headerReference w:type="even" r:id="rId270"/>
          <w:headerReference w:type="default" r:id="rId271"/>
          <w:footerReference w:type="even" r:id="rId272"/>
          <w:footerReference w:type="default" r:id="rId273"/>
          <w:headerReference w:type="first" r:id="rId274"/>
          <w:footerReference w:type="first" r:id="rId275"/>
          <w:pgSz w:w="16839" w:h="11907" w:orient="landscape"/>
          <w:pgMar w:top="1134" w:right="1134" w:bottom="1134" w:left="1134" w:header="567" w:footer="567" w:gutter="0"/>
          <w:cols w:space="720"/>
          <w:docGrid w:linePitch="360"/>
        </w:sectPr>
      </w:pPr>
      <w:r>
        <w:rPr>
          <w:noProof/>
        </w:rPr>
        <w:br w:type="textWrapping" w:clear="all"/>
      </w:r>
    </w:p>
    <w:p w14:paraId="4A1F7FA6" w14:textId="77777777" w:rsidR="000D1388" w:rsidRPr="009D65D8" w:rsidRDefault="00E71057" w:rsidP="00E71057">
      <w:pPr>
        <w:spacing w:before="120" w:after="120" w:line="240" w:lineRule="auto"/>
        <w:rPr>
          <w:rFonts w:ascii="Times New Roman" w:eastAsia="Times New Roman" w:hAnsi="Times New Roman" w:cs="Times New Roman"/>
          <w:b/>
          <w:noProof/>
          <w:color w:val="000000"/>
          <w:sz w:val="24"/>
          <w:szCs w:val="24"/>
          <w:u w:val="single"/>
        </w:rPr>
      </w:pPr>
      <w:r>
        <w:rPr>
          <w:rFonts w:ascii="Times New Roman" w:hAnsi="Times New Roman"/>
          <w:b/>
          <w:noProof/>
          <w:color w:val="000000"/>
          <w:sz w:val="24"/>
          <w:u w:val="single"/>
        </w:rPr>
        <w:t>T.3. Description des réformes et des investissements en vue du prêt</w:t>
      </w:r>
    </w:p>
    <w:p w14:paraId="3570F08D" w14:textId="77777777" w:rsidR="000D1388" w:rsidRPr="009D65D8" w:rsidRDefault="00E71057" w:rsidP="00E71057">
      <w:pPr>
        <w:spacing w:before="120" w:after="120" w:line="240" w:lineRule="auto"/>
        <w:jc w:val="both"/>
        <w:rPr>
          <w:rFonts w:ascii="Times New Roman" w:eastAsia="Times New Roman" w:hAnsi="Times New Roman" w:cs="Times New Roman"/>
          <w:noProof/>
          <w:color w:val="000000"/>
          <w:sz w:val="24"/>
          <w:szCs w:val="24"/>
          <w:u w:val="single"/>
        </w:rPr>
      </w:pPr>
      <w:r>
        <w:rPr>
          <w:rFonts w:ascii="Times New Roman" w:hAnsi="Times New Roman"/>
          <w:noProof/>
          <w:color w:val="000000"/>
          <w:sz w:val="24"/>
          <w:u w:val="single"/>
        </w:rPr>
        <w:t>Investissement I-7.20: «Îlot énergétique offshore» de l’État fédéral</w:t>
      </w:r>
    </w:p>
    <w:p w14:paraId="48C9249E"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Cette mesure vise à construire un pôle énergétique en mer («îlot énergétique») dans la partie belge de la mer du Nord grâce à l’installation et à la stabilisation de caissons offshore.</w:t>
      </w:r>
    </w:p>
    <w:p w14:paraId="678EA19B" w14:textId="77777777" w:rsidR="000D1388" w:rsidRPr="00746A1A" w:rsidRDefault="000D1388" w:rsidP="00E71057">
      <w:pPr>
        <w:spacing w:before="120" w:after="120" w:line="240" w:lineRule="auto"/>
        <w:jc w:val="both"/>
        <w:rPr>
          <w:rFonts w:ascii="Times New Roman" w:eastAsia="Times New Roman" w:hAnsi="Times New Roman" w:cs="Times New Roman"/>
          <w:noProof/>
          <w:sz w:val="24"/>
          <w:szCs w:val="24"/>
          <w:lang w:val="fr-BE"/>
        </w:rPr>
      </w:pPr>
    </w:p>
    <w:p w14:paraId="65DA99D6"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rPr>
        <w:sectPr w:rsidR="000D1388" w:rsidRPr="009D65D8" w:rsidSect="00E71057">
          <w:headerReference w:type="even" r:id="rId276"/>
          <w:headerReference w:type="default" r:id="rId277"/>
          <w:footerReference w:type="even" r:id="rId278"/>
          <w:footerReference w:type="default" r:id="rId279"/>
          <w:headerReference w:type="first" r:id="rId280"/>
          <w:footerReference w:type="first" r:id="rId281"/>
          <w:pgSz w:w="11907" w:h="16839"/>
          <w:pgMar w:top="1134" w:right="1134" w:bottom="1134" w:left="1134" w:header="567" w:footer="567" w:gutter="0"/>
          <w:cols w:space="720"/>
          <w:docGrid w:linePitch="360"/>
        </w:sectPr>
      </w:pPr>
      <w:r>
        <w:rPr>
          <w:rFonts w:ascii="Times New Roman" w:hAnsi="Times New Roman"/>
          <w:noProof/>
          <w:sz w:val="24"/>
        </w:rPr>
        <w:t xml:space="preserve"> </w:t>
      </w:r>
    </w:p>
    <w:p w14:paraId="0E4CA17A" w14:textId="77777777" w:rsidR="000D1388" w:rsidRPr="009D65D8" w:rsidRDefault="00E71057" w:rsidP="00E71057">
      <w:pPr>
        <w:spacing w:before="120" w:after="120" w:line="240" w:lineRule="auto"/>
        <w:jc w:val="both"/>
        <w:rPr>
          <w:rFonts w:ascii="Times New Roman" w:eastAsia="Times New Roman" w:hAnsi="Times New Roman" w:cs="Times New Roman"/>
          <w:b/>
          <w:noProof/>
          <w:color w:val="000000"/>
          <w:sz w:val="24"/>
          <w:szCs w:val="24"/>
          <w:u w:val="single"/>
        </w:rPr>
      </w:pPr>
      <w:r>
        <w:rPr>
          <w:rFonts w:ascii="Times New Roman" w:hAnsi="Times New Roman"/>
          <w:b/>
          <w:noProof/>
          <w:color w:val="000000"/>
          <w:sz w:val="24"/>
          <w:u w:val="single"/>
        </w:rPr>
        <w:t>T.4. Jalons, cibles, indicateurs et calendrier de suivi et de mise en œuvre en vue du prêt</w:t>
      </w:r>
    </w:p>
    <w:tbl>
      <w:tblPr>
        <w:tblW w:w="15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761"/>
        <w:gridCol w:w="1557"/>
        <w:gridCol w:w="1680"/>
        <w:gridCol w:w="1080"/>
        <w:gridCol w:w="1080"/>
        <w:gridCol w:w="929"/>
        <w:gridCol w:w="1134"/>
        <w:gridCol w:w="851"/>
        <w:gridCol w:w="3440"/>
      </w:tblGrid>
      <w:tr w:rsidR="005003AB" w:rsidRPr="007314EF" w14:paraId="77E66C10" w14:textId="77777777" w:rsidTr="00EB1BD7">
        <w:trPr>
          <w:trHeight w:val="915"/>
          <w:jc w:val="center"/>
        </w:trPr>
        <w:tc>
          <w:tcPr>
            <w:tcW w:w="1129" w:type="dxa"/>
            <w:vMerge w:val="restart"/>
            <w:shd w:val="clear" w:color="auto" w:fill="BDD7EE"/>
            <w:tcMar>
              <w:left w:w="108" w:type="dxa"/>
              <w:right w:w="108" w:type="dxa"/>
            </w:tcMar>
            <w:vAlign w:val="center"/>
          </w:tcPr>
          <w:p w14:paraId="2CDB8D07"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Numéro séquentiel</w:t>
            </w:r>
          </w:p>
        </w:tc>
        <w:tc>
          <w:tcPr>
            <w:tcW w:w="1560" w:type="dxa"/>
            <w:vMerge w:val="restart"/>
            <w:shd w:val="clear" w:color="auto" w:fill="BDD7EE"/>
            <w:tcMar>
              <w:left w:w="108" w:type="dxa"/>
              <w:right w:w="108" w:type="dxa"/>
            </w:tcMar>
            <w:vAlign w:val="center"/>
          </w:tcPr>
          <w:p w14:paraId="7DBE18DC"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Mesure connexe (réforme ou investissement)</w:t>
            </w:r>
          </w:p>
        </w:tc>
        <w:tc>
          <w:tcPr>
            <w:tcW w:w="761" w:type="dxa"/>
            <w:vMerge w:val="restart"/>
            <w:shd w:val="clear" w:color="auto" w:fill="BDD7EE"/>
            <w:tcMar>
              <w:left w:w="108" w:type="dxa"/>
              <w:right w:w="108" w:type="dxa"/>
            </w:tcMar>
            <w:vAlign w:val="center"/>
          </w:tcPr>
          <w:p w14:paraId="00CCAF87"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sz w:val="20"/>
              </w:rPr>
              <w:t>Jalon/cible</w:t>
            </w:r>
          </w:p>
        </w:tc>
        <w:tc>
          <w:tcPr>
            <w:tcW w:w="1557" w:type="dxa"/>
            <w:vMerge w:val="restart"/>
            <w:shd w:val="clear" w:color="auto" w:fill="BDD7EE"/>
            <w:tcMar>
              <w:left w:w="108" w:type="dxa"/>
              <w:right w:w="108" w:type="dxa"/>
            </w:tcMar>
            <w:vAlign w:val="center"/>
          </w:tcPr>
          <w:p w14:paraId="47768E68"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Dénomination</w:t>
            </w:r>
          </w:p>
        </w:tc>
        <w:tc>
          <w:tcPr>
            <w:tcW w:w="1680" w:type="dxa"/>
            <w:vMerge w:val="restart"/>
            <w:shd w:val="clear" w:color="auto" w:fill="BDD7EE"/>
            <w:tcMar>
              <w:left w:w="108" w:type="dxa"/>
              <w:right w:w="108" w:type="dxa"/>
            </w:tcMar>
            <w:vAlign w:val="center"/>
          </w:tcPr>
          <w:p w14:paraId="2A4206BF" w14:textId="77777777" w:rsidR="000D1388" w:rsidRPr="007314EF" w:rsidRDefault="00E71057">
            <w:pPr>
              <w:spacing w:after="0"/>
              <w:jc w:val="center"/>
              <w:rPr>
                <w:rFonts w:ascii="Times New Roman" w:eastAsia="Times New Roman" w:hAnsi="Times New Roman" w:cs="Times New Roman"/>
                <w:b/>
                <w:noProof/>
                <w:color w:val="000000"/>
                <w:sz w:val="20"/>
                <w:szCs w:val="20"/>
              </w:rPr>
            </w:pPr>
            <w:r>
              <w:rPr>
                <w:rFonts w:ascii="Times New Roman" w:hAnsi="Times New Roman"/>
                <w:b/>
                <w:noProof/>
                <w:color w:val="000000"/>
                <w:sz w:val="20"/>
              </w:rPr>
              <w:t xml:space="preserve">Indicateurs qualitatifs </w:t>
            </w:r>
            <w:r>
              <w:rPr>
                <w:rFonts w:ascii="Calibri" w:hAnsi="Calibri"/>
                <w:noProof/>
                <w:sz w:val="20"/>
              </w:rPr>
              <w:br/>
            </w:r>
            <w:r>
              <w:rPr>
                <w:rFonts w:ascii="Times New Roman" w:hAnsi="Times New Roman"/>
                <w:b/>
                <w:noProof/>
                <w:color w:val="000000"/>
                <w:sz w:val="20"/>
              </w:rPr>
              <w:t>(pour le jalon)</w:t>
            </w:r>
          </w:p>
        </w:tc>
        <w:tc>
          <w:tcPr>
            <w:tcW w:w="3089" w:type="dxa"/>
            <w:gridSpan w:val="3"/>
            <w:shd w:val="clear" w:color="auto" w:fill="BDD7EE"/>
            <w:tcMar>
              <w:left w:w="108" w:type="dxa"/>
              <w:right w:w="108" w:type="dxa"/>
            </w:tcMar>
            <w:vAlign w:val="center"/>
          </w:tcPr>
          <w:p w14:paraId="42099FF5"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 xml:space="preserve">Indicateurs quantitatifs </w:t>
            </w:r>
            <w:r>
              <w:rPr>
                <w:rFonts w:ascii="Calibri" w:hAnsi="Calibri"/>
                <w:noProof/>
                <w:sz w:val="20"/>
              </w:rPr>
              <w:br/>
            </w:r>
            <w:r>
              <w:rPr>
                <w:rFonts w:ascii="Times New Roman" w:hAnsi="Times New Roman"/>
                <w:b/>
                <w:noProof/>
                <w:color w:val="000000"/>
                <w:sz w:val="20"/>
              </w:rPr>
              <w:t>(pour les cibles)</w:t>
            </w:r>
          </w:p>
        </w:tc>
        <w:tc>
          <w:tcPr>
            <w:tcW w:w="1985" w:type="dxa"/>
            <w:gridSpan w:val="2"/>
            <w:shd w:val="clear" w:color="auto" w:fill="BDD7EE"/>
            <w:tcMar>
              <w:left w:w="108" w:type="dxa"/>
              <w:right w:w="108" w:type="dxa"/>
            </w:tcMar>
            <w:vAlign w:val="center"/>
          </w:tcPr>
          <w:p w14:paraId="064A5A4A" w14:textId="77777777" w:rsidR="000D1388" w:rsidRPr="007314EF" w:rsidRDefault="00E71057">
            <w:pPr>
              <w:spacing w:line="257" w:lineRule="auto"/>
              <w:jc w:val="center"/>
              <w:rPr>
                <w:rFonts w:ascii="Times New Roman" w:eastAsia="Calibri" w:hAnsi="Times New Roman" w:cs="Times New Roman"/>
                <w:noProof/>
                <w:sz w:val="20"/>
                <w:szCs w:val="20"/>
              </w:rPr>
            </w:pPr>
            <w:r>
              <w:rPr>
                <w:rFonts w:ascii="Times New Roman" w:hAnsi="Times New Roman"/>
                <w:b/>
                <w:noProof/>
                <w:color w:val="000000"/>
                <w:sz w:val="20"/>
              </w:rPr>
              <w:t>Calendrier indicatif de réalisation</w:t>
            </w:r>
          </w:p>
        </w:tc>
        <w:tc>
          <w:tcPr>
            <w:tcW w:w="3440" w:type="dxa"/>
            <w:vMerge w:val="restart"/>
            <w:shd w:val="clear" w:color="auto" w:fill="BDD7EE"/>
            <w:tcMar>
              <w:left w:w="108" w:type="dxa"/>
              <w:right w:w="108" w:type="dxa"/>
            </w:tcMar>
            <w:vAlign w:val="center"/>
          </w:tcPr>
          <w:p w14:paraId="6D768C04" w14:textId="77777777" w:rsidR="000D1388" w:rsidRPr="007314EF" w:rsidRDefault="00E71057">
            <w:pPr>
              <w:spacing w:line="257" w:lineRule="auto"/>
              <w:jc w:val="center"/>
              <w:rPr>
                <w:rFonts w:ascii="Times New Roman" w:eastAsia="Calibri" w:hAnsi="Times New Roman" w:cs="Times New Roman"/>
                <w:noProof/>
                <w:sz w:val="20"/>
                <w:szCs w:val="20"/>
              </w:rPr>
            </w:pPr>
            <w:r>
              <w:rPr>
                <w:rFonts w:ascii="Times New Roman" w:hAnsi="Times New Roman"/>
                <w:b/>
                <w:noProof/>
                <w:color w:val="000000"/>
                <w:sz w:val="20"/>
              </w:rPr>
              <w:t>Description de chaque jalon et cible</w:t>
            </w:r>
          </w:p>
        </w:tc>
      </w:tr>
      <w:tr w:rsidR="00F76C04" w:rsidRPr="007314EF" w14:paraId="3DADAC0F" w14:textId="77777777" w:rsidTr="00EB1BD7">
        <w:trPr>
          <w:trHeight w:val="150"/>
          <w:jc w:val="center"/>
        </w:trPr>
        <w:tc>
          <w:tcPr>
            <w:tcW w:w="1129" w:type="dxa"/>
            <w:vMerge/>
            <w:vAlign w:val="center"/>
          </w:tcPr>
          <w:p w14:paraId="5DCC9055" w14:textId="77777777" w:rsidR="000D1388" w:rsidRPr="00746A1A" w:rsidRDefault="000D1388">
            <w:pPr>
              <w:rPr>
                <w:rFonts w:ascii="Times New Roman" w:eastAsia="Calibri" w:hAnsi="Times New Roman" w:cs="Times New Roman"/>
                <w:noProof/>
                <w:sz w:val="20"/>
                <w:szCs w:val="20"/>
                <w:lang w:val="fr-BE"/>
              </w:rPr>
            </w:pPr>
          </w:p>
        </w:tc>
        <w:tc>
          <w:tcPr>
            <w:tcW w:w="1560" w:type="dxa"/>
            <w:vMerge/>
            <w:vAlign w:val="center"/>
          </w:tcPr>
          <w:p w14:paraId="0BC9E3B9" w14:textId="77777777" w:rsidR="000D1388" w:rsidRPr="00746A1A" w:rsidRDefault="000D1388">
            <w:pPr>
              <w:rPr>
                <w:rFonts w:ascii="Times New Roman" w:eastAsia="Calibri" w:hAnsi="Times New Roman" w:cs="Times New Roman"/>
                <w:noProof/>
                <w:sz w:val="20"/>
                <w:szCs w:val="20"/>
                <w:lang w:val="fr-BE"/>
              </w:rPr>
            </w:pPr>
          </w:p>
        </w:tc>
        <w:tc>
          <w:tcPr>
            <w:tcW w:w="761" w:type="dxa"/>
            <w:vMerge/>
            <w:vAlign w:val="center"/>
          </w:tcPr>
          <w:p w14:paraId="5B31F7B0" w14:textId="77777777" w:rsidR="000D1388" w:rsidRPr="00746A1A" w:rsidRDefault="000D1388">
            <w:pPr>
              <w:rPr>
                <w:rFonts w:ascii="Times New Roman" w:eastAsia="Calibri" w:hAnsi="Times New Roman" w:cs="Times New Roman"/>
                <w:noProof/>
                <w:sz w:val="20"/>
                <w:szCs w:val="20"/>
                <w:lang w:val="fr-BE"/>
              </w:rPr>
            </w:pPr>
          </w:p>
        </w:tc>
        <w:tc>
          <w:tcPr>
            <w:tcW w:w="1557" w:type="dxa"/>
            <w:vMerge/>
            <w:vAlign w:val="center"/>
          </w:tcPr>
          <w:p w14:paraId="26F7FFB8" w14:textId="77777777" w:rsidR="000D1388" w:rsidRPr="00746A1A" w:rsidRDefault="000D1388">
            <w:pPr>
              <w:rPr>
                <w:rFonts w:ascii="Times New Roman" w:eastAsia="Calibri" w:hAnsi="Times New Roman" w:cs="Times New Roman"/>
                <w:noProof/>
                <w:sz w:val="20"/>
                <w:szCs w:val="20"/>
                <w:lang w:val="fr-BE"/>
              </w:rPr>
            </w:pPr>
          </w:p>
        </w:tc>
        <w:tc>
          <w:tcPr>
            <w:tcW w:w="1680" w:type="dxa"/>
            <w:vMerge/>
            <w:vAlign w:val="center"/>
          </w:tcPr>
          <w:p w14:paraId="1319F516" w14:textId="77777777" w:rsidR="000D1388" w:rsidRPr="00746A1A" w:rsidRDefault="000D1388">
            <w:pPr>
              <w:rPr>
                <w:rFonts w:ascii="Times New Roman" w:eastAsia="Calibri" w:hAnsi="Times New Roman" w:cs="Times New Roman"/>
                <w:noProof/>
                <w:sz w:val="20"/>
                <w:szCs w:val="20"/>
                <w:lang w:val="fr-BE"/>
              </w:rPr>
            </w:pPr>
          </w:p>
        </w:tc>
        <w:tc>
          <w:tcPr>
            <w:tcW w:w="1080" w:type="dxa"/>
            <w:shd w:val="clear" w:color="auto" w:fill="BDD7EE"/>
            <w:tcMar>
              <w:left w:w="108" w:type="dxa"/>
              <w:right w:w="108" w:type="dxa"/>
            </w:tcMar>
            <w:vAlign w:val="center"/>
          </w:tcPr>
          <w:p w14:paraId="65DC0C28"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Unité de mesure</w:t>
            </w:r>
          </w:p>
        </w:tc>
        <w:tc>
          <w:tcPr>
            <w:tcW w:w="1080" w:type="dxa"/>
            <w:shd w:val="clear" w:color="auto" w:fill="BDD7EE"/>
            <w:tcMar>
              <w:left w:w="108" w:type="dxa"/>
              <w:right w:w="108" w:type="dxa"/>
            </w:tcMar>
            <w:vAlign w:val="center"/>
          </w:tcPr>
          <w:p w14:paraId="45CB3917"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Référence</w:t>
            </w:r>
          </w:p>
        </w:tc>
        <w:tc>
          <w:tcPr>
            <w:tcW w:w="929" w:type="dxa"/>
            <w:shd w:val="clear" w:color="auto" w:fill="BDD7EE"/>
            <w:tcMar>
              <w:left w:w="108" w:type="dxa"/>
              <w:right w:w="108" w:type="dxa"/>
            </w:tcMar>
            <w:vAlign w:val="center"/>
          </w:tcPr>
          <w:p w14:paraId="205A0A0A"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Objectif</w:t>
            </w:r>
          </w:p>
        </w:tc>
        <w:tc>
          <w:tcPr>
            <w:tcW w:w="1134" w:type="dxa"/>
            <w:shd w:val="clear" w:color="auto" w:fill="BDD7EE"/>
            <w:tcMar>
              <w:left w:w="108" w:type="dxa"/>
              <w:right w:w="108" w:type="dxa"/>
            </w:tcMar>
            <w:vAlign w:val="center"/>
          </w:tcPr>
          <w:p w14:paraId="393FDD94"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Trimestre</w:t>
            </w:r>
          </w:p>
        </w:tc>
        <w:tc>
          <w:tcPr>
            <w:tcW w:w="851" w:type="dxa"/>
            <w:shd w:val="clear" w:color="auto" w:fill="BDD7EE"/>
            <w:tcMar>
              <w:left w:w="108" w:type="dxa"/>
              <w:right w:w="108" w:type="dxa"/>
            </w:tcMar>
            <w:vAlign w:val="center"/>
          </w:tcPr>
          <w:p w14:paraId="6224363A"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Année</w:t>
            </w:r>
          </w:p>
        </w:tc>
        <w:tc>
          <w:tcPr>
            <w:tcW w:w="3440" w:type="dxa"/>
            <w:vMerge/>
            <w:vAlign w:val="center"/>
          </w:tcPr>
          <w:p w14:paraId="22414981" w14:textId="77777777" w:rsidR="000D1388" w:rsidRPr="007314EF" w:rsidRDefault="000D1388">
            <w:pPr>
              <w:rPr>
                <w:rFonts w:ascii="Times New Roman" w:eastAsia="Calibri" w:hAnsi="Times New Roman" w:cs="Times New Roman"/>
                <w:noProof/>
                <w:sz w:val="20"/>
                <w:szCs w:val="20"/>
                <w:lang w:val="en-GB"/>
              </w:rPr>
            </w:pPr>
          </w:p>
        </w:tc>
      </w:tr>
      <w:tr w:rsidR="00F76C04" w:rsidRPr="007314EF" w14:paraId="252B3152" w14:textId="77777777" w:rsidTr="00EB1BD7">
        <w:trPr>
          <w:trHeight w:val="300"/>
          <w:jc w:val="center"/>
        </w:trPr>
        <w:tc>
          <w:tcPr>
            <w:tcW w:w="1129" w:type="dxa"/>
            <w:shd w:val="clear" w:color="auto" w:fill="C6EFCE"/>
            <w:tcMar>
              <w:left w:w="108" w:type="dxa"/>
              <w:right w:w="108" w:type="dxa"/>
            </w:tcMar>
            <w:vAlign w:val="center"/>
          </w:tcPr>
          <w:p w14:paraId="4AAE9F41"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noProof/>
                <w:color w:val="006100"/>
                <w:sz w:val="20"/>
              </w:rPr>
              <w:t>239</w:t>
            </w:r>
          </w:p>
        </w:tc>
        <w:tc>
          <w:tcPr>
            <w:tcW w:w="1560" w:type="dxa"/>
            <w:shd w:val="clear" w:color="auto" w:fill="C6EFCE"/>
            <w:tcMar>
              <w:left w:w="108" w:type="dxa"/>
              <w:right w:w="108" w:type="dxa"/>
            </w:tcMar>
            <w:vAlign w:val="center"/>
          </w:tcPr>
          <w:p w14:paraId="2820585B"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Îlot énergétique offshore (I-7.20)</w:t>
            </w:r>
          </w:p>
        </w:tc>
        <w:tc>
          <w:tcPr>
            <w:tcW w:w="761" w:type="dxa"/>
            <w:shd w:val="clear" w:color="auto" w:fill="C6EFCE"/>
            <w:tcMar>
              <w:left w:w="108" w:type="dxa"/>
              <w:right w:w="108" w:type="dxa"/>
            </w:tcMar>
            <w:vAlign w:val="center"/>
          </w:tcPr>
          <w:p w14:paraId="7BEA696E"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noProof/>
                <w:color w:val="006100"/>
                <w:sz w:val="20"/>
              </w:rPr>
              <w:t>J</w:t>
            </w:r>
          </w:p>
        </w:tc>
        <w:tc>
          <w:tcPr>
            <w:tcW w:w="1557" w:type="dxa"/>
            <w:shd w:val="clear" w:color="auto" w:fill="C6EFCE"/>
            <w:tcMar>
              <w:left w:w="108" w:type="dxa"/>
              <w:right w:w="108" w:type="dxa"/>
            </w:tcMar>
            <w:vAlign w:val="center"/>
          </w:tcPr>
          <w:p w14:paraId="6ADBA103"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Finalisation des études FEED et environnementales</w:t>
            </w:r>
          </w:p>
        </w:tc>
        <w:tc>
          <w:tcPr>
            <w:tcW w:w="1680" w:type="dxa"/>
            <w:shd w:val="clear" w:color="auto" w:fill="C6EFCE"/>
            <w:tcMar>
              <w:left w:w="108" w:type="dxa"/>
              <w:right w:w="108" w:type="dxa"/>
            </w:tcMar>
            <w:vAlign w:val="center"/>
          </w:tcPr>
          <w:p w14:paraId="06BCDA44"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Publication des études FEED et environnementales</w:t>
            </w:r>
          </w:p>
        </w:tc>
        <w:tc>
          <w:tcPr>
            <w:tcW w:w="1080" w:type="dxa"/>
            <w:shd w:val="clear" w:color="auto" w:fill="C6EFCE"/>
            <w:tcMar>
              <w:left w:w="108" w:type="dxa"/>
              <w:right w:w="108" w:type="dxa"/>
            </w:tcMar>
            <w:vAlign w:val="center"/>
          </w:tcPr>
          <w:p w14:paraId="160E2504" w14:textId="77777777" w:rsidR="000D1388" w:rsidRPr="00746A1A" w:rsidRDefault="000D1388">
            <w:pPr>
              <w:spacing w:after="0"/>
              <w:rPr>
                <w:rFonts w:ascii="Times New Roman" w:eastAsia="Calibri" w:hAnsi="Times New Roman" w:cs="Times New Roman"/>
                <w:noProof/>
                <w:sz w:val="20"/>
                <w:szCs w:val="20"/>
                <w:lang w:val="fr-BE"/>
              </w:rPr>
            </w:pPr>
          </w:p>
        </w:tc>
        <w:tc>
          <w:tcPr>
            <w:tcW w:w="1080" w:type="dxa"/>
            <w:shd w:val="clear" w:color="auto" w:fill="C6EFCE"/>
            <w:tcMar>
              <w:left w:w="108" w:type="dxa"/>
              <w:right w:w="108" w:type="dxa"/>
            </w:tcMar>
            <w:vAlign w:val="center"/>
          </w:tcPr>
          <w:p w14:paraId="37AEDAC7" w14:textId="77777777" w:rsidR="000D1388" w:rsidRPr="00746A1A" w:rsidRDefault="000D1388">
            <w:pPr>
              <w:spacing w:after="0"/>
              <w:rPr>
                <w:rFonts w:ascii="Times New Roman" w:eastAsia="Calibri" w:hAnsi="Times New Roman" w:cs="Times New Roman"/>
                <w:noProof/>
                <w:sz w:val="20"/>
                <w:szCs w:val="20"/>
                <w:lang w:val="fr-BE"/>
              </w:rPr>
            </w:pPr>
          </w:p>
        </w:tc>
        <w:tc>
          <w:tcPr>
            <w:tcW w:w="929" w:type="dxa"/>
            <w:shd w:val="clear" w:color="auto" w:fill="C6EFCE"/>
            <w:tcMar>
              <w:left w:w="108" w:type="dxa"/>
              <w:right w:w="108" w:type="dxa"/>
            </w:tcMar>
            <w:vAlign w:val="center"/>
          </w:tcPr>
          <w:p w14:paraId="4A0BD358" w14:textId="77777777" w:rsidR="000D1388" w:rsidRPr="00746A1A" w:rsidRDefault="000D1388">
            <w:pPr>
              <w:spacing w:after="0"/>
              <w:rPr>
                <w:rFonts w:ascii="Times New Roman" w:eastAsia="Calibri" w:hAnsi="Times New Roman" w:cs="Times New Roman"/>
                <w:noProof/>
                <w:sz w:val="20"/>
                <w:szCs w:val="20"/>
                <w:lang w:val="fr-BE"/>
              </w:rPr>
            </w:pPr>
          </w:p>
        </w:tc>
        <w:tc>
          <w:tcPr>
            <w:tcW w:w="1134" w:type="dxa"/>
            <w:shd w:val="clear" w:color="auto" w:fill="C6EFCE"/>
            <w:tcMar>
              <w:left w:w="108" w:type="dxa"/>
              <w:right w:w="108" w:type="dxa"/>
            </w:tcMar>
            <w:vAlign w:val="center"/>
          </w:tcPr>
          <w:p w14:paraId="42B7A2A6"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tcMar>
              <w:left w:w="108" w:type="dxa"/>
              <w:right w:w="108" w:type="dxa"/>
            </w:tcMar>
            <w:vAlign w:val="center"/>
          </w:tcPr>
          <w:p w14:paraId="19E77F51"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440" w:type="dxa"/>
            <w:shd w:val="clear" w:color="auto" w:fill="C6EFCE"/>
            <w:tcMar>
              <w:left w:w="108" w:type="dxa"/>
              <w:right w:w="108" w:type="dxa"/>
            </w:tcMar>
            <w:vAlign w:val="center"/>
          </w:tcPr>
          <w:p w14:paraId="610C0510" w14:textId="77777777" w:rsidR="000D1388" w:rsidRPr="007314E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Finalisation des études FEED (Front-end engineering design) et environnementales pour la mesure «Îlot énergétique offshore». </w:t>
            </w:r>
          </w:p>
        </w:tc>
      </w:tr>
      <w:tr w:rsidR="00F76C04" w:rsidRPr="007314EF" w14:paraId="6528A4AB" w14:textId="77777777" w:rsidTr="00EB1BD7">
        <w:trPr>
          <w:trHeight w:val="300"/>
          <w:jc w:val="center"/>
        </w:trPr>
        <w:tc>
          <w:tcPr>
            <w:tcW w:w="1129" w:type="dxa"/>
            <w:shd w:val="clear" w:color="auto" w:fill="C6EFCE"/>
            <w:tcMar>
              <w:left w:w="108" w:type="dxa"/>
              <w:right w:w="108" w:type="dxa"/>
            </w:tcMar>
            <w:vAlign w:val="center"/>
          </w:tcPr>
          <w:p w14:paraId="050FEFF5"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240</w:t>
            </w:r>
          </w:p>
        </w:tc>
        <w:tc>
          <w:tcPr>
            <w:tcW w:w="1560" w:type="dxa"/>
            <w:shd w:val="clear" w:color="auto" w:fill="C6EFCE"/>
            <w:tcMar>
              <w:left w:w="108" w:type="dxa"/>
              <w:right w:w="108" w:type="dxa"/>
            </w:tcMar>
            <w:vAlign w:val="center"/>
          </w:tcPr>
          <w:p w14:paraId="4F754353"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Îlot énergétique offshore (I-1.7.20)</w:t>
            </w:r>
          </w:p>
        </w:tc>
        <w:tc>
          <w:tcPr>
            <w:tcW w:w="761" w:type="dxa"/>
            <w:shd w:val="clear" w:color="auto" w:fill="C6EFCE"/>
            <w:tcMar>
              <w:left w:w="108" w:type="dxa"/>
              <w:right w:w="108" w:type="dxa"/>
            </w:tcMar>
            <w:vAlign w:val="center"/>
          </w:tcPr>
          <w:p w14:paraId="60A49F44"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noProof/>
                <w:color w:val="006100"/>
                <w:sz w:val="20"/>
              </w:rPr>
              <w:t>J</w:t>
            </w:r>
          </w:p>
        </w:tc>
        <w:tc>
          <w:tcPr>
            <w:tcW w:w="1557" w:type="dxa"/>
            <w:shd w:val="clear" w:color="auto" w:fill="C6EFCE"/>
            <w:tcMar>
              <w:left w:w="108" w:type="dxa"/>
              <w:right w:w="108" w:type="dxa"/>
            </w:tcMar>
            <w:vAlign w:val="center"/>
          </w:tcPr>
          <w:p w14:paraId="267EE4EC" w14:textId="77777777" w:rsidR="000D1388" w:rsidRPr="007314E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Permis d’environnement pour l’îlot énergétique obtenus</w:t>
            </w:r>
          </w:p>
        </w:tc>
        <w:tc>
          <w:tcPr>
            <w:tcW w:w="1680" w:type="dxa"/>
            <w:shd w:val="clear" w:color="auto" w:fill="C6EFCE"/>
            <w:tcMar>
              <w:left w:w="108" w:type="dxa"/>
              <w:right w:w="108" w:type="dxa"/>
            </w:tcMar>
            <w:vAlign w:val="center"/>
          </w:tcPr>
          <w:p w14:paraId="6D20F6D1" w14:textId="77777777" w:rsidR="000D1388" w:rsidRPr="007314E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Permis d’environnement pour l’îlot énergétique obtenus</w:t>
            </w:r>
          </w:p>
        </w:tc>
        <w:tc>
          <w:tcPr>
            <w:tcW w:w="1080" w:type="dxa"/>
            <w:shd w:val="clear" w:color="auto" w:fill="C6EFCE"/>
            <w:tcMar>
              <w:left w:w="108" w:type="dxa"/>
              <w:right w:w="108" w:type="dxa"/>
            </w:tcMar>
            <w:vAlign w:val="center"/>
          </w:tcPr>
          <w:p w14:paraId="24A99BE6" w14:textId="77777777" w:rsidR="000D1388" w:rsidRPr="00746A1A" w:rsidRDefault="000D1388">
            <w:pPr>
              <w:spacing w:after="0"/>
              <w:rPr>
                <w:rFonts w:ascii="Times New Roman" w:eastAsia="Calibri" w:hAnsi="Times New Roman" w:cs="Times New Roman"/>
                <w:noProof/>
                <w:sz w:val="20"/>
                <w:szCs w:val="20"/>
                <w:lang w:val="fr-BE"/>
              </w:rPr>
            </w:pPr>
          </w:p>
        </w:tc>
        <w:tc>
          <w:tcPr>
            <w:tcW w:w="1080" w:type="dxa"/>
            <w:shd w:val="clear" w:color="auto" w:fill="C6EFCE"/>
            <w:tcMar>
              <w:left w:w="108" w:type="dxa"/>
              <w:right w:w="108" w:type="dxa"/>
            </w:tcMar>
            <w:vAlign w:val="center"/>
          </w:tcPr>
          <w:p w14:paraId="19CE96A8" w14:textId="77777777" w:rsidR="000D1388" w:rsidRPr="00746A1A" w:rsidRDefault="000D1388">
            <w:pPr>
              <w:spacing w:after="0"/>
              <w:rPr>
                <w:rFonts w:ascii="Times New Roman" w:eastAsia="Calibri" w:hAnsi="Times New Roman" w:cs="Times New Roman"/>
                <w:noProof/>
                <w:sz w:val="20"/>
                <w:szCs w:val="20"/>
                <w:lang w:val="fr-BE"/>
              </w:rPr>
            </w:pPr>
          </w:p>
        </w:tc>
        <w:tc>
          <w:tcPr>
            <w:tcW w:w="929" w:type="dxa"/>
            <w:shd w:val="clear" w:color="auto" w:fill="C6EFCE"/>
            <w:tcMar>
              <w:left w:w="108" w:type="dxa"/>
              <w:right w:w="108" w:type="dxa"/>
            </w:tcMar>
            <w:vAlign w:val="center"/>
          </w:tcPr>
          <w:p w14:paraId="2576652D" w14:textId="77777777" w:rsidR="000D1388" w:rsidRPr="00746A1A" w:rsidRDefault="000D1388">
            <w:pPr>
              <w:spacing w:after="0"/>
              <w:rPr>
                <w:rFonts w:ascii="Times New Roman" w:eastAsia="Calibri" w:hAnsi="Times New Roman" w:cs="Times New Roman"/>
                <w:noProof/>
                <w:sz w:val="20"/>
                <w:szCs w:val="20"/>
                <w:lang w:val="fr-BE"/>
              </w:rPr>
            </w:pPr>
          </w:p>
        </w:tc>
        <w:tc>
          <w:tcPr>
            <w:tcW w:w="1134" w:type="dxa"/>
            <w:shd w:val="clear" w:color="auto" w:fill="C6EFCE"/>
            <w:tcMar>
              <w:left w:w="108" w:type="dxa"/>
              <w:right w:w="108" w:type="dxa"/>
            </w:tcMar>
            <w:vAlign w:val="center"/>
          </w:tcPr>
          <w:p w14:paraId="4A144763"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51" w:type="dxa"/>
            <w:shd w:val="clear" w:color="auto" w:fill="C6EFCE"/>
            <w:tcMar>
              <w:left w:w="108" w:type="dxa"/>
              <w:right w:w="108" w:type="dxa"/>
            </w:tcMar>
            <w:vAlign w:val="center"/>
          </w:tcPr>
          <w:p w14:paraId="07038B38"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440" w:type="dxa"/>
            <w:shd w:val="clear" w:color="auto" w:fill="C6EFCE"/>
            <w:tcMar>
              <w:left w:w="108" w:type="dxa"/>
              <w:right w:w="108" w:type="dxa"/>
            </w:tcMar>
            <w:vAlign w:val="center"/>
          </w:tcPr>
          <w:p w14:paraId="2E008630" w14:textId="77777777" w:rsidR="000D1388" w:rsidRPr="007314E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Permis d’environnement obtenus par le gestionnaire de réseau de transport pour des travaux concernant un îlot énergétique en mer du Nord, comprenant cinq hectares de surface utile et des permis d’environnement pour le déploiement de câbles de raccordement offshore entre la côte et l’îlot énergétique</w:t>
            </w:r>
          </w:p>
        </w:tc>
      </w:tr>
      <w:tr w:rsidR="00F76C04" w:rsidRPr="007314EF" w14:paraId="3208937F" w14:textId="77777777" w:rsidTr="00EB1BD7">
        <w:trPr>
          <w:trHeight w:val="300"/>
          <w:jc w:val="center"/>
        </w:trPr>
        <w:tc>
          <w:tcPr>
            <w:tcW w:w="1129" w:type="dxa"/>
            <w:shd w:val="clear" w:color="auto" w:fill="C6EFCE"/>
            <w:tcMar>
              <w:left w:w="108" w:type="dxa"/>
              <w:right w:w="108" w:type="dxa"/>
            </w:tcMar>
            <w:vAlign w:val="center"/>
          </w:tcPr>
          <w:p w14:paraId="63422E07"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noProof/>
                <w:color w:val="006100"/>
                <w:sz w:val="20"/>
              </w:rPr>
              <w:t>241</w:t>
            </w:r>
          </w:p>
        </w:tc>
        <w:tc>
          <w:tcPr>
            <w:tcW w:w="1560" w:type="dxa"/>
            <w:shd w:val="clear" w:color="auto" w:fill="C6EFCE"/>
            <w:tcMar>
              <w:left w:w="108" w:type="dxa"/>
              <w:right w:w="108" w:type="dxa"/>
            </w:tcMar>
            <w:vAlign w:val="center"/>
          </w:tcPr>
          <w:p w14:paraId="7CECB0AF"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Îlot énergétique offshore (I-7.20)</w:t>
            </w:r>
          </w:p>
        </w:tc>
        <w:tc>
          <w:tcPr>
            <w:tcW w:w="761" w:type="dxa"/>
            <w:shd w:val="clear" w:color="auto" w:fill="C6EFCE"/>
            <w:tcMar>
              <w:left w:w="108" w:type="dxa"/>
              <w:right w:w="108" w:type="dxa"/>
            </w:tcMar>
            <w:vAlign w:val="center"/>
          </w:tcPr>
          <w:p w14:paraId="1F432A3A"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noProof/>
                <w:color w:val="006100"/>
                <w:sz w:val="20"/>
              </w:rPr>
              <w:t>J</w:t>
            </w:r>
          </w:p>
        </w:tc>
        <w:tc>
          <w:tcPr>
            <w:tcW w:w="1557" w:type="dxa"/>
            <w:shd w:val="clear" w:color="auto" w:fill="C6EFCE"/>
            <w:tcMar>
              <w:left w:w="108" w:type="dxa"/>
              <w:right w:w="108" w:type="dxa"/>
            </w:tcMar>
            <w:vAlign w:val="center"/>
          </w:tcPr>
          <w:p w14:paraId="6EB7C843"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Achèvement des travaux concernant l’îlot énergétique</w:t>
            </w:r>
          </w:p>
        </w:tc>
        <w:tc>
          <w:tcPr>
            <w:tcW w:w="1680" w:type="dxa"/>
            <w:shd w:val="clear" w:color="auto" w:fill="C6EFCE"/>
            <w:tcMar>
              <w:left w:w="108" w:type="dxa"/>
              <w:right w:w="108" w:type="dxa"/>
            </w:tcMar>
            <w:vAlign w:val="center"/>
          </w:tcPr>
          <w:p w14:paraId="1B8AA056"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Achèvement des travaux</w:t>
            </w:r>
          </w:p>
        </w:tc>
        <w:tc>
          <w:tcPr>
            <w:tcW w:w="1080" w:type="dxa"/>
            <w:shd w:val="clear" w:color="auto" w:fill="C6EFCE"/>
            <w:tcMar>
              <w:left w:w="108" w:type="dxa"/>
              <w:right w:w="108" w:type="dxa"/>
            </w:tcMar>
            <w:vAlign w:val="center"/>
          </w:tcPr>
          <w:p w14:paraId="3035CF98" w14:textId="77777777" w:rsidR="000D1388" w:rsidRPr="007314EF" w:rsidRDefault="000D1388">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1B69D795" w14:textId="77777777" w:rsidR="000D1388" w:rsidRPr="007314EF" w:rsidRDefault="000D1388">
            <w:pPr>
              <w:spacing w:after="0"/>
              <w:rPr>
                <w:rFonts w:ascii="Times New Roman" w:eastAsia="Calibri" w:hAnsi="Times New Roman" w:cs="Times New Roman"/>
                <w:noProof/>
                <w:sz w:val="20"/>
                <w:szCs w:val="20"/>
                <w:lang w:val="en-GB"/>
              </w:rPr>
            </w:pPr>
          </w:p>
        </w:tc>
        <w:tc>
          <w:tcPr>
            <w:tcW w:w="929" w:type="dxa"/>
            <w:shd w:val="clear" w:color="auto" w:fill="C6EFCE"/>
            <w:tcMar>
              <w:left w:w="108" w:type="dxa"/>
              <w:right w:w="108" w:type="dxa"/>
            </w:tcMar>
            <w:vAlign w:val="center"/>
          </w:tcPr>
          <w:p w14:paraId="46802F0B" w14:textId="77777777" w:rsidR="000D1388" w:rsidRPr="007314EF" w:rsidRDefault="000D1388">
            <w:pPr>
              <w:spacing w:after="0"/>
              <w:rPr>
                <w:rFonts w:ascii="Times New Roman" w:eastAsia="Calibri" w:hAnsi="Times New Roman" w:cs="Times New Roman"/>
                <w:noProof/>
                <w:sz w:val="20"/>
                <w:szCs w:val="20"/>
                <w:lang w:val="en-GB"/>
              </w:rPr>
            </w:pPr>
          </w:p>
        </w:tc>
        <w:tc>
          <w:tcPr>
            <w:tcW w:w="1134" w:type="dxa"/>
            <w:shd w:val="clear" w:color="auto" w:fill="C6EFCE"/>
            <w:tcMar>
              <w:left w:w="108" w:type="dxa"/>
              <w:right w:w="108" w:type="dxa"/>
            </w:tcMar>
            <w:vAlign w:val="center"/>
          </w:tcPr>
          <w:p w14:paraId="3E999083"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tcMar>
              <w:left w:w="108" w:type="dxa"/>
              <w:right w:w="108" w:type="dxa"/>
            </w:tcMar>
            <w:vAlign w:val="center"/>
          </w:tcPr>
          <w:p w14:paraId="2449D16D" w14:textId="77777777" w:rsidR="000D1388" w:rsidRPr="007314EF" w:rsidRDefault="00E71057">
            <w:pPr>
              <w:spacing w:after="0" w:line="240" w:lineRule="auto"/>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3440" w:type="dxa"/>
            <w:shd w:val="clear" w:color="auto" w:fill="C6EFCE"/>
            <w:tcMar>
              <w:left w:w="108" w:type="dxa"/>
              <w:right w:w="108" w:type="dxa"/>
            </w:tcMar>
            <w:vAlign w:val="center"/>
          </w:tcPr>
          <w:p w14:paraId="3EF40249" w14:textId="77777777" w:rsidR="000D1388" w:rsidRPr="007314EF" w:rsidRDefault="00E71057">
            <w:pPr>
              <w:spacing w:after="0" w:line="240" w:lineRule="auto"/>
              <w:rPr>
                <w:rFonts w:ascii="Times New Roman" w:eastAsia="Calibri" w:hAnsi="Times New Roman" w:cs="Times New Roman"/>
                <w:noProof/>
                <w:color w:val="006100"/>
                <w:sz w:val="20"/>
                <w:szCs w:val="20"/>
              </w:rPr>
            </w:pPr>
            <w:r>
              <w:rPr>
                <w:rFonts w:ascii="Times New Roman" w:hAnsi="Times New Roman"/>
                <w:noProof/>
                <w:color w:val="006100"/>
                <w:sz w:val="20"/>
              </w:rPr>
              <w:t>Certificats d’installation délivrés pour l’installation et la stabilisation de 23 caissons offshore à l’emplacement désigné en mer du Nord.</w:t>
            </w:r>
          </w:p>
        </w:tc>
      </w:tr>
    </w:tbl>
    <w:p w14:paraId="0E0F34F9" w14:textId="77777777" w:rsidR="000D1388" w:rsidRPr="00746A1A" w:rsidRDefault="000D1388" w:rsidP="00E71057">
      <w:pPr>
        <w:rPr>
          <w:rFonts w:ascii="Calibri" w:eastAsia="Calibri" w:hAnsi="Calibri" w:cs="Arial"/>
          <w:noProof/>
          <w:lang w:val="fr-BE"/>
        </w:rPr>
      </w:pPr>
    </w:p>
    <w:p w14:paraId="786FF305" w14:textId="77777777" w:rsidR="000D1388" w:rsidRPr="00746A1A" w:rsidRDefault="000D1388" w:rsidP="00E71057">
      <w:pPr>
        <w:rPr>
          <w:rFonts w:ascii="Calibri" w:eastAsia="Calibri" w:hAnsi="Calibri" w:cs="Arial"/>
          <w:noProof/>
          <w:lang w:val="fr-BE"/>
        </w:rPr>
        <w:sectPr w:rsidR="000D1388" w:rsidRPr="00746A1A" w:rsidSect="00E71057">
          <w:headerReference w:type="even" r:id="rId282"/>
          <w:headerReference w:type="default" r:id="rId283"/>
          <w:footerReference w:type="even" r:id="rId284"/>
          <w:footerReference w:type="default" r:id="rId285"/>
          <w:headerReference w:type="first" r:id="rId286"/>
          <w:footerReference w:type="first" r:id="rId287"/>
          <w:pgSz w:w="16839" w:h="11907" w:orient="landscape"/>
          <w:pgMar w:top="1134" w:right="1134" w:bottom="1134" w:left="1134" w:header="567" w:footer="567" w:gutter="0"/>
          <w:cols w:space="720"/>
          <w:docGrid w:linePitch="360"/>
        </w:sectPr>
      </w:pPr>
    </w:p>
    <w:p w14:paraId="79CAFA5A"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noProof/>
          <w:sz w:val="24"/>
          <w:szCs w:val="24"/>
        </w:rPr>
      </w:pPr>
      <w:r>
        <w:rPr>
          <w:rFonts w:ascii="Times New Roman" w:hAnsi="Times New Roman"/>
          <w:b/>
          <w:smallCaps/>
          <w:noProof/>
          <w:sz w:val="24"/>
        </w:rPr>
        <w:t>U. COMPOSANTE 7.4: Mobilité</w:t>
      </w:r>
    </w:p>
    <w:p w14:paraId="7AF3527E"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le cadre de cette composante du plan pour la reprise et la résilience de la Belgique visent à soutenir le transport routier à faibles émissions et le transfert modal en investissant dans le rail.</w:t>
      </w:r>
    </w:p>
    <w:p w14:paraId="63B09918"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composante contribue à répondre à la recommandation par pays nº 4 de 2022 et à la recommandation par pays nº 4 de 2023, appelant à «</w:t>
      </w:r>
      <w:r>
        <w:rPr>
          <w:rFonts w:ascii="Times New Roman" w:hAnsi="Times New Roman"/>
          <w:i/>
          <w:noProof/>
          <w:sz w:val="24"/>
        </w:rPr>
        <w:t>réduire la dépendance globale à l’égard des combustibles fossiles […] en promouvant l’utilisation et la fourniture des transports publics ainsi que la mobilité douce</w:t>
      </w:r>
      <w:r>
        <w:rPr>
          <w:rFonts w:ascii="Times New Roman" w:hAnsi="Times New Roman"/>
          <w:noProof/>
          <w:sz w:val="24"/>
        </w:rPr>
        <w:t>».</w:t>
      </w:r>
    </w:p>
    <w:p w14:paraId="08EE0829" w14:textId="77777777" w:rsidR="000D1388" w:rsidRPr="009D65D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2EBBC996" w14:textId="77777777" w:rsidR="000D1388" w:rsidRPr="009D65D8" w:rsidRDefault="00E71057" w:rsidP="00E71057">
      <w:pPr>
        <w:spacing w:before="120" w:after="120" w:line="240" w:lineRule="auto"/>
        <w:rPr>
          <w:rFonts w:ascii="Times New Roman" w:eastAsia="Times New Roman" w:hAnsi="Times New Roman" w:cs="Times New Roman"/>
          <w:b/>
          <w:noProof/>
          <w:sz w:val="24"/>
          <w:szCs w:val="24"/>
          <w:u w:val="single"/>
        </w:rPr>
      </w:pPr>
      <w:r>
        <w:rPr>
          <w:rFonts w:ascii="Times New Roman" w:hAnsi="Times New Roman"/>
          <w:b/>
          <w:noProof/>
          <w:sz w:val="24"/>
          <w:u w:val="single"/>
        </w:rPr>
        <w:t>U.1. Description des réformes et des investissements en vue du soutien financier non remboursable</w:t>
      </w:r>
    </w:p>
    <w:p w14:paraId="75315E46" w14:textId="77777777" w:rsidR="000D1388" w:rsidRPr="009D65D8" w:rsidRDefault="00E71057" w:rsidP="00E71057">
      <w:pPr>
        <w:spacing w:before="120" w:after="120" w:line="240" w:lineRule="auto"/>
        <w:rPr>
          <w:rFonts w:ascii="Times New Roman" w:eastAsia="Yu Gothic" w:hAnsi="Times New Roman" w:cs="Times New Roman"/>
          <w:noProof/>
          <w:sz w:val="24"/>
          <w:szCs w:val="24"/>
          <w:u w:val="single"/>
        </w:rPr>
      </w:pPr>
      <w:r>
        <w:rPr>
          <w:rFonts w:ascii="Times New Roman" w:hAnsi="Times New Roman"/>
          <w:noProof/>
          <w:sz w:val="24"/>
          <w:u w:val="single"/>
        </w:rPr>
        <w:t>Investissement I-7.21: «Verdir la flotte de bus – BCR» de la Région de Bruxelles-Capitale</w:t>
      </w:r>
    </w:p>
    <w:p w14:paraId="01FA9B05"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vise à verdir la flotte de bus. Elle consiste en l’acquisition de bus électriques supplémentaires: </w:t>
      </w:r>
    </w:p>
    <w:p w14:paraId="0619BE66" w14:textId="77777777" w:rsidR="000D1388" w:rsidRPr="009D65D8" w:rsidRDefault="00E71057" w:rsidP="00E71057">
      <w:pPr>
        <w:spacing w:before="120" w:after="120" w:line="240" w:lineRule="auto"/>
        <w:rPr>
          <w:rFonts w:ascii="Times New Roman" w:eastAsia="Yu Gothic" w:hAnsi="Times New Roman" w:cs="Times New Roman"/>
          <w:noProof/>
          <w:sz w:val="24"/>
          <w:szCs w:val="24"/>
          <w:u w:val="single"/>
        </w:rPr>
      </w:pPr>
      <w:r>
        <w:rPr>
          <w:rFonts w:ascii="Times New Roman" w:hAnsi="Times New Roman"/>
          <w:noProof/>
          <w:sz w:val="24"/>
          <w:u w:val="single"/>
        </w:rPr>
        <w:t>Investissement I-7.23: «Éclairage public LED» de la Région flamande</w:t>
      </w:r>
    </w:p>
    <w:p w14:paraId="24AA0FA6" w14:textId="77777777" w:rsidR="000D1388" w:rsidRPr="009D65D8" w:rsidRDefault="00E71057" w:rsidP="00E7105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Cet investissement a pour objectif d’accroître l’utilisation d’un éclairage public plus durable. Il consiste en l’installation d’un éclairage public LED en Région flamande. </w:t>
      </w:r>
    </w:p>
    <w:p w14:paraId="2B270D71" w14:textId="77777777" w:rsidR="000D1388" w:rsidRPr="009D65D8" w:rsidRDefault="00E71057" w:rsidP="00E71057">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I-7.24: «Rail – un réseau efficace» de l’État fédéral</w:t>
      </w:r>
    </w:p>
    <w:p w14:paraId="143B70D9" w14:textId="77777777" w:rsidR="000D1388" w:rsidRPr="009D65D8" w:rsidRDefault="00E71057" w:rsidP="00E71057">
      <w:pPr>
        <w:jc w:val="both"/>
        <w:rPr>
          <w:rFonts w:ascii="Times New Roman" w:eastAsia="Calibri" w:hAnsi="Times New Roman" w:cs="Times New Roman"/>
          <w:noProof/>
          <w:sz w:val="24"/>
          <w:szCs w:val="24"/>
        </w:rPr>
      </w:pPr>
      <w:r>
        <w:rPr>
          <w:rFonts w:ascii="Times New Roman" w:hAnsi="Times New Roman"/>
          <w:noProof/>
          <w:sz w:val="24"/>
        </w:rPr>
        <w:t xml:space="preserve">Cet investissement a pour objectif de développer le transport ferroviaire. Il consiste en la ré-électrification du réseau ferroviaire. </w:t>
      </w:r>
    </w:p>
    <w:p w14:paraId="4764E6EC" w14:textId="77777777" w:rsidR="000D1388" w:rsidRPr="00746A1A" w:rsidRDefault="000D1388" w:rsidP="00E71057">
      <w:pPr>
        <w:spacing w:before="120" w:after="120" w:line="240" w:lineRule="auto"/>
        <w:jc w:val="both"/>
        <w:rPr>
          <w:rFonts w:ascii="Times New Roman" w:eastAsia="Times New Roman" w:hAnsi="Times New Roman" w:cs="Times New Roman"/>
          <w:noProof/>
          <w:sz w:val="24"/>
          <w:szCs w:val="24"/>
          <w:lang w:val="fr-BE"/>
        </w:rPr>
        <w:sectPr w:rsidR="000D1388" w:rsidRPr="00746A1A" w:rsidSect="00E71057">
          <w:headerReference w:type="even" r:id="rId288"/>
          <w:headerReference w:type="default" r:id="rId289"/>
          <w:footerReference w:type="even" r:id="rId290"/>
          <w:footerReference w:type="default" r:id="rId291"/>
          <w:headerReference w:type="first" r:id="rId292"/>
          <w:footerReference w:type="first" r:id="rId293"/>
          <w:pgSz w:w="11907" w:h="16839"/>
          <w:pgMar w:top="1134" w:right="1134" w:bottom="1134" w:left="1134" w:header="567" w:footer="567" w:gutter="0"/>
          <w:cols w:space="720"/>
          <w:docGrid w:linePitch="360"/>
        </w:sectPr>
      </w:pPr>
    </w:p>
    <w:p w14:paraId="04FBC2C4" w14:textId="77777777" w:rsidR="000D1388" w:rsidRPr="007314EF" w:rsidRDefault="00E71057" w:rsidP="00E71057">
      <w:pPr>
        <w:spacing w:before="120" w:after="120" w:line="240" w:lineRule="auto"/>
        <w:rPr>
          <w:rFonts w:ascii="Times New Roman" w:eastAsia="Times New Roman" w:hAnsi="Times New Roman" w:cs="Times New Roman"/>
          <w:b/>
          <w:noProof/>
          <w:color w:val="000000"/>
          <w:sz w:val="24"/>
          <w:szCs w:val="24"/>
          <w:u w:val="single"/>
        </w:rPr>
      </w:pPr>
      <w:r>
        <w:rPr>
          <w:rFonts w:ascii="Times New Roman" w:hAnsi="Times New Roman"/>
          <w:b/>
          <w:noProof/>
          <w:color w:val="000000"/>
          <w:sz w:val="24"/>
          <w:u w:val="single"/>
        </w:rPr>
        <w:t>U.2. Jalons, cibles, indicateurs et calendrier de suivi et de mise en œuvre en vue du soutien financier non remboursable</w:t>
      </w:r>
    </w:p>
    <w:tbl>
      <w:tblPr>
        <w:tblW w:w="15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560"/>
        <w:gridCol w:w="761"/>
        <w:gridCol w:w="1557"/>
        <w:gridCol w:w="1680"/>
        <w:gridCol w:w="1080"/>
        <w:gridCol w:w="1080"/>
        <w:gridCol w:w="934"/>
        <w:gridCol w:w="1129"/>
        <w:gridCol w:w="851"/>
        <w:gridCol w:w="3440"/>
      </w:tblGrid>
      <w:tr w:rsidR="005003AB" w:rsidRPr="007314EF" w14:paraId="7AAE0618" w14:textId="77777777" w:rsidTr="00EB1BD7">
        <w:trPr>
          <w:trHeight w:val="915"/>
          <w:jc w:val="center"/>
        </w:trPr>
        <w:tc>
          <w:tcPr>
            <w:tcW w:w="1129" w:type="dxa"/>
            <w:vMerge w:val="restart"/>
            <w:shd w:val="clear" w:color="auto" w:fill="BDD7EE"/>
            <w:tcMar>
              <w:left w:w="108" w:type="dxa"/>
              <w:right w:w="108" w:type="dxa"/>
            </w:tcMar>
            <w:vAlign w:val="center"/>
          </w:tcPr>
          <w:p w14:paraId="496B9EE3"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Numéro séquentiel</w:t>
            </w:r>
          </w:p>
        </w:tc>
        <w:tc>
          <w:tcPr>
            <w:tcW w:w="1560" w:type="dxa"/>
            <w:vMerge w:val="restart"/>
            <w:shd w:val="clear" w:color="auto" w:fill="BDD7EE"/>
            <w:tcMar>
              <w:left w:w="108" w:type="dxa"/>
              <w:right w:w="108" w:type="dxa"/>
            </w:tcMar>
            <w:vAlign w:val="center"/>
          </w:tcPr>
          <w:p w14:paraId="40BB4175"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Mesure connexe (réforme ou investissement)</w:t>
            </w:r>
          </w:p>
        </w:tc>
        <w:tc>
          <w:tcPr>
            <w:tcW w:w="761" w:type="dxa"/>
            <w:vMerge w:val="restart"/>
            <w:shd w:val="clear" w:color="auto" w:fill="BDD7EE"/>
            <w:tcMar>
              <w:left w:w="108" w:type="dxa"/>
              <w:right w:w="108" w:type="dxa"/>
            </w:tcMar>
            <w:vAlign w:val="center"/>
          </w:tcPr>
          <w:p w14:paraId="6ACAFAEB"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sz w:val="20"/>
              </w:rPr>
              <w:t>Jalon/cible</w:t>
            </w:r>
          </w:p>
        </w:tc>
        <w:tc>
          <w:tcPr>
            <w:tcW w:w="1557" w:type="dxa"/>
            <w:vMerge w:val="restart"/>
            <w:shd w:val="clear" w:color="auto" w:fill="BDD7EE"/>
            <w:tcMar>
              <w:left w:w="108" w:type="dxa"/>
              <w:right w:w="108" w:type="dxa"/>
            </w:tcMar>
            <w:vAlign w:val="center"/>
          </w:tcPr>
          <w:p w14:paraId="08090C46"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Dénomination</w:t>
            </w:r>
          </w:p>
        </w:tc>
        <w:tc>
          <w:tcPr>
            <w:tcW w:w="1680" w:type="dxa"/>
            <w:vMerge w:val="restart"/>
            <w:shd w:val="clear" w:color="auto" w:fill="BDD7EE"/>
            <w:tcMar>
              <w:left w:w="108" w:type="dxa"/>
              <w:right w:w="108" w:type="dxa"/>
            </w:tcMar>
            <w:vAlign w:val="center"/>
          </w:tcPr>
          <w:p w14:paraId="5E28997E" w14:textId="77777777" w:rsidR="000D1388" w:rsidRPr="007314EF" w:rsidRDefault="00E71057">
            <w:pPr>
              <w:spacing w:after="0"/>
              <w:jc w:val="center"/>
              <w:rPr>
                <w:rFonts w:ascii="Times New Roman" w:eastAsia="Times New Roman" w:hAnsi="Times New Roman" w:cs="Times New Roman"/>
                <w:b/>
                <w:noProof/>
                <w:color w:val="000000"/>
                <w:sz w:val="20"/>
                <w:szCs w:val="20"/>
              </w:rPr>
            </w:pPr>
            <w:r>
              <w:rPr>
                <w:rFonts w:ascii="Times New Roman" w:hAnsi="Times New Roman"/>
                <w:b/>
                <w:noProof/>
                <w:color w:val="000000"/>
                <w:sz w:val="20"/>
              </w:rPr>
              <w:t xml:space="preserve">Indicateurs qualitatifs </w:t>
            </w:r>
            <w:r>
              <w:rPr>
                <w:rFonts w:ascii="Times New Roman" w:hAnsi="Times New Roman"/>
                <w:noProof/>
                <w:sz w:val="20"/>
              </w:rPr>
              <w:br/>
            </w:r>
            <w:r>
              <w:rPr>
                <w:rFonts w:ascii="Times New Roman" w:hAnsi="Times New Roman"/>
                <w:b/>
                <w:noProof/>
                <w:color w:val="000000"/>
                <w:sz w:val="20"/>
              </w:rPr>
              <w:t>(pour le jalon)</w:t>
            </w:r>
          </w:p>
        </w:tc>
        <w:tc>
          <w:tcPr>
            <w:tcW w:w="3094" w:type="dxa"/>
            <w:gridSpan w:val="3"/>
            <w:shd w:val="clear" w:color="auto" w:fill="BDD7EE"/>
            <w:tcMar>
              <w:left w:w="108" w:type="dxa"/>
              <w:right w:w="108" w:type="dxa"/>
            </w:tcMar>
            <w:vAlign w:val="center"/>
          </w:tcPr>
          <w:p w14:paraId="56955C3A"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 xml:space="preserve">Indicateurs quantitatifs </w:t>
            </w:r>
            <w:r>
              <w:rPr>
                <w:rFonts w:ascii="Times New Roman" w:hAnsi="Times New Roman"/>
                <w:noProof/>
                <w:sz w:val="20"/>
              </w:rPr>
              <w:br/>
            </w:r>
            <w:r>
              <w:rPr>
                <w:rFonts w:ascii="Times New Roman" w:hAnsi="Times New Roman"/>
                <w:b/>
                <w:noProof/>
                <w:color w:val="000000"/>
                <w:sz w:val="20"/>
              </w:rPr>
              <w:t>(pour les cibles)</w:t>
            </w:r>
          </w:p>
        </w:tc>
        <w:tc>
          <w:tcPr>
            <w:tcW w:w="1980" w:type="dxa"/>
            <w:gridSpan w:val="2"/>
            <w:shd w:val="clear" w:color="auto" w:fill="BDD7EE"/>
            <w:tcMar>
              <w:left w:w="108" w:type="dxa"/>
              <w:right w:w="108" w:type="dxa"/>
            </w:tcMar>
            <w:vAlign w:val="center"/>
          </w:tcPr>
          <w:p w14:paraId="3AFFF4AA" w14:textId="77777777" w:rsidR="000D1388" w:rsidRPr="007314EF" w:rsidRDefault="00E71057">
            <w:pPr>
              <w:spacing w:line="257" w:lineRule="auto"/>
              <w:jc w:val="center"/>
              <w:rPr>
                <w:rFonts w:ascii="Times New Roman" w:eastAsia="Calibri" w:hAnsi="Times New Roman" w:cs="Times New Roman"/>
                <w:noProof/>
                <w:sz w:val="20"/>
                <w:szCs w:val="20"/>
              </w:rPr>
            </w:pPr>
            <w:r>
              <w:rPr>
                <w:rFonts w:ascii="Times New Roman" w:hAnsi="Times New Roman"/>
                <w:b/>
                <w:noProof/>
                <w:color w:val="000000"/>
                <w:sz w:val="20"/>
              </w:rPr>
              <w:t>Calendrier indicatif de réalisation</w:t>
            </w:r>
          </w:p>
        </w:tc>
        <w:tc>
          <w:tcPr>
            <w:tcW w:w="3440" w:type="dxa"/>
            <w:vMerge w:val="restart"/>
            <w:shd w:val="clear" w:color="auto" w:fill="BDD7EE"/>
            <w:tcMar>
              <w:left w:w="108" w:type="dxa"/>
              <w:right w:w="108" w:type="dxa"/>
            </w:tcMar>
            <w:vAlign w:val="center"/>
          </w:tcPr>
          <w:p w14:paraId="0859DE33" w14:textId="77777777" w:rsidR="000D1388" w:rsidRPr="007314EF" w:rsidRDefault="00E71057">
            <w:pPr>
              <w:spacing w:line="257" w:lineRule="auto"/>
              <w:jc w:val="center"/>
              <w:rPr>
                <w:rFonts w:ascii="Times New Roman" w:eastAsia="Calibri" w:hAnsi="Times New Roman" w:cs="Times New Roman"/>
                <w:noProof/>
                <w:sz w:val="20"/>
                <w:szCs w:val="20"/>
              </w:rPr>
            </w:pPr>
            <w:r>
              <w:rPr>
                <w:rFonts w:ascii="Times New Roman" w:hAnsi="Times New Roman"/>
                <w:b/>
                <w:noProof/>
                <w:color w:val="000000"/>
                <w:sz w:val="20"/>
              </w:rPr>
              <w:t>Description de chaque jalon et cible</w:t>
            </w:r>
          </w:p>
        </w:tc>
      </w:tr>
      <w:tr w:rsidR="00F76C04" w:rsidRPr="007314EF" w14:paraId="00183510" w14:textId="77777777" w:rsidTr="00EB1BD7">
        <w:trPr>
          <w:trHeight w:val="150"/>
          <w:jc w:val="center"/>
        </w:trPr>
        <w:tc>
          <w:tcPr>
            <w:tcW w:w="1129" w:type="dxa"/>
            <w:vMerge/>
            <w:vAlign w:val="center"/>
          </w:tcPr>
          <w:p w14:paraId="012CB012" w14:textId="77777777" w:rsidR="000D1388" w:rsidRPr="00746A1A" w:rsidRDefault="000D1388">
            <w:pPr>
              <w:rPr>
                <w:rFonts w:ascii="Times New Roman" w:eastAsia="Calibri" w:hAnsi="Times New Roman" w:cs="Times New Roman"/>
                <w:noProof/>
                <w:sz w:val="20"/>
                <w:szCs w:val="20"/>
                <w:lang w:val="fr-BE"/>
              </w:rPr>
            </w:pPr>
          </w:p>
        </w:tc>
        <w:tc>
          <w:tcPr>
            <w:tcW w:w="1560" w:type="dxa"/>
            <w:vMerge/>
            <w:vAlign w:val="center"/>
          </w:tcPr>
          <w:p w14:paraId="2A6B6501" w14:textId="77777777" w:rsidR="000D1388" w:rsidRPr="00746A1A" w:rsidRDefault="000D1388">
            <w:pPr>
              <w:rPr>
                <w:rFonts w:ascii="Times New Roman" w:eastAsia="Calibri" w:hAnsi="Times New Roman" w:cs="Times New Roman"/>
                <w:noProof/>
                <w:sz w:val="20"/>
                <w:szCs w:val="20"/>
                <w:lang w:val="fr-BE"/>
              </w:rPr>
            </w:pPr>
          </w:p>
        </w:tc>
        <w:tc>
          <w:tcPr>
            <w:tcW w:w="761" w:type="dxa"/>
            <w:vMerge/>
            <w:vAlign w:val="center"/>
          </w:tcPr>
          <w:p w14:paraId="750E8F42" w14:textId="77777777" w:rsidR="000D1388" w:rsidRPr="00746A1A" w:rsidRDefault="000D1388">
            <w:pPr>
              <w:rPr>
                <w:rFonts w:ascii="Times New Roman" w:eastAsia="Calibri" w:hAnsi="Times New Roman" w:cs="Times New Roman"/>
                <w:noProof/>
                <w:sz w:val="20"/>
                <w:szCs w:val="20"/>
                <w:lang w:val="fr-BE"/>
              </w:rPr>
            </w:pPr>
          </w:p>
        </w:tc>
        <w:tc>
          <w:tcPr>
            <w:tcW w:w="1557" w:type="dxa"/>
            <w:vMerge/>
            <w:vAlign w:val="center"/>
          </w:tcPr>
          <w:p w14:paraId="4A9ACFA6" w14:textId="77777777" w:rsidR="000D1388" w:rsidRPr="00746A1A" w:rsidRDefault="000D1388">
            <w:pPr>
              <w:rPr>
                <w:rFonts w:ascii="Times New Roman" w:eastAsia="Calibri" w:hAnsi="Times New Roman" w:cs="Times New Roman"/>
                <w:noProof/>
                <w:sz w:val="20"/>
                <w:szCs w:val="20"/>
                <w:lang w:val="fr-BE"/>
              </w:rPr>
            </w:pPr>
          </w:p>
        </w:tc>
        <w:tc>
          <w:tcPr>
            <w:tcW w:w="1680" w:type="dxa"/>
            <w:vMerge/>
            <w:vAlign w:val="center"/>
          </w:tcPr>
          <w:p w14:paraId="301CEE7E" w14:textId="77777777" w:rsidR="000D1388" w:rsidRPr="00746A1A" w:rsidRDefault="000D1388">
            <w:pPr>
              <w:rPr>
                <w:rFonts w:ascii="Times New Roman" w:eastAsia="Calibri" w:hAnsi="Times New Roman" w:cs="Times New Roman"/>
                <w:noProof/>
                <w:sz w:val="20"/>
                <w:szCs w:val="20"/>
                <w:lang w:val="fr-BE"/>
              </w:rPr>
            </w:pPr>
          </w:p>
        </w:tc>
        <w:tc>
          <w:tcPr>
            <w:tcW w:w="1080" w:type="dxa"/>
            <w:shd w:val="clear" w:color="auto" w:fill="BDD7EE"/>
            <w:tcMar>
              <w:left w:w="108" w:type="dxa"/>
              <w:right w:w="108" w:type="dxa"/>
            </w:tcMar>
            <w:vAlign w:val="center"/>
          </w:tcPr>
          <w:p w14:paraId="60F633C9"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Unité de mesure</w:t>
            </w:r>
          </w:p>
        </w:tc>
        <w:tc>
          <w:tcPr>
            <w:tcW w:w="1080" w:type="dxa"/>
            <w:shd w:val="clear" w:color="auto" w:fill="BDD7EE"/>
            <w:tcMar>
              <w:left w:w="108" w:type="dxa"/>
              <w:right w:w="108" w:type="dxa"/>
            </w:tcMar>
            <w:vAlign w:val="center"/>
          </w:tcPr>
          <w:p w14:paraId="602D81F4"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Référence</w:t>
            </w:r>
          </w:p>
        </w:tc>
        <w:tc>
          <w:tcPr>
            <w:tcW w:w="934" w:type="dxa"/>
            <w:shd w:val="clear" w:color="auto" w:fill="BDD7EE"/>
            <w:tcMar>
              <w:left w:w="108" w:type="dxa"/>
              <w:right w:w="108" w:type="dxa"/>
            </w:tcMar>
            <w:vAlign w:val="center"/>
          </w:tcPr>
          <w:p w14:paraId="4CDF68F9"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Objectif</w:t>
            </w:r>
          </w:p>
        </w:tc>
        <w:tc>
          <w:tcPr>
            <w:tcW w:w="1129" w:type="dxa"/>
            <w:shd w:val="clear" w:color="auto" w:fill="BDD7EE"/>
            <w:tcMar>
              <w:left w:w="108" w:type="dxa"/>
              <w:right w:w="108" w:type="dxa"/>
            </w:tcMar>
            <w:vAlign w:val="center"/>
          </w:tcPr>
          <w:p w14:paraId="31CAF18C"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Trimestre</w:t>
            </w:r>
          </w:p>
        </w:tc>
        <w:tc>
          <w:tcPr>
            <w:tcW w:w="851" w:type="dxa"/>
            <w:shd w:val="clear" w:color="auto" w:fill="BDD7EE"/>
            <w:tcMar>
              <w:left w:w="108" w:type="dxa"/>
              <w:right w:w="108" w:type="dxa"/>
            </w:tcMar>
            <w:vAlign w:val="center"/>
          </w:tcPr>
          <w:p w14:paraId="51A16093"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Année</w:t>
            </w:r>
          </w:p>
        </w:tc>
        <w:tc>
          <w:tcPr>
            <w:tcW w:w="3440" w:type="dxa"/>
            <w:vMerge/>
            <w:vAlign w:val="center"/>
          </w:tcPr>
          <w:p w14:paraId="3702C3A4" w14:textId="77777777" w:rsidR="000D1388" w:rsidRPr="007314EF" w:rsidRDefault="000D1388">
            <w:pPr>
              <w:rPr>
                <w:rFonts w:ascii="Times New Roman" w:eastAsia="Calibri" w:hAnsi="Times New Roman" w:cs="Times New Roman"/>
                <w:noProof/>
                <w:sz w:val="20"/>
                <w:szCs w:val="20"/>
                <w:lang w:val="en-GB"/>
              </w:rPr>
            </w:pPr>
          </w:p>
        </w:tc>
      </w:tr>
      <w:tr w:rsidR="00F76C04" w:rsidRPr="007314EF" w14:paraId="252BFC7E" w14:textId="77777777" w:rsidTr="00EB1BD7">
        <w:trPr>
          <w:trHeight w:val="300"/>
          <w:jc w:val="center"/>
        </w:trPr>
        <w:tc>
          <w:tcPr>
            <w:tcW w:w="1129" w:type="dxa"/>
            <w:shd w:val="clear" w:color="auto" w:fill="C6EFCE"/>
            <w:tcMar>
              <w:left w:w="108" w:type="dxa"/>
              <w:right w:w="108" w:type="dxa"/>
            </w:tcMar>
            <w:vAlign w:val="center"/>
          </w:tcPr>
          <w:p w14:paraId="3BB8490E"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noProof/>
                <w:color w:val="006100"/>
                <w:sz w:val="20"/>
              </w:rPr>
              <w:t>242</w:t>
            </w:r>
          </w:p>
        </w:tc>
        <w:tc>
          <w:tcPr>
            <w:tcW w:w="1560" w:type="dxa"/>
            <w:shd w:val="clear" w:color="auto" w:fill="C6EFCE"/>
            <w:tcMar>
              <w:left w:w="108" w:type="dxa"/>
              <w:right w:w="108" w:type="dxa"/>
            </w:tcMar>
            <w:vAlign w:val="center"/>
          </w:tcPr>
          <w:p w14:paraId="27D7784E"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Verdir la flotte de bus – RBC (I-7.21)</w:t>
            </w:r>
          </w:p>
        </w:tc>
        <w:tc>
          <w:tcPr>
            <w:tcW w:w="761" w:type="dxa"/>
            <w:shd w:val="clear" w:color="auto" w:fill="C6EFCE"/>
            <w:tcMar>
              <w:left w:w="108" w:type="dxa"/>
              <w:right w:w="108" w:type="dxa"/>
            </w:tcMar>
            <w:vAlign w:val="center"/>
          </w:tcPr>
          <w:p w14:paraId="102EFDC3"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noProof/>
                <w:color w:val="006100"/>
                <w:sz w:val="20"/>
              </w:rPr>
              <w:t>C</w:t>
            </w:r>
          </w:p>
        </w:tc>
        <w:tc>
          <w:tcPr>
            <w:tcW w:w="1557" w:type="dxa"/>
            <w:shd w:val="clear" w:color="auto" w:fill="C6EFCE"/>
            <w:tcMar>
              <w:left w:w="108" w:type="dxa"/>
              <w:right w:w="108" w:type="dxa"/>
            </w:tcMar>
            <w:vAlign w:val="center"/>
          </w:tcPr>
          <w:p w14:paraId="75C9E8DE"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Bus électriques livrés</w:t>
            </w:r>
          </w:p>
        </w:tc>
        <w:tc>
          <w:tcPr>
            <w:tcW w:w="1680" w:type="dxa"/>
            <w:shd w:val="clear" w:color="auto" w:fill="C6EFCE"/>
            <w:tcMar>
              <w:left w:w="108" w:type="dxa"/>
              <w:right w:w="108" w:type="dxa"/>
            </w:tcMar>
            <w:vAlign w:val="center"/>
          </w:tcPr>
          <w:p w14:paraId="5DF79458" w14:textId="77777777" w:rsidR="000D1388" w:rsidRPr="007314EF" w:rsidRDefault="000D1388">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7E02CC02"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Nombre</w:t>
            </w:r>
          </w:p>
        </w:tc>
        <w:tc>
          <w:tcPr>
            <w:tcW w:w="1080" w:type="dxa"/>
            <w:shd w:val="clear" w:color="auto" w:fill="C6EFCE"/>
            <w:tcMar>
              <w:left w:w="108" w:type="dxa"/>
              <w:right w:w="108" w:type="dxa"/>
            </w:tcMar>
            <w:vAlign w:val="center"/>
          </w:tcPr>
          <w:p w14:paraId="4C5952F9"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33</w:t>
            </w:r>
          </w:p>
        </w:tc>
        <w:tc>
          <w:tcPr>
            <w:tcW w:w="934" w:type="dxa"/>
            <w:shd w:val="clear" w:color="auto" w:fill="C6EFCE"/>
            <w:tcMar>
              <w:left w:w="108" w:type="dxa"/>
              <w:right w:w="108" w:type="dxa"/>
            </w:tcMar>
            <w:vAlign w:val="center"/>
          </w:tcPr>
          <w:p w14:paraId="19D10A2E"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80</w:t>
            </w:r>
          </w:p>
        </w:tc>
        <w:tc>
          <w:tcPr>
            <w:tcW w:w="1129" w:type="dxa"/>
            <w:shd w:val="clear" w:color="auto" w:fill="C6EFCE"/>
            <w:tcMar>
              <w:left w:w="108" w:type="dxa"/>
              <w:right w:w="108" w:type="dxa"/>
            </w:tcMar>
            <w:vAlign w:val="center"/>
          </w:tcPr>
          <w:p w14:paraId="03803386"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tcMar>
              <w:left w:w="108" w:type="dxa"/>
              <w:right w:w="108" w:type="dxa"/>
            </w:tcMar>
            <w:vAlign w:val="center"/>
          </w:tcPr>
          <w:p w14:paraId="6845409E"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440" w:type="dxa"/>
            <w:shd w:val="clear" w:color="auto" w:fill="C6EFCE"/>
            <w:tcMar>
              <w:left w:w="108" w:type="dxa"/>
              <w:right w:w="108" w:type="dxa"/>
            </w:tcMar>
            <w:vAlign w:val="center"/>
          </w:tcPr>
          <w:p w14:paraId="43CCDC4B" w14:textId="4DAF3FF8" w:rsidR="000D1388" w:rsidRPr="007314EF" w:rsidRDefault="73B59D0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23 bus articulés électriques et 24 bus électriques standard sont livrés.</w:t>
            </w:r>
          </w:p>
        </w:tc>
      </w:tr>
      <w:tr w:rsidR="00F76C04" w:rsidRPr="007314EF" w14:paraId="5DE88EF1" w14:textId="77777777" w:rsidTr="00EB1BD7">
        <w:trPr>
          <w:trHeight w:val="300"/>
          <w:jc w:val="center"/>
        </w:trPr>
        <w:tc>
          <w:tcPr>
            <w:tcW w:w="1129" w:type="dxa"/>
            <w:shd w:val="clear" w:color="auto" w:fill="C6EFCE"/>
            <w:tcMar>
              <w:left w:w="108" w:type="dxa"/>
              <w:right w:w="108" w:type="dxa"/>
            </w:tcMar>
            <w:vAlign w:val="center"/>
          </w:tcPr>
          <w:p w14:paraId="2382400C"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244</w:t>
            </w:r>
          </w:p>
        </w:tc>
        <w:tc>
          <w:tcPr>
            <w:tcW w:w="1560" w:type="dxa"/>
            <w:shd w:val="clear" w:color="auto" w:fill="C6EFCE"/>
            <w:tcMar>
              <w:left w:w="108" w:type="dxa"/>
              <w:right w:w="108" w:type="dxa"/>
            </w:tcMar>
            <w:vAlign w:val="center"/>
          </w:tcPr>
          <w:p w14:paraId="56DFD0C5" w14:textId="77777777" w:rsidR="000D1388" w:rsidRPr="00E5698E" w:rsidRDefault="00E71057">
            <w:pPr>
              <w:spacing w:after="0"/>
              <w:rPr>
                <w:rFonts w:ascii="Times New Roman" w:eastAsia="Calibri" w:hAnsi="Times New Roman" w:cs="Times New Roman"/>
                <w:noProof/>
                <w:sz w:val="20"/>
                <w:szCs w:val="20"/>
                <w:lang w:val="en-IE"/>
              </w:rPr>
            </w:pPr>
            <w:r w:rsidRPr="00E5698E">
              <w:rPr>
                <w:rFonts w:ascii="Times New Roman" w:hAnsi="Times New Roman"/>
                <w:noProof/>
                <w:color w:val="006100"/>
                <w:sz w:val="20"/>
                <w:lang w:val="en-IE"/>
              </w:rPr>
              <w:t>Éclairage public LED – VLA (I-7.23)</w:t>
            </w:r>
          </w:p>
        </w:tc>
        <w:tc>
          <w:tcPr>
            <w:tcW w:w="761" w:type="dxa"/>
            <w:shd w:val="clear" w:color="auto" w:fill="C6EFCE"/>
            <w:tcMar>
              <w:left w:w="108" w:type="dxa"/>
              <w:right w:w="108" w:type="dxa"/>
            </w:tcMar>
            <w:vAlign w:val="center"/>
          </w:tcPr>
          <w:p w14:paraId="6358E92F"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noProof/>
                <w:color w:val="006100"/>
                <w:sz w:val="20"/>
              </w:rPr>
              <w:t>C</w:t>
            </w:r>
          </w:p>
        </w:tc>
        <w:tc>
          <w:tcPr>
            <w:tcW w:w="1557" w:type="dxa"/>
            <w:shd w:val="clear" w:color="auto" w:fill="C6EFCE"/>
            <w:tcMar>
              <w:left w:w="108" w:type="dxa"/>
              <w:right w:w="108" w:type="dxa"/>
            </w:tcMar>
            <w:vAlign w:val="center"/>
          </w:tcPr>
          <w:p w14:paraId="64F6A52F" w14:textId="77777777" w:rsidR="000D1388" w:rsidRPr="007314E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Éclairages LED installés</w:t>
            </w:r>
          </w:p>
        </w:tc>
        <w:tc>
          <w:tcPr>
            <w:tcW w:w="1680" w:type="dxa"/>
            <w:shd w:val="clear" w:color="auto" w:fill="C6EFCE"/>
            <w:tcMar>
              <w:left w:w="108" w:type="dxa"/>
              <w:right w:w="108" w:type="dxa"/>
            </w:tcMar>
            <w:vAlign w:val="center"/>
          </w:tcPr>
          <w:p w14:paraId="652BF89A" w14:textId="77777777" w:rsidR="000D1388" w:rsidRPr="007314EF" w:rsidRDefault="000D1388">
            <w:pPr>
              <w:spacing w:after="0"/>
              <w:rPr>
                <w:rFonts w:ascii="Times New Roman" w:eastAsia="Times New Roman" w:hAnsi="Times New Roman" w:cs="Times New Roman"/>
                <w:noProof/>
                <w:color w:val="006100"/>
                <w:sz w:val="20"/>
                <w:szCs w:val="20"/>
                <w:lang w:val="en-GB"/>
              </w:rPr>
            </w:pPr>
          </w:p>
        </w:tc>
        <w:tc>
          <w:tcPr>
            <w:tcW w:w="1080" w:type="dxa"/>
            <w:shd w:val="clear" w:color="auto" w:fill="C6EFCE"/>
            <w:tcMar>
              <w:left w:w="108" w:type="dxa"/>
              <w:right w:w="108" w:type="dxa"/>
            </w:tcMar>
            <w:vAlign w:val="center"/>
          </w:tcPr>
          <w:p w14:paraId="62ED27CD"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Nombre</w:t>
            </w:r>
          </w:p>
        </w:tc>
        <w:tc>
          <w:tcPr>
            <w:tcW w:w="1080" w:type="dxa"/>
            <w:shd w:val="clear" w:color="auto" w:fill="C6EFCE"/>
            <w:tcMar>
              <w:left w:w="108" w:type="dxa"/>
              <w:right w:w="108" w:type="dxa"/>
            </w:tcMar>
            <w:vAlign w:val="center"/>
          </w:tcPr>
          <w:p w14:paraId="3F1CC6FA"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0</w:t>
            </w:r>
          </w:p>
        </w:tc>
        <w:tc>
          <w:tcPr>
            <w:tcW w:w="934" w:type="dxa"/>
            <w:shd w:val="clear" w:color="auto" w:fill="C6EFCE"/>
            <w:tcMar>
              <w:left w:w="108" w:type="dxa"/>
              <w:right w:w="108" w:type="dxa"/>
            </w:tcMar>
            <w:vAlign w:val="center"/>
          </w:tcPr>
          <w:p w14:paraId="4E0A470D"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22 750</w:t>
            </w:r>
          </w:p>
        </w:tc>
        <w:tc>
          <w:tcPr>
            <w:tcW w:w="1129" w:type="dxa"/>
            <w:shd w:val="clear" w:color="auto" w:fill="C6EFCE"/>
            <w:tcMar>
              <w:left w:w="108" w:type="dxa"/>
              <w:right w:w="108" w:type="dxa"/>
            </w:tcMar>
            <w:vAlign w:val="center"/>
          </w:tcPr>
          <w:p w14:paraId="7B549C94"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tcMar>
              <w:left w:w="108" w:type="dxa"/>
              <w:right w:w="108" w:type="dxa"/>
            </w:tcMar>
            <w:vAlign w:val="center"/>
          </w:tcPr>
          <w:p w14:paraId="7807D851"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440" w:type="dxa"/>
            <w:shd w:val="clear" w:color="auto" w:fill="C6EFCE"/>
            <w:tcMar>
              <w:left w:w="108" w:type="dxa"/>
              <w:right w:w="108" w:type="dxa"/>
            </w:tcMar>
            <w:vAlign w:val="center"/>
          </w:tcPr>
          <w:p w14:paraId="600293AF" w14:textId="77777777" w:rsidR="000D1388" w:rsidRPr="007314E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de 18 500 luminaires LED sur les autoroutes et de 4 250 luminaires LED dans des tunnels.</w:t>
            </w:r>
          </w:p>
        </w:tc>
      </w:tr>
      <w:tr w:rsidR="00F76C04" w:rsidRPr="007314EF" w14:paraId="382A3660" w14:textId="77777777" w:rsidTr="00EB1BD7">
        <w:trPr>
          <w:trHeight w:val="300"/>
          <w:jc w:val="center"/>
        </w:trPr>
        <w:tc>
          <w:tcPr>
            <w:tcW w:w="1129" w:type="dxa"/>
            <w:shd w:val="clear" w:color="auto" w:fill="C6EFCE"/>
            <w:tcMar>
              <w:left w:w="108" w:type="dxa"/>
              <w:right w:w="108" w:type="dxa"/>
            </w:tcMar>
            <w:vAlign w:val="center"/>
          </w:tcPr>
          <w:p w14:paraId="3DC0A2BF"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noProof/>
                <w:color w:val="006100"/>
                <w:sz w:val="20"/>
              </w:rPr>
              <w:t>245</w:t>
            </w:r>
          </w:p>
        </w:tc>
        <w:tc>
          <w:tcPr>
            <w:tcW w:w="1560" w:type="dxa"/>
            <w:shd w:val="clear" w:color="auto" w:fill="C6EFCE"/>
            <w:tcMar>
              <w:left w:w="108" w:type="dxa"/>
              <w:right w:w="108" w:type="dxa"/>
            </w:tcMar>
            <w:vAlign w:val="center"/>
          </w:tcPr>
          <w:p w14:paraId="22304225"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 xml:space="preserve">Rail – un réseau efficace – FED (I-7.24) </w:t>
            </w:r>
          </w:p>
        </w:tc>
        <w:tc>
          <w:tcPr>
            <w:tcW w:w="761" w:type="dxa"/>
            <w:shd w:val="clear" w:color="auto" w:fill="C6EFCE"/>
            <w:tcMar>
              <w:left w:w="108" w:type="dxa"/>
              <w:right w:w="108" w:type="dxa"/>
            </w:tcMar>
            <w:vAlign w:val="center"/>
          </w:tcPr>
          <w:p w14:paraId="3066473B" w14:textId="77777777" w:rsidR="000D1388" w:rsidRPr="007314EF" w:rsidRDefault="00E71057">
            <w:pPr>
              <w:spacing w:after="0"/>
              <w:jc w:val="center"/>
              <w:rPr>
                <w:rFonts w:ascii="Times New Roman" w:eastAsia="Calibri" w:hAnsi="Times New Roman" w:cs="Times New Roman"/>
                <w:noProof/>
                <w:sz w:val="20"/>
                <w:szCs w:val="20"/>
              </w:rPr>
            </w:pPr>
            <w:r>
              <w:rPr>
                <w:rFonts w:ascii="Times New Roman" w:hAnsi="Times New Roman"/>
                <w:noProof/>
                <w:color w:val="006100"/>
                <w:sz w:val="20"/>
              </w:rPr>
              <w:t>C</w:t>
            </w:r>
          </w:p>
        </w:tc>
        <w:tc>
          <w:tcPr>
            <w:tcW w:w="1557" w:type="dxa"/>
            <w:shd w:val="clear" w:color="auto" w:fill="C6EFCE"/>
            <w:tcMar>
              <w:left w:w="108" w:type="dxa"/>
              <w:right w:w="108" w:type="dxa"/>
            </w:tcMar>
            <w:vAlign w:val="center"/>
          </w:tcPr>
          <w:p w14:paraId="5EC76857"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Ré-électrification de lignes ferroviaires</w:t>
            </w:r>
          </w:p>
        </w:tc>
        <w:tc>
          <w:tcPr>
            <w:tcW w:w="1680" w:type="dxa"/>
            <w:shd w:val="clear" w:color="auto" w:fill="C6EFCE"/>
            <w:tcMar>
              <w:left w:w="108" w:type="dxa"/>
              <w:right w:w="108" w:type="dxa"/>
            </w:tcMar>
            <w:vAlign w:val="center"/>
          </w:tcPr>
          <w:p w14:paraId="22FABD81" w14:textId="77777777" w:rsidR="000D1388" w:rsidRPr="00746A1A" w:rsidRDefault="000D1388">
            <w:pPr>
              <w:spacing w:after="0"/>
              <w:rPr>
                <w:rFonts w:ascii="Times New Roman" w:eastAsia="Calibri" w:hAnsi="Times New Roman" w:cs="Times New Roman"/>
                <w:noProof/>
                <w:sz w:val="20"/>
                <w:szCs w:val="20"/>
                <w:lang w:val="fr-BE"/>
              </w:rPr>
            </w:pPr>
          </w:p>
        </w:tc>
        <w:tc>
          <w:tcPr>
            <w:tcW w:w="1080" w:type="dxa"/>
            <w:shd w:val="clear" w:color="auto" w:fill="C6EFCE"/>
            <w:tcMar>
              <w:left w:w="108" w:type="dxa"/>
              <w:right w:w="108" w:type="dxa"/>
            </w:tcMar>
            <w:vAlign w:val="center"/>
          </w:tcPr>
          <w:p w14:paraId="0844C6EC"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Nombre de km</w:t>
            </w:r>
          </w:p>
        </w:tc>
        <w:tc>
          <w:tcPr>
            <w:tcW w:w="1080" w:type="dxa"/>
            <w:shd w:val="clear" w:color="auto" w:fill="C6EFCE"/>
            <w:tcMar>
              <w:left w:w="108" w:type="dxa"/>
              <w:right w:w="108" w:type="dxa"/>
            </w:tcMar>
            <w:vAlign w:val="center"/>
          </w:tcPr>
          <w:p w14:paraId="51900308"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0</w:t>
            </w:r>
          </w:p>
        </w:tc>
        <w:tc>
          <w:tcPr>
            <w:tcW w:w="934" w:type="dxa"/>
            <w:shd w:val="clear" w:color="auto" w:fill="C6EFCE"/>
            <w:tcMar>
              <w:left w:w="108" w:type="dxa"/>
              <w:right w:w="108" w:type="dxa"/>
            </w:tcMar>
            <w:vAlign w:val="center"/>
          </w:tcPr>
          <w:p w14:paraId="1CD125B2" w14:textId="77777777" w:rsidR="000D1388" w:rsidRPr="007314EF" w:rsidRDefault="00E71057">
            <w:pPr>
              <w:spacing w:after="0"/>
              <w:rPr>
                <w:rFonts w:ascii="Times New Roman" w:eastAsia="Calibri" w:hAnsi="Times New Roman" w:cs="Times New Roman"/>
                <w:noProof/>
                <w:sz w:val="20"/>
                <w:szCs w:val="20"/>
              </w:rPr>
            </w:pPr>
            <w:r>
              <w:rPr>
                <w:rFonts w:ascii="Times New Roman" w:hAnsi="Times New Roman"/>
                <w:noProof/>
                <w:color w:val="006100"/>
                <w:sz w:val="20"/>
              </w:rPr>
              <w:t>72,5</w:t>
            </w:r>
          </w:p>
        </w:tc>
        <w:tc>
          <w:tcPr>
            <w:tcW w:w="1129" w:type="dxa"/>
            <w:shd w:val="clear" w:color="auto" w:fill="C6EFCE"/>
            <w:tcMar>
              <w:left w:w="108" w:type="dxa"/>
              <w:right w:w="108" w:type="dxa"/>
            </w:tcMar>
            <w:vAlign w:val="center"/>
          </w:tcPr>
          <w:p w14:paraId="1E9FE4B3"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tcMar>
              <w:left w:w="108" w:type="dxa"/>
              <w:right w:w="108" w:type="dxa"/>
            </w:tcMar>
            <w:vAlign w:val="center"/>
          </w:tcPr>
          <w:p w14:paraId="771561FE" w14:textId="77777777" w:rsidR="000D1388" w:rsidRPr="007314EF"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440" w:type="dxa"/>
            <w:shd w:val="clear" w:color="auto" w:fill="C6EFCE"/>
            <w:tcMar>
              <w:left w:w="108" w:type="dxa"/>
              <w:right w:w="108" w:type="dxa"/>
            </w:tcMar>
            <w:vAlign w:val="center"/>
          </w:tcPr>
          <w:p w14:paraId="0A5D4B9B" w14:textId="77777777" w:rsidR="000D1388" w:rsidRPr="007314EF"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Ré-électrification de 72,5 km de chemin de fer.</w:t>
            </w:r>
          </w:p>
        </w:tc>
      </w:tr>
    </w:tbl>
    <w:p w14:paraId="4674DC23" w14:textId="77777777" w:rsidR="000D1388" w:rsidRPr="00746A1A" w:rsidRDefault="000D1388" w:rsidP="00E71057">
      <w:pPr>
        <w:rPr>
          <w:noProof/>
          <w:lang w:val="fr-BE"/>
        </w:rPr>
      </w:pPr>
    </w:p>
    <w:p w14:paraId="0C2E0DB3" w14:textId="77777777" w:rsidR="000D1388" w:rsidRPr="00746A1A" w:rsidRDefault="000D1388" w:rsidP="00E71057">
      <w:pPr>
        <w:rPr>
          <w:noProof/>
          <w:lang w:val="fr-BE"/>
        </w:rPr>
      </w:pPr>
    </w:p>
    <w:p w14:paraId="5DD03D7B" w14:textId="77777777" w:rsidR="000D1388" w:rsidRPr="00746A1A" w:rsidRDefault="000D1388" w:rsidP="00E71057">
      <w:pPr>
        <w:rPr>
          <w:noProof/>
          <w:lang w:val="fr-BE"/>
        </w:rPr>
        <w:sectPr w:rsidR="000D1388" w:rsidRPr="00746A1A" w:rsidSect="00E71057">
          <w:headerReference w:type="even" r:id="rId294"/>
          <w:headerReference w:type="default" r:id="rId295"/>
          <w:footerReference w:type="even" r:id="rId296"/>
          <w:footerReference w:type="default" r:id="rId297"/>
          <w:headerReference w:type="first" r:id="rId298"/>
          <w:footerReference w:type="first" r:id="rId299"/>
          <w:pgSz w:w="16839" w:h="11907" w:orient="landscape"/>
          <w:pgMar w:top="1134" w:right="1134" w:bottom="1134" w:left="1134" w:header="567" w:footer="567" w:gutter="0"/>
          <w:cols w:space="720"/>
          <w:docGrid w:linePitch="360"/>
        </w:sectPr>
      </w:pPr>
    </w:p>
    <w:p w14:paraId="18D36D08" w14:textId="77777777" w:rsidR="000D1388" w:rsidRPr="009D65D8" w:rsidRDefault="00E71057" w:rsidP="00E71057">
      <w:pPr>
        <w:keepNext/>
        <w:tabs>
          <w:tab w:val="left" w:pos="850"/>
        </w:tabs>
        <w:spacing w:before="120" w:after="120" w:line="240" w:lineRule="auto"/>
        <w:jc w:val="both"/>
        <w:outlineLvl w:val="0"/>
        <w:rPr>
          <w:rFonts w:ascii="Times New Roman" w:eastAsia="Calibri" w:hAnsi="Times New Roman" w:cs="Times New Roman"/>
          <w:b/>
          <w:noProof/>
          <w:sz w:val="24"/>
        </w:rPr>
      </w:pPr>
      <w:r>
        <w:rPr>
          <w:rFonts w:ascii="Times New Roman" w:hAnsi="Times New Roman"/>
          <w:b/>
          <w:smallCaps/>
          <w:noProof/>
          <w:sz w:val="24"/>
        </w:rPr>
        <w:t xml:space="preserve">V. </w:t>
      </w:r>
      <w:r>
        <w:rPr>
          <w:rFonts w:ascii="Times New Roman" w:hAnsi="Times New Roman"/>
          <w:b/>
          <w:caps/>
          <w:noProof/>
          <w:sz w:val="24"/>
        </w:rPr>
        <w:t>AUDIT ET CONTRÔLE</w:t>
      </w:r>
    </w:p>
    <w:p w14:paraId="020A7B1D" w14:textId="77777777" w:rsidR="000D1388" w:rsidRPr="009D65D8" w:rsidRDefault="00E71057" w:rsidP="00E71057">
      <w:pPr>
        <w:spacing w:before="120" w:after="120" w:line="240" w:lineRule="auto"/>
        <w:jc w:val="both"/>
        <w:rPr>
          <w:rFonts w:ascii="Times New Roman" w:eastAsia="Calibri" w:hAnsi="Times New Roman" w:cs="Times New Roman"/>
          <w:b/>
          <w:bCs/>
          <w:noProof/>
          <w:sz w:val="24"/>
          <w:u w:val="single"/>
        </w:rPr>
      </w:pPr>
      <w:r>
        <w:rPr>
          <w:rFonts w:ascii="Times New Roman" w:hAnsi="Times New Roman"/>
          <w:b/>
          <w:noProof/>
          <w:sz w:val="24"/>
          <w:u w:val="single"/>
        </w:rPr>
        <w:t xml:space="preserve">V.1. </w:t>
      </w:r>
      <w:r>
        <w:rPr>
          <w:rFonts w:ascii="Times New Roman" w:hAnsi="Times New Roman"/>
          <w:noProof/>
          <w:sz w:val="24"/>
        </w:rPr>
        <w:tab/>
      </w:r>
      <w:r>
        <w:rPr>
          <w:rFonts w:ascii="Times New Roman" w:hAnsi="Times New Roman"/>
          <w:b/>
          <w:noProof/>
          <w:sz w:val="24"/>
          <w:u w:val="single"/>
        </w:rPr>
        <w:t>Description des réformes et des investissements en vue du soutien financier non remboursable</w:t>
      </w:r>
    </w:p>
    <w:p w14:paraId="6721CBA5"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Un système de référencement permettant d’enregistrer et de stocker toutes les données pertinentes liées à la mise en œuvre du plan pour la reprise et la résilience – la réalisation des jalons et cibles, les données sur le bénéficiaire final, les contractants, les sous-traitants et les bénéficiaires effectifs – sera fonctionnel avant la soumission de la première demande de paiement. La Belgique soumettra, avant la première demande de paiement, un rapport d’audit spécifique confirmant l’efficacité des fonctionnalités du système de référencement.</w:t>
      </w:r>
    </w:p>
    <w:p w14:paraId="168E570E"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En outre, avant de présenter la première demande de paiement au titre de la facilité pour la reprise et la résilience, la Belgique veillera à ce que la mise en œuvre de dispositions de coordination adéquates, y compris des contrôles croisés, soit assurée au niveau de l’organe de coordination interfédéral et permette d’éviter un double financement par la facilité et d’autres programmes de l’Union, conformément au principe de bonne gestion financière.</w:t>
      </w:r>
    </w:p>
    <w:p w14:paraId="6DAE83F5"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Afin de garantir la présence de systèmes de contrôle interne solides et adaptés à la structure spécifique de la Belgique, les organismes de coordination, en collaboration avec les organismes d’exécution si nécessaire, adapteront leur manuel de procédures décrivant le système de gestion et de contrôle et donneront des instructions aux organismes d’exécution. Les manuels/documents comprendront des procédures relatives à l’obtention d’une assurance pour la signature des déclarations de gestion accompagnant la demande de paiement présentée à la Commission.</w:t>
      </w:r>
    </w:p>
    <w:p w14:paraId="5B093FF8"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En outre, lorsque l’Inspection des finances a été chargée de ces contrôles, les organismes de coordination adoptent et envoient une communication à l’Inspection des finances concernant la vérification ex ante du respect du droit de l’Union et du droit national et la protection de l’intérêt financier de l’Union à effectuer conformément au règlement (UE) 2021/241</w:t>
      </w:r>
    </w:p>
    <w:p w14:paraId="0CE7F193" w14:textId="77777777" w:rsidR="000D1388" w:rsidRPr="009D65D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Enfin, les organismes de coordination donneront des instructions à tous les organismes d’exécution en ce qui concerne la vérification ex ante du risque de conflit d’intérêts dans la mise en œuvre des mesures relevant de la FRR avant la signature du contrat ou l’attribution des subventions. Cela supposera des déclarations obligatoires d’absence de conflit d’intérêts par les personnes concernées à toutes les étapes des procédures de sélection des appels d’offres et des appels à projets et, en fonction des risques, l’utilisation d’un outil approprié d’évaluation des risques pour effectuer les contrôles des conflits d’intérêts prévus dans les instructions.</w:t>
      </w:r>
    </w:p>
    <w:p w14:paraId="392B5E22" w14:textId="77777777" w:rsidR="000D1388" w:rsidRDefault="00E71057" w:rsidP="00E71057">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Les jalons 250 et 251 seront atteints au moment de la présentation de la deuxième demande de paiement à la Commission et constitueront une condition préalable à tout paiement futur.</w:t>
      </w:r>
    </w:p>
    <w:p w14:paraId="4FC70E00" w14:textId="77777777" w:rsidR="000D1388" w:rsidRPr="00746A1A" w:rsidRDefault="000D1388" w:rsidP="00E71057">
      <w:pPr>
        <w:spacing w:before="120" w:after="120" w:line="240" w:lineRule="auto"/>
        <w:jc w:val="both"/>
        <w:rPr>
          <w:rFonts w:ascii="Times New Roman" w:eastAsia="Calibri" w:hAnsi="Times New Roman" w:cs="Times New Roman"/>
          <w:noProof/>
          <w:sz w:val="24"/>
          <w:lang w:val="fr-BE"/>
        </w:rPr>
      </w:pPr>
    </w:p>
    <w:p w14:paraId="2270F310" w14:textId="77777777" w:rsidR="000D1388" w:rsidRPr="00746A1A" w:rsidRDefault="000D1388" w:rsidP="00E71057">
      <w:pPr>
        <w:spacing w:before="120" w:after="120" w:line="240" w:lineRule="auto"/>
        <w:jc w:val="both"/>
        <w:rPr>
          <w:rFonts w:ascii="Times New Roman" w:eastAsia="Calibri" w:hAnsi="Times New Roman" w:cs="Times New Roman"/>
          <w:noProof/>
          <w:sz w:val="24"/>
          <w:lang w:val="fr-BE"/>
        </w:rPr>
        <w:sectPr w:rsidR="000D1388" w:rsidRPr="00746A1A" w:rsidSect="00E71057">
          <w:headerReference w:type="even" r:id="rId300"/>
          <w:headerReference w:type="default" r:id="rId301"/>
          <w:footerReference w:type="even" r:id="rId302"/>
          <w:footerReference w:type="default" r:id="rId303"/>
          <w:headerReference w:type="first" r:id="rId304"/>
          <w:footerReference w:type="first" r:id="rId305"/>
          <w:pgSz w:w="11907" w:h="16839"/>
          <w:pgMar w:top="1134" w:right="1134" w:bottom="1134" w:left="1134" w:header="567" w:footer="567" w:gutter="0"/>
          <w:cols w:space="720"/>
          <w:docGrid w:linePitch="360"/>
        </w:sectPr>
      </w:pPr>
    </w:p>
    <w:p w14:paraId="62297737" w14:textId="77777777" w:rsidR="000D1388" w:rsidRDefault="00E71057" w:rsidP="00E71057">
      <w:pPr>
        <w:spacing w:before="120" w:after="120" w:line="240" w:lineRule="auto"/>
        <w:jc w:val="both"/>
        <w:rPr>
          <w:rFonts w:ascii="Times New Roman" w:eastAsia="Calibri" w:hAnsi="Times New Roman" w:cs="Times New Roman"/>
          <w:b/>
          <w:noProof/>
          <w:sz w:val="24"/>
          <w:u w:val="single"/>
        </w:rPr>
      </w:pPr>
      <w:r>
        <w:rPr>
          <w:rFonts w:ascii="Times New Roman" w:hAnsi="Times New Roman"/>
          <w:b/>
          <w:noProof/>
          <w:sz w:val="24"/>
          <w:u w:val="single"/>
        </w:rPr>
        <w:t xml:space="preserve">V.2.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p w14:paraId="1920AAC6" w14:textId="77777777" w:rsidR="003027B3" w:rsidRPr="00746A1A" w:rsidRDefault="003027B3" w:rsidP="00E71057">
      <w:pPr>
        <w:spacing w:before="120" w:after="120" w:line="240" w:lineRule="auto"/>
        <w:jc w:val="both"/>
        <w:rPr>
          <w:rFonts w:ascii="Times New Roman" w:eastAsia="Calibri" w:hAnsi="Times New Roman" w:cs="Times New Roman"/>
          <w:b/>
          <w:noProof/>
          <w:sz w:val="24"/>
          <w:u w:val="single"/>
          <w:lang w:val="fr-BE"/>
        </w:rPr>
      </w:pPr>
    </w:p>
    <w:tbl>
      <w:tblPr>
        <w:tblW w:w="15873" w:type="dxa"/>
        <w:jc w:val="center"/>
        <w:shd w:val="clear" w:color="auto" w:fill="C6EFCE"/>
        <w:tblLayout w:type="fixed"/>
        <w:tblLook w:val="04A0" w:firstRow="1" w:lastRow="0" w:firstColumn="1" w:lastColumn="0" w:noHBand="0" w:noVBand="1"/>
      </w:tblPr>
      <w:tblGrid>
        <w:gridCol w:w="1129"/>
        <w:gridCol w:w="1560"/>
        <w:gridCol w:w="723"/>
        <w:gridCol w:w="1545"/>
        <w:gridCol w:w="2072"/>
        <w:gridCol w:w="1080"/>
        <w:gridCol w:w="1080"/>
        <w:gridCol w:w="1012"/>
        <w:gridCol w:w="1276"/>
        <w:gridCol w:w="1276"/>
        <w:gridCol w:w="3120"/>
      </w:tblGrid>
      <w:tr w:rsidR="00E71057" w:rsidRPr="007314EF" w14:paraId="5D47CE1B" w14:textId="77777777" w:rsidTr="00EB1BD7">
        <w:trPr>
          <w:trHeight w:val="927"/>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CF60FB"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C85B86"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7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6BCB2A"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45" w:type="dxa"/>
            <w:vMerge w:val="restart"/>
            <w:tcBorders>
              <w:top w:val="single" w:sz="4" w:space="0" w:color="auto"/>
              <w:left w:val="nil"/>
              <w:bottom w:val="single" w:sz="4" w:space="0" w:color="auto"/>
              <w:right w:val="single" w:sz="4" w:space="0" w:color="auto"/>
            </w:tcBorders>
            <w:shd w:val="clear" w:color="auto" w:fill="BDD7EE"/>
            <w:vAlign w:val="center"/>
            <w:hideMark/>
          </w:tcPr>
          <w:p w14:paraId="745DFFE4"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20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52ED4C6"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172" w:type="dxa"/>
            <w:gridSpan w:val="3"/>
            <w:tcBorders>
              <w:top w:val="single" w:sz="4" w:space="0" w:color="auto"/>
              <w:left w:val="nil"/>
              <w:bottom w:val="single" w:sz="4" w:space="0" w:color="auto"/>
              <w:right w:val="single" w:sz="4" w:space="0" w:color="auto"/>
            </w:tcBorders>
            <w:shd w:val="clear" w:color="auto" w:fill="BDD7EE"/>
            <w:vAlign w:val="center"/>
            <w:hideMark/>
          </w:tcPr>
          <w:p w14:paraId="00A58F05"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2552" w:type="dxa"/>
            <w:gridSpan w:val="2"/>
            <w:tcBorders>
              <w:top w:val="single" w:sz="4" w:space="0" w:color="auto"/>
              <w:left w:val="nil"/>
              <w:bottom w:val="single" w:sz="4" w:space="0" w:color="auto"/>
              <w:right w:val="single" w:sz="4" w:space="0" w:color="auto"/>
            </w:tcBorders>
            <w:shd w:val="clear" w:color="auto" w:fill="BDD7EE"/>
            <w:vAlign w:val="center"/>
            <w:hideMark/>
          </w:tcPr>
          <w:p w14:paraId="6A6C532F"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1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C01DE5"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E71057" w:rsidRPr="007314EF" w14:paraId="5448FFF3" w14:textId="77777777" w:rsidTr="00EB1BD7">
        <w:trPr>
          <w:trHeight w:val="1013"/>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6BABB93" w14:textId="77777777" w:rsidR="000D1388" w:rsidRPr="00746A1A" w:rsidRDefault="000D1388" w:rsidP="003027B3">
            <w:pPr>
              <w:spacing w:after="0"/>
              <w:rPr>
                <w:rFonts w:ascii="Times New Roman" w:eastAsia="Times New Roman" w:hAnsi="Times New Roman" w:cs="Times New Roman"/>
                <w:b/>
                <w:noProof/>
                <w:sz w:val="20"/>
                <w:szCs w:val="20"/>
                <w:lang w:val="fr-BE"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64BAC11B" w14:textId="77777777" w:rsidR="000D1388" w:rsidRPr="00746A1A" w:rsidRDefault="000D1388" w:rsidP="003027B3">
            <w:pPr>
              <w:spacing w:after="0"/>
              <w:rPr>
                <w:rFonts w:ascii="Times New Roman" w:eastAsia="Times New Roman" w:hAnsi="Times New Roman" w:cs="Times New Roman"/>
                <w:b/>
                <w:noProof/>
                <w:sz w:val="20"/>
                <w:szCs w:val="20"/>
                <w:lang w:val="fr-BE" w:eastAsia="en-GB"/>
              </w:rPr>
            </w:pPr>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6B8F0651" w14:textId="77777777" w:rsidR="000D1388" w:rsidRPr="00746A1A" w:rsidRDefault="000D1388" w:rsidP="003027B3">
            <w:pPr>
              <w:spacing w:after="0"/>
              <w:rPr>
                <w:rFonts w:ascii="Times New Roman" w:eastAsia="Times New Roman" w:hAnsi="Times New Roman" w:cs="Times New Roman"/>
                <w:b/>
                <w:noProof/>
                <w:sz w:val="20"/>
                <w:szCs w:val="20"/>
                <w:lang w:val="fr-BE" w:eastAsia="en-GB"/>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68F245A3" w14:textId="77777777" w:rsidR="000D1388" w:rsidRPr="00746A1A" w:rsidRDefault="000D1388" w:rsidP="003027B3">
            <w:pPr>
              <w:spacing w:after="0"/>
              <w:rPr>
                <w:rFonts w:ascii="Times New Roman" w:eastAsia="Times New Roman" w:hAnsi="Times New Roman" w:cs="Times New Roman"/>
                <w:b/>
                <w:noProof/>
                <w:sz w:val="20"/>
                <w:szCs w:val="20"/>
                <w:lang w:val="fr-BE" w:eastAsia="en-GB"/>
              </w:rPr>
            </w:pPr>
          </w:p>
        </w:tc>
        <w:tc>
          <w:tcPr>
            <w:tcW w:w="2072" w:type="dxa"/>
            <w:vMerge/>
            <w:tcBorders>
              <w:top w:val="single" w:sz="4" w:space="0" w:color="auto"/>
              <w:left w:val="single" w:sz="4" w:space="0" w:color="auto"/>
              <w:bottom w:val="single" w:sz="4" w:space="0" w:color="auto"/>
              <w:right w:val="single" w:sz="4" w:space="0" w:color="auto"/>
            </w:tcBorders>
            <w:vAlign w:val="center"/>
            <w:hideMark/>
          </w:tcPr>
          <w:p w14:paraId="316673EE" w14:textId="77777777" w:rsidR="000D1388" w:rsidRPr="00746A1A" w:rsidRDefault="000D1388" w:rsidP="003027B3">
            <w:pPr>
              <w:spacing w:after="0"/>
              <w:rPr>
                <w:rFonts w:ascii="Times New Roman" w:eastAsia="Times New Roman" w:hAnsi="Times New Roman" w:cs="Times New Roman"/>
                <w:b/>
                <w:noProof/>
                <w:sz w:val="20"/>
                <w:szCs w:val="20"/>
                <w:lang w:val="fr-BE"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27A32A6"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64F5E531"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1012" w:type="dxa"/>
            <w:tcBorders>
              <w:top w:val="single" w:sz="4" w:space="0" w:color="auto"/>
              <w:left w:val="nil"/>
              <w:bottom w:val="single" w:sz="4" w:space="0" w:color="auto"/>
              <w:right w:val="single" w:sz="4" w:space="0" w:color="auto"/>
            </w:tcBorders>
            <w:shd w:val="clear" w:color="auto" w:fill="BDD7EE"/>
            <w:vAlign w:val="center"/>
            <w:hideMark/>
          </w:tcPr>
          <w:p w14:paraId="48666F4D"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276" w:type="dxa"/>
            <w:tcBorders>
              <w:top w:val="single" w:sz="4" w:space="0" w:color="auto"/>
              <w:left w:val="nil"/>
              <w:bottom w:val="single" w:sz="4" w:space="0" w:color="auto"/>
              <w:right w:val="single" w:sz="4" w:space="0" w:color="auto"/>
            </w:tcBorders>
            <w:shd w:val="clear" w:color="auto" w:fill="BDD7EE"/>
            <w:vAlign w:val="center"/>
            <w:hideMark/>
          </w:tcPr>
          <w:p w14:paraId="1CC8C965"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1276" w:type="dxa"/>
            <w:tcBorders>
              <w:top w:val="single" w:sz="4" w:space="0" w:color="auto"/>
              <w:left w:val="nil"/>
              <w:bottom w:val="single" w:sz="4" w:space="0" w:color="auto"/>
              <w:right w:val="single" w:sz="4" w:space="0" w:color="auto"/>
            </w:tcBorders>
            <w:shd w:val="clear" w:color="auto" w:fill="BDD7EE"/>
            <w:vAlign w:val="center"/>
            <w:hideMark/>
          </w:tcPr>
          <w:p w14:paraId="5DE2FB29" w14:textId="77777777" w:rsidR="000D1388" w:rsidRPr="007314EF" w:rsidRDefault="00E71057" w:rsidP="003027B3">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120" w:type="dxa"/>
            <w:vMerge/>
            <w:tcBorders>
              <w:top w:val="single" w:sz="4" w:space="0" w:color="auto"/>
              <w:bottom w:val="single" w:sz="4" w:space="0" w:color="auto"/>
              <w:right w:val="single" w:sz="4" w:space="0" w:color="auto"/>
            </w:tcBorders>
            <w:vAlign w:val="center"/>
            <w:hideMark/>
          </w:tcPr>
          <w:p w14:paraId="67CA3B12" w14:textId="77777777" w:rsidR="000D1388" w:rsidRPr="007314EF" w:rsidRDefault="000D1388" w:rsidP="003027B3">
            <w:pPr>
              <w:spacing w:after="0"/>
              <w:rPr>
                <w:rFonts w:ascii="Times New Roman" w:eastAsia="Times New Roman" w:hAnsi="Times New Roman" w:cs="Times New Roman"/>
                <w:b/>
                <w:noProof/>
                <w:sz w:val="20"/>
                <w:szCs w:val="20"/>
                <w:lang w:val="en-GB" w:eastAsia="en-GB"/>
              </w:rPr>
            </w:pPr>
          </w:p>
        </w:tc>
      </w:tr>
      <w:tr w:rsidR="00E71057" w:rsidRPr="00EB1BD7" w14:paraId="3C41EB5E" w14:textId="77777777" w:rsidTr="00EB1BD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8FE206"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209</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1DDEC45E"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Suivi et mise en œuvre du plan</w:t>
            </w:r>
          </w:p>
        </w:tc>
        <w:tc>
          <w:tcPr>
            <w:tcW w:w="723" w:type="dxa"/>
            <w:tcBorders>
              <w:top w:val="single" w:sz="4" w:space="0" w:color="auto"/>
              <w:left w:val="nil"/>
              <w:bottom w:val="single" w:sz="4" w:space="0" w:color="auto"/>
              <w:right w:val="single" w:sz="4" w:space="0" w:color="auto"/>
            </w:tcBorders>
            <w:shd w:val="clear" w:color="auto" w:fill="C6EFCE"/>
            <w:noWrap/>
            <w:vAlign w:val="center"/>
          </w:tcPr>
          <w:p w14:paraId="062008DE"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J</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1600E167"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Système de répertoire pour l’audit et les contrôles: informations pour le suivi de la mise en œuvre de la FRR</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3AD3DB19"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Rapport d’audit confirmant les fonctionnalités du système de référencement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6C892E23" w14:textId="77777777" w:rsidR="000D1388" w:rsidRPr="00EB1BD7" w:rsidRDefault="000D1388" w:rsidP="003027B3">
            <w:pPr>
              <w:spacing w:after="0"/>
              <w:rPr>
                <w:rFonts w:ascii="Times New Roman" w:eastAsia="Times New Roman" w:hAnsi="Times New Roman" w:cs="Times New Roman"/>
                <w:noProof/>
                <w:color w:val="006100"/>
                <w:sz w:val="20"/>
                <w:szCs w:val="20"/>
                <w:lang w:val="fr-BE"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65BBEFAC" w14:textId="77777777" w:rsidR="000D1388" w:rsidRPr="00EB1BD7" w:rsidRDefault="000D1388" w:rsidP="003027B3">
            <w:pPr>
              <w:spacing w:after="0"/>
              <w:rPr>
                <w:rFonts w:ascii="Times New Roman" w:eastAsia="Times New Roman" w:hAnsi="Times New Roman" w:cs="Times New Roman"/>
                <w:noProof/>
                <w:color w:val="006100"/>
                <w:sz w:val="20"/>
                <w:szCs w:val="20"/>
                <w:lang w:val="fr-BE" w:eastAsia="en-GB"/>
              </w:rPr>
            </w:pPr>
          </w:p>
        </w:tc>
        <w:tc>
          <w:tcPr>
            <w:tcW w:w="1012" w:type="dxa"/>
            <w:tcBorders>
              <w:top w:val="single" w:sz="4" w:space="0" w:color="auto"/>
              <w:left w:val="nil"/>
              <w:bottom w:val="single" w:sz="4" w:space="0" w:color="auto"/>
              <w:right w:val="single" w:sz="4" w:space="0" w:color="auto"/>
            </w:tcBorders>
            <w:shd w:val="clear" w:color="auto" w:fill="C6EFCE"/>
            <w:noWrap/>
            <w:vAlign w:val="center"/>
          </w:tcPr>
          <w:p w14:paraId="75E6762B" w14:textId="77777777" w:rsidR="000D1388" w:rsidRPr="00EB1BD7" w:rsidRDefault="000D1388" w:rsidP="003027B3">
            <w:pPr>
              <w:spacing w:after="0"/>
              <w:rPr>
                <w:rFonts w:ascii="Times New Roman" w:eastAsia="Times New Roman" w:hAnsi="Times New Roman" w:cs="Times New Roman"/>
                <w:noProof/>
                <w:color w:val="006100"/>
                <w:sz w:val="20"/>
                <w:szCs w:val="20"/>
                <w:lang w:val="fr-BE" w:eastAsia="en-GB"/>
              </w:rPr>
            </w:pP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255043E9"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Avant la première demande de paiement</w:t>
            </w: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134A17E4"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Avant la première demande de paiement</w:t>
            </w:r>
          </w:p>
        </w:tc>
        <w:tc>
          <w:tcPr>
            <w:tcW w:w="3120" w:type="dxa"/>
            <w:tcBorders>
              <w:top w:val="single" w:sz="4" w:space="0" w:color="auto"/>
              <w:left w:val="nil"/>
              <w:bottom w:val="single" w:sz="4" w:space="0" w:color="auto"/>
              <w:right w:val="single" w:sz="4" w:space="0" w:color="auto"/>
            </w:tcBorders>
            <w:shd w:val="clear" w:color="auto" w:fill="C6EFCE"/>
            <w:noWrap/>
            <w:vAlign w:val="center"/>
          </w:tcPr>
          <w:p w14:paraId="1C833BEE" w14:textId="77777777" w:rsidR="000D1388" w:rsidRPr="00EB1BD7" w:rsidRDefault="00E71057" w:rsidP="003027B3">
            <w:pPr>
              <w:spacing w:after="120"/>
              <w:rPr>
                <w:rFonts w:ascii="Times New Roman" w:eastAsia="Calibri" w:hAnsi="Times New Roman" w:cs="Times New Roman"/>
                <w:noProof/>
                <w:color w:val="006100"/>
                <w:sz w:val="20"/>
                <w:szCs w:val="20"/>
              </w:rPr>
            </w:pPr>
            <w:r w:rsidRPr="00EB1BD7">
              <w:rPr>
                <w:rFonts w:ascii="Times New Roman" w:hAnsi="Times New Roman" w:cs="Times New Roman"/>
                <w:noProof/>
                <w:color w:val="006100"/>
                <w:sz w:val="20"/>
                <w:szCs w:val="20"/>
              </w:rPr>
              <w:t>Un système de référencement pour le suivi de la mise en œuvre de la FRR sera en place et opérationnel</w:t>
            </w:r>
          </w:p>
          <w:p w14:paraId="719ED27B" w14:textId="77777777" w:rsidR="000D1388" w:rsidRPr="00EB1BD7" w:rsidRDefault="00E71057" w:rsidP="003027B3">
            <w:pPr>
              <w:spacing w:after="0"/>
              <w:rPr>
                <w:rFonts w:ascii="Times New Roman" w:eastAsia="Calibri" w:hAnsi="Times New Roman" w:cs="Times New Roman"/>
                <w:noProof/>
                <w:color w:val="006100"/>
                <w:sz w:val="20"/>
                <w:szCs w:val="20"/>
              </w:rPr>
            </w:pPr>
            <w:r w:rsidRPr="00EB1BD7">
              <w:rPr>
                <w:rFonts w:ascii="Times New Roman" w:hAnsi="Times New Roman" w:cs="Times New Roman"/>
                <w:noProof/>
                <w:color w:val="006100"/>
                <w:sz w:val="20"/>
                <w:szCs w:val="20"/>
              </w:rPr>
              <w:t>Le système inclura, au minimum, les fonctionnalités suivantes:</w:t>
            </w:r>
          </w:p>
          <w:p w14:paraId="74FD9B49" w14:textId="77777777" w:rsidR="000D1388" w:rsidRPr="00EB1BD7" w:rsidRDefault="00E71057" w:rsidP="003027B3">
            <w:pPr>
              <w:spacing w:after="0"/>
              <w:rPr>
                <w:rFonts w:ascii="Times New Roman" w:eastAsia="Calibri" w:hAnsi="Times New Roman" w:cs="Times New Roman"/>
                <w:noProof/>
                <w:color w:val="006100"/>
                <w:sz w:val="20"/>
                <w:szCs w:val="20"/>
              </w:rPr>
            </w:pPr>
            <w:r w:rsidRPr="00EB1BD7">
              <w:rPr>
                <w:rFonts w:ascii="Times New Roman" w:hAnsi="Times New Roman" w:cs="Times New Roman"/>
                <w:noProof/>
                <w:color w:val="006100"/>
                <w:sz w:val="20"/>
                <w:szCs w:val="20"/>
              </w:rPr>
              <w:t>a) la collecte de données et le suivi de la réalisation des jalons et cibles</w:t>
            </w:r>
          </w:p>
          <w:p w14:paraId="403B4139"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b)</w:t>
            </w:r>
            <w:r w:rsidRPr="00EB1BD7">
              <w:rPr>
                <w:rFonts w:ascii="Times New Roman" w:hAnsi="Times New Roman" w:cs="Times New Roman"/>
                <w:noProof/>
                <w:sz w:val="20"/>
                <w:szCs w:val="20"/>
              </w:rPr>
              <w:t xml:space="preserve"> </w:t>
            </w:r>
            <w:r w:rsidRPr="00EB1BD7">
              <w:rPr>
                <w:rFonts w:ascii="Times New Roman" w:hAnsi="Times New Roman" w:cs="Times New Roman"/>
                <w:noProof/>
                <w:color w:val="006100"/>
                <w:sz w:val="20"/>
                <w:szCs w:val="20"/>
              </w:rPr>
              <w:t>collecter, stocker et assurer l’accès aux données requises par l’article 22, paragraphe 2, point d), i) à iii), du règlement FRR</w:t>
            </w:r>
          </w:p>
        </w:tc>
      </w:tr>
      <w:tr w:rsidR="00E71057" w:rsidRPr="00EB1BD7" w14:paraId="5D4FB9B0" w14:textId="77777777" w:rsidTr="00EB1BD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EF4FD0"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210</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42D5B029"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Suivi et mise en œuvre du plan</w:t>
            </w:r>
          </w:p>
        </w:tc>
        <w:tc>
          <w:tcPr>
            <w:tcW w:w="723" w:type="dxa"/>
            <w:tcBorders>
              <w:top w:val="single" w:sz="4" w:space="0" w:color="auto"/>
              <w:left w:val="nil"/>
              <w:bottom w:val="single" w:sz="4" w:space="0" w:color="auto"/>
              <w:right w:val="single" w:sz="4" w:space="0" w:color="auto"/>
            </w:tcBorders>
            <w:shd w:val="clear" w:color="auto" w:fill="C6EFCE"/>
            <w:noWrap/>
            <w:vAlign w:val="center"/>
          </w:tcPr>
          <w:p w14:paraId="1AD3E751"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J</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4E5DE0C5"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Protection des intérêts financiers de l’UE</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0284D750"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Mise en œuvre de dispositions</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D44C133" w14:textId="77777777" w:rsidR="000D1388" w:rsidRPr="00EB1BD7" w:rsidRDefault="000D1388" w:rsidP="003027B3">
            <w:pPr>
              <w:spacing w:after="0"/>
              <w:rPr>
                <w:rFonts w:ascii="Times New Roman" w:eastAsia="Times New Roman" w:hAnsi="Times New Roman" w:cs="Times New Roman"/>
                <w:noProof/>
                <w:color w:val="006100"/>
                <w:sz w:val="20"/>
                <w:szCs w:val="20"/>
                <w:lang w:val="fr-BE"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1B490A8" w14:textId="77777777" w:rsidR="000D1388" w:rsidRPr="00EB1BD7" w:rsidRDefault="000D1388" w:rsidP="003027B3">
            <w:pPr>
              <w:spacing w:after="0"/>
              <w:rPr>
                <w:rFonts w:ascii="Times New Roman" w:eastAsia="Times New Roman" w:hAnsi="Times New Roman" w:cs="Times New Roman"/>
                <w:noProof/>
                <w:color w:val="006100"/>
                <w:sz w:val="20"/>
                <w:szCs w:val="20"/>
                <w:lang w:val="fr-BE" w:eastAsia="en-GB"/>
              </w:rPr>
            </w:pPr>
          </w:p>
        </w:tc>
        <w:tc>
          <w:tcPr>
            <w:tcW w:w="1012" w:type="dxa"/>
            <w:tcBorders>
              <w:top w:val="single" w:sz="4" w:space="0" w:color="auto"/>
              <w:left w:val="nil"/>
              <w:bottom w:val="single" w:sz="4" w:space="0" w:color="auto"/>
              <w:right w:val="single" w:sz="4" w:space="0" w:color="auto"/>
            </w:tcBorders>
            <w:shd w:val="clear" w:color="auto" w:fill="C6EFCE"/>
            <w:noWrap/>
            <w:vAlign w:val="center"/>
          </w:tcPr>
          <w:p w14:paraId="571E4051" w14:textId="77777777" w:rsidR="000D1388" w:rsidRPr="00EB1BD7" w:rsidRDefault="000D1388" w:rsidP="003027B3">
            <w:pPr>
              <w:spacing w:after="0"/>
              <w:rPr>
                <w:rFonts w:ascii="Times New Roman" w:eastAsia="Times New Roman" w:hAnsi="Times New Roman" w:cs="Times New Roman"/>
                <w:noProof/>
                <w:color w:val="006100"/>
                <w:sz w:val="20"/>
                <w:szCs w:val="20"/>
                <w:lang w:val="fr-BE" w:eastAsia="en-GB"/>
              </w:rPr>
            </w:pP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3E96419C"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Avant la première demande de paiement</w:t>
            </w: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255FE3E0"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Avant la première demande de paiement</w:t>
            </w:r>
          </w:p>
        </w:tc>
        <w:tc>
          <w:tcPr>
            <w:tcW w:w="3120" w:type="dxa"/>
            <w:tcBorders>
              <w:top w:val="single" w:sz="4" w:space="0" w:color="auto"/>
              <w:left w:val="nil"/>
              <w:bottom w:val="single" w:sz="4" w:space="0" w:color="auto"/>
              <w:right w:val="single" w:sz="4" w:space="0" w:color="auto"/>
            </w:tcBorders>
            <w:shd w:val="clear" w:color="auto" w:fill="C6EFCE"/>
            <w:noWrap/>
            <w:vAlign w:val="center"/>
          </w:tcPr>
          <w:p w14:paraId="6AB5D8EC"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La mise en œuvre de dispositions de coordination adéquates, y compris des vérifications croisées, sera assurée au niveau de l’organe de coordination interfédéral, et permettra d’éviter un double financement par la facilité et d’autres programmes de l’Union, conformément au principe de bonne gestion financière</w:t>
            </w:r>
          </w:p>
        </w:tc>
      </w:tr>
      <w:tr w:rsidR="00E71057" w:rsidRPr="00EB1BD7" w14:paraId="6F65A711" w14:textId="77777777" w:rsidTr="00EB1BD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37A9D"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250</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72D3C587"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Suivi et mise en œuvre du plan</w:t>
            </w:r>
          </w:p>
        </w:tc>
        <w:tc>
          <w:tcPr>
            <w:tcW w:w="723" w:type="dxa"/>
            <w:tcBorders>
              <w:top w:val="single" w:sz="4" w:space="0" w:color="auto"/>
              <w:left w:val="nil"/>
              <w:bottom w:val="single" w:sz="4" w:space="0" w:color="auto"/>
              <w:right w:val="single" w:sz="4" w:space="0" w:color="auto"/>
            </w:tcBorders>
            <w:shd w:val="clear" w:color="auto" w:fill="C6EFCE"/>
            <w:noWrap/>
            <w:vAlign w:val="center"/>
          </w:tcPr>
          <w:p w14:paraId="414DCCD8"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J</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60B85D99"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Adaptation du système de gestion et de contrôle pour le plan pour la reprise et la résilience</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1BEB9C56" w14:textId="77777777" w:rsidR="000D1388" w:rsidRPr="00EB1BD7" w:rsidRDefault="00E71057" w:rsidP="003027B3">
            <w:pPr>
              <w:spacing w:after="0"/>
              <w:rPr>
                <w:rFonts w:ascii="Times New Roman" w:eastAsia="Calibri" w:hAnsi="Times New Roman" w:cs="Times New Roman"/>
                <w:noProof/>
                <w:color w:val="006100"/>
                <w:sz w:val="20"/>
                <w:szCs w:val="20"/>
              </w:rPr>
            </w:pPr>
            <w:r w:rsidRPr="00EB1BD7">
              <w:rPr>
                <w:rFonts w:ascii="Times New Roman" w:hAnsi="Times New Roman" w:cs="Times New Roman"/>
                <w:noProof/>
                <w:color w:val="006100"/>
                <w:sz w:val="20"/>
                <w:szCs w:val="20"/>
              </w:rPr>
              <w:t>Adaptation du manuel de procédures et instructions à l’intention des organismes d’exécution. Adoption et envoi d’une communication à l’Inspection des finances, le cas échéant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8D95C58" w14:textId="77777777" w:rsidR="000D1388" w:rsidRPr="00EB1BD7" w:rsidRDefault="000D1388" w:rsidP="003027B3">
            <w:pPr>
              <w:spacing w:after="0"/>
              <w:rPr>
                <w:rFonts w:ascii="Times New Roman" w:eastAsia="Times New Roman" w:hAnsi="Times New Roman" w:cs="Times New Roman"/>
                <w:noProof/>
                <w:color w:val="C45911"/>
                <w:sz w:val="20"/>
                <w:szCs w:val="20"/>
                <w:lang w:val="fr-BE"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5B8724A" w14:textId="77777777" w:rsidR="000D1388" w:rsidRPr="00EB1BD7" w:rsidRDefault="000D1388" w:rsidP="003027B3">
            <w:pPr>
              <w:spacing w:after="0"/>
              <w:rPr>
                <w:rFonts w:ascii="Times New Roman" w:eastAsia="Times New Roman" w:hAnsi="Times New Roman" w:cs="Times New Roman"/>
                <w:noProof/>
                <w:color w:val="C45911"/>
                <w:sz w:val="20"/>
                <w:szCs w:val="20"/>
                <w:lang w:val="fr-BE" w:eastAsia="en-GB"/>
              </w:rPr>
            </w:pPr>
          </w:p>
        </w:tc>
        <w:tc>
          <w:tcPr>
            <w:tcW w:w="1012" w:type="dxa"/>
            <w:tcBorders>
              <w:top w:val="single" w:sz="4" w:space="0" w:color="auto"/>
              <w:left w:val="nil"/>
              <w:bottom w:val="single" w:sz="4" w:space="0" w:color="auto"/>
              <w:right w:val="single" w:sz="4" w:space="0" w:color="auto"/>
            </w:tcBorders>
            <w:shd w:val="clear" w:color="auto" w:fill="C6EFCE"/>
            <w:noWrap/>
            <w:vAlign w:val="center"/>
          </w:tcPr>
          <w:p w14:paraId="10053DF4" w14:textId="77777777" w:rsidR="000D1388" w:rsidRPr="00EB1BD7" w:rsidRDefault="000D1388" w:rsidP="003027B3">
            <w:pPr>
              <w:spacing w:after="0"/>
              <w:rPr>
                <w:rFonts w:ascii="Times New Roman" w:eastAsia="Times New Roman" w:hAnsi="Times New Roman" w:cs="Times New Roman"/>
                <w:noProof/>
                <w:color w:val="C45911"/>
                <w:sz w:val="20"/>
                <w:szCs w:val="20"/>
                <w:lang w:val="fr-BE" w:eastAsia="en-GB"/>
              </w:rPr>
            </w:pP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34266E8B"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Avant la deuxième demande de paiement</w:t>
            </w: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416B871D"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Avant la deuxième demande de paiement</w:t>
            </w:r>
          </w:p>
        </w:tc>
        <w:tc>
          <w:tcPr>
            <w:tcW w:w="3120" w:type="dxa"/>
            <w:tcBorders>
              <w:top w:val="single" w:sz="4" w:space="0" w:color="auto"/>
              <w:left w:val="nil"/>
              <w:bottom w:val="single" w:sz="4" w:space="0" w:color="auto"/>
              <w:right w:val="single" w:sz="4" w:space="0" w:color="auto"/>
            </w:tcBorders>
            <w:shd w:val="clear" w:color="auto" w:fill="C6EFCE"/>
            <w:noWrap/>
            <w:vAlign w:val="center"/>
          </w:tcPr>
          <w:p w14:paraId="552B3B5A" w14:textId="77777777" w:rsidR="000D1388" w:rsidRPr="00EB1BD7" w:rsidRDefault="00E71057" w:rsidP="003027B3">
            <w:pPr>
              <w:spacing w:after="0"/>
              <w:rPr>
                <w:rFonts w:ascii="Times New Roman" w:eastAsia="Times New Roman" w:hAnsi="Times New Roman" w:cs="Times New Roman"/>
                <w:noProof/>
                <w:color w:val="006100"/>
                <w:sz w:val="20"/>
                <w:szCs w:val="20"/>
              </w:rPr>
            </w:pPr>
            <w:bookmarkStart w:id="18" w:name="_Hlk148685805"/>
            <w:r w:rsidRPr="00EB1BD7">
              <w:rPr>
                <w:rFonts w:ascii="Times New Roman" w:hAnsi="Times New Roman" w:cs="Times New Roman"/>
                <w:noProof/>
                <w:color w:val="006100"/>
                <w:sz w:val="20"/>
                <w:szCs w:val="20"/>
              </w:rPr>
              <w:t xml:space="preserve">Les organismes de coordination du plan pour la reprise et la résilience de la Belgique, en collaboration le cas échéant avec les organismes d’exécution, adaptent leur manuel de procédures/leurs documents décrivant leur système de gestion et de contrôle et donnent des instructions aux organismes d’exécution dans le but de renforcer le cadre de prévention, de détection et de correction des irrégularités graves, telles que la fraude, les conflits d’intérêts, la corruption et le double financement. </w:t>
            </w:r>
            <w:bookmarkEnd w:id="18"/>
            <w:r w:rsidRPr="00EB1BD7">
              <w:rPr>
                <w:rFonts w:ascii="Times New Roman" w:hAnsi="Times New Roman" w:cs="Times New Roman"/>
                <w:noProof/>
                <w:color w:val="006100"/>
                <w:sz w:val="20"/>
                <w:szCs w:val="20"/>
              </w:rPr>
              <w:t>Le manuel de procédures mis à jour et les instructions y afférentes incluent, au minimum:</w:t>
            </w:r>
          </w:p>
          <w:p w14:paraId="7690C109"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 xml:space="preserve">a) des dispositions relatives aux stratégies/politiques antifraude et anticorruption au sein de tous les organismes d’exécution qui tiennent compte de tous les éléments exposés dans la note d’orientation relative à l’évaluation du risque de fraude et aux mesures antifraude efficaces et proportionnées pour les Fonds ESI 2014-2020 </w:t>
            </w:r>
          </w:p>
          <w:p w14:paraId="2A4A7234"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b) des procédures garantissant que les personnes qui signent la ou les déclarations de gestion destinées à la Commission obtiennent l’assurance que les jalons et cibles fixés dans le PRR ont été atteints de manière satisfaisante et que les fonds ont été gérés conformément à toutes les règles applicables, en particulier les règles relatives à la prévention des conflits d’intérêts, de la fraude, de la corruption et du double financement</w:t>
            </w:r>
          </w:p>
          <w:p w14:paraId="050BF927"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c) des dispositions exigeant des canaux opérationnels de signalement interne et externe des irrégularités au sein de tous les organismes</w:t>
            </w:r>
          </w:p>
          <w:p w14:paraId="376212DA"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 xml:space="preserve">d) des dispositions exigeant des vérifications sur place par les organismes d’exécution ou l’organisme de coordination (Région de Bruxelles-Capitale), un accent particulier étant mis sur la protection des intérêts financiers de l’Union </w:t>
            </w:r>
          </w:p>
          <w:p w14:paraId="487A0C30"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 xml:space="preserve">e) des procédures de signalement des irrégularités à l’OLAF et aux autres autorités compétentes au sein de tous les organismes </w:t>
            </w:r>
          </w:p>
          <w:p w14:paraId="0D3262DC" w14:textId="77777777" w:rsidR="000D1388" w:rsidRPr="00EB1BD7" w:rsidRDefault="00E71057" w:rsidP="003027B3">
            <w:pPr>
              <w:spacing w:after="12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f) des procédures de vérification du respect du droit de l’Union et du droit national, en particulier en ce qui concerne la passation des marchés publics et les aides d’État, au sein des organismes d’exécution</w:t>
            </w:r>
          </w:p>
          <w:p w14:paraId="61074818"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En outre, lorsque l’Inspection des finances a été chargée de ces contrôles, l’organisme de coordination compétent adopte et envoie une communication à l’Inspection des finances concernant la vérification ex ante du respect du droit de l’Union et du droit national et de la protection des intérêts financiers de l’Union à effectuer conformément au règlement (UE) 2021/241</w:t>
            </w:r>
          </w:p>
        </w:tc>
      </w:tr>
      <w:tr w:rsidR="00E71057" w:rsidRPr="00EB1BD7" w14:paraId="2B3D61EB" w14:textId="77777777" w:rsidTr="00EB1BD7">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C73C06"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251</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5B568DF7"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Suivi et mise en œuvre du plan</w:t>
            </w:r>
          </w:p>
        </w:tc>
        <w:tc>
          <w:tcPr>
            <w:tcW w:w="723" w:type="dxa"/>
            <w:tcBorders>
              <w:top w:val="single" w:sz="4" w:space="0" w:color="auto"/>
              <w:left w:val="nil"/>
              <w:bottom w:val="single" w:sz="4" w:space="0" w:color="auto"/>
              <w:right w:val="single" w:sz="4" w:space="0" w:color="auto"/>
            </w:tcBorders>
            <w:shd w:val="clear" w:color="auto" w:fill="C6EFCE"/>
            <w:noWrap/>
            <w:vAlign w:val="center"/>
          </w:tcPr>
          <w:p w14:paraId="22912A21"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J</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3609EEF5"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Prévention, détection et dissuasion des conflits d’intérêts</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362104F8"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Instructions données</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2BC88160" w14:textId="77777777" w:rsidR="000D1388" w:rsidRPr="00EB1BD7" w:rsidRDefault="000D1388" w:rsidP="003027B3">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46180D33" w14:textId="77777777" w:rsidR="000D1388" w:rsidRPr="00EB1BD7" w:rsidRDefault="000D1388" w:rsidP="003027B3">
            <w:pPr>
              <w:spacing w:after="0"/>
              <w:rPr>
                <w:rFonts w:ascii="Times New Roman" w:eastAsia="Times New Roman" w:hAnsi="Times New Roman" w:cs="Times New Roman"/>
                <w:noProof/>
                <w:color w:val="006100"/>
                <w:sz w:val="20"/>
                <w:szCs w:val="20"/>
                <w:lang w:val="en-GB" w:eastAsia="en-GB"/>
              </w:rPr>
            </w:pPr>
          </w:p>
        </w:tc>
        <w:tc>
          <w:tcPr>
            <w:tcW w:w="1012" w:type="dxa"/>
            <w:tcBorders>
              <w:top w:val="single" w:sz="4" w:space="0" w:color="auto"/>
              <w:left w:val="nil"/>
              <w:bottom w:val="single" w:sz="4" w:space="0" w:color="auto"/>
              <w:right w:val="single" w:sz="4" w:space="0" w:color="auto"/>
            </w:tcBorders>
            <w:shd w:val="clear" w:color="auto" w:fill="C6EFCE"/>
            <w:noWrap/>
            <w:vAlign w:val="center"/>
          </w:tcPr>
          <w:p w14:paraId="23BF48C0" w14:textId="77777777" w:rsidR="000D1388" w:rsidRPr="00EB1BD7" w:rsidRDefault="000D1388" w:rsidP="003027B3">
            <w:pPr>
              <w:spacing w:after="0"/>
              <w:rPr>
                <w:rFonts w:ascii="Times New Roman" w:eastAsia="Times New Roman" w:hAnsi="Times New Roman" w:cs="Times New Roman"/>
                <w:noProof/>
                <w:color w:val="006100"/>
                <w:sz w:val="20"/>
                <w:szCs w:val="20"/>
                <w:lang w:val="en-GB" w:eastAsia="en-GB"/>
              </w:rPr>
            </w:pP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7C56C4D0"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Avant la deuxième demande de paiement</w:t>
            </w: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27C96250"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Avant la deuxième demande de paiement</w:t>
            </w:r>
          </w:p>
        </w:tc>
        <w:tc>
          <w:tcPr>
            <w:tcW w:w="3120" w:type="dxa"/>
            <w:tcBorders>
              <w:top w:val="single" w:sz="4" w:space="0" w:color="auto"/>
              <w:left w:val="nil"/>
              <w:bottom w:val="single" w:sz="4" w:space="0" w:color="auto"/>
              <w:right w:val="single" w:sz="4" w:space="0" w:color="auto"/>
            </w:tcBorders>
            <w:shd w:val="clear" w:color="auto" w:fill="C6EFCE"/>
            <w:noWrap/>
            <w:vAlign w:val="center"/>
          </w:tcPr>
          <w:p w14:paraId="73CD6F8D" w14:textId="77777777" w:rsidR="000D1388" w:rsidRPr="00EB1BD7" w:rsidRDefault="00E71057" w:rsidP="003027B3">
            <w:pPr>
              <w:spacing w:after="0"/>
              <w:rPr>
                <w:rFonts w:ascii="Times New Roman" w:eastAsia="Times New Roman" w:hAnsi="Times New Roman" w:cs="Times New Roman"/>
                <w:noProof/>
                <w:color w:val="006100"/>
                <w:sz w:val="20"/>
                <w:szCs w:val="20"/>
              </w:rPr>
            </w:pPr>
            <w:r w:rsidRPr="00EB1BD7">
              <w:rPr>
                <w:rFonts w:ascii="Times New Roman" w:hAnsi="Times New Roman" w:cs="Times New Roman"/>
                <w:noProof/>
                <w:color w:val="006100"/>
                <w:sz w:val="20"/>
                <w:szCs w:val="20"/>
              </w:rPr>
              <w:t>Les organismes de coordination du plan pour la reprise et la résilience de la Belgique donnent des instructions à tous les organismes d’exécution en ce qui concerne les vérifications ex ante, avant la signature du contrat ou l’attribution de la subvention, du risque de conflit d’intérêts dans la mise en œuvre des mesures relevant de la FRR. Cela suppose i) des déclarations obligatoires d’absence de conflit d’intérêts par les personnes concernées à toutes les étapes des procédures de sélection des appels d’offres et des appels à projets et ii) en fonction des risques, l’utilisation d’un outil approprié d’évaluation des risques pour effectuer les contrôles des conflits d’intérêts prévus dans les instructions. Les instructions définissent le conflit d’intérêts conformément à l’article 61 du règlement financier</w:t>
            </w:r>
          </w:p>
        </w:tc>
      </w:tr>
    </w:tbl>
    <w:p w14:paraId="6CE24B36" w14:textId="77777777" w:rsidR="000D1388" w:rsidRPr="00EB1BD7" w:rsidRDefault="000D1388" w:rsidP="00E71057">
      <w:pPr>
        <w:spacing w:before="120" w:after="120" w:line="240" w:lineRule="auto"/>
        <w:jc w:val="both"/>
        <w:rPr>
          <w:rFonts w:ascii="Times New Roman" w:eastAsia="Calibri" w:hAnsi="Times New Roman" w:cs="Times New Roman"/>
          <w:b/>
          <w:noProof/>
          <w:sz w:val="20"/>
          <w:szCs w:val="20"/>
          <w:u w:val="single"/>
          <w:lang w:val="fr-BE"/>
        </w:rPr>
      </w:pPr>
    </w:p>
    <w:p w14:paraId="406C4476" w14:textId="77777777" w:rsidR="000D1388" w:rsidRPr="00746A1A" w:rsidRDefault="000D1388" w:rsidP="00E71057">
      <w:pPr>
        <w:spacing w:before="120" w:after="120" w:line="240" w:lineRule="auto"/>
        <w:ind w:left="709"/>
        <w:jc w:val="both"/>
        <w:rPr>
          <w:rFonts w:ascii="Times New Roman" w:eastAsia="Calibri" w:hAnsi="Times New Roman" w:cs="Times New Roman"/>
          <w:noProof/>
          <w:sz w:val="24"/>
          <w:lang w:val="fr-BE"/>
        </w:rPr>
        <w:sectPr w:rsidR="000D1388" w:rsidRPr="00746A1A" w:rsidSect="00E71057">
          <w:headerReference w:type="even" r:id="rId306"/>
          <w:headerReference w:type="default" r:id="rId307"/>
          <w:footerReference w:type="even" r:id="rId308"/>
          <w:footerReference w:type="default" r:id="rId309"/>
          <w:headerReference w:type="first" r:id="rId310"/>
          <w:footerReference w:type="first" r:id="rId311"/>
          <w:pgSz w:w="16839" w:h="11907" w:orient="landscape"/>
          <w:pgMar w:top="1134" w:right="1134" w:bottom="1134" w:left="1134" w:header="567" w:footer="567" w:gutter="0"/>
          <w:cols w:space="720"/>
          <w:docGrid w:linePitch="360"/>
        </w:sectPr>
      </w:pPr>
    </w:p>
    <w:p w14:paraId="148B47CC" w14:textId="2CB279DA" w:rsidR="000D1388" w:rsidRPr="009D65D8" w:rsidRDefault="008509A1" w:rsidP="008509A1">
      <w:pPr>
        <w:keepNext/>
        <w:tabs>
          <w:tab w:val="num" w:pos="1417"/>
        </w:tabs>
        <w:spacing w:before="360" w:after="120" w:line="240" w:lineRule="auto"/>
        <w:jc w:val="both"/>
        <w:outlineLvl w:val="0"/>
        <w:rPr>
          <w:rFonts w:ascii="Times New Roman" w:eastAsia="Yu Gothic Light" w:hAnsi="Times New Roman" w:cs="Times New Roman"/>
          <w:b/>
          <w:bCs/>
          <w:smallCaps/>
          <w:noProof/>
          <w:sz w:val="24"/>
          <w:szCs w:val="28"/>
        </w:rPr>
      </w:pPr>
      <w:r>
        <w:rPr>
          <w:rFonts w:ascii="Times New Roman" w:hAnsi="Times New Roman"/>
          <w:b/>
          <w:smallCaps/>
          <w:noProof/>
          <w:sz w:val="24"/>
        </w:rPr>
        <w:t>2.</w:t>
      </w:r>
      <w:r>
        <w:rPr>
          <w:rFonts w:ascii="Times New Roman" w:hAnsi="Times New Roman"/>
          <w:b/>
          <w:smallCaps/>
          <w:noProof/>
          <w:sz w:val="24"/>
        </w:rPr>
        <w:tab/>
        <w:t>Estimation du coût total du plan pour la reprise et la résilience</w:t>
      </w:r>
    </w:p>
    <w:p w14:paraId="3E4E2A49" w14:textId="79B618A2" w:rsidR="000D1388" w:rsidRDefault="00E71057" w:rsidP="00E71057">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 coût total estimé du plan pour la reprise et la résilience de la Belgique, tel que modifié et y compris le chapitre REPowerEU, est de</w:t>
      </w:r>
      <w:r>
        <w:rPr>
          <w:rFonts w:ascii="Times New Roman" w:hAnsi="Times New Roman"/>
          <w:noProof/>
          <w:color w:val="006100"/>
          <w:sz w:val="24"/>
        </w:rPr>
        <w:t xml:space="preserve"> </w:t>
      </w:r>
      <w:r>
        <w:rPr>
          <w:rFonts w:ascii="Times New Roman" w:hAnsi="Times New Roman"/>
          <w:noProof/>
          <w:color w:val="000000" w:themeColor="text1"/>
          <w:sz w:val="24"/>
        </w:rPr>
        <w:t>5</w:t>
      </w:r>
      <w:r>
        <w:rPr>
          <w:rFonts w:ascii="Times New Roman" w:hAnsi="Times New Roman"/>
          <w:noProof/>
          <w:color w:val="006100"/>
          <w:sz w:val="24"/>
        </w:rPr>
        <w:t> </w:t>
      </w:r>
      <w:r>
        <w:rPr>
          <w:rFonts w:ascii="Times New Roman" w:hAnsi="Times New Roman"/>
          <w:noProof/>
          <w:color w:val="000000" w:themeColor="text1"/>
          <w:sz w:val="24"/>
        </w:rPr>
        <w:t>244</w:t>
      </w:r>
      <w:r>
        <w:rPr>
          <w:rFonts w:ascii="Times New Roman" w:hAnsi="Times New Roman"/>
          <w:noProof/>
          <w:sz w:val="24"/>
        </w:rPr>
        <w:t> </w:t>
      </w:r>
      <w:r>
        <w:rPr>
          <w:rFonts w:ascii="Times New Roman" w:hAnsi="Times New Roman"/>
          <w:noProof/>
          <w:color w:val="000000" w:themeColor="text1"/>
          <w:sz w:val="24"/>
        </w:rPr>
        <w:t>911</w:t>
      </w:r>
      <w:r>
        <w:rPr>
          <w:rFonts w:ascii="Times New Roman" w:hAnsi="Times New Roman"/>
          <w:noProof/>
          <w:color w:val="006100"/>
          <w:sz w:val="24"/>
        </w:rPr>
        <w:t> </w:t>
      </w:r>
      <w:r>
        <w:rPr>
          <w:rFonts w:ascii="Times New Roman" w:hAnsi="Times New Roman"/>
          <w:noProof/>
          <w:color w:val="000000" w:themeColor="text1"/>
          <w:sz w:val="24"/>
        </w:rPr>
        <w:t>861 EUR</w:t>
      </w:r>
      <w:r>
        <w:rPr>
          <w:rFonts w:ascii="Times New Roman" w:hAnsi="Times New Roman"/>
          <w:noProof/>
          <w:sz w:val="24"/>
        </w:rPr>
        <w:t>. Le coût total estimé du chapitre REPowerEU est de 688 345 628 EUR. En particulier, le coût total des mesures visées à l’article 21 </w:t>
      </w:r>
      <w:r>
        <w:rPr>
          <w:rFonts w:ascii="Times New Roman" w:hAnsi="Times New Roman"/>
          <w:i/>
          <w:iCs/>
          <w:noProof/>
          <w:sz w:val="24"/>
        </w:rPr>
        <w:t>quater</w:t>
      </w:r>
      <w:r>
        <w:rPr>
          <w:rFonts w:ascii="Times New Roman" w:hAnsi="Times New Roman"/>
          <w:noProof/>
          <w:sz w:val="24"/>
        </w:rPr>
        <w:t>, paragraphe 3, point a), du règlement (UE) 2023/435 est estimé à 0 EUR et le coût des autres mesures relevant du chapitre REPowerEU est quant à lui estimé à 688 345 628 EUR.</w:t>
      </w:r>
    </w:p>
    <w:p w14:paraId="57B90FCE" w14:textId="77777777" w:rsidR="000D1388" w:rsidRPr="00746A1A" w:rsidRDefault="000D1388" w:rsidP="00E71057">
      <w:pPr>
        <w:rPr>
          <w:rFonts w:ascii="Times New Roman" w:eastAsia="Calibri" w:hAnsi="Times New Roman" w:cs="Times New Roman"/>
          <w:noProof/>
          <w:lang w:val="fr-BE"/>
        </w:rPr>
      </w:pPr>
    </w:p>
    <w:p w14:paraId="71A03124" w14:textId="77777777" w:rsidR="000D1388" w:rsidRPr="009D65D8" w:rsidRDefault="00E71057" w:rsidP="00E71057">
      <w:pPr>
        <w:keepNext/>
        <w:spacing w:before="120" w:after="240" w:line="240" w:lineRule="auto"/>
        <w:jc w:val="both"/>
        <w:outlineLvl w:val="0"/>
        <w:rPr>
          <w:rFonts w:ascii="Times New Roman" w:eastAsia="Yu Gothic Light" w:hAnsi="Times New Roman" w:cs="Times New Roman"/>
          <w:b/>
          <w:bCs/>
          <w:smallCaps/>
          <w:noProof/>
          <w:sz w:val="24"/>
          <w:szCs w:val="28"/>
        </w:rPr>
      </w:pPr>
      <w:r>
        <w:rPr>
          <w:rFonts w:ascii="Times New Roman" w:hAnsi="Times New Roman"/>
          <w:b/>
          <w:smallCaps/>
          <w:noProof/>
          <w:sz w:val="24"/>
        </w:rPr>
        <w:t xml:space="preserve">PARTIE 2: SOUTIEN FINANCIER </w:t>
      </w:r>
    </w:p>
    <w:p w14:paraId="298A3415" w14:textId="77777777" w:rsidR="000D1388" w:rsidRPr="009D65D8" w:rsidRDefault="00E71057" w:rsidP="00F70F65">
      <w:pPr>
        <w:keepNext/>
        <w:numPr>
          <w:ilvl w:val="0"/>
          <w:numId w:val="66"/>
        </w:numPr>
        <w:tabs>
          <w:tab w:val="left" w:pos="850"/>
        </w:tabs>
        <w:spacing w:before="120" w:after="120" w:line="240" w:lineRule="auto"/>
        <w:ind w:left="851" w:hanging="851"/>
        <w:jc w:val="both"/>
        <w:outlineLvl w:val="1"/>
        <w:rPr>
          <w:rFonts w:ascii="Times New Roman" w:eastAsia="Calibri" w:hAnsi="Times New Roman" w:cs="Times New Roman"/>
          <w:b/>
          <w:noProof/>
          <w:sz w:val="24"/>
        </w:rPr>
      </w:pPr>
      <w:r>
        <w:rPr>
          <w:rFonts w:ascii="Times New Roman" w:hAnsi="Times New Roman"/>
          <w:b/>
          <w:noProof/>
          <w:sz w:val="24"/>
        </w:rPr>
        <w:t>Contribution financière</w:t>
      </w:r>
    </w:p>
    <w:p w14:paraId="35FCC2CD" w14:textId="77777777" w:rsidR="000D1388" w:rsidRPr="009D65D8" w:rsidRDefault="00E71057" w:rsidP="00E71057">
      <w:pPr>
        <w:spacing w:before="120" w:after="240" w:line="240" w:lineRule="auto"/>
        <w:ind w:left="851"/>
        <w:jc w:val="both"/>
        <w:rPr>
          <w:rFonts w:ascii="Times New Roman" w:eastAsia="Calibri" w:hAnsi="Times New Roman" w:cs="Times New Roman"/>
          <w:noProof/>
          <w:sz w:val="24"/>
        </w:rPr>
      </w:pPr>
      <w:r>
        <w:rPr>
          <w:rFonts w:ascii="Times New Roman" w:hAnsi="Times New Roman"/>
          <w:noProof/>
          <w:sz w:val="24"/>
        </w:rPr>
        <w:t>Les tranches visées à l’article 2, paragraphe 2, sont organisées de la manière suivante:</w:t>
      </w:r>
    </w:p>
    <w:p w14:paraId="3CC9FCA7" w14:textId="77777777" w:rsidR="000D1388" w:rsidRPr="009D65D8" w:rsidRDefault="00E71057" w:rsidP="00F70F65">
      <w:pPr>
        <w:numPr>
          <w:ilvl w:val="0"/>
          <w:numId w:val="67"/>
        </w:numPr>
        <w:tabs>
          <w:tab w:val="clear" w:pos="850"/>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Première tranche (soutien non remboursable):</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3799"/>
        <w:gridCol w:w="737"/>
        <w:gridCol w:w="4542"/>
      </w:tblGrid>
      <w:tr w:rsidR="00E71057" w:rsidRPr="009042E1" w14:paraId="185A5B7F" w14:textId="77777777" w:rsidTr="00EB1BD7">
        <w:trPr>
          <w:trHeight w:val="300"/>
          <w:tblHeader/>
        </w:trPr>
        <w:tc>
          <w:tcPr>
            <w:tcW w:w="553" w:type="pct"/>
            <w:shd w:val="clear" w:color="auto" w:fill="BDD7EE"/>
            <w:noWrap/>
            <w:vAlign w:val="center"/>
            <w:hideMark/>
          </w:tcPr>
          <w:p w14:paraId="2BEE65C4"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1861" w:type="pct"/>
            <w:shd w:val="clear" w:color="auto" w:fill="BDD7EE"/>
            <w:noWrap/>
            <w:vAlign w:val="center"/>
            <w:hideMark/>
          </w:tcPr>
          <w:p w14:paraId="73C2D489"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361" w:type="pct"/>
            <w:shd w:val="clear" w:color="auto" w:fill="BDD7EE"/>
            <w:noWrap/>
            <w:vAlign w:val="center"/>
            <w:hideMark/>
          </w:tcPr>
          <w:p w14:paraId="14607ECA"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225" w:type="pct"/>
            <w:shd w:val="clear" w:color="auto" w:fill="BDD7EE"/>
            <w:noWrap/>
            <w:vAlign w:val="center"/>
            <w:hideMark/>
          </w:tcPr>
          <w:p w14:paraId="54ECB7F7"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E71057" w:rsidRPr="009042E1" w14:paraId="0EDB5D86" w14:textId="77777777" w:rsidTr="00EB1BD7">
        <w:trPr>
          <w:trHeight w:val="315"/>
        </w:trPr>
        <w:tc>
          <w:tcPr>
            <w:tcW w:w="553" w:type="pct"/>
            <w:shd w:val="clear" w:color="auto" w:fill="C6EFCE"/>
            <w:noWrap/>
            <w:vAlign w:val="center"/>
            <w:hideMark/>
          </w:tcPr>
          <w:p w14:paraId="5D74C5AA"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56</w:t>
            </w:r>
          </w:p>
        </w:tc>
        <w:tc>
          <w:tcPr>
            <w:tcW w:w="1861" w:type="pct"/>
            <w:shd w:val="clear" w:color="auto" w:fill="C6EFCE"/>
            <w:noWrap/>
            <w:vAlign w:val="center"/>
            <w:hideMark/>
          </w:tcPr>
          <w:p w14:paraId="63D0033E"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361" w:type="pct"/>
            <w:shd w:val="clear" w:color="auto" w:fill="C6EFCE"/>
            <w:noWrap/>
            <w:vAlign w:val="center"/>
            <w:hideMark/>
          </w:tcPr>
          <w:p w14:paraId="3E193E5C"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97A2B48"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gestion de projet est en place pour la transformation numérique de la justice après l’adoption d’un arrêté</w:t>
            </w:r>
          </w:p>
        </w:tc>
      </w:tr>
      <w:tr w:rsidR="00E71057" w:rsidRPr="009042E1" w14:paraId="0946C3F6" w14:textId="77777777" w:rsidTr="00EB1BD7">
        <w:trPr>
          <w:trHeight w:val="315"/>
        </w:trPr>
        <w:tc>
          <w:tcPr>
            <w:tcW w:w="553" w:type="pct"/>
            <w:shd w:val="clear" w:color="auto" w:fill="C6EFCE"/>
            <w:noWrap/>
            <w:vAlign w:val="center"/>
            <w:hideMark/>
          </w:tcPr>
          <w:p w14:paraId="109F948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70</w:t>
            </w:r>
          </w:p>
        </w:tc>
        <w:tc>
          <w:tcPr>
            <w:tcW w:w="1861" w:type="pct"/>
            <w:shd w:val="clear" w:color="auto" w:fill="C6EFCE"/>
            <w:noWrap/>
            <w:vAlign w:val="center"/>
            <w:hideMark/>
          </w:tcPr>
          <w:p w14:paraId="5511D762"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Plateforme régionale d’échange de données (I-2.10)</w:t>
            </w:r>
          </w:p>
        </w:tc>
        <w:tc>
          <w:tcPr>
            <w:tcW w:w="361" w:type="pct"/>
            <w:shd w:val="clear" w:color="auto" w:fill="C6EFCE"/>
            <w:noWrap/>
            <w:vAlign w:val="center"/>
            <w:hideMark/>
          </w:tcPr>
          <w:p w14:paraId="2880AA5D"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B146A81"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du marché public</w:t>
            </w:r>
          </w:p>
        </w:tc>
      </w:tr>
      <w:tr w:rsidR="00E71057" w:rsidRPr="009042E1" w14:paraId="371FBA62" w14:textId="77777777" w:rsidTr="00EB1BD7">
        <w:trPr>
          <w:trHeight w:val="315"/>
        </w:trPr>
        <w:tc>
          <w:tcPr>
            <w:tcW w:w="553" w:type="pct"/>
            <w:shd w:val="clear" w:color="auto" w:fill="C6EFCE"/>
            <w:noWrap/>
            <w:vAlign w:val="center"/>
            <w:hideMark/>
          </w:tcPr>
          <w:p w14:paraId="7AD879D3"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72</w:t>
            </w:r>
          </w:p>
        </w:tc>
        <w:tc>
          <w:tcPr>
            <w:tcW w:w="1861" w:type="pct"/>
            <w:shd w:val="clear" w:color="auto" w:fill="C6EFCE"/>
            <w:noWrap/>
            <w:vAlign w:val="center"/>
            <w:hideMark/>
          </w:tcPr>
          <w:p w14:paraId="5DC67C1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des processus citoyens-entreprises (I-2.11)</w:t>
            </w:r>
          </w:p>
        </w:tc>
        <w:tc>
          <w:tcPr>
            <w:tcW w:w="361" w:type="pct"/>
            <w:shd w:val="clear" w:color="auto" w:fill="C6EFCE"/>
            <w:noWrap/>
            <w:vAlign w:val="center"/>
            <w:hideMark/>
          </w:tcPr>
          <w:p w14:paraId="2293D361"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1C20F33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service des nouvelles plateformes numériques</w:t>
            </w:r>
          </w:p>
        </w:tc>
      </w:tr>
      <w:tr w:rsidR="00E71057" w:rsidRPr="009042E1" w14:paraId="4BE86C18" w14:textId="77777777" w:rsidTr="00EB1BD7">
        <w:trPr>
          <w:trHeight w:val="315"/>
        </w:trPr>
        <w:tc>
          <w:tcPr>
            <w:tcW w:w="553" w:type="pct"/>
            <w:shd w:val="clear" w:color="auto" w:fill="C6EFCE"/>
            <w:noWrap/>
            <w:vAlign w:val="center"/>
            <w:hideMark/>
          </w:tcPr>
          <w:p w14:paraId="573E11EC"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89</w:t>
            </w:r>
          </w:p>
        </w:tc>
        <w:tc>
          <w:tcPr>
            <w:tcW w:w="1861" w:type="pct"/>
            <w:shd w:val="clear" w:color="auto" w:fill="C6EFCE"/>
            <w:noWrap/>
            <w:vAlign w:val="center"/>
            <w:hideMark/>
          </w:tcPr>
          <w:p w14:paraId="03428027"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361" w:type="pct"/>
            <w:shd w:val="clear" w:color="auto" w:fill="C6EFCE"/>
            <w:noWrap/>
            <w:vAlign w:val="center"/>
            <w:hideMark/>
          </w:tcPr>
          <w:p w14:paraId="293AFD7C"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571B430F"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Boîte à outils de l’UE pour la connectivité</w:t>
            </w:r>
          </w:p>
        </w:tc>
      </w:tr>
      <w:tr w:rsidR="00E71057" w:rsidRPr="009042E1" w14:paraId="1BEF9EC1" w14:textId="77777777" w:rsidTr="00EB1BD7">
        <w:trPr>
          <w:trHeight w:val="315"/>
        </w:trPr>
        <w:tc>
          <w:tcPr>
            <w:tcW w:w="553" w:type="pct"/>
            <w:shd w:val="clear" w:color="auto" w:fill="C6EFCE"/>
            <w:noWrap/>
            <w:vAlign w:val="center"/>
            <w:hideMark/>
          </w:tcPr>
          <w:p w14:paraId="2E879FCC"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90</w:t>
            </w:r>
          </w:p>
        </w:tc>
        <w:tc>
          <w:tcPr>
            <w:tcW w:w="1861" w:type="pct"/>
            <w:shd w:val="clear" w:color="auto" w:fill="C6EFCE"/>
            <w:noWrap/>
            <w:vAlign w:val="center"/>
            <w:hideMark/>
          </w:tcPr>
          <w:p w14:paraId="240A2F1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361" w:type="pct"/>
            <w:shd w:val="clear" w:color="auto" w:fill="C6EFCE"/>
            <w:noWrap/>
            <w:vAlign w:val="center"/>
            <w:hideMark/>
          </w:tcPr>
          <w:p w14:paraId="35BDB1B1"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4956A473"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 cadre législatif sur l’attribution des fréquences 5G</w:t>
            </w:r>
          </w:p>
        </w:tc>
      </w:tr>
      <w:tr w:rsidR="00E71057" w:rsidRPr="009042E1" w14:paraId="20441EFF" w14:textId="77777777" w:rsidTr="00EB1BD7">
        <w:trPr>
          <w:trHeight w:val="315"/>
        </w:trPr>
        <w:tc>
          <w:tcPr>
            <w:tcW w:w="553" w:type="pct"/>
            <w:shd w:val="clear" w:color="auto" w:fill="C6EFCE"/>
            <w:noWrap/>
            <w:vAlign w:val="center"/>
            <w:hideMark/>
          </w:tcPr>
          <w:p w14:paraId="52AA16D2"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110</w:t>
            </w:r>
          </w:p>
        </w:tc>
        <w:tc>
          <w:tcPr>
            <w:tcW w:w="1861" w:type="pct"/>
            <w:shd w:val="clear" w:color="auto" w:fill="C6EFCE"/>
            <w:noWrap/>
            <w:vAlign w:val="center"/>
            <w:hideMark/>
          </w:tcPr>
          <w:p w14:paraId="623A65C8"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Budget mobilité (R-3.02)</w:t>
            </w:r>
          </w:p>
        </w:tc>
        <w:tc>
          <w:tcPr>
            <w:tcW w:w="361" w:type="pct"/>
            <w:shd w:val="clear" w:color="auto" w:fill="C6EFCE"/>
            <w:noWrap/>
            <w:vAlign w:val="center"/>
            <w:hideMark/>
          </w:tcPr>
          <w:p w14:paraId="755F8E4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DE25E2F"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budget mobilité</w:t>
            </w:r>
          </w:p>
        </w:tc>
      </w:tr>
      <w:tr w:rsidR="00E71057" w:rsidRPr="009042E1" w14:paraId="37A59DDD" w14:textId="77777777" w:rsidTr="00EB1BD7">
        <w:trPr>
          <w:trHeight w:val="315"/>
        </w:trPr>
        <w:tc>
          <w:tcPr>
            <w:tcW w:w="553" w:type="pct"/>
            <w:shd w:val="clear" w:color="auto" w:fill="C6EFCE"/>
            <w:noWrap/>
            <w:vAlign w:val="center"/>
            <w:hideMark/>
          </w:tcPr>
          <w:p w14:paraId="7065E21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116</w:t>
            </w:r>
          </w:p>
        </w:tc>
        <w:tc>
          <w:tcPr>
            <w:tcW w:w="1861" w:type="pct"/>
            <w:shd w:val="clear" w:color="auto" w:fill="C6EFCE"/>
            <w:noWrap/>
            <w:vAlign w:val="center"/>
            <w:hideMark/>
          </w:tcPr>
          <w:p w14:paraId="0F9F9B2C"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Stimuler le transport à zéro émission – VLA (R-3.06)</w:t>
            </w:r>
          </w:p>
        </w:tc>
        <w:tc>
          <w:tcPr>
            <w:tcW w:w="361" w:type="pct"/>
            <w:shd w:val="clear" w:color="auto" w:fill="C6EFCE"/>
            <w:noWrap/>
            <w:vAlign w:val="center"/>
            <w:hideMark/>
          </w:tcPr>
          <w:p w14:paraId="7910A28D"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E38E493"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cadre pour le déploiement de l’infrastructure de recharge en Région flamande</w:t>
            </w:r>
          </w:p>
        </w:tc>
      </w:tr>
      <w:tr w:rsidR="00E71057" w:rsidRPr="009042E1" w14:paraId="4460BC98" w14:textId="77777777" w:rsidTr="00EB1BD7">
        <w:trPr>
          <w:trHeight w:val="315"/>
        </w:trPr>
        <w:tc>
          <w:tcPr>
            <w:tcW w:w="553" w:type="pct"/>
            <w:shd w:val="clear" w:color="auto" w:fill="C6EFCE"/>
            <w:noWrap/>
            <w:vAlign w:val="center"/>
            <w:hideMark/>
          </w:tcPr>
          <w:p w14:paraId="67A6058B"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120</w:t>
            </w:r>
          </w:p>
        </w:tc>
        <w:tc>
          <w:tcPr>
            <w:tcW w:w="1861" w:type="pct"/>
            <w:shd w:val="clear" w:color="auto" w:fill="C6EFCE"/>
            <w:noWrap/>
            <w:vAlign w:val="center"/>
            <w:hideMark/>
          </w:tcPr>
          <w:p w14:paraId="672F92A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Bornes de recharge – FED (I-3.18)</w:t>
            </w:r>
          </w:p>
        </w:tc>
        <w:tc>
          <w:tcPr>
            <w:tcW w:w="361" w:type="pct"/>
            <w:shd w:val="clear" w:color="auto" w:fill="C6EFCE"/>
            <w:noWrap/>
            <w:vAlign w:val="center"/>
            <w:hideMark/>
          </w:tcPr>
          <w:p w14:paraId="271A768D"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3D42BD30"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mesure d’incitation fiscale pour installer des points de recharge privés et semi-publics</w:t>
            </w:r>
          </w:p>
        </w:tc>
      </w:tr>
      <w:tr w:rsidR="00E71057" w:rsidRPr="009042E1" w14:paraId="22E0015A" w14:textId="77777777" w:rsidTr="00EB1BD7">
        <w:trPr>
          <w:trHeight w:val="315"/>
        </w:trPr>
        <w:tc>
          <w:tcPr>
            <w:tcW w:w="553" w:type="pct"/>
            <w:shd w:val="clear" w:color="auto" w:fill="C6EFCE"/>
            <w:noWrap/>
            <w:vAlign w:val="center"/>
            <w:hideMark/>
          </w:tcPr>
          <w:p w14:paraId="4E2FEB1C"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126</w:t>
            </w:r>
          </w:p>
        </w:tc>
        <w:tc>
          <w:tcPr>
            <w:tcW w:w="1861" w:type="pct"/>
            <w:shd w:val="clear" w:color="auto" w:fill="C6EFCE"/>
            <w:noWrap/>
            <w:vAlign w:val="center"/>
            <w:hideMark/>
          </w:tcPr>
          <w:p w14:paraId="1F5B6D7C"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Voitures de société à zéro émission (R-3.03)</w:t>
            </w:r>
          </w:p>
        </w:tc>
        <w:tc>
          <w:tcPr>
            <w:tcW w:w="361" w:type="pct"/>
            <w:shd w:val="clear" w:color="auto" w:fill="C6EFCE"/>
            <w:noWrap/>
            <w:vAlign w:val="center"/>
            <w:hideMark/>
          </w:tcPr>
          <w:p w14:paraId="1183FF7F"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FED6FA0"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loi réformant le régime fiscal des voitures de société</w:t>
            </w:r>
          </w:p>
        </w:tc>
      </w:tr>
      <w:tr w:rsidR="00E71057" w:rsidRPr="009042E1" w14:paraId="7DD838A3" w14:textId="77777777" w:rsidTr="00EB1BD7">
        <w:trPr>
          <w:trHeight w:val="315"/>
        </w:trPr>
        <w:tc>
          <w:tcPr>
            <w:tcW w:w="553" w:type="pct"/>
            <w:shd w:val="clear" w:color="auto" w:fill="C6EFCE"/>
            <w:noWrap/>
            <w:vAlign w:val="center"/>
            <w:hideMark/>
          </w:tcPr>
          <w:p w14:paraId="06A0A454"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135</w:t>
            </w:r>
          </w:p>
        </w:tc>
        <w:tc>
          <w:tcPr>
            <w:tcW w:w="1861" w:type="pct"/>
            <w:shd w:val="clear" w:color="auto" w:fill="C6EFCE"/>
            <w:noWrap/>
            <w:vAlign w:val="center"/>
            <w:hideMark/>
          </w:tcPr>
          <w:p w14:paraId="5BCCDAB1"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Accompagnement personnalisé des élèves dans l’enseignement obligatoire (I-4.03)</w:t>
            </w:r>
          </w:p>
        </w:tc>
        <w:tc>
          <w:tcPr>
            <w:tcW w:w="361" w:type="pct"/>
            <w:shd w:val="clear" w:color="auto" w:fill="C6EFCE"/>
            <w:noWrap/>
            <w:vAlign w:val="center"/>
            <w:hideMark/>
          </w:tcPr>
          <w:p w14:paraId="5CEEB0A2"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4BFB2C1D"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décret-cadre fixant les conditions d’intervention du système</w:t>
            </w:r>
          </w:p>
        </w:tc>
      </w:tr>
      <w:tr w:rsidR="00E71057" w:rsidRPr="009042E1" w14:paraId="3619EC28" w14:textId="77777777" w:rsidTr="00EB1BD7">
        <w:trPr>
          <w:trHeight w:val="315"/>
        </w:trPr>
        <w:tc>
          <w:tcPr>
            <w:tcW w:w="553" w:type="pct"/>
            <w:shd w:val="clear" w:color="auto" w:fill="C6EFCE"/>
            <w:noWrap/>
            <w:vAlign w:val="center"/>
            <w:hideMark/>
          </w:tcPr>
          <w:p w14:paraId="6B01B8D4"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137</w:t>
            </w:r>
          </w:p>
        </w:tc>
        <w:tc>
          <w:tcPr>
            <w:tcW w:w="1861" w:type="pct"/>
            <w:shd w:val="clear" w:color="auto" w:fill="C6EFCE"/>
            <w:noWrap/>
            <w:vAlign w:val="center"/>
            <w:hideMark/>
          </w:tcPr>
          <w:p w14:paraId="3C1C8158"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Virage numérique des écoles bruxelloises (I-4.05)</w:t>
            </w:r>
          </w:p>
        </w:tc>
        <w:tc>
          <w:tcPr>
            <w:tcW w:w="361" w:type="pct"/>
            <w:shd w:val="clear" w:color="auto" w:fill="C6EFCE"/>
            <w:noWrap/>
            <w:vAlign w:val="center"/>
            <w:hideMark/>
          </w:tcPr>
          <w:p w14:paraId="2C9AEF34"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4ED75663"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Équiper les écoles/établissements de dispositifs et d’infrastructures TIC adéquats afin d’améliorer les performances globales des systèmes d’éducation</w:t>
            </w:r>
          </w:p>
        </w:tc>
      </w:tr>
      <w:tr w:rsidR="00E71057" w:rsidRPr="009042E1" w14:paraId="35406484" w14:textId="77777777" w:rsidTr="00EB1BD7">
        <w:trPr>
          <w:trHeight w:val="315"/>
        </w:trPr>
        <w:tc>
          <w:tcPr>
            <w:tcW w:w="553" w:type="pct"/>
            <w:shd w:val="clear" w:color="auto" w:fill="C6EFCE"/>
            <w:noWrap/>
            <w:vAlign w:val="center"/>
            <w:hideMark/>
          </w:tcPr>
          <w:p w14:paraId="1B858C5B"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150</w:t>
            </w:r>
          </w:p>
        </w:tc>
        <w:tc>
          <w:tcPr>
            <w:tcW w:w="1861" w:type="pct"/>
            <w:shd w:val="clear" w:color="auto" w:fill="C6EFCE"/>
            <w:noWrap/>
            <w:vAlign w:val="center"/>
            <w:hideMark/>
          </w:tcPr>
          <w:p w14:paraId="6D664005" w14:textId="512691CF" w:rsidR="000D1388" w:rsidRPr="009042E1" w:rsidRDefault="00E810B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Logements sociaux et logements à destination de personnes vulnérables (I-4.12)</w:t>
            </w:r>
          </w:p>
        </w:tc>
        <w:tc>
          <w:tcPr>
            <w:tcW w:w="361" w:type="pct"/>
            <w:shd w:val="clear" w:color="auto" w:fill="C6EFCE"/>
            <w:noWrap/>
            <w:vAlign w:val="center"/>
            <w:hideMark/>
          </w:tcPr>
          <w:p w14:paraId="06B2EC2B"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191AD3E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wallonne de désinstitutionnalisation (politique de santé de la Wallonie)</w:t>
            </w:r>
          </w:p>
        </w:tc>
      </w:tr>
      <w:tr w:rsidR="00E71057" w:rsidRPr="009042E1" w14:paraId="3982B0CD" w14:textId="77777777" w:rsidTr="00EB1BD7">
        <w:trPr>
          <w:trHeight w:val="315"/>
        </w:trPr>
        <w:tc>
          <w:tcPr>
            <w:tcW w:w="553" w:type="pct"/>
            <w:shd w:val="clear" w:color="auto" w:fill="C6EFCE"/>
            <w:noWrap/>
            <w:vAlign w:val="center"/>
            <w:hideMark/>
          </w:tcPr>
          <w:p w14:paraId="025CF1C0"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172</w:t>
            </w:r>
          </w:p>
        </w:tc>
        <w:tc>
          <w:tcPr>
            <w:tcW w:w="1861" w:type="pct"/>
            <w:shd w:val="clear" w:color="auto" w:fill="C6EFCE"/>
            <w:noWrap/>
            <w:vAlign w:val="center"/>
            <w:hideMark/>
          </w:tcPr>
          <w:p w14:paraId="42B30567"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Compte formation (R-5.03)</w:t>
            </w:r>
          </w:p>
        </w:tc>
        <w:tc>
          <w:tcPr>
            <w:tcW w:w="361" w:type="pct"/>
            <w:shd w:val="clear" w:color="auto" w:fill="C6EFCE"/>
            <w:noWrap/>
            <w:vAlign w:val="center"/>
            <w:hideMark/>
          </w:tcPr>
          <w:p w14:paraId="68E3122A"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A3CCC9E"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fédérale établissant un droit individuel à la formation pour les salariés</w:t>
            </w:r>
          </w:p>
        </w:tc>
      </w:tr>
      <w:tr w:rsidR="00E71057" w:rsidRPr="009042E1" w14:paraId="2BF12E8B" w14:textId="77777777" w:rsidTr="00EB1BD7">
        <w:trPr>
          <w:trHeight w:val="315"/>
        </w:trPr>
        <w:tc>
          <w:tcPr>
            <w:tcW w:w="553" w:type="pct"/>
            <w:shd w:val="clear" w:color="auto" w:fill="C6EFCE"/>
            <w:noWrap/>
            <w:vAlign w:val="center"/>
            <w:hideMark/>
          </w:tcPr>
          <w:p w14:paraId="65C5756C"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173</w:t>
            </w:r>
          </w:p>
        </w:tc>
        <w:tc>
          <w:tcPr>
            <w:tcW w:w="1861" w:type="pct"/>
            <w:shd w:val="clear" w:color="auto" w:fill="C6EFCE"/>
            <w:noWrap/>
            <w:vAlign w:val="center"/>
            <w:hideMark/>
          </w:tcPr>
          <w:p w14:paraId="63369EF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Compte formation (R-5.03)</w:t>
            </w:r>
          </w:p>
        </w:tc>
        <w:tc>
          <w:tcPr>
            <w:tcW w:w="361" w:type="pct"/>
            <w:shd w:val="clear" w:color="auto" w:fill="C6EFCE"/>
            <w:noWrap/>
            <w:vAlign w:val="center"/>
            <w:hideMark/>
          </w:tcPr>
          <w:p w14:paraId="417DC87E"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1181644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fédérale offrant aux entreprises des incitants à fournir une formation</w:t>
            </w:r>
          </w:p>
        </w:tc>
      </w:tr>
      <w:tr w:rsidR="00E71057" w:rsidRPr="009042E1" w14:paraId="32B113F8" w14:textId="77777777" w:rsidTr="00EB1BD7">
        <w:trPr>
          <w:trHeight w:val="315"/>
        </w:trPr>
        <w:tc>
          <w:tcPr>
            <w:tcW w:w="553" w:type="pct"/>
            <w:shd w:val="clear" w:color="auto" w:fill="C6EFCE"/>
            <w:noWrap/>
            <w:vAlign w:val="center"/>
            <w:hideMark/>
          </w:tcPr>
          <w:p w14:paraId="5E93652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177</w:t>
            </w:r>
          </w:p>
        </w:tc>
        <w:tc>
          <w:tcPr>
            <w:tcW w:w="1861" w:type="pct"/>
            <w:shd w:val="clear" w:color="auto" w:fill="C6EFCE"/>
            <w:noWrap/>
            <w:vAlign w:val="center"/>
            <w:hideMark/>
          </w:tcPr>
          <w:p w14:paraId="579CA77E"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de l’accompagnement des demandeurs d’emploi en Wallonie (R-5.05)</w:t>
            </w:r>
          </w:p>
        </w:tc>
        <w:tc>
          <w:tcPr>
            <w:tcW w:w="361" w:type="pct"/>
            <w:shd w:val="clear" w:color="auto" w:fill="C6EFCE"/>
            <w:noWrap/>
            <w:vAlign w:val="center"/>
            <w:hideMark/>
          </w:tcPr>
          <w:p w14:paraId="2FD25F32"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349AD383"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de l’accompagnement des demandeurs d’emploi en Wallonie</w:t>
            </w:r>
          </w:p>
        </w:tc>
      </w:tr>
      <w:tr w:rsidR="00E71057" w:rsidRPr="009042E1" w14:paraId="204D2BE6" w14:textId="77777777" w:rsidTr="00EB1BD7">
        <w:trPr>
          <w:trHeight w:val="315"/>
        </w:trPr>
        <w:tc>
          <w:tcPr>
            <w:tcW w:w="553" w:type="pct"/>
            <w:shd w:val="clear" w:color="auto" w:fill="C6EFCE"/>
            <w:noWrap/>
            <w:vAlign w:val="center"/>
            <w:hideMark/>
          </w:tcPr>
          <w:p w14:paraId="4E57E09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196</w:t>
            </w:r>
          </w:p>
        </w:tc>
        <w:tc>
          <w:tcPr>
            <w:tcW w:w="1861" w:type="pct"/>
            <w:shd w:val="clear" w:color="auto" w:fill="C6EFCE"/>
            <w:noWrap/>
            <w:vAlign w:val="center"/>
            <w:hideMark/>
          </w:tcPr>
          <w:p w14:paraId="1C4FF658"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Gouvernance du circulaire en Flandre (R-5.09)</w:t>
            </w:r>
          </w:p>
        </w:tc>
        <w:tc>
          <w:tcPr>
            <w:tcW w:w="361" w:type="pct"/>
            <w:shd w:val="clear" w:color="auto" w:fill="C6EFCE"/>
            <w:noWrap/>
            <w:vAlign w:val="center"/>
            <w:hideMark/>
          </w:tcPr>
          <w:p w14:paraId="42AA609D"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1D494E4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Lancement du groupe directeur de la Flandre circulaire</w:t>
            </w:r>
          </w:p>
        </w:tc>
      </w:tr>
      <w:tr w:rsidR="00E71057" w:rsidRPr="009042E1" w14:paraId="5092B9C5" w14:textId="77777777" w:rsidTr="00EB1BD7">
        <w:trPr>
          <w:trHeight w:val="315"/>
        </w:trPr>
        <w:tc>
          <w:tcPr>
            <w:tcW w:w="553" w:type="pct"/>
            <w:shd w:val="clear" w:color="auto" w:fill="C6EFCE"/>
            <w:noWrap/>
            <w:vAlign w:val="center"/>
            <w:hideMark/>
          </w:tcPr>
          <w:p w14:paraId="4B99E72D"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205</w:t>
            </w:r>
          </w:p>
        </w:tc>
        <w:tc>
          <w:tcPr>
            <w:tcW w:w="1861" w:type="pct"/>
            <w:shd w:val="clear" w:color="auto" w:fill="C6EFCE"/>
            <w:noWrap/>
            <w:vAlign w:val="center"/>
            <w:hideMark/>
          </w:tcPr>
          <w:p w14:paraId="6A469445"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Revues des dépenses (R-6)</w:t>
            </w:r>
          </w:p>
        </w:tc>
        <w:tc>
          <w:tcPr>
            <w:tcW w:w="361" w:type="pct"/>
            <w:shd w:val="clear" w:color="auto" w:fill="C6EFCE"/>
            <w:noWrap/>
            <w:vAlign w:val="center"/>
            <w:hideMark/>
          </w:tcPr>
          <w:p w14:paraId="30B2FCA0"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5D924CA2"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 des dépenses pilote ou intégration dans le processus budgétaire (1)</w:t>
            </w:r>
          </w:p>
        </w:tc>
      </w:tr>
      <w:tr w:rsidR="00E71057" w:rsidRPr="009042E1" w14:paraId="61806F84" w14:textId="77777777" w:rsidTr="00EB1BD7">
        <w:trPr>
          <w:trHeight w:val="315"/>
        </w:trPr>
        <w:tc>
          <w:tcPr>
            <w:tcW w:w="553" w:type="pct"/>
            <w:shd w:val="clear" w:color="auto" w:fill="C6EFCE"/>
            <w:noWrap/>
            <w:vAlign w:val="center"/>
            <w:hideMark/>
          </w:tcPr>
          <w:p w14:paraId="27ED8905"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209</w:t>
            </w:r>
          </w:p>
        </w:tc>
        <w:tc>
          <w:tcPr>
            <w:tcW w:w="1861" w:type="pct"/>
            <w:shd w:val="clear" w:color="auto" w:fill="C6EFCE"/>
            <w:noWrap/>
            <w:vAlign w:val="center"/>
            <w:hideMark/>
          </w:tcPr>
          <w:p w14:paraId="5EAE3F1C"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361" w:type="pct"/>
            <w:shd w:val="clear" w:color="auto" w:fill="C6EFCE"/>
            <w:noWrap/>
            <w:vAlign w:val="center"/>
            <w:hideMark/>
          </w:tcPr>
          <w:p w14:paraId="5DB7FB26"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762AC2CF"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Système de référencement pour les contrôles et audits: informations permettant un suivi de la mise en œuvre de la FRR</w:t>
            </w:r>
          </w:p>
        </w:tc>
      </w:tr>
      <w:tr w:rsidR="00E71057" w:rsidRPr="009042E1" w14:paraId="4FD508F3" w14:textId="77777777" w:rsidTr="00EB1BD7">
        <w:trPr>
          <w:trHeight w:val="315"/>
        </w:trPr>
        <w:tc>
          <w:tcPr>
            <w:tcW w:w="553" w:type="pct"/>
            <w:shd w:val="clear" w:color="auto" w:fill="C6EFCE"/>
            <w:noWrap/>
            <w:vAlign w:val="center"/>
            <w:hideMark/>
          </w:tcPr>
          <w:p w14:paraId="1742FF96"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210</w:t>
            </w:r>
          </w:p>
        </w:tc>
        <w:tc>
          <w:tcPr>
            <w:tcW w:w="1861" w:type="pct"/>
            <w:shd w:val="clear" w:color="auto" w:fill="C6EFCE"/>
            <w:noWrap/>
            <w:vAlign w:val="center"/>
            <w:hideMark/>
          </w:tcPr>
          <w:p w14:paraId="0053CECD"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361" w:type="pct"/>
            <w:shd w:val="clear" w:color="auto" w:fill="C6EFCE"/>
            <w:noWrap/>
            <w:vAlign w:val="center"/>
            <w:hideMark/>
          </w:tcPr>
          <w:p w14:paraId="2A312F85"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3BF8B8C4"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Protection des intérêts financiers de l’UE</w:t>
            </w:r>
          </w:p>
        </w:tc>
      </w:tr>
      <w:tr w:rsidR="00E71057" w:rsidRPr="009042E1" w14:paraId="6A27C9D3" w14:textId="77777777" w:rsidTr="00EB1BD7">
        <w:trPr>
          <w:trHeight w:val="315"/>
        </w:trPr>
        <w:tc>
          <w:tcPr>
            <w:tcW w:w="553" w:type="pct"/>
            <w:shd w:val="clear" w:color="auto" w:fill="C6EFCE"/>
            <w:noWrap/>
            <w:vAlign w:val="center"/>
          </w:tcPr>
          <w:p w14:paraId="3AC532A3"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IE"/>
              </w:rPr>
            </w:pPr>
          </w:p>
        </w:tc>
        <w:tc>
          <w:tcPr>
            <w:tcW w:w="2222" w:type="pct"/>
            <w:gridSpan w:val="2"/>
            <w:shd w:val="clear" w:color="auto" w:fill="C6EFCE"/>
            <w:noWrap/>
            <w:vAlign w:val="center"/>
          </w:tcPr>
          <w:p w14:paraId="3A346152" w14:textId="77777777" w:rsidR="000D1388" w:rsidRPr="009042E1"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225" w:type="pct"/>
            <w:shd w:val="clear" w:color="auto" w:fill="C6EFCE"/>
            <w:noWrap/>
            <w:vAlign w:val="center"/>
          </w:tcPr>
          <w:p w14:paraId="068652EC"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942 962 800EUR</w:t>
            </w:r>
          </w:p>
        </w:tc>
      </w:tr>
    </w:tbl>
    <w:p w14:paraId="1376964C" w14:textId="77777777" w:rsidR="000D1388" w:rsidRPr="009D65D8" w:rsidRDefault="000D1388" w:rsidP="00E71057">
      <w:pPr>
        <w:rPr>
          <w:rFonts w:ascii="Times New Roman" w:eastAsia="Calibri" w:hAnsi="Times New Roman" w:cs="Times New Roman"/>
          <w:noProof/>
          <w:lang w:val="en-GB"/>
        </w:rPr>
      </w:pPr>
    </w:p>
    <w:p w14:paraId="477091A3" w14:textId="77777777" w:rsidR="000D1388" w:rsidRPr="009D65D8" w:rsidRDefault="00E71057" w:rsidP="00F70F65">
      <w:pPr>
        <w:numPr>
          <w:ilvl w:val="0"/>
          <w:numId w:val="67"/>
        </w:numPr>
        <w:tabs>
          <w:tab w:val="clear" w:pos="850"/>
        </w:tabs>
        <w:spacing w:before="120" w:after="120" w:line="240" w:lineRule="auto"/>
        <w:jc w:val="both"/>
        <w:rPr>
          <w:rFonts w:ascii="Times New Roman" w:eastAsia="Calibri" w:hAnsi="Times New Roman" w:cs="Times New Roman"/>
          <w:noProof/>
          <w:sz w:val="24"/>
        </w:rPr>
      </w:pPr>
      <w:bookmarkStart w:id="19" w:name="_Hlk148369159"/>
      <w:r>
        <w:rPr>
          <w:rFonts w:ascii="Times New Roman" w:hAnsi="Times New Roman"/>
          <w:noProof/>
          <w:sz w:val="24"/>
        </w:rPr>
        <w:t>Deuxième tranche (soutien non remboursable):</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1128"/>
        <w:gridCol w:w="3799"/>
        <w:gridCol w:w="737"/>
        <w:gridCol w:w="4542"/>
      </w:tblGrid>
      <w:tr w:rsidR="00E71057" w:rsidRPr="009042E1" w14:paraId="16A61CAE" w14:textId="77777777" w:rsidTr="00EB1BD7">
        <w:trPr>
          <w:trHeight w:val="300"/>
          <w:tblHeader/>
        </w:trPr>
        <w:tc>
          <w:tcPr>
            <w:tcW w:w="553" w:type="pct"/>
            <w:shd w:val="clear" w:color="auto" w:fill="BDD7EE"/>
            <w:noWrap/>
            <w:vAlign w:val="bottom"/>
            <w:hideMark/>
          </w:tcPr>
          <w:bookmarkEnd w:id="19"/>
          <w:p w14:paraId="4490049D"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1861" w:type="pct"/>
            <w:shd w:val="clear" w:color="auto" w:fill="BDD7EE"/>
            <w:noWrap/>
            <w:vAlign w:val="bottom"/>
            <w:hideMark/>
          </w:tcPr>
          <w:p w14:paraId="640DD22D"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361" w:type="pct"/>
            <w:shd w:val="clear" w:color="auto" w:fill="BDD7EE"/>
            <w:noWrap/>
            <w:vAlign w:val="bottom"/>
            <w:hideMark/>
          </w:tcPr>
          <w:p w14:paraId="0144EBB5"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225" w:type="pct"/>
            <w:shd w:val="clear" w:color="auto" w:fill="BDD7EE"/>
            <w:noWrap/>
            <w:vAlign w:val="bottom"/>
            <w:hideMark/>
          </w:tcPr>
          <w:p w14:paraId="4C132CAF" w14:textId="77777777" w:rsidR="000D1388" w:rsidRPr="009042E1"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E71057" w:rsidRPr="009042E1" w14:paraId="1F9175ED" w14:textId="77777777" w:rsidTr="00EB1BD7">
        <w:trPr>
          <w:trHeight w:val="315"/>
        </w:trPr>
        <w:tc>
          <w:tcPr>
            <w:tcW w:w="553" w:type="pct"/>
            <w:shd w:val="clear" w:color="auto" w:fill="C6EFCE"/>
            <w:noWrap/>
            <w:vAlign w:val="center"/>
            <w:hideMark/>
          </w:tcPr>
          <w:p w14:paraId="7DA6FBC0"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w:t>
            </w:r>
          </w:p>
        </w:tc>
        <w:tc>
          <w:tcPr>
            <w:tcW w:w="1861" w:type="pct"/>
            <w:shd w:val="clear" w:color="auto" w:fill="C6EFCE"/>
            <w:noWrap/>
            <w:vAlign w:val="center"/>
            <w:hideMark/>
          </w:tcPr>
          <w:p w14:paraId="0A14EBF7"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 (R-1.01)</w:t>
            </w:r>
          </w:p>
        </w:tc>
        <w:tc>
          <w:tcPr>
            <w:tcW w:w="361" w:type="pct"/>
            <w:shd w:val="clear" w:color="auto" w:fill="C6EFCE"/>
            <w:noWrap/>
            <w:vAlign w:val="center"/>
            <w:hideMark/>
          </w:tcPr>
          <w:p w14:paraId="5FAD15E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E2E4172"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Régimes améliorés de subventions énergétiques en Flandre</w:t>
            </w:r>
          </w:p>
        </w:tc>
      </w:tr>
      <w:tr w:rsidR="00E71057" w:rsidRPr="009042E1" w14:paraId="083EA724" w14:textId="77777777" w:rsidTr="00EB1BD7">
        <w:trPr>
          <w:trHeight w:val="315"/>
        </w:trPr>
        <w:tc>
          <w:tcPr>
            <w:tcW w:w="553" w:type="pct"/>
            <w:shd w:val="clear" w:color="auto" w:fill="C6EFCE"/>
            <w:noWrap/>
            <w:vAlign w:val="center"/>
            <w:hideMark/>
          </w:tcPr>
          <w:p w14:paraId="2A65D1D3"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w:t>
            </w:r>
          </w:p>
        </w:tc>
        <w:tc>
          <w:tcPr>
            <w:tcW w:w="1861" w:type="pct"/>
            <w:shd w:val="clear" w:color="auto" w:fill="C6EFCE"/>
            <w:noWrap/>
            <w:vAlign w:val="center"/>
            <w:hideMark/>
          </w:tcPr>
          <w:p w14:paraId="1F2F657E"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 (R-1.02)</w:t>
            </w:r>
          </w:p>
        </w:tc>
        <w:tc>
          <w:tcPr>
            <w:tcW w:w="361" w:type="pct"/>
            <w:shd w:val="clear" w:color="auto" w:fill="C6EFCE"/>
            <w:noWrap/>
            <w:vAlign w:val="center"/>
            <w:hideMark/>
          </w:tcPr>
          <w:p w14:paraId="78556471"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7EFB42CD"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nouveau règlement sur les régimes de subventions énergétiques à Bruxelles</w:t>
            </w:r>
          </w:p>
        </w:tc>
      </w:tr>
      <w:tr w:rsidR="00E71057" w:rsidRPr="009042E1" w14:paraId="6253E2D0" w14:textId="77777777" w:rsidTr="00EB1BD7">
        <w:trPr>
          <w:trHeight w:val="315"/>
        </w:trPr>
        <w:tc>
          <w:tcPr>
            <w:tcW w:w="553" w:type="pct"/>
            <w:shd w:val="clear" w:color="auto" w:fill="C6EFCE"/>
            <w:noWrap/>
            <w:vAlign w:val="center"/>
            <w:hideMark/>
          </w:tcPr>
          <w:p w14:paraId="669EBC82"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w:t>
            </w:r>
          </w:p>
        </w:tc>
        <w:tc>
          <w:tcPr>
            <w:tcW w:w="1861" w:type="pct"/>
            <w:shd w:val="clear" w:color="auto" w:fill="C6EFCE"/>
            <w:noWrap/>
            <w:vAlign w:val="center"/>
            <w:hideMark/>
          </w:tcPr>
          <w:p w14:paraId="72B2BC69"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Communauté germanophone (R-1.03)</w:t>
            </w:r>
          </w:p>
        </w:tc>
        <w:tc>
          <w:tcPr>
            <w:tcW w:w="361" w:type="pct"/>
            <w:shd w:val="clear" w:color="auto" w:fill="C6EFCE"/>
            <w:noWrap/>
            <w:vAlign w:val="center"/>
            <w:hideMark/>
          </w:tcPr>
          <w:p w14:paraId="4DF30BA5"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0128A65"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nouveau règlement sur les régimes de subventions énergétiques en Communauté germanophone</w:t>
            </w:r>
          </w:p>
        </w:tc>
      </w:tr>
      <w:tr w:rsidR="00E71057" w:rsidRPr="009042E1" w14:paraId="65FAD161" w14:textId="77777777" w:rsidTr="00EB1BD7">
        <w:trPr>
          <w:trHeight w:val="315"/>
        </w:trPr>
        <w:tc>
          <w:tcPr>
            <w:tcW w:w="553" w:type="pct"/>
            <w:shd w:val="clear" w:color="auto" w:fill="C6EFCE"/>
            <w:noWrap/>
            <w:vAlign w:val="center"/>
            <w:hideMark/>
          </w:tcPr>
          <w:p w14:paraId="47312027"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w:t>
            </w:r>
          </w:p>
        </w:tc>
        <w:tc>
          <w:tcPr>
            <w:tcW w:w="1861" w:type="pct"/>
            <w:shd w:val="clear" w:color="auto" w:fill="C6EFCE"/>
            <w:noWrap/>
            <w:vAlign w:val="center"/>
            <w:hideMark/>
          </w:tcPr>
          <w:p w14:paraId="42AB506F"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des bâtiments publics (I-1.08)</w:t>
            </w:r>
          </w:p>
        </w:tc>
        <w:tc>
          <w:tcPr>
            <w:tcW w:w="361" w:type="pct"/>
            <w:shd w:val="clear" w:color="auto" w:fill="C6EFCE"/>
            <w:noWrap/>
            <w:vAlign w:val="center"/>
            <w:hideMark/>
          </w:tcPr>
          <w:p w14:paraId="41398B1D"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579ABABD"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Adaptation de l’Ordonnance électricité pour mettre en place un guichet unique pour la rénovation</w:t>
            </w:r>
          </w:p>
        </w:tc>
      </w:tr>
      <w:tr w:rsidR="00E71057" w:rsidRPr="009042E1" w14:paraId="2A0E2E01" w14:textId="77777777" w:rsidTr="00EB1BD7">
        <w:trPr>
          <w:trHeight w:val="315"/>
        </w:trPr>
        <w:tc>
          <w:tcPr>
            <w:tcW w:w="553" w:type="pct"/>
            <w:shd w:val="clear" w:color="auto" w:fill="C6EFCE"/>
            <w:noWrap/>
            <w:vAlign w:val="center"/>
            <w:hideMark/>
          </w:tcPr>
          <w:p w14:paraId="623F6594"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w:t>
            </w:r>
          </w:p>
        </w:tc>
        <w:tc>
          <w:tcPr>
            <w:tcW w:w="1861" w:type="pct"/>
            <w:shd w:val="clear" w:color="auto" w:fill="C6EFCE"/>
            <w:noWrap/>
            <w:vAlign w:val="center"/>
            <w:hideMark/>
          </w:tcPr>
          <w:p w14:paraId="3528DBD2"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(I-1.15)</w:t>
            </w:r>
          </w:p>
        </w:tc>
        <w:tc>
          <w:tcPr>
            <w:tcW w:w="361" w:type="pct"/>
            <w:shd w:val="clear" w:color="auto" w:fill="C6EFCE"/>
            <w:noWrap/>
            <w:vAlign w:val="center"/>
            <w:hideMark/>
          </w:tcPr>
          <w:p w14:paraId="7B85E732"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5B03562F"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dans le cadre de l’appel à projets</w:t>
            </w:r>
          </w:p>
        </w:tc>
      </w:tr>
      <w:tr w:rsidR="00E71057" w:rsidRPr="009042E1" w14:paraId="1C8737AF" w14:textId="77777777" w:rsidTr="00EB1BD7">
        <w:trPr>
          <w:trHeight w:val="315"/>
        </w:trPr>
        <w:tc>
          <w:tcPr>
            <w:tcW w:w="553" w:type="pct"/>
            <w:shd w:val="clear" w:color="auto" w:fill="C6EFCE"/>
            <w:noWrap/>
            <w:vAlign w:val="center"/>
            <w:hideMark/>
          </w:tcPr>
          <w:p w14:paraId="7D07A989"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w:t>
            </w:r>
          </w:p>
        </w:tc>
        <w:tc>
          <w:tcPr>
            <w:tcW w:w="1861" w:type="pct"/>
            <w:shd w:val="clear" w:color="auto" w:fill="C6EFCE"/>
            <w:noWrap/>
            <w:vAlign w:val="center"/>
            <w:hideMark/>
          </w:tcPr>
          <w:p w14:paraId="29FFF06C"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(I-1.16)</w:t>
            </w:r>
          </w:p>
        </w:tc>
        <w:tc>
          <w:tcPr>
            <w:tcW w:w="361" w:type="pct"/>
            <w:shd w:val="clear" w:color="auto" w:fill="C6EFCE"/>
            <w:noWrap/>
            <w:vAlign w:val="center"/>
            <w:hideMark/>
          </w:tcPr>
          <w:p w14:paraId="5AB71841"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3D2A5838"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PIIEC sur l’hydrogène</w:t>
            </w:r>
          </w:p>
        </w:tc>
      </w:tr>
      <w:tr w:rsidR="00E71057" w:rsidRPr="009042E1" w14:paraId="7D42DCA4" w14:textId="77777777" w:rsidTr="00EB1BD7">
        <w:trPr>
          <w:trHeight w:val="315"/>
        </w:trPr>
        <w:tc>
          <w:tcPr>
            <w:tcW w:w="553" w:type="pct"/>
            <w:shd w:val="clear" w:color="auto" w:fill="C6EFCE"/>
            <w:noWrap/>
            <w:vAlign w:val="center"/>
            <w:hideMark/>
          </w:tcPr>
          <w:p w14:paraId="0A6FF82A"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w:t>
            </w:r>
          </w:p>
        </w:tc>
        <w:tc>
          <w:tcPr>
            <w:tcW w:w="1861" w:type="pct"/>
            <w:shd w:val="clear" w:color="auto" w:fill="C6EFCE"/>
            <w:noWrap/>
            <w:vAlign w:val="center"/>
            <w:hideMark/>
          </w:tcPr>
          <w:p w14:paraId="04901098"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(I-1.16)</w:t>
            </w:r>
          </w:p>
        </w:tc>
        <w:tc>
          <w:tcPr>
            <w:tcW w:w="361" w:type="pct"/>
            <w:shd w:val="clear" w:color="auto" w:fill="C6EFCE"/>
            <w:noWrap/>
            <w:vAlign w:val="center"/>
            <w:hideMark/>
          </w:tcPr>
          <w:p w14:paraId="25D94693"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1B754774"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projets hors PIIEC sur l’hydrogène</w:t>
            </w:r>
          </w:p>
        </w:tc>
      </w:tr>
      <w:tr w:rsidR="00E71057" w:rsidRPr="009042E1" w14:paraId="40BE6571" w14:textId="77777777" w:rsidTr="00EB1BD7">
        <w:trPr>
          <w:trHeight w:val="315"/>
        </w:trPr>
        <w:tc>
          <w:tcPr>
            <w:tcW w:w="553" w:type="pct"/>
            <w:shd w:val="clear" w:color="auto" w:fill="C6EFCE"/>
            <w:noWrap/>
            <w:vAlign w:val="center"/>
            <w:hideMark/>
          </w:tcPr>
          <w:p w14:paraId="091785EE"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w:t>
            </w:r>
          </w:p>
        </w:tc>
        <w:tc>
          <w:tcPr>
            <w:tcW w:w="1861" w:type="pct"/>
            <w:shd w:val="clear" w:color="auto" w:fill="C6EFCE"/>
            <w:noWrap/>
            <w:vAlign w:val="center"/>
            <w:hideMark/>
          </w:tcPr>
          <w:p w14:paraId="6679A2CC"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(I-1.17)</w:t>
            </w:r>
          </w:p>
        </w:tc>
        <w:tc>
          <w:tcPr>
            <w:tcW w:w="361" w:type="pct"/>
            <w:shd w:val="clear" w:color="auto" w:fill="C6EFCE"/>
            <w:noWrap/>
            <w:vAlign w:val="center"/>
            <w:hideMark/>
          </w:tcPr>
          <w:p w14:paraId="636753CF"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E071507"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PIIEC sur l’hydrogène</w:t>
            </w:r>
          </w:p>
        </w:tc>
      </w:tr>
      <w:tr w:rsidR="00E71057" w:rsidRPr="009042E1" w14:paraId="02D2DE1E" w14:textId="77777777" w:rsidTr="00EB1BD7">
        <w:trPr>
          <w:trHeight w:val="315"/>
        </w:trPr>
        <w:tc>
          <w:tcPr>
            <w:tcW w:w="553" w:type="pct"/>
            <w:shd w:val="clear" w:color="auto" w:fill="C6EFCE"/>
            <w:noWrap/>
            <w:vAlign w:val="center"/>
            <w:hideMark/>
          </w:tcPr>
          <w:p w14:paraId="634666DB"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27</w:t>
            </w:r>
          </w:p>
        </w:tc>
        <w:tc>
          <w:tcPr>
            <w:tcW w:w="1861" w:type="pct"/>
            <w:shd w:val="clear" w:color="auto" w:fill="C6EFCE"/>
            <w:noWrap/>
            <w:vAlign w:val="center"/>
            <w:hideMark/>
          </w:tcPr>
          <w:p w14:paraId="1EE4D25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Développer l’industrie à faible émission de carbone (I-1.18)</w:t>
            </w:r>
          </w:p>
        </w:tc>
        <w:tc>
          <w:tcPr>
            <w:tcW w:w="361" w:type="pct"/>
            <w:shd w:val="clear" w:color="auto" w:fill="C6EFCE"/>
            <w:noWrap/>
            <w:vAlign w:val="center"/>
            <w:hideMark/>
          </w:tcPr>
          <w:p w14:paraId="4B6684A9"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36FC298D"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w:t>
            </w:r>
          </w:p>
        </w:tc>
      </w:tr>
      <w:tr w:rsidR="00E71057" w:rsidRPr="009042E1" w14:paraId="160F54B0" w14:textId="77777777" w:rsidTr="00EB1BD7">
        <w:trPr>
          <w:trHeight w:val="315"/>
        </w:trPr>
        <w:tc>
          <w:tcPr>
            <w:tcW w:w="553" w:type="pct"/>
            <w:shd w:val="clear" w:color="auto" w:fill="C6EFCE"/>
            <w:noWrap/>
            <w:vAlign w:val="center"/>
            <w:hideMark/>
          </w:tcPr>
          <w:p w14:paraId="6E9FDAD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45</w:t>
            </w:r>
          </w:p>
        </w:tc>
        <w:tc>
          <w:tcPr>
            <w:tcW w:w="1861" w:type="pct"/>
            <w:shd w:val="clear" w:color="auto" w:fill="C6EFCE"/>
            <w:noWrap/>
            <w:vAlign w:val="center"/>
            <w:hideMark/>
          </w:tcPr>
          <w:p w14:paraId="059B8849"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Société numérique cybersécurisée et résiliente (I-2.01)</w:t>
            </w:r>
          </w:p>
        </w:tc>
        <w:tc>
          <w:tcPr>
            <w:tcW w:w="361" w:type="pct"/>
            <w:shd w:val="clear" w:color="auto" w:fill="C6EFCE"/>
            <w:noWrap/>
            <w:vAlign w:val="center"/>
            <w:hideMark/>
          </w:tcPr>
          <w:p w14:paraId="3AC80DA5"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27C04477"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Lancement de la première campagne de sensibilisation à la cybersécurité</w:t>
            </w:r>
          </w:p>
        </w:tc>
      </w:tr>
      <w:tr w:rsidR="00E71057" w:rsidRPr="009042E1" w14:paraId="31E5B6A2" w14:textId="77777777" w:rsidTr="00EB1BD7">
        <w:trPr>
          <w:trHeight w:val="315"/>
        </w:trPr>
        <w:tc>
          <w:tcPr>
            <w:tcW w:w="553" w:type="pct"/>
            <w:shd w:val="clear" w:color="auto" w:fill="C6EFCE"/>
            <w:noWrap/>
            <w:vAlign w:val="center"/>
            <w:hideMark/>
          </w:tcPr>
          <w:p w14:paraId="6530940A"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54</w:t>
            </w:r>
          </w:p>
        </w:tc>
        <w:tc>
          <w:tcPr>
            <w:tcW w:w="1861" w:type="pct"/>
            <w:shd w:val="clear" w:color="auto" w:fill="C6EFCE"/>
            <w:noWrap/>
            <w:vAlign w:val="center"/>
            <w:hideMark/>
          </w:tcPr>
          <w:p w14:paraId="13AC3501"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361" w:type="pct"/>
            <w:shd w:val="clear" w:color="auto" w:fill="C6EFCE"/>
            <w:noWrap/>
            <w:vAlign w:val="center"/>
            <w:hideMark/>
          </w:tcPr>
          <w:p w14:paraId="507A1405"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765EE78B"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Les exigences sont définies </w:t>
            </w:r>
          </w:p>
        </w:tc>
      </w:tr>
      <w:tr w:rsidR="00E71057" w:rsidRPr="009042E1" w14:paraId="5B6BF0C7" w14:textId="77777777" w:rsidTr="00EB1BD7">
        <w:trPr>
          <w:trHeight w:val="315"/>
        </w:trPr>
        <w:tc>
          <w:tcPr>
            <w:tcW w:w="553" w:type="pct"/>
            <w:shd w:val="clear" w:color="auto" w:fill="C6EFCE"/>
            <w:noWrap/>
            <w:vAlign w:val="center"/>
            <w:hideMark/>
          </w:tcPr>
          <w:p w14:paraId="549C377F"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57</w:t>
            </w:r>
          </w:p>
        </w:tc>
        <w:tc>
          <w:tcPr>
            <w:tcW w:w="1861" w:type="pct"/>
            <w:shd w:val="clear" w:color="auto" w:fill="C6EFCE"/>
            <w:noWrap/>
            <w:vAlign w:val="center"/>
            <w:hideMark/>
          </w:tcPr>
          <w:p w14:paraId="0809EA64"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361" w:type="pct"/>
            <w:shd w:val="clear" w:color="auto" w:fill="C6EFCE"/>
            <w:noWrap/>
            <w:vAlign w:val="center"/>
            <w:hideMark/>
          </w:tcPr>
          <w:p w14:paraId="7F71BD57"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4979A997"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 portail en ligne Just-On-Web</w:t>
            </w:r>
          </w:p>
        </w:tc>
      </w:tr>
      <w:tr w:rsidR="00E71057" w:rsidRPr="009042E1" w14:paraId="70905B76" w14:textId="77777777" w:rsidTr="00EB1BD7">
        <w:trPr>
          <w:trHeight w:val="315"/>
        </w:trPr>
        <w:tc>
          <w:tcPr>
            <w:tcW w:w="553" w:type="pct"/>
            <w:shd w:val="clear" w:color="auto" w:fill="C6EFCE"/>
            <w:noWrap/>
            <w:vAlign w:val="center"/>
            <w:hideMark/>
          </w:tcPr>
          <w:p w14:paraId="5700E3D9"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62</w:t>
            </w:r>
          </w:p>
        </w:tc>
        <w:tc>
          <w:tcPr>
            <w:tcW w:w="1861" w:type="pct"/>
            <w:shd w:val="clear" w:color="auto" w:fill="C6EFCE"/>
            <w:noWrap/>
            <w:vAlign w:val="center"/>
            <w:hideMark/>
          </w:tcPr>
          <w:p w14:paraId="5831E8B4" w14:textId="77777777" w:rsidR="000D1388" w:rsidRPr="00746A1A" w:rsidRDefault="00E71057">
            <w:pPr>
              <w:spacing w:after="0"/>
              <w:rPr>
                <w:rFonts w:ascii="Times New Roman" w:eastAsia="Times New Roman" w:hAnsi="Times New Roman" w:cs="Times New Roman"/>
                <w:noProof/>
                <w:color w:val="006100"/>
                <w:sz w:val="20"/>
                <w:szCs w:val="20"/>
                <w:lang w:val="en-IE"/>
              </w:rPr>
            </w:pPr>
            <w:r w:rsidRPr="00746A1A">
              <w:rPr>
                <w:rFonts w:ascii="Times New Roman" w:hAnsi="Times New Roman"/>
                <w:noProof/>
                <w:color w:val="006100"/>
                <w:sz w:val="20"/>
                <w:lang w:val="en-IE"/>
              </w:rPr>
              <w:t>eHealth Services and Health Data (I-2.06)</w:t>
            </w:r>
          </w:p>
        </w:tc>
        <w:tc>
          <w:tcPr>
            <w:tcW w:w="361" w:type="pct"/>
            <w:shd w:val="clear" w:color="auto" w:fill="C6EFCE"/>
            <w:noWrap/>
            <w:vAlign w:val="center"/>
            <w:hideMark/>
          </w:tcPr>
          <w:p w14:paraId="0DB91850"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10E65D27"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 établissant la Health Data Authority</w:t>
            </w:r>
          </w:p>
        </w:tc>
      </w:tr>
      <w:tr w:rsidR="00E71057" w:rsidRPr="009042E1" w14:paraId="2C360057" w14:textId="77777777" w:rsidTr="00EB1BD7">
        <w:trPr>
          <w:trHeight w:val="315"/>
        </w:trPr>
        <w:tc>
          <w:tcPr>
            <w:tcW w:w="553" w:type="pct"/>
            <w:shd w:val="clear" w:color="auto" w:fill="C6EFCE"/>
            <w:noWrap/>
            <w:vAlign w:val="center"/>
            <w:hideMark/>
          </w:tcPr>
          <w:p w14:paraId="6D11A3D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63</w:t>
            </w:r>
          </w:p>
        </w:tc>
        <w:tc>
          <w:tcPr>
            <w:tcW w:w="1861" w:type="pct"/>
            <w:shd w:val="clear" w:color="auto" w:fill="C6EFCE"/>
            <w:noWrap/>
            <w:vAlign w:val="center"/>
            <w:hideMark/>
          </w:tcPr>
          <w:p w14:paraId="58C7778C" w14:textId="77777777" w:rsidR="000D1388" w:rsidRPr="00746A1A" w:rsidRDefault="00E71057">
            <w:pPr>
              <w:spacing w:after="0"/>
              <w:rPr>
                <w:rFonts w:ascii="Times New Roman" w:eastAsia="Times New Roman" w:hAnsi="Times New Roman" w:cs="Times New Roman"/>
                <w:noProof/>
                <w:color w:val="006100"/>
                <w:sz w:val="20"/>
                <w:szCs w:val="20"/>
                <w:lang w:val="en-IE"/>
              </w:rPr>
            </w:pPr>
            <w:r w:rsidRPr="00746A1A">
              <w:rPr>
                <w:rFonts w:ascii="Times New Roman" w:hAnsi="Times New Roman"/>
                <w:noProof/>
                <w:color w:val="006100"/>
                <w:sz w:val="20"/>
                <w:lang w:val="en-IE"/>
              </w:rPr>
              <w:t>eHealth Services and Health Data (I-2.06)</w:t>
            </w:r>
          </w:p>
        </w:tc>
        <w:tc>
          <w:tcPr>
            <w:tcW w:w="361" w:type="pct"/>
            <w:shd w:val="clear" w:color="auto" w:fill="C6EFCE"/>
            <w:noWrap/>
            <w:vAlign w:val="center"/>
            <w:hideMark/>
          </w:tcPr>
          <w:p w14:paraId="77422D3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40CDA4BF"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Exigences pour les sous-projets</w:t>
            </w:r>
          </w:p>
        </w:tc>
      </w:tr>
      <w:tr w:rsidR="00E71057" w:rsidRPr="009042E1" w14:paraId="0FD3D7CC" w14:textId="77777777" w:rsidTr="00EB1BD7">
        <w:trPr>
          <w:trHeight w:val="315"/>
        </w:trPr>
        <w:tc>
          <w:tcPr>
            <w:tcW w:w="553" w:type="pct"/>
            <w:shd w:val="clear" w:color="auto" w:fill="C6EFCE"/>
            <w:noWrap/>
            <w:vAlign w:val="center"/>
            <w:hideMark/>
          </w:tcPr>
          <w:p w14:paraId="2EB7D1FD"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68</w:t>
            </w:r>
          </w:p>
        </w:tc>
        <w:tc>
          <w:tcPr>
            <w:tcW w:w="1861" w:type="pct"/>
            <w:shd w:val="clear" w:color="auto" w:fill="C6EFCE"/>
            <w:noWrap/>
            <w:vAlign w:val="center"/>
            <w:hideMark/>
          </w:tcPr>
          <w:p w14:paraId="5CFF9C38"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gouvernement flamand (I-2.09)</w:t>
            </w:r>
          </w:p>
        </w:tc>
        <w:tc>
          <w:tcPr>
            <w:tcW w:w="361" w:type="pct"/>
            <w:shd w:val="clear" w:color="auto" w:fill="C6EFCE"/>
            <w:noWrap/>
            <w:vAlign w:val="center"/>
            <w:hideMark/>
          </w:tcPr>
          <w:p w14:paraId="5518EADB"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37F6BD95"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Approbation du soutien à 11 projets</w:t>
            </w:r>
          </w:p>
        </w:tc>
      </w:tr>
      <w:tr w:rsidR="00E71057" w:rsidRPr="009042E1" w14:paraId="474CF892" w14:textId="77777777" w:rsidTr="00EB1BD7">
        <w:trPr>
          <w:trHeight w:val="315"/>
        </w:trPr>
        <w:tc>
          <w:tcPr>
            <w:tcW w:w="553" w:type="pct"/>
            <w:shd w:val="clear" w:color="auto" w:fill="C6EFCE"/>
            <w:noWrap/>
            <w:vAlign w:val="center"/>
            <w:hideMark/>
          </w:tcPr>
          <w:p w14:paraId="4D0A585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78</w:t>
            </w:r>
          </w:p>
        </w:tc>
        <w:tc>
          <w:tcPr>
            <w:tcW w:w="1861" w:type="pct"/>
            <w:shd w:val="clear" w:color="auto" w:fill="C6EFCE"/>
            <w:noWrap/>
            <w:vAlign w:val="center"/>
            <w:hideMark/>
          </w:tcPr>
          <w:p w14:paraId="20EBFA64"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E-gouvernement: Procédure d’appel d’offres (R-2.02)</w:t>
            </w:r>
          </w:p>
        </w:tc>
        <w:tc>
          <w:tcPr>
            <w:tcW w:w="361" w:type="pct"/>
            <w:shd w:val="clear" w:color="auto" w:fill="C6EFCE"/>
            <w:noWrap/>
            <w:vAlign w:val="center"/>
            <w:hideMark/>
          </w:tcPr>
          <w:p w14:paraId="17F1A0AD"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2BADD83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d’un nouveau contexte réglementaire</w:t>
            </w:r>
          </w:p>
        </w:tc>
      </w:tr>
      <w:tr w:rsidR="00E71057" w:rsidRPr="009042E1" w14:paraId="7851FB75" w14:textId="77777777" w:rsidTr="00EB1BD7">
        <w:trPr>
          <w:trHeight w:val="315"/>
        </w:trPr>
        <w:tc>
          <w:tcPr>
            <w:tcW w:w="553" w:type="pct"/>
            <w:shd w:val="clear" w:color="auto" w:fill="C6EFCE"/>
            <w:noWrap/>
            <w:vAlign w:val="center"/>
            <w:hideMark/>
          </w:tcPr>
          <w:p w14:paraId="6EE8C829"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81</w:t>
            </w:r>
          </w:p>
        </w:tc>
        <w:tc>
          <w:tcPr>
            <w:tcW w:w="1861" w:type="pct"/>
            <w:shd w:val="clear" w:color="auto" w:fill="C6EFCE"/>
            <w:noWrap/>
            <w:vAlign w:val="center"/>
            <w:hideMark/>
          </w:tcPr>
          <w:p w14:paraId="7353C5E7"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d’un institut d’IA afin d’utiliser cette technologie pour répondre aux défis sociétaux (I-2.14)</w:t>
            </w:r>
          </w:p>
        </w:tc>
        <w:tc>
          <w:tcPr>
            <w:tcW w:w="361" w:type="pct"/>
            <w:shd w:val="clear" w:color="auto" w:fill="C6EFCE"/>
            <w:noWrap/>
            <w:vAlign w:val="center"/>
            <w:hideMark/>
          </w:tcPr>
          <w:p w14:paraId="6FDC163E"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94E34F1"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projets pilotes par l’Institut d’IA pour le bien commun</w:t>
            </w:r>
          </w:p>
        </w:tc>
      </w:tr>
      <w:tr w:rsidR="00E71057" w:rsidRPr="009042E1" w14:paraId="601066D5" w14:textId="77777777" w:rsidTr="00EB1BD7">
        <w:trPr>
          <w:trHeight w:val="315"/>
        </w:trPr>
        <w:tc>
          <w:tcPr>
            <w:tcW w:w="553" w:type="pct"/>
            <w:shd w:val="clear" w:color="auto" w:fill="C6EFCE"/>
            <w:noWrap/>
            <w:vAlign w:val="center"/>
            <w:hideMark/>
          </w:tcPr>
          <w:p w14:paraId="7C28A5A5"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91</w:t>
            </w:r>
          </w:p>
        </w:tc>
        <w:tc>
          <w:tcPr>
            <w:tcW w:w="1861" w:type="pct"/>
            <w:shd w:val="clear" w:color="auto" w:fill="C6EFCE"/>
            <w:noWrap/>
            <w:vAlign w:val="center"/>
            <w:hideMark/>
          </w:tcPr>
          <w:p w14:paraId="3E67ABBE"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361" w:type="pct"/>
            <w:shd w:val="clear" w:color="auto" w:fill="C6EFCE"/>
            <w:noWrap/>
            <w:vAlign w:val="center"/>
            <w:hideMark/>
          </w:tcPr>
          <w:p w14:paraId="2A347B2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3A656CEC"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Enchères de la 5G</w:t>
            </w:r>
          </w:p>
        </w:tc>
      </w:tr>
      <w:tr w:rsidR="00E71057" w:rsidRPr="009042E1" w14:paraId="1CBEE3E5" w14:textId="77777777" w:rsidTr="00EB1BD7">
        <w:trPr>
          <w:trHeight w:val="315"/>
        </w:trPr>
        <w:tc>
          <w:tcPr>
            <w:tcW w:w="553" w:type="pct"/>
            <w:shd w:val="clear" w:color="auto" w:fill="C6EFCE"/>
            <w:noWrap/>
            <w:vAlign w:val="center"/>
            <w:hideMark/>
          </w:tcPr>
          <w:p w14:paraId="7045F60F"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92</w:t>
            </w:r>
          </w:p>
        </w:tc>
        <w:tc>
          <w:tcPr>
            <w:tcW w:w="1861" w:type="pct"/>
            <w:shd w:val="clear" w:color="auto" w:fill="C6EFCE"/>
            <w:noWrap/>
            <w:vAlign w:val="center"/>
            <w:hideMark/>
          </w:tcPr>
          <w:p w14:paraId="46FD80E1"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361" w:type="pct"/>
            <w:shd w:val="clear" w:color="auto" w:fill="C6EFCE"/>
            <w:noWrap/>
            <w:vAlign w:val="center"/>
            <w:hideMark/>
          </w:tcPr>
          <w:p w14:paraId="06461314"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4956A9D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œuvre de la boîte à outils pour la connectivité</w:t>
            </w:r>
          </w:p>
        </w:tc>
      </w:tr>
      <w:tr w:rsidR="00E71057" w:rsidRPr="009042E1" w14:paraId="5855CD02" w14:textId="77777777" w:rsidTr="00EB1BD7">
        <w:trPr>
          <w:trHeight w:val="315"/>
        </w:trPr>
        <w:tc>
          <w:tcPr>
            <w:tcW w:w="553" w:type="pct"/>
            <w:shd w:val="clear" w:color="auto" w:fill="C6EFCE"/>
            <w:noWrap/>
            <w:vAlign w:val="center"/>
            <w:hideMark/>
          </w:tcPr>
          <w:p w14:paraId="6239778B"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93</w:t>
            </w:r>
          </w:p>
        </w:tc>
        <w:tc>
          <w:tcPr>
            <w:tcW w:w="1861" w:type="pct"/>
            <w:shd w:val="clear" w:color="auto" w:fill="C6EFCE"/>
            <w:noWrap/>
            <w:vAlign w:val="center"/>
            <w:hideMark/>
          </w:tcPr>
          <w:p w14:paraId="51AC07E8"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361" w:type="pct"/>
            <w:shd w:val="clear" w:color="auto" w:fill="C6EFCE"/>
            <w:noWrap/>
            <w:vAlign w:val="center"/>
            <w:hideMark/>
          </w:tcPr>
          <w:p w14:paraId="4FB82526"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67602C9"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Révision du cadre législatif des trois régions sur les normes de rayonnement</w:t>
            </w:r>
          </w:p>
        </w:tc>
      </w:tr>
      <w:tr w:rsidR="00E71057" w:rsidRPr="009042E1" w14:paraId="118A24CF" w14:textId="77777777" w:rsidTr="00EB1BD7">
        <w:trPr>
          <w:trHeight w:val="315"/>
        </w:trPr>
        <w:tc>
          <w:tcPr>
            <w:tcW w:w="553" w:type="pct"/>
            <w:shd w:val="clear" w:color="auto" w:fill="C6EFCE"/>
            <w:noWrap/>
            <w:vAlign w:val="center"/>
            <w:hideMark/>
          </w:tcPr>
          <w:p w14:paraId="6EA6A675"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103</w:t>
            </w:r>
          </w:p>
        </w:tc>
        <w:tc>
          <w:tcPr>
            <w:tcW w:w="1861" w:type="pct"/>
            <w:shd w:val="clear" w:color="auto" w:fill="C6EFCE"/>
            <w:noWrap/>
            <w:vAlign w:val="center"/>
            <w:hideMark/>
          </w:tcPr>
          <w:p w14:paraId="0A4CC374" w14:textId="54F806EC"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d’infrastructure ferroviaire et travaux d’accessibilité des gares (I-3C)</w:t>
            </w:r>
          </w:p>
        </w:tc>
        <w:tc>
          <w:tcPr>
            <w:tcW w:w="361" w:type="pct"/>
            <w:shd w:val="clear" w:color="auto" w:fill="C6EFCE"/>
            <w:noWrap/>
            <w:vAlign w:val="center"/>
            <w:hideMark/>
          </w:tcPr>
          <w:p w14:paraId="3DF2F0D0"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2C0D33D4"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de rénovation et de modernisation des chemins de fer et des travaux d’accessibilité des gares (étape 1)</w:t>
            </w:r>
          </w:p>
        </w:tc>
      </w:tr>
      <w:tr w:rsidR="00E71057" w:rsidRPr="009042E1" w14:paraId="5C9695F3" w14:textId="77777777" w:rsidTr="00EB1BD7">
        <w:trPr>
          <w:trHeight w:val="315"/>
        </w:trPr>
        <w:tc>
          <w:tcPr>
            <w:tcW w:w="553" w:type="pct"/>
            <w:shd w:val="clear" w:color="auto" w:fill="C6EFCE"/>
            <w:noWrap/>
            <w:vAlign w:val="center"/>
            <w:hideMark/>
          </w:tcPr>
          <w:p w14:paraId="7BB2D60A"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112</w:t>
            </w:r>
          </w:p>
        </w:tc>
        <w:tc>
          <w:tcPr>
            <w:tcW w:w="1861" w:type="pct"/>
            <w:shd w:val="clear" w:color="auto" w:fill="C6EFCE"/>
            <w:noWrap/>
            <w:vAlign w:val="center"/>
            <w:hideMark/>
          </w:tcPr>
          <w:p w14:paraId="16CA2A5B"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I-3H: «Outils de mobilité intelligente» de la Région de Bruxelles-Capitale (I-3H)</w:t>
            </w:r>
          </w:p>
        </w:tc>
        <w:tc>
          <w:tcPr>
            <w:tcW w:w="361" w:type="pct"/>
            <w:shd w:val="clear" w:color="auto" w:fill="C6EFCE"/>
            <w:noWrap/>
            <w:vAlign w:val="center"/>
            <w:hideMark/>
          </w:tcPr>
          <w:p w14:paraId="64C7AE1D"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5B6F6C32"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Outils de mobilité intelligente en fonctionnement</w:t>
            </w:r>
          </w:p>
        </w:tc>
      </w:tr>
      <w:tr w:rsidR="00E71057" w:rsidRPr="009042E1" w14:paraId="5D84817F" w14:textId="77777777" w:rsidTr="00EB1BD7">
        <w:trPr>
          <w:trHeight w:val="315"/>
        </w:trPr>
        <w:tc>
          <w:tcPr>
            <w:tcW w:w="553" w:type="pct"/>
            <w:shd w:val="clear" w:color="auto" w:fill="C6EFCE"/>
            <w:noWrap/>
            <w:vAlign w:val="center"/>
            <w:hideMark/>
          </w:tcPr>
          <w:p w14:paraId="180378AD"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117</w:t>
            </w:r>
          </w:p>
        </w:tc>
        <w:tc>
          <w:tcPr>
            <w:tcW w:w="1861" w:type="pct"/>
            <w:shd w:val="clear" w:color="auto" w:fill="C6EFCE"/>
            <w:noWrap/>
            <w:vAlign w:val="center"/>
            <w:hideMark/>
          </w:tcPr>
          <w:p w14:paraId="58393FD1"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Bornes de recharge – VLA (I-3.19)</w:t>
            </w:r>
          </w:p>
        </w:tc>
        <w:tc>
          <w:tcPr>
            <w:tcW w:w="361" w:type="pct"/>
            <w:shd w:val="clear" w:color="auto" w:fill="C6EFCE"/>
            <w:noWrap/>
            <w:vAlign w:val="center"/>
            <w:hideMark/>
          </w:tcPr>
          <w:p w14:paraId="27520CE5"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11C56A1C"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concessions pour l’infrastructure de recharge</w:t>
            </w:r>
          </w:p>
        </w:tc>
      </w:tr>
      <w:tr w:rsidR="00E71057" w:rsidRPr="009042E1" w14:paraId="57B1FC68" w14:textId="77777777" w:rsidTr="00EB1BD7">
        <w:trPr>
          <w:trHeight w:val="315"/>
        </w:trPr>
        <w:tc>
          <w:tcPr>
            <w:tcW w:w="553" w:type="pct"/>
            <w:shd w:val="clear" w:color="auto" w:fill="C6EFCE"/>
            <w:noWrap/>
            <w:vAlign w:val="center"/>
            <w:hideMark/>
          </w:tcPr>
          <w:p w14:paraId="3F68D05C"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118</w:t>
            </w:r>
          </w:p>
        </w:tc>
        <w:tc>
          <w:tcPr>
            <w:tcW w:w="1861" w:type="pct"/>
            <w:shd w:val="clear" w:color="auto" w:fill="C6EFCE"/>
            <w:noWrap/>
            <w:vAlign w:val="center"/>
            <w:hideMark/>
          </w:tcPr>
          <w:p w14:paraId="330E307D"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Bornes de recharge – RBC (R-3.05)</w:t>
            </w:r>
          </w:p>
        </w:tc>
        <w:tc>
          <w:tcPr>
            <w:tcW w:w="361" w:type="pct"/>
            <w:shd w:val="clear" w:color="auto" w:fill="C6EFCE"/>
            <w:noWrap/>
            <w:vAlign w:val="center"/>
            <w:hideMark/>
          </w:tcPr>
          <w:p w14:paraId="426707CC"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5A2F587"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arrêté précisant les normes de sécurité et d’un plan de livraison de l’infrastructure</w:t>
            </w:r>
          </w:p>
        </w:tc>
      </w:tr>
      <w:tr w:rsidR="00E71057" w:rsidRPr="009042E1" w14:paraId="6F17531D" w14:textId="77777777" w:rsidTr="00EB1BD7">
        <w:trPr>
          <w:trHeight w:val="315"/>
        </w:trPr>
        <w:tc>
          <w:tcPr>
            <w:tcW w:w="553" w:type="pct"/>
            <w:shd w:val="clear" w:color="auto" w:fill="C6EFCE"/>
            <w:noWrap/>
            <w:vAlign w:val="center"/>
            <w:hideMark/>
          </w:tcPr>
          <w:p w14:paraId="622CFCBE"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119</w:t>
            </w:r>
          </w:p>
        </w:tc>
        <w:tc>
          <w:tcPr>
            <w:tcW w:w="1861" w:type="pct"/>
            <w:shd w:val="clear" w:color="auto" w:fill="C6EFCE"/>
            <w:noWrap/>
            <w:vAlign w:val="center"/>
            <w:hideMark/>
          </w:tcPr>
          <w:p w14:paraId="72E8F27E"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Bornes de recharge – WAL (R-3.04)</w:t>
            </w:r>
          </w:p>
        </w:tc>
        <w:tc>
          <w:tcPr>
            <w:tcW w:w="361" w:type="pct"/>
            <w:shd w:val="clear" w:color="auto" w:fill="C6EFCE"/>
            <w:noWrap/>
            <w:vAlign w:val="center"/>
            <w:hideMark/>
          </w:tcPr>
          <w:p w14:paraId="6DABB412"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F2810BF"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plan de déploiement de bornes de recharge électrique</w:t>
            </w:r>
          </w:p>
        </w:tc>
      </w:tr>
      <w:tr w:rsidR="00E71057" w:rsidRPr="009042E1" w14:paraId="1C0B68D1" w14:textId="77777777" w:rsidTr="00EB1BD7">
        <w:trPr>
          <w:trHeight w:val="315"/>
        </w:trPr>
        <w:tc>
          <w:tcPr>
            <w:tcW w:w="553" w:type="pct"/>
            <w:shd w:val="clear" w:color="auto" w:fill="C6EFCE"/>
            <w:noWrap/>
            <w:vAlign w:val="center"/>
            <w:hideMark/>
          </w:tcPr>
          <w:p w14:paraId="6CDC76BE"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131</w:t>
            </w:r>
          </w:p>
        </w:tc>
        <w:tc>
          <w:tcPr>
            <w:tcW w:w="1861" w:type="pct"/>
            <w:shd w:val="clear" w:color="auto" w:fill="C6EFCE"/>
            <w:noWrap/>
            <w:vAlign w:val="center"/>
            <w:hideMark/>
          </w:tcPr>
          <w:p w14:paraId="60C456ED"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Fourniture de matériel numérique et d’une infrastructure informatique aux écoles (I-4)</w:t>
            </w:r>
          </w:p>
        </w:tc>
        <w:tc>
          <w:tcPr>
            <w:tcW w:w="361" w:type="pct"/>
            <w:shd w:val="clear" w:color="auto" w:fill="C6EFCE"/>
            <w:noWrap/>
            <w:vAlign w:val="center"/>
            <w:hideMark/>
          </w:tcPr>
          <w:p w14:paraId="67479E55"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419213B9"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Équiper les écoles/établissements de dispositifs et d’infrastructures TIC adéquats afin d’améliorer les performances globales des systèmes d’éducation</w:t>
            </w:r>
          </w:p>
        </w:tc>
      </w:tr>
      <w:tr w:rsidR="00E71057" w:rsidRPr="009042E1" w14:paraId="242B0F86" w14:textId="77777777" w:rsidTr="00EB1BD7">
        <w:trPr>
          <w:trHeight w:val="315"/>
        </w:trPr>
        <w:tc>
          <w:tcPr>
            <w:tcW w:w="553" w:type="pct"/>
            <w:shd w:val="clear" w:color="auto" w:fill="C6EFCE"/>
            <w:noWrap/>
            <w:vAlign w:val="center"/>
            <w:hideMark/>
          </w:tcPr>
          <w:p w14:paraId="7CC0CDC6"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136</w:t>
            </w:r>
          </w:p>
        </w:tc>
        <w:tc>
          <w:tcPr>
            <w:tcW w:w="1861" w:type="pct"/>
            <w:shd w:val="clear" w:color="auto" w:fill="C6EFCE"/>
            <w:noWrap/>
            <w:vAlign w:val="center"/>
            <w:hideMark/>
          </w:tcPr>
          <w:p w14:paraId="0BA31972"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Accompagnement personnalisé des élèves dans l’enseignement obligatoire (I-4.03)</w:t>
            </w:r>
          </w:p>
        </w:tc>
        <w:tc>
          <w:tcPr>
            <w:tcW w:w="361" w:type="pct"/>
            <w:shd w:val="clear" w:color="auto" w:fill="C6EFCE"/>
            <w:noWrap/>
            <w:vAlign w:val="center"/>
            <w:hideMark/>
          </w:tcPr>
          <w:p w14:paraId="0B13EF47"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16CF2780"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d’un mécanisme de soutien renforcé pour les élèves en difficulté</w:t>
            </w:r>
          </w:p>
        </w:tc>
      </w:tr>
      <w:tr w:rsidR="00E71057" w:rsidRPr="009042E1" w14:paraId="603F7344" w14:textId="77777777" w:rsidTr="00EB1BD7">
        <w:trPr>
          <w:trHeight w:val="315"/>
        </w:trPr>
        <w:tc>
          <w:tcPr>
            <w:tcW w:w="553" w:type="pct"/>
            <w:shd w:val="clear" w:color="auto" w:fill="C6EFCE"/>
            <w:noWrap/>
            <w:vAlign w:val="center"/>
            <w:hideMark/>
          </w:tcPr>
          <w:p w14:paraId="22FF6019"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149</w:t>
            </w:r>
          </w:p>
        </w:tc>
        <w:tc>
          <w:tcPr>
            <w:tcW w:w="1861" w:type="pct"/>
            <w:shd w:val="clear" w:color="auto" w:fill="C6EFCE"/>
            <w:noWrap/>
            <w:vAlign w:val="center"/>
            <w:hideMark/>
          </w:tcPr>
          <w:p w14:paraId="3A165F72"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Digibanks (I-4.11)</w:t>
            </w:r>
          </w:p>
        </w:tc>
        <w:tc>
          <w:tcPr>
            <w:tcW w:w="361" w:type="pct"/>
            <w:shd w:val="clear" w:color="auto" w:fill="C6EFCE"/>
            <w:noWrap/>
            <w:vAlign w:val="center"/>
            <w:hideMark/>
          </w:tcPr>
          <w:p w14:paraId="07587361"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674F1758"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de partenariats pour promouvoir l’inclusion numérique</w:t>
            </w:r>
          </w:p>
        </w:tc>
      </w:tr>
      <w:tr w:rsidR="00E71057" w:rsidRPr="009042E1" w14:paraId="0B6B915F" w14:textId="77777777" w:rsidTr="00EB1BD7">
        <w:trPr>
          <w:trHeight w:val="315"/>
        </w:trPr>
        <w:tc>
          <w:tcPr>
            <w:tcW w:w="553" w:type="pct"/>
            <w:shd w:val="clear" w:color="auto" w:fill="C6EFCE"/>
            <w:noWrap/>
            <w:vAlign w:val="center"/>
            <w:hideMark/>
          </w:tcPr>
          <w:p w14:paraId="7D35F1E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156</w:t>
            </w:r>
          </w:p>
        </w:tc>
        <w:tc>
          <w:tcPr>
            <w:tcW w:w="1861" w:type="pct"/>
            <w:shd w:val="clear" w:color="auto" w:fill="C6EFCE"/>
            <w:noWrap/>
            <w:vAlign w:val="center"/>
            <w:hideMark/>
          </w:tcPr>
          <w:p w14:paraId="198E5B4D"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 de carrière et pensions (R-4.07)</w:t>
            </w:r>
          </w:p>
        </w:tc>
        <w:tc>
          <w:tcPr>
            <w:tcW w:w="361" w:type="pct"/>
            <w:shd w:val="clear" w:color="auto" w:fill="C6EFCE"/>
            <w:noWrap/>
            <w:vAlign w:val="center"/>
            <w:hideMark/>
          </w:tcPr>
          <w:p w14:paraId="055162EE"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1E4D02A7"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Plan d’action basé sur le résultat de la conférence sur l’emploi</w:t>
            </w:r>
          </w:p>
        </w:tc>
      </w:tr>
      <w:tr w:rsidR="00E71057" w:rsidRPr="009042E1" w14:paraId="7B11ABC5" w14:textId="77777777" w:rsidTr="00EB1BD7">
        <w:trPr>
          <w:trHeight w:val="315"/>
        </w:trPr>
        <w:tc>
          <w:tcPr>
            <w:tcW w:w="553" w:type="pct"/>
            <w:shd w:val="clear" w:color="auto" w:fill="C6EFCE"/>
            <w:noWrap/>
            <w:vAlign w:val="center"/>
            <w:hideMark/>
          </w:tcPr>
          <w:p w14:paraId="38B48EAD"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164</w:t>
            </w:r>
          </w:p>
        </w:tc>
        <w:tc>
          <w:tcPr>
            <w:tcW w:w="1861" w:type="pct"/>
            <w:shd w:val="clear" w:color="auto" w:fill="C6EFCE"/>
            <w:noWrap/>
            <w:vAlign w:val="center"/>
            <w:hideMark/>
          </w:tcPr>
          <w:p w14:paraId="01D2604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Offensive d’apprentissage et de carrière (I-5.04)</w:t>
            </w:r>
          </w:p>
        </w:tc>
        <w:tc>
          <w:tcPr>
            <w:tcW w:w="361" w:type="pct"/>
            <w:shd w:val="clear" w:color="auto" w:fill="C6EFCE"/>
            <w:noWrap/>
            <w:vAlign w:val="center"/>
            <w:hideMark/>
          </w:tcPr>
          <w:p w14:paraId="7EC49766"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56F11DD0"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aux congés de formation et à l’offre de formation en ligne en Flandre</w:t>
            </w:r>
          </w:p>
        </w:tc>
      </w:tr>
      <w:tr w:rsidR="00E71057" w:rsidRPr="009042E1" w14:paraId="73A7EBFA" w14:textId="77777777" w:rsidTr="00EB1BD7">
        <w:trPr>
          <w:trHeight w:val="315"/>
        </w:trPr>
        <w:tc>
          <w:tcPr>
            <w:tcW w:w="553" w:type="pct"/>
            <w:shd w:val="clear" w:color="auto" w:fill="C6EFCE"/>
            <w:noWrap/>
            <w:vAlign w:val="center"/>
            <w:hideMark/>
          </w:tcPr>
          <w:p w14:paraId="6FF7A464"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167</w:t>
            </w:r>
          </w:p>
        </w:tc>
        <w:tc>
          <w:tcPr>
            <w:tcW w:w="1861" w:type="pct"/>
            <w:shd w:val="clear" w:color="auto" w:fill="C6EFCE"/>
            <w:noWrap/>
            <w:vAlign w:val="center"/>
            <w:hideMark/>
          </w:tcPr>
          <w:p w14:paraId="0A6A8C0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Offensive d’apprentissage et de carrière (I-5.04)</w:t>
            </w:r>
          </w:p>
        </w:tc>
        <w:tc>
          <w:tcPr>
            <w:tcW w:w="361" w:type="pct"/>
            <w:shd w:val="clear" w:color="auto" w:fill="C6EFCE"/>
            <w:noWrap/>
            <w:vAlign w:val="center"/>
            <w:hideMark/>
          </w:tcPr>
          <w:p w14:paraId="348B0AEA"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552E7E16"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aux chômeurs temporaires en Flandre</w:t>
            </w:r>
          </w:p>
        </w:tc>
      </w:tr>
      <w:tr w:rsidR="00E71057" w:rsidRPr="009042E1" w14:paraId="31943B03" w14:textId="77777777" w:rsidTr="00EB1BD7">
        <w:trPr>
          <w:trHeight w:val="315"/>
        </w:trPr>
        <w:tc>
          <w:tcPr>
            <w:tcW w:w="553" w:type="pct"/>
            <w:shd w:val="clear" w:color="auto" w:fill="C6EFCE"/>
            <w:noWrap/>
            <w:vAlign w:val="center"/>
            <w:hideMark/>
          </w:tcPr>
          <w:p w14:paraId="0C14DBCC"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168</w:t>
            </w:r>
          </w:p>
        </w:tc>
        <w:tc>
          <w:tcPr>
            <w:tcW w:w="1861" w:type="pct"/>
            <w:shd w:val="clear" w:color="auto" w:fill="C6EFCE"/>
            <w:noWrap/>
            <w:vAlign w:val="center"/>
            <w:hideMark/>
          </w:tcPr>
          <w:p w14:paraId="1740CBE5"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Apprentissage tout au long de la vie de la Communauté flamande (R-5.04)</w:t>
            </w:r>
          </w:p>
        </w:tc>
        <w:tc>
          <w:tcPr>
            <w:tcW w:w="361" w:type="pct"/>
            <w:shd w:val="clear" w:color="auto" w:fill="C6EFCE"/>
            <w:noWrap/>
            <w:vAlign w:val="center"/>
            <w:hideMark/>
          </w:tcPr>
          <w:p w14:paraId="2BDADF2B"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6B03956"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Document de réflexion sur le compte apprentissage et carrière en Flandre</w:t>
            </w:r>
          </w:p>
        </w:tc>
      </w:tr>
      <w:tr w:rsidR="00E71057" w:rsidRPr="009042E1" w14:paraId="493CE636" w14:textId="77777777" w:rsidTr="00EB1BD7">
        <w:trPr>
          <w:trHeight w:val="315"/>
        </w:trPr>
        <w:tc>
          <w:tcPr>
            <w:tcW w:w="553" w:type="pct"/>
            <w:shd w:val="clear" w:color="auto" w:fill="C6EFCE"/>
            <w:noWrap/>
            <w:vAlign w:val="center"/>
            <w:hideMark/>
          </w:tcPr>
          <w:p w14:paraId="1EA8A05C"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169</w:t>
            </w:r>
          </w:p>
        </w:tc>
        <w:tc>
          <w:tcPr>
            <w:tcW w:w="1861" w:type="pct"/>
            <w:shd w:val="clear" w:color="auto" w:fill="C6EFCE"/>
            <w:noWrap/>
            <w:vAlign w:val="center"/>
            <w:hideMark/>
          </w:tcPr>
          <w:p w14:paraId="461C9AB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Compétences numériques (I-5.06)</w:t>
            </w:r>
          </w:p>
        </w:tc>
        <w:tc>
          <w:tcPr>
            <w:tcW w:w="361" w:type="pct"/>
            <w:shd w:val="clear" w:color="auto" w:fill="C6EFCE"/>
            <w:noWrap/>
            <w:vAlign w:val="center"/>
            <w:hideMark/>
          </w:tcPr>
          <w:p w14:paraId="526898FA"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11C18CA2"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de l’offre d’e-learning en Flandre</w:t>
            </w:r>
          </w:p>
        </w:tc>
      </w:tr>
      <w:tr w:rsidR="00E71057" w:rsidRPr="009042E1" w14:paraId="4DDB78EF" w14:textId="77777777" w:rsidTr="00EB1BD7">
        <w:trPr>
          <w:trHeight w:val="315"/>
        </w:trPr>
        <w:tc>
          <w:tcPr>
            <w:tcW w:w="553" w:type="pct"/>
            <w:shd w:val="clear" w:color="auto" w:fill="C6EFCE"/>
            <w:noWrap/>
            <w:vAlign w:val="center"/>
            <w:hideMark/>
          </w:tcPr>
          <w:p w14:paraId="40588AC5"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186</w:t>
            </w:r>
          </w:p>
        </w:tc>
        <w:tc>
          <w:tcPr>
            <w:tcW w:w="1861" w:type="pct"/>
            <w:shd w:val="clear" w:color="auto" w:fill="C6EFCE"/>
            <w:noWrap/>
            <w:vAlign w:val="center"/>
            <w:hideMark/>
          </w:tcPr>
          <w:p w14:paraId="1FD089A6"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Renforcer la R&amp;D (I-5.11)</w:t>
            </w:r>
          </w:p>
        </w:tc>
        <w:tc>
          <w:tcPr>
            <w:tcW w:w="361" w:type="pct"/>
            <w:shd w:val="clear" w:color="auto" w:fill="C6EFCE"/>
            <w:noWrap/>
            <w:vAlign w:val="center"/>
            <w:hideMark/>
          </w:tcPr>
          <w:p w14:paraId="1E3D763B"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36ED6F81"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publics pour les projets de R&amp;D et d’infrastructure</w:t>
            </w:r>
          </w:p>
        </w:tc>
      </w:tr>
      <w:tr w:rsidR="00E71057" w:rsidRPr="009042E1" w14:paraId="6A6EA497" w14:textId="77777777" w:rsidTr="00EB1BD7">
        <w:trPr>
          <w:trHeight w:val="315"/>
        </w:trPr>
        <w:tc>
          <w:tcPr>
            <w:tcW w:w="553" w:type="pct"/>
            <w:shd w:val="clear" w:color="auto" w:fill="C6EFCE"/>
            <w:noWrap/>
            <w:vAlign w:val="center"/>
            <w:hideMark/>
          </w:tcPr>
          <w:p w14:paraId="77BB5731"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189</w:t>
            </w:r>
          </w:p>
        </w:tc>
        <w:tc>
          <w:tcPr>
            <w:tcW w:w="1861" w:type="pct"/>
            <w:shd w:val="clear" w:color="auto" w:fill="C6EFCE"/>
            <w:noWrap/>
            <w:vAlign w:val="center"/>
            <w:hideMark/>
          </w:tcPr>
          <w:p w14:paraId="690CE1FE"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361" w:type="pct"/>
            <w:shd w:val="clear" w:color="auto" w:fill="C6EFCE"/>
            <w:noWrap/>
            <w:vAlign w:val="center"/>
            <w:hideMark/>
          </w:tcPr>
          <w:p w14:paraId="2E46BC65"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6AB6307A"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à 30 projets de relocalisation de l’alimentation, 4 secteurs émergents et 5 unités</w:t>
            </w:r>
          </w:p>
        </w:tc>
      </w:tr>
      <w:tr w:rsidR="00E71057" w:rsidRPr="009042E1" w14:paraId="6C31ABF2" w14:textId="77777777" w:rsidTr="00EB1BD7">
        <w:trPr>
          <w:trHeight w:val="315"/>
        </w:trPr>
        <w:tc>
          <w:tcPr>
            <w:tcW w:w="553" w:type="pct"/>
            <w:shd w:val="clear" w:color="auto" w:fill="C6EFCE"/>
            <w:noWrap/>
            <w:vAlign w:val="center"/>
            <w:hideMark/>
          </w:tcPr>
          <w:p w14:paraId="31AD20C1"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193</w:t>
            </w:r>
          </w:p>
        </w:tc>
        <w:tc>
          <w:tcPr>
            <w:tcW w:w="1861" w:type="pct"/>
            <w:shd w:val="clear" w:color="auto" w:fill="C6EFCE"/>
            <w:noWrap/>
            <w:vAlign w:val="center"/>
            <w:hideMark/>
          </w:tcPr>
          <w:p w14:paraId="59CE552B"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 Des procédures de permis et d’appel plus rapides (R-5.06)</w:t>
            </w:r>
          </w:p>
        </w:tc>
        <w:tc>
          <w:tcPr>
            <w:tcW w:w="361" w:type="pct"/>
            <w:shd w:val="clear" w:color="auto" w:fill="C6EFCE"/>
            <w:noWrap/>
            <w:vAlign w:val="center"/>
            <w:hideMark/>
          </w:tcPr>
          <w:p w14:paraId="5BA6304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119715F2"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des permis d’environnement et des procédures de recours</w:t>
            </w:r>
          </w:p>
        </w:tc>
      </w:tr>
      <w:tr w:rsidR="00E71057" w:rsidRPr="009042E1" w14:paraId="3EBBC01C" w14:textId="77777777" w:rsidTr="00EB1BD7">
        <w:trPr>
          <w:trHeight w:val="315"/>
        </w:trPr>
        <w:tc>
          <w:tcPr>
            <w:tcW w:w="553" w:type="pct"/>
            <w:shd w:val="clear" w:color="auto" w:fill="C6EFCE"/>
            <w:noWrap/>
            <w:vAlign w:val="center"/>
            <w:hideMark/>
          </w:tcPr>
          <w:p w14:paraId="489E443F"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194</w:t>
            </w:r>
          </w:p>
        </w:tc>
        <w:tc>
          <w:tcPr>
            <w:tcW w:w="1861" w:type="pct"/>
            <w:shd w:val="clear" w:color="auto" w:fill="C6EFCE"/>
            <w:noWrap/>
            <w:vAlign w:val="center"/>
            <w:hideMark/>
          </w:tcPr>
          <w:p w14:paraId="7AACFCED"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 Élargir la base de l’innovation (R-5.07)</w:t>
            </w:r>
          </w:p>
        </w:tc>
        <w:tc>
          <w:tcPr>
            <w:tcW w:w="361" w:type="pct"/>
            <w:shd w:val="clear" w:color="auto" w:fill="C6EFCE"/>
            <w:noWrap/>
            <w:vAlign w:val="center"/>
            <w:hideMark/>
          </w:tcPr>
          <w:p w14:paraId="596FFA58"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37E3F1B0"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du règlement pour le soutien à l’innovation</w:t>
            </w:r>
          </w:p>
        </w:tc>
      </w:tr>
      <w:tr w:rsidR="00E71057" w:rsidRPr="009042E1" w14:paraId="4DE1DC90" w14:textId="77777777" w:rsidTr="00EB1BD7">
        <w:trPr>
          <w:trHeight w:val="315"/>
        </w:trPr>
        <w:tc>
          <w:tcPr>
            <w:tcW w:w="553" w:type="pct"/>
            <w:shd w:val="clear" w:color="auto" w:fill="C6EFCE"/>
            <w:noWrap/>
            <w:vAlign w:val="center"/>
            <w:hideMark/>
          </w:tcPr>
          <w:p w14:paraId="43C5BD7A"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195</w:t>
            </w:r>
          </w:p>
        </w:tc>
        <w:tc>
          <w:tcPr>
            <w:tcW w:w="1861" w:type="pct"/>
            <w:shd w:val="clear" w:color="auto" w:fill="C6EFCE"/>
            <w:noWrap/>
            <w:vAlign w:val="center"/>
            <w:hideMark/>
          </w:tcPr>
          <w:p w14:paraId="1402B9DB"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régionale de transition économique – Bruxelles-Capitale (R-5.08)</w:t>
            </w:r>
          </w:p>
        </w:tc>
        <w:tc>
          <w:tcPr>
            <w:tcW w:w="361" w:type="pct"/>
            <w:shd w:val="clear" w:color="auto" w:fill="C6EFCE"/>
            <w:noWrap/>
            <w:vAlign w:val="center"/>
            <w:hideMark/>
          </w:tcPr>
          <w:p w14:paraId="47A0B371"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7B10C852"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stratégie régionale de transition économique</w:t>
            </w:r>
          </w:p>
        </w:tc>
      </w:tr>
      <w:tr w:rsidR="00E71057" w:rsidRPr="009042E1" w14:paraId="02459D6F" w14:textId="77777777" w:rsidTr="00EB1BD7">
        <w:trPr>
          <w:trHeight w:val="315"/>
        </w:trPr>
        <w:tc>
          <w:tcPr>
            <w:tcW w:w="553" w:type="pct"/>
            <w:shd w:val="clear" w:color="auto" w:fill="C6EFCE"/>
            <w:noWrap/>
            <w:vAlign w:val="center"/>
            <w:hideMark/>
          </w:tcPr>
          <w:p w14:paraId="6CD75401"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197</w:t>
            </w:r>
          </w:p>
        </w:tc>
        <w:tc>
          <w:tcPr>
            <w:tcW w:w="1861" w:type="pct"/>
            <w:shd w:val="clear" w:color="auto" w:fill="C6EFCE"/>
            <w:noWrap/>
            <w:vAlign w:val="center"/>
            <w:hideMark/>
          </w:tcPr>
          <w:p w14:paraId="1BBEA672"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Recyclage Hub (I-5.14)</w:t>
            </w:r>
          </w:p>
        </w:tc>
        <w:tc>
          <w:tcPr>
            <w:tcW w:w="361" w:type="pct"/>
            <w:shd w:val="clear" w:color="auto" w:fill="C6EFCE"/>
            <w:noWrap/>
            <w:vAlign w:val="center"/>
            <w:hideMark/>
          </w:tcPr>
          <w:p w14:paraId="7C043575"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4883C5BC"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six marchés publics pour les installations de recyclage</w:t>
            </w:r>
          </w:p>
        </w:tc>
      </w:tr>
      <w:tr w:rsidR="00E71057" w:rsidRPr="009042E1" w14:paraId="2F8F84FC" w14:textId="77777777" w:rsidTr="00EB1BD7">
        <w:trPr>
          <w:trHeight w:val="315"/>
        </w:trPr>
        <w:tc>
          <w:tcPr>
            <w:tcW w:w="553" w:type="pct"/>
            <w:shd w:val="clear" w:color="auto" w:fill="C6EFCE"/>
            <w:noWrap/>
            <w:vAlign w:val="center"/>
            <w:hideMark/>
          </w:tcPr>
          <w:p w14:paraId="43B56086"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201</w:t>
            </w:r>
          </w:p>
        </w:tc>
        <w:tc>
          <w:tcPr>
            <w:tcW w:w="1861" w:type="pct"/>
            <w:shd w:val="clear" w:color="auto" w:fill="C6EFCE"/>
            <w:noWrap/>
            <w:vAlign w:val="center"/>
            <w:hideMark/>
          </w:tcPr>
          <w:p w14:paraId="2044CD2D"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de l’économie circulaire en Wallonie (I-5.16)</w:t>
            </w:r>
          </w:p>
        </w:tc>
        <w:tc>
          <w:tcPr>
            <w:tcW w:w="361" w:type="pct"/>
            <w:shd w:val="clear" w:color="auto" w:fill="C6EFCE"/>
            <w:noWrap/>
            <w:vAlign w:val="center"/>
            <w:hideMark/>
          </w:tcPr>
          <w:p w14:paraId="0A7FEF53"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90CEA90"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publics pour des projets promouvant l’économie circulaire en Wallonie</w:t>
            </w:r>
          </w:p>
        </w:tc>
      </w:tr>
      <w:tr w:rsidR="00E71057" w:rsidRPr="009042E1" w14:paraId="7C121519" w14:textId="77777777" w:rsidTr="00EB1BD7">
        <w:trPr>
          <w:trHeight w:val="315"/>
        </w:trPr>
        <w:tc>
          <w:tcPr>
            <w:tcW w:w="553" w:type="pct"/>
            <w:shd w:val="clear" w:color="auto" w:fill="C6EFCE"/>
            <w:noWrap/>
            <w:vAlign w:val="center"/>
            <w:hideMark/>
          </w:tcPr>
          <w:p w14:paraId="2FED75E3"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206</w:t>
            </w:r>
          </w:p>
        </w:tc>
        <w:tc>
          <w:tcPr>
            <w:tcW w:w="1861" w:type="pct"/>
            <w:shd w:val="clear" w:color="auto" w:fill="C6EFCE"/>
            <w:noWrap/>
            <w:vAlign w:val="center"/>
            <w:hideMark/>
          </w:tcPr>
          <w:p w14:paraId="43D06419"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Revues des dépenses (R-6)</w:t>
            </w:r>
          </w:p>
        </w:tc>
        <w:tc>
          <w:tcPr>
            <w:tcW w:w="361" w:type="pct"/>
            <w:shd w:val="clear" w:color="auto" w:fill="C6EFCE"/>
            <w:noWrap/>
            <w:vAlign w:val="center"/>
            <w:hideMark/>
          </w:tcPr>
          <w:p w14:paraId="2C9CFCBC"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1D98701F"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Intégration de la revue des dépenses dans le processus budgétaire (1) ou achèvement du pilote</w:t>
            </w:r>
          </w:p>
        </w:tc>
      </w:tr>
      <w:tr w:rsidR="00E71057" w:rsidRPr="009042E1" w14:paraId="132447BF" w14:textId="77777777" w:rsidTr="00EB1BD7">
        <w:trPr>
          <w:trHeight w:val="315"/>
        </w:trPr>
        <w:tc>
          <w:tcPr>
            <w:tcW w:w="553" w:type="pct"/>
            <w:shd w:val="clear" w:color="auto" w:fill="C6EFCE"/>
            <w:noWrap/>
            <w:vAlign w:val="center"/>
            <w:hideMark/>
          </w:tcPr>
          <w:p w14:paraId="5CC056FE"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213</w:t>
            </w:r>
          </w:p>
        </w:tc>
        <w:tc>
          <w:tcPr>
            <w:tcW w:w="1861" w:type="pct"/>
            <w:shd w:val="clear" w:color="auto" w:fill="C6EFCE"/>
            <w:noWrap/>
            <w:vAlign w:val="center"/>
            <w:hideMark/>
          </w:tcPr>
          <w:p w14:paraId="59D6324D"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 (I-7.02)</w:t>
            </w:r>
          </w:p>
        </w:tc>
        <w:tc>
          <w:tcPr>
            <w:tcW w:w="361" w:type="pct"/>
            <w:shd w:val="clear" w:color="auto" w:fill="C6EFCE"/>
            <w:noWrap/>
            <w:vAlign w:val="center"/>
            <w:hideMark/>
          </w:tcPr>
          <w:p w14:paraId="0954A09F"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EA2B5C7"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w:t>
            </w:r>
          </w:p>
        </w:tc>
      </w:tr>
      <w:tr w:rsidR="00E71057" w:rsidRPr="009042E1" w14:paraId="628E5EF2" w14:textId="77777777" w:rsidTr="00EB1BD7">
        <w:trPr>
          <w:trHeight w:val="315"/>
        </w:trPr>
        <w:tc>
          <w:tcPr>
            <w:tcW w:w="553" w:type="pct"/>
            <w:shd w:val="clear" w:color="auto" w:fill="C6EFCE"/>
            <w:noWrap/>
            <w:vAlign w:val="center"/>
            <w:hideMark/>
          </w:tcPr>
          <w:p w14:paraId="71E1238E"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250</w:t>
            </w:r>
          </w:p>
        </w:tc>
        <w:tc>
          <w:tcPr>
            <w:tcW w:w="1861" w:type="pct"/>
            <w:shd w:val="clear" w:color="auto" w:fill="C6EFCE"/>
            <w:noWrap/>
            <w:vAlign w:val="center"/>
            <w:hideMark/>
          </w:tcPr>
          <w:p w14:paraId="651DEF20"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361" w:type="pct"/>
            <w:shd w:val="clear" w:color="auto" w:fill="C6EFCE"/>
            <w:noWrap/>
            <w:vAlign w:val="center"/>
            <w:hideMark/>
          </w:tcPr>
          <w:p w14:paraId="486B983C"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2BC0811" w14:textId="77777777" w:rsidR="000D1388" w:rsidRPr="009042E1" w:rsidRDefault="00E71057">
            <w:pPr>
              <w:spacing w:after="0"/>
              <w:ind w:right="-1100"/>
              <w:rPr>
                <w:rFonts w:ascii="Times New Roman" w:eastAsia="Times New Roman" w:hAnsi="Times New Roman" w:cs="Times New Roman"/>
                <w:noProof/>
                <w:color w:val="006100"/>
                <w:sz w:val="20"/>
                <w:szCs w:val="20"/>
              </w:rPr>
            </w:pPr>
            <w:r>
              <w:rPr>
                <w:rFonts w:ascii="Times New Roman" w:hAnsi="Times New Roman"/>
                <w:noProof/>
                <w:color w:val="006100"/>
                <w:sz w:val="20"/>
              </w:rPr>
              <w:t>Adaptation du système de gestion et de contrôle pour le plan pour la reprise et la résilience</w:t>
            </w:r>
          </w:p>
        </w:tc>
      </w:tr>
      <w:tr w:rsidR="00E71057" w:rsidRPr="009042E1" w14:paraId="11642F91" w14:textId="77777777" w:rsidTr="00EB1BD7">
        <w:trPr>
          <w:trHeight w:val="315"/>
        </w:trPr>
        <w:tc>
          <w:tcPr>
            <w:tcW w:w="553" w:type="pct"/>
            <w:shd w:val="clear" w:color="auto" w:fill="C6EFCE"/>
            <w:noWrap/>
            <w:vAlign w:val="center"/>
            <w:hideMark/>
          </w:tcPr>
          <w:p w14:paraId="0ADD63E7"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251</w:t>
            </w:r>
          </w:p>
        </w:tc>
        <w:tc>
          <w:tcPr>
            <w:tcW w:w="1861" w:type="pct"/>
            <w:shd w:val="clear" w:color="auto" w:fill="C6EFCE"/>
            <w:noWrap/>
            <w:vAlign w:val="center"/>
            <w:hideMark/>
          </w:tcPr>
          <w:p w14:paraId="6A4E3D4D"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361" w:type="pct"/>
            <w:shd w:val="clear" w:color="auto" w:fill="C6EFCE"/>
            <w:noWrap/>
            <w:vAlign w:val="center"/>
            <w:hideMark/>
          </w:tcPr>
          <w:p w14:paraId="5692AF81" w14:textId="77777777" w:rsidR="000D1388" w:rsidRPr="009042E1"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5463BD5B"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Prévention, détection et dissuasion des conflits d’intérêts</w:t>
            </w:r>
          </w:p>
        </w:tc>
      </w:tr>
      <w:tr w:rsidR="00E71057" w:rsidRPr="009042E1" w14:paraId="35235013" w14:textId="77777777" w:rsidTr="00EB1BD7">
        <w:trPr>
          <w:trHeight w:val="315"/>
        </w:trPr>
        <w:tc>
          <w:tcPr>
            <w:tcW w:w="553" w:type="pct"/>
            <w:shd w:val="clear" w:color="auto" w:fill="C6EFCE"/>
            <w:noWrap/>
            <w:vAlign w:val="center"/>
          </w:tcPr>
          <w:p w14:paraId="4B81898B"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IE"/>
              </w:rPr>
            </w:pPr>
          </w:p>
        </w:tc>
        <w:tc>
          <w:tcPr>
            <w:tcW w:w="2222" w:type="pct"/>
            <w:gridSpan w:val="2"/>
            <w:shd w:val="clear" w:color="auto" w:fill="C6EFCE"/>
            <w:noWrap/>
            <w:vAlign w:val="center"/>
          </w:tcPr>
          <w:p w14:paraId="4386785B" w14:textId="77777777" w:rsidR="000D1388" w:rsidRPr="009042E1"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225" w:type="pct"/>
            <w:shd w:val="clear" w:color="auto" w:fill="C6EFCE"/>
            <w:noWrap/>
            <w:vAlign w:val="center"/>
          </w:tcPr>
          <w:p w14:paraId="18C41340" w14:textId="77777777" w:rsidR="000D1388" w:rsidRPr="009042E1"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1 006 646 610 EUR</w:t>
            </w:r>
          </w:p>
        </w:tc>
      </w:tr>
    </w:tbl>
    <w:p w14:paraId="26C3A9DE" w14:textId="77777777" w:rsidR="000D1388" w:rsidRPr="009D65D8" w:rsidRDefault="000D1388" w:rsidP="00E71057">
      <w:pPr>
        <w:rPr>
          <w:rFonts w:ascii="Times New Roman" w:eastAsia="Calibri" w:hAnsi="Times New Roman" w:cs="Times New Roman"/>
          <w:noProof/>
          <w:lang w:val="en-GB"/>
        </w:rPr>
      </w:pPr>
    </w:p>
    <w:p w14:paraId="3B586FA2" w14:textId="77777777" w:rsidR="000D1388" w:rsidRPr="009D65D8" w:rsidRDefault="00E71057" w:rsidP="00F70F65">
      <w:pPr>
        <w:numPr>
          <w:ilvl w:val="0"/>
          <w:numId w:val="67"/>
        </w:numPr>
        <w:tabs>
          <w:tab w:val="clear" w:pos="850"/>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Troisième tranche (soutien non remboursable):</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1129"/>
        <w:gridCol w:w="3978"/>
        <w:gridCol w:w="700"/>
        <w:gridCol w:w="4399"/>
      </w:tblGrid>
      <w:tr w:rsidR="00E71057" w:rsidRPr="009D65D8" w14:paraId="78F839AB" w14:textId="77777777" w:rsidTr="00EB1BD7">
        <w:trPr>
          <w:trHeight w:val="300"/>
          <w:tblHeader/>
        </w:trPr>
        <w:tc>
          <w:tcPr>
            <w:tcW w:w="553" w:type="pct"/>
            <w:shd w:val="clear" w:color="auto" w:fill="BDD7EE"/>
            <w:noWrap/>
            <w:vAlign w:val="center"/>
            <w:hideMark/>
          </w:tcPr>
          <w:p w14:paraId="4ABF665A" w14:textId="77777777" w:rsidR="000D1388" w:rsidRPr="009D65D8" w:rsidRDefault="00E71057" w:rsidP="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w:t>
            </w:r>
            <w:r>
              <w:rPr>
                <w:rFonts w:ascii="Times New Roman" w:hAnsi="Times New Roman"/>
                <w:b/>
                <w:noProof/>
                <w:color w:val="000000"/>
                <w:sz w:val="20"/>
              </w:rPr>
              <w:br/>
              <w:t>séquentiel</w:t>
            </w:r>
          </w:p>
        </w:tc>
        <w:tc>
          <w:tcPr>
            <w:tcW w:w="1949" w:type="pct"/>
            <w:shd w:val="clear" w:color="auto" w:fill="BDD7EE"/>
            <w:noWrap/>
            <w:vAlign w:val="center"/>
            <w:hideMark/>
          </w:tcPr>
          <w:p w14:paraId="2BC675FF"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343" w:type="pct"/>
            <w:shd w:val="clear" w:color="auto" w:fill="BDD7EE"/>
            <w:noWrap/>
            <w:vAlign w:val="center"/>
            <w:hideMark/>
          </w:tcPr>
          <w:p w14:paraId="77A96F4E"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155" w:type="pct"/>
            <w:shd w:val="clear" w:color="auto" w:fill="BDD7EE"/>
            <w:noWrap/>
            <w:vAlign w:val="center"/>
            <w:hideMark/>
          </w:tcPr>
          <w:p w14:paraId="3A2001F7"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E71057" w:rsidRPr="009D65D8" w14:paraId="293CA371" w14:textId="77777777" w:rsidTr="00EB1BD7">
        <w:trPr>
          <w:trHeight w:val="315"/>
        </w:trPr>
        <w:tc>
          <w:tcPr>
            <w:tcW w:w="553" w:type="pct"/>
            <w:shd w:val="clear" w:color="auto" w:fill="C6EFCE"/>
            <w:noWrap/>
            <w:vAlign w:val="center"/>
            <w:hideMark/>
          </w:tcPr>
          <w:p w14:paraId="65C9464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w:t>
            </w:r>
          </w:p>
        </w:tc>
        <w:tc>
          <w:tcPr>
            <w:tcW w:w="1949" w:type="pct"/>
            <w:shd w:val="clear" w:color="auto" w:fill="C6EFCE"/>
            <w:noWrap/>
            <w:vAlign w:val="center"/>
            <w:hideMark/>
          </w:tcPr>
          <w:p w14:paraId="75995CF7"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 et sociaux (I-1A)</w:t>
            </w:r>
          </w:p>
        </w:tc>
        <w:tc>
          <w:tcPr>
            <w:tcW w:w="343" w:type="pct"/>
            <w:shd w:val="clear" w:color="auto" w:fill="C6EFCE"/>
            <w:noWrap/>
            <w:vAlign w:val="center"/>
            <w:hideMark/>
          </w:tcPr>
          <w:p w14:paraId="17906DC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55" w:type="pct"/>
            <w:shd w:val="clear" w:color="auto" w:fill="C6EFCE"/>
            <w:noWrap/>
            <w:vAlign w:val="center"/>
            <w:hideMark/>
          </w:tcPr>
          <w:p w14:paraId="1ACF9966"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résidentiels privés et de logements sociaux (étape 1)</w:t>
            </w:r>
          </w:p>
        </w:tc>
      </w:tr>
      <w:tr w:rsidR="00E71057" w:rsidRPr="009D65D8" w14:paraId="0F37068E" w14:textId="77777777" w:rsidTr="00EB1BD7">
        <w:trPr>
          <w:trHeight w:val="315"/>
        </w:trPr>
        <w:tc>
          <w:tcPr>
            <w:tcW w:w="553" w:type="pct"/>
            <w:shd w:val="clear" w:color="auto" w:fill="C6EFCE"/>
            <w:noWrap/>
            <w:vAlign w:val="center"/>
            <w:hideMark/>
          </w:tcPr>
          <w:p w14:paraId="1656E12C"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w:t>
            </w:r>
          </w:p>
        </w:tc>
        <w:tc>
          <w:tcPr>
            <w:tcW w:w="1949" w:type="pct"/>
            <w:shd w:val="clear" w:color="auto" w:fill="C6EFCE"/>
            <w:noWrap/>
            <w:vAlign w:val="center"/>
            <w:hideMark/>
          </w:tcPr>
          <w:p w14:paraId="1E091487"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 et sociaux [R-1.01(iii)]</w:t>
            </w:r>
          </w:p>
        </w:tc>
        <w:tc>
          <w:tcPr>
            <w:tcW w:w="343" w:type="pct"/>
            <w:shd w:val="clear" w:color="auto" w:fill="C6EFCE"/>
            <w:noWrap/>
            <w:vAlign w:val="center"/>
            <w:hideMark/>
          </w:tcPr>
          <w:p w14:paraId="5D6533B7"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55" w:type="pct"/>
            <w:shd w:val="clear" w:color="auto" w:fill="C6EFCE"/>
            <w:noWrap/>
            <w:vAlign w:val="center"/>
            <w:hideMark/>
          </w:tcPr>
          <w:p w14:paraId="0E7DE7EC"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pour les batteries domestiques en Flandre</w:t>
            </w:r>
          </w:p>
        </w:tc>
      </w:tr>
      <w:tr w:rsidR="00E71057" w:rsidRPr="009D65D8" w14:paraId="7E4F2C15" w14:textId="77777777" w:rsidTr="00EB1BD7">
        <w:trPr>
          <w:trHeight w:val="315"/>
        </w:trPr>
        <w:tc>
          <w:tcPr>
            <w:tcW w:w="553" w:type="pct"/>
            <w:shd w:val="clear" w:color="auto" w:fill="C6EFCE"/>
            <w:noWrap/>
            <w:vAlign w:val="center"/>
          </w:tcPr>
          <w:p w14:paraId="4D032371"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12</w:t>
            </w:r>
          </w:p>
        </w:tc>
        <w:tc>
          <w:tcPr>
            <w:tcW w:w="1949" w:type="pct"/>
            <w:shd w:val="clear" w:color="auto" w:fill="C6EFCE"/>
            <w:noWrap/>
            <w:vAlign w:val="center"/>
          </w:tcPr>
          <w:p w14:paraId="0C738630" w14:textId="77777777" w:rsidR="000D1388" w:rsidRPr="009D65D8"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Rénovation de bâtiments (I-1B)</w:t>
            </w:r>
          </w:p>
        </w:tc>
        <w:tc>
          <w:tcPr>
            <w:tcW w:w="343" w:type="pct"/>
            <w:shd w:val="clear" w:color="auto" w:fill="C6EFCE"/>
            <w:noWrap/>
            <w:vAlign w:val="center"/>
          </w:tcPr>
          <w:p w14:paraId="46EF94A3"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C</w:t>
            </w:r>
          </w:p>
        </w:tc>
        <w:tc>
          <w:tcPr>
            <w:tcW w:w="2155" w:type="pct"/>
            <w:shd w:val="clear" w:color="auto" w:fill="C6EFCE"/>
            <w:noWrap/>
            <w:vAlign w:val="center"/>
          </w:tcPr>
          <w:p w14:paraId="702609B4"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Rénovation des bâtiments publics (étape 1)</w:t>
            </w:r>
          </w:p>
        </w:tc>
      </w:tr>
      <w:tr w:rsidR="00E71057" w:rsidRPr="009D65D8" w14:paraId="4AA24A09" w14:textId="77777777" w:rsidTr="00EB1BD7">
        <w:trPr>
          <w:trHeight w:val="300"/>
        </w:trPr>
        <w:tc>
          <w:tcPr>
            <w:tcW w:w="553" w:type="pct"/>
            <w:shd w:val="clear" w:color="auto" w:fill="C6EFCE"/>
            <w:noWrap/>
            <w:vAlign w:val="center"/>
            <w:hideMark/>
          </w:tcPr>
          <w:p w14:paraId="3E5B1ED6"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w:t>
            </w:r>
          </w:p>
        </w:tc>
        <w:tc>
          <w:tcPr>
            <w:tcW w:w="1949" w:type="pct"/>
            <w:shd w:val="clear" w:color="auto" w:fill="C6EFCE"/>
            <w:noWrap/>
            <w:vAlign w:val="center"/>
            <w:hideMark/>
          </w:tcPr>
          <w:p w14:paraId="48BABF4C"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Cadre réglementaire pour le marché du H</w:t>
            </w:r>
            <w:r>
              <w:rPr>
                <w:rFonts w:ascii="Times New Roman" w:hAnsi="Times New Roman"/>
                <w:noProof/>
                <w:color w:val="006100"/>
                <w:sz w:val="20"/>
                <w:vertAlign w:val="subscript"/>
              </w:rPr>
              <w:t>2</w:t>
            </w:r>
            <w:r>
              <w:rPr>
                <w:rFonts w:ascii="Times New Roman" w:hAnsi="Times New Roman"/>
                <w:noProof/>
                <w:color w:val="006100"/>
                <w:sz w:val="20"/>
              </w:rPr>
              <w:t xml:space="preserve"> (R-1.04)</w:t>
            </w:r>
          </w:p>
        </w:tc>
        <w:tc>
          <w:tcPr>
            <w:tcW w:w="343" w:type="pct"/>
            <w:shd w:val="clear" w:color="auto" w:fill="C6EFCE"/>
            <w:noWrap/>
            <w:vAlign w:val="center"/>
            <w:hideMark/>
          </w:tcPr>
          <w:p w14:paraId="3F49B25B"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094C2E8B"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nouvelles lois/des lois modifiées et des règlements connexes pour permettre le développement du marché du H</w:t>
            </w:r>
            <w:r>
              <w:rPr>
                <w:rFonts w:ascii="Times New Roman" w:hAnsi="Times New Roman"/>
                <w:noProof/>
                <w:color w:val="006100"/>
                <w:sz w:val="20"/>
                <w:vertAlign w:val="subscript"/>
              </w:rPr>
              <w:t>2</w:t>
            </w:r>
            <w:r>
              <w:rPr>
                <w:rFonts w:ascii="Times New Roman" w:hAnsi="Times New Roman"/>
                <w:noProof/>
                <w:color w:val="006100"/>
                <w:sz w:val="20"/>
              </w:rPr>
              <w:t>.</w:t>
            </w:r>
          </w:p>
        </w:tc>
      </w:tr>
      <w:tr w:rsidR="00E71057" w:rsidRPr="009D65D8" w14:paraId="7BA04475" w14:textId="77777777" w:rsidTr="00EB1BD7">
        <w:trPr>
          <w:trHeight w:val="300"/>
        </w:trPr>
        <w:tc>
          <w:tcPr>
            <w:tcW w:w="553" w:type="pct"/>
            <w:shd w:val="clear" w:color="auto" w:fill="C6EFCE"/>
            <w:noWrap/>
            <w:vAlign w:val="center"/>
          </w:tcPr>
          <w:p w14:paraId="4EFF164F"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15 </w:t>
            </w:r>
            <w:r>
              <w:rPr>
                <w:rFonts w:ascii="Times New Roman" w:hAnsi="Times New Roman"/>
                <w:i/>
                <w:iCs/>
                <w:noProof/>
                <w:color w:val="006100"/>
                <w:sz w:val="20"/>
              </w:rPr>
              <w:t>bis</w:t>
            </w:r>
          </w:p>
        </w:tc>
        <w:tc>
          <w:tcPr>
            <w:tcW w:w="1949" w:type="pct"/>
            <w:shd w:val="clear" w:color="auto" w:fill="C6EFCE"/>
            <w:noWrap/>
            <w:vAlign w:val="center"/>
          </w:tcPr>
          <w:p w14:paraId="2B07A2C7"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Cadre réglementaire pour le marché du transport de dioxyde de carbone (CO</w:t>
            </w:r>
            <w:r>
              <w:rPr>
                <w:rFonts w:ascii="Times New Roman" w:hAnsi="Times New Roman"/>
                <w:noProof/>
                <w:color w:val="006100"/>
                <w:sz w:val="20"/>
                <w:vertAlign w:val="subscript"/>
              </w:rPr>
              <w:t>2</w:t>
            </w:r>
            <w:r>
              <w:rPr>
                <w:rFonts w:ascii="Times New Roman" w:hAnsi="Times New Roman"/>
                <w:noProof/>
                <w:color w:val="006100"/>
                <w:sz w:val="20"/>
              </w:rPr>
              <w:t>) par canalisations en Flandre (R-1.05)</w:t>
            </w:r>
          </w:p>
        </w:tc>
        <w:tc>
          <w:tcPr>
            <w:tcW w:w="343" w:type="pct"/>
            <w:shd w:val="clear" w:color="auto" w:fill="C6EFCE"/>
            <w:noWrap/>
            <w:vAlign w:val="center"/>
          </w:tcPr>
          <w:p w14:paraId="5EFC6A1B"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2155" w:type="pct"/>
            <w:shd w:val="clear" w:color="auto" w:fill="C6EFCE"/>
            <w:noWrap/>
            <w:vAlign w:val="center"/>
          </w:tcPr>
          <w:p w14:paraId="147F8865"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Entrée en vigueur des nouveaux décrets/des décrets modifiés et des règlements connexes pour permettre le transport de dioxyde de carbone par canalisations en Flandre</w:t>
            </w:r>
          </w:p>
        </w:tc>
      </w:tr>
      <w:tr w:rsidR="00E71057" w:rsidRPr="009D65D8" w14:paraId="72BDAB5B" w14:textId="77777777" w:rsidTr="00EB1BD7">
        <w:trPr>
          <w:trHeight w:val="315"/>
        </w:trPr>
        <w:tc>
          <w:tcPr>
            <w:tcW w:w="553" w:type="pct"/>
            <w:shd w:val="clear" w:color="auto" w:fill="C6EFCE"/>
            <w:noWrap/>
            <w:vAlign w:val="center"/>
            <w:hideMark/>
          </w:tcPr>
          <w:p w14:paraId="4E6F3E6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38</w:t>
            </w:r>
          </w:p>
        </w:tc>
        <w:tc>
          <w:tcPr>
            <w:tcW w:w="1949" w:type="pct"/>
            <w:shd w:val="clear" w:color="auto" w:fill="C6EFCE"/>
            <w:noWrap/>
            <w:vAlign w:val="center"/>
            <w:hideMark/>
          </w:tcPr>
          <w:p w14:paraId="1CBADA9B"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Biodiversité et adaptation au climat (I-1.22)</w:t>
            </w:r>
          </w:p>
        </w:tc>
        <w:tc>
          <w:tcPr>
            <w:tcW w:w="343" w:type="pct"/>
            <w:shd w:val="clear" w:color="auto" w:fill="C6EFCE"/>
            <w:noWrap/>
            <w:vAlign w:val="center"/>
            <w:hideMark/>
          </w:tcPr>
          <w:p w14:paraId="47611B37"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735DDB94"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subventions en faveur de projets pour la création de deux parcs nationaux</w:t>
            </w:r>
          </w:p>
        </w:tc>
      </w:tr>
      <w:tr w:rsidR="00E71057" w:rsidRPr="009D65D8" w14:paraId="520D55AD" w14:textId="77777777" w:rsidTr="00EB1BD7">
        <w:trPr>
          <w:trHeight w:val="315"/>
        </w:trPr>
        <w:tc>
          <w:tcPr>
            <w:tcW w:w="553" w:type="pct"/>
            <w:shd w:val="clear" w:color="auto" w:fill="C6EFCE"/>
            <w:noWrap/>
            <w:vAlign w:val="center"/>
            <w:hideMark/>
          </w:tcPr>
          <w:p w14:paraId="7163C628"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42</w:t>
            </w:r>
          </w:p>
        </w:tc>
        <w:tc>
          <w:tcPr>
            <w:tcW w:w="1949" w:type="pct"/>
            <w:shd w:val="clear" w:color="auto" w:fill="C6EFCE"/>
            <w:noWrap/>
            <w:vAlign w:val="center"/>
            <w:hideMark/>
          </w:tcPr>
          <w:p w14:paraId="1BB5CF5D"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Blue Deal (I-1.24)</w:t>
            </w:r>
          </w:p>
        </w:tc>
        <w:tc>
          <w:tcPr>
            <w:tcW w:w="343" w:type="pct"/>
            <w:shd w:val="clear" w:color="auto" w:fill="C6EFCE"/>
            <w:noWrap/>
            <w:vAlign w:val="center"/>
            <w:hideMark/>
          </w:tcPr>
          <w:p w14:paraId="28E0ECB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57E6F336"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Achats de terres visant à renforcer la biodiversité et/ou à atténuer les effets du changement climatique</w:t>
            </w:r>
          </w:p>
        </w:tc>
      </w:tr>
      <w:tr w:rsidR="00E71057" w:rsidRPr="009D65D8" w14:paraId="6964D292" w14:textId="77777777" w:rsidTr="00EB1BD7">
        <w:trPr>
          <w:trHeight w:val="315"/>
        </w:trPr>
        <w:tc>
          <w:tcPr>
            <w:tcW w:w="553" w:type="pct"/>
            <w:shd w:val="clear" w:color="auto" w:fill="C6EFCE"/>
            <w:noWrap/>
            <w:vAlign w:val="center"/>
          </w:tcPr>
          <w:p w14:paraId="649CBFBD"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44</w:t>
            </w:r>
          </w:p>
        </w:tc>
        <w:tc>
          <w:tcPr>
            <w:tcW w:w="1949" w:type="pct"/>
            <w:shd w:val="clear" w:color="auto" w:fill="C6EFCE"/>
            <w:noWrap/>
            <w:vAlign w:val="center"/>
          </w:tcPr>
          <w:p w14:paraId="6C749318"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Société numérique cybersécurisée et résiliente (I-2.01)</w:t>
            </w:r>
          </w:p>
        </w:tc>
        <w:tc>
          <w:tcPr>
            <w:tcW w:w="343" w:type="pct"/>
            <w:shd w:val="clear" w:color="auto" w:fill="C6EFCE"/>
            <w:noWrap/>
            <w:vAlign w:val="center"/>
          </w:tcPr>
          <w:p w14:paraId="4F3BECF7"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2155" w:type="pct"/>
            <w:shd w:val="clear" w:color="auto" w:fill="C6EFCE"/>
            <w:noWrap/>
            <w:vAlign w:val="center"/>
          </w:tcPr>
          <w:p w14:paraId="48FE9346"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Notification d’attribution pour des appels d’offres publics</w:t>
            </w:r>
          </w:p>
        </w:tc>
      </w:tr>
      <w:tr w:rsidR="00E71057" w:rsidRPr="009D65D8" w14:paraId="6781A607" w14:textId="77777777" w:rsidTr="00EB1BD7">
        <w:trPr>
          <w:trHeight w:val="315"/>
        </w:trPr>
        <w:tc>
          <w:tcPr>
            <w:tcW w:w="553" w:type="pct"/>
            <w:shd w:val="clear" w:color="auto" w:fill="C6EFCE"/>
            <w:noWrap/>
            <w:vAlign w:val="center"/>
          </w:tcPr>
          <w:p w14:paraId="5BEF2BB1"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46</w:t>
            </w:r>
          </w:p>
        </w:tc>
        <w:tc>
          <w:tcPr>
            <w:tcW w:w="1949" w:type="pct"/>
            <w:shd w:val="clear" w:color="auto" w:fill="C6EFCE"/>
            <w:noWrap/>
            <w:vAlign w:val="center"/>
          </w:tcPr>
          <w:p w14:paraId="016BFA6C"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Société numérique cybersécurisée et résiliente (I-2.01)</w:t>
            </w:r>
          </w:p>
        </w:tc>
        <w:tc>
          <w:tcPr>
            <w:tcW w:w="343" w:type="pct"/>
            <w:shd w:val="clear" w:color="auto" w:fill="C6EFCE"/>
            <w:noWrap/>
            <w:vAlign w:val="center"/>
          </w:tcPr>
          <w:p w14:paraId="2672C1E6"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C</w:t>
            </w:r>
          </w:p>
        </w:tc>
        <w:tc>
          <w:tcPr>
            <w:tcW w:w="2155" w:type="pct"/>
            <w:shd w:val="clear" w:color="auto" w:fill="C6EFCE"/>
            <w:noWrap/>
            <w:vAlign w:val="center"/>
          </w:tcPr>
          <w:p w14:paraId="1B856508"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Mise à disposition du grand public d’instruments visant à renforcer les capacités de cyberrésilience</w:t>
            </w:r>
          </w:p>
        </w:tc>
      </w:tr>
      <w:tr w:rsidR="00E71057" w:rsidRPr="009D65D8" w14:paraId="2A8F02D7" w14:textId="77777777" w:rsidTr="00EB1BD7">
        <w:trPr>
          <w:trHeight w:val="315"/>
        </w:trPr>
        <w:tc>
          <w:tcPr>
            <w:tcW w:w="553" w:type="pct"/>
            <w:shd w:val="clear" w:color="auto" w:fill="C6EFCE"/>
            <w:noWrap/>
            <w:vAlign w:val="center"/>
            <w:hideMark/>
          </w:tcPr>
          <w:p w14:paraId="73CB52F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47</w:t>
            </w:r>
          </w:p>
        </w:tc>
        <w:tc>
          <w:tcPr>
            <w:tcW w:w="1949" w:type="pct"/>
            <w:shd w:val="clear" w:color="auto" w:fill="C6EFCE"/>
            <w:noWrap/>
            <w:vAlign w:val="center"/>
            <w:hideMark/>
          </w:tcPr>
          <w:p w14:paraId="5A3BA068"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Société numérique cybersécurisée et résiliente (I-2.01)</w:t>
            </w:r>
          </w:p>
        </w:tc>
        <w:tc>
          <w:tcPr>
            <w:tcW w:w="343" w:type="pct"/>
            <w:shd w:val="clear" w:color="auto" w:fill="C6EFCE"/>
            <w:noWrap/>
            <w:vAlign w:val="center"/>
            <w:hideMark/>
          </w:tcPr>
          <w:p w14:paraId="3C859038"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6AFA9766"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Cadre de gouvernance global de la cybersécurité au sein du SPF Affaires étrangères </w:t>
            </w:r>
          </w:p>
        </w:tc>
      </w:tr>
      <w:tr w:rsidR="00E71057" w:rsidRPr="009D65D8" w14:paraId="2DD54534" w14:textId="77777777" w:rsidTr="00EB1BD7">
        <w:trPr>
          <w:trHeight w:val="315"/>
        </w:trPr>
        <w:tc>
          <w:tcPr>
            <w:tcW w:w="553" w:type="pct"/>
            <w:shd w:val="clear" w:color="auto" w:fill="C6EFCE"/>
            <w:noWrap/>
            <w:vAlign w:val="center"/>
          </w:tcPr>
          <w:p w14:paraId="4B6CC367"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51</w:t>
            </w:r>
          </w:p>
        </w:tc>
        <w:tc>
          <w:tcPr>
            <w:tcW w:w="1949" w:type="pct"/>
            <w:shd w:val="clear" w:color="auto" w:fill="C6EFCE"/>
            <w:noWrap/>
            <w:vAlign w:val="center"/>
          </w:tcPr>
          <w:p w14:paraId="26912355"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Digitalisation IPSS/OISZ (I-2.04) (sous-mesure 2)</w:t>
            </w:r>
          </w:p>
        </w:tc>
        <w:tc>
          <w:tcPr>
            <w:tcW w:w="343" w:type="pct"/>
            <w:shd w:val="clear" w:color="auto" w:fill="C6EFCE"/>
            <w:noWrap/>
            <w:vAlign w:val="center"/>
          </w:tcPr>
          <w:p w14:paraId="29053059"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C</w:t>
            </w:r>
          </w:p>
        </w:tc>
        <w:tc>
          <w:tcPr>
            <w:tcW w:w="2155" w:type="pct"/>
            <w:shd w:val="clear" w:color="auto" w:fill="C6EFCE"/>
            <w:noWrap/>
            <w:vAlign w:val="center"/>
          </w:tcPr>
          <w:p w14:paraId="471C9036"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Toutes les communications des Institutions publiques de sécurité sociale (IPSS) sont numérisées et les données sont centralisées/consolidées</w:t>
            </w:r>
          </w:p>
        </w:tc>
      </w:tr>
      <w:tr w:rsidR="00E71057" w:rsidRPr="009D65D8" w14:paraId="3E604B76" w14:textId="77777777" w:rsidTr="00EB1BD7">
        <w:trPr>
          <w:trHeight w:val="315"/>
        </w:trPr>
        <w:tc>
          <w:tcPr>
            <w:tcW w:w="553" w:type="pct"/>
            <w:shd w:val="clear" w:color="auto" w:fill="C6EFCE"/>
            <w:noWrap/>
            <w:vAlign w:val="center"/>
            <w:hideMark/>
          </w:tcPr>
          <w:p w14:paraId="69CCB0B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77</w:t>
            </w:r>
          </w:p>
        </w:tc>
        <w:tc>
          <w:tcPr>
            <w:tcW w:w="1949" w:type="pct"/>
            <w:shd w:val="clear" w:color="auto" w:fill="C6EFCE"/>
            <w:noWrap/>
            <w:vAlign w:val="center"/>
            <w:hideMark/>
          </w:tcPr>
          <w:p w14:paraId="6CA40145"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Simplification des procédures administratives (R-2.01)</w:t>
            </w:r>
          </w:p>
        </w:tc>
        <w:tc>
          <w:tcPr>
            <w:tcW w:w="343" w:type="pct"/>
            <w:shd w:val="clear" w:color="auto" w:fill="C6EFCE"/>
            <w:noWrap/>
            <w:vAlign w:val="center"/>
            <w:hideMark/>
          </w:tcPr>
          <w:p w14:paraId="6AD1950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054EE2D2"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mesures visant à simplifier la création en ligne d’une entreprise</w:t>
            </w:r>
          </w:p>
        </w:tc>
      </w:tr>
      <w:tr w:rsidR="00E71057" w:rsidRPr="009D65D8" w14:paraId="7D4C63F5" w14:textId="77777777" w:rsidTr="00EB1BD7">
        <w:trPr>
          <w:trHeight w:val="315"/>
        </w:trPr>
        <w:tc>
          <w:tcPr>
            <w:tcW w:w="553" w:type="pct"/>
            <w:shd w:val="clear" w:color="auto" w:fill="C6EFCE"/>
            <w:noWrap/>
            <w:vAlign w:val="center"/>
            <w:hideMark/>
          </w:tcPr>
          <w:p w14:paraId="0F3BB80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82</w:t>
            </w:r>
          </w:p>
        </w:tc>
        <w:tc>
          <w:tcPr>
            <w:tcW w:w="1949" w:type="pct"/>
            <w:shd w:val="clear" w:color="auto" w:fill="C6EFCE"/>
            <w:noWrap/>
            <w:vAlign w:val="center"/>
            <w:hideMark/>
          </w:tcPr>
          <w:p w14:paraId="01107776"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d’un institut d’IA afin d’utiliser cette technologie pour répondre aux défis sociétaux (I-2.14)</w:t>
            </w:r>
          </w:p>
        </w:tc>
        <w:tc>
          <w:tcPr>
            <w:tcW w:w="343" w:type="pct"/>
            <w:shd w:val="clear" w:color="auto" w:fill="C6EFCE"/>
            <w:noWrap/>
            <w:vAlign w:val="center"/>
            <w:hideMark/>
          </w:tcPr>
          <w:p w14:paraId="6FC387D6"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3B3F0FC2"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 d’experts créée au sein de l’Institut d’IA pour le bien commun</w:t>
            </w:r>
          </w:p>
        </w:tc>
      </w:tr>
      <w:tr w:rsidR="00E71057" w:rsidRPr="009D65D8" w14:paraId="44285896" w14:textId="77777777" w:rsidTr="00EB1BD7">
        <w:trPr>
          <w:trHeight w:val="315"/>
        </w:trPr>
        <w:tc>
          <w:tcPr>
            <w:tcW w:w="553" w:type="pct"/>
            <w:shd w:val="clear" w:color="auto" w:fill="C6EFCE"/>
            <w:noWrap/>
            <w:vAlign w:val="center"/>
            <w:hideMark/>
          </w:tcPr>
          <w:p w14:paraId="76A3B014"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99</w:t>
            </w:r>
          </w:p>
        </w:tc>
        <w:tc>
          <w:tcPr>
            <w:tcW w:w="1949" w:type="pct"/>
            <w:shd w:val="clear" w:color="auto" w:fill="C6EFCE"/>
            <w:noWrap/>
            <w:vAlign w:val="center"/>
            <w:hideMark/>
          </w:tcPr>
          <w:p w14:paraId="00A6D5B2"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le transport public en Wallonie (I-3B)</w:t>
            </w:r>
          </w:p>
        </w:tc>
        <w:tc>
          <w:tcPr>
            <w:tcW w:w="343" w:type="pct"/>
            <w:shd w:val="clear" w:color="auto" w:fill="C6EFCE"/>
            <w:noWrap/>
            <w:vAlign w:val="center"/>
            <w:hideMark/>
          </w:tcPr>
          <w:p w14:paraId="1B60CCD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55" w:type="pct"/>
            <w:shd w:val="clear" w:color="auto" w:fill="C6EFCE"/>
            <w:noWrap/>
            <w:vAlign w:val="center"/>
            <w:hideMark/>
          </w:tcPr>
          <w:p w14:paraId="6B9EBF93"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Début de grands travaux majeurs d’infrastructure concernant le bus (feux de circulation intelligents) et le métro léger (Charleroi)</w:t>
            </w:r>
          </w:p>
        </w:tc>
      </w:tr>
      <w:tr w:rsidR="00E71057" w:rsidRPr="009D65D8" w14:paraId="7B49E28D" w14:textId="77777777" w:rsidTr="00EB1BD7">
        <w:trPr>
          <w:trHeight w:val="315"/>
        </w:trPr>
        <w:tc>
          <w:tcPr>
            <w:tcW w:w="553" w:type="pct"/>
            <w:shd w:val="clear" w:color="auto" w:fill="C6EFCE"/>
            <w:noWrap/>
            <w:vAlign w:val="center"/>
            <w:hideMark/>
          </w:tcPr>
          <w:p w14:paraId="5ADB3D32"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104</w:t>
            </w:r>
          </w:p>
        </w:tc>
        <w:tc>
          <w:tcPr>
            <w:tcW w:w="1949" w:type="pct"/>
            <w:shd w:val="clear" w:color="auto" w:fill="C6EFCE"/>
            <w:noWrap/>
            <w:vAlign w:val="center"/>
            <w:hideMark/>
          </w:tcPr>
          <w:p w14:paraId="27C784AD" w14:textId="4A2E612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d’infrastructure ferroviaire et travaux d’accessibilité des gares (I-3C)</w:t>
            </w:r>
          </w:p>
        </w:tc>
        <w:tc>
          <w:tcPr>
            <w:tcW w:w="343" w:type="pct"/>
            <w:shd w:val="clear" w:color="auto" w:fill="C6EFCE"/>
            <w:noWrap/>
            <w:vAlign w:val="center"/>
            <w:hideMark/>
          </w:tcPr>
          <w:p w14:paraId="2C39AEB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55" w:type="pct"/>
            <w:shd w:val="clear" w:color="auto" w:fill="C6EFCE"/>
            <w:noWrap/>
            <w:vAlign w:val="center"/>
            <w:hideMark/>
          </w:tcPr>
          <w:p w14:paraId="3BEFD84D"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de rénovation et de modernisation des chemins de fer et des travaux d’accessibilité des gares (étape 2)</w:t>
            </w:r>
          </w:p>
        </w:tc>
      </w:tr>
      <w:tr w:rsidR="00E71057" w:rsidRPr="009D65D8" w14:paraId="698279E3" w14:textId="77777777" w:rsidTr="00EB1BD7">
        <w:trPr>
          <w:trHeight w:val="315"/>
        </w:trPr>
        <w:tc>
          <w:tcPr>
            <w:tcW w:w="553" w:type="pct"/>
            <w:shd w:val="clear" w:color="auto" w:fill="C6EFCE"/>
            <w:noWrap/>
            <w:vAlign w:val="center"/>
            <w:hideMark/>
          </w:tcPr>
          <w:p w14:paraId="5C854098"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111</w:t>
            </w:r>
          </w:p>
        </w:tc>
        <w:tc>
          <w:tcPr>
            <w:tcW w:w="1949" w:type="pct"/>
            <w:shd w:val="clear" w:color="auto" w:fill="C6EFCE"/>
            <w:noWrap/>
            <w:vAlign w:val="center"/>
            <w:hideMark/>
          </w:tcPr>
          <w:p w14:paraId="7F0BED58"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Performance Infrabel/SNCB» de l’État fédéral (R-3.01)</w:t>
            </w:r>
          </w:p>
        </w:tc>
        <w:tc>
          <w:tcPr>
            <w:tcW w:w="343" w:type="pct"/>
            <w:shd w:val="clear" w:color="auto" w:fill="C6EFCE"/>
            <w:noWrap/>
            <w:vAlign w:val="center"/>
            <w:hideMark/>
          </w:tcPr>
          <w:p w14:paraId="079D38E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359D2ADF"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Approbation des nouveaux contrats de performance Infrabel/SNCB et du plan d’investissement pluriannuel</w:t>
            </w:r>
          </w:p>
        </w:tc>
      </w:tr>
      <w:tr w:rsidR="00E71057" w:rsidRPr="009D65D8" w14:paraId="7B4BAE02" w14:textId="77777777" w:rsidTr="00EB1BD7">
        <w:trPr>
          <w:trHeight w:val="315"/>
        </w:trPr>
        <w:tc>
          <w:tcPr>
            <w:tcW w:w="553" w:type="pct"/>
            <w:shd w:val="clear" w:color="auto" w:fill="C6EFCE"/>
            <w:noWrap/>
            <w:vAlign w:val="center"/>
            <w:hideMark/>
          </w:tcPr>
          <w:p w14:paraId="4D8AE13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113</w:t>
            </w:r>
          </w:p>
        </w:tc>
        <w:tc>
          <w:tcPr>
            <w:tcW w:w="1949" w:type="pct"/>
            <w:shd w:val="clear" w:color="auto" w:fill="C6EFCE"/>
            <w:noWrap/>
            <w:vAlign w:val="center"/>
            <w:hideMark/>
          </w:tcPr>
          <w:p w14:paraId="63EFD0F4"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Subventions pour le transfert modal (I-3.14)</w:t>
            </w:r>
          </w:p>
        </w:tc>
        <w:tc>
          <w:tcPr>
            <w:tcW w:w="343" w:type="pct"/>
            <w:shd w:val="clear" w:color="auto" w:fill="C6EFCE"/>
            <w:noWrap/>
            <w:vAlign w:val="center"/>
            <w:hideMark/>
          </w:tcPr>
          <w:p w14:paraId="022FFAC9"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55" w:type="pct"/>
            <w:shd w:val="clear" w:color="auto" w:fill="C6EFCE"/>
            <w:noWrap/>
            <w:vAlign w:val="center"/>
            <w:hideMark/>
          </w:tcPr>
          <w:p w14:paraId="05B491D8"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4 375 premières demandes de subventions pour le transfert modal</w:t>
            </w:r>
          </w:p>
        </w:tc>
      </w:tr>
      <w:tr w:rsidR="00E71057" w:rsidRPr="009D65D8" w14:paraId="17083FC1" w14:textId="77777777" w:rsidTr="00EB1BD7">
        <w:trPr>
          <w:trHeight w:val="315"/>
        </w:trPr>
        <w:tc>
          <w:tcPr>
            <w:tcW w:w="553" w:type="pct"/>
            <w:shd w:val="clear" w:color="auto" w:fill="C6EFCE"/>
            <w:noWrap/>
            <w:vAlign w:val="center"/>
            <w:hideMark/>
          </w:tcPr>
          <w:p w14:paraId="215F8FCF"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121</w:t>
            </w:r>
          </w:p>
        </w:tc>
        <w:tc>
          <w:tcPr>
            <w:tcW w:w="1949" w:type="pct"/>
            <w:shd w:val="clear" w:color="auto" w:fill="C6EFCE"/>
            <w:noWrap/>
            <w:vAlign w:val="center"/>
            <w:hideMark/>
          </w:tcPr>
          <w:p w14:paraId="6A1CC3F3"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Bornes de recharge (I-3F)</w:t>
            </w:r>
          </w:p>
        </w:tc>
        <w:tc>
          <w:tcPr>
            <w:tcW w:w="343" w:type="pct"/>
            <w:shd w:val="clear" w:color="auto" w:fill="C6EFCE"/>
            <w:noWrap/>
            <w:vAlign w:val="center"/>
            <w:hideMark/>
          </w:tcPr>
          <w:p w14:paraId="6C96339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55" w:type="pct"/>
            <w:shd w:val="clear" w:color="auto" w:fill="C6EFCE"/>
            <w:noWrap/>
            <w:vAlign w:val="center"/>
            <w:hideMark/>
          </w:tcPr>
          <w:p w14:paraId="59471548"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Points de recharge publics et semi-publics opérationnels supplémentaires (étape 1)</w:t>
            </w:r>
          </w:p>
        </w:tc>
      </w:tr>
      <w:tr w:rsidR="00E71057" w:rsidRPr="009D65D8" w14:paraId="1B0ACDA1" w14:textId="77777777" w:rsidTr="00EB1BD7">
        <w:trPr>
          <w:trHeight w:val="315"/>
        </w:trPr>
        <w:tc>
          <w:tcPr>
            <w:tcW w:w="553" w:type="pct"/>
            <w:shd w:val="clear" w:color="auto" w:fill="C6EFCE"/>
            <w:noWrap/>
            <w:vAlign w:val="center"/>
            <w:hideMark/>
          </w:tcPr>
          <w:p w14:paraId="3282855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124</w:t>
            </w:r>
          </w:p>
        </w:tc>
        <w:tc>
          <w:tcPr>
            <w:tcW w:w="1949" w:type="pct"/>
            <w:shd w:val="clear" w:color="auto" w:fill="C6EFCE"/>
            <w:noWrap/>
            <w:vAlign w:val="center"/>
            <w:hideMark/>
          </w:tcPr>
          <w:p w14:paraId="544307BE"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Fraude en matière d’émissions (R-3.07)</w:t>
            </w:r>
          </w:p>
        </w:tc>
        <w:tc>
          <w:tcPr>
            <w:tcW w:w="343" w:type="pct"/>
            <w:shd w:val="clear" w:color="auto" w:fill="C6EFCE"/>
            <w:noWrap/>
            <w:vAlign w:val="center"/>
            <w:hideMark/>
          </w:tcPr>
          <w:p w14:paraId="2A8CDE6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793C580C"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cadre juridique pour la surveillance des émissions des véhicules en Flandre</w:t>
            </w:r>
          </w:p>
        </w:tc>
      </w:tr>
      <w:tr w:rsidR="00E71057" w:rsidRPr="009D65D8" w14:paraId="30E34DFF" w14:textId="77777777" w:rsidTr="00EB1BD7">
        <w:trPr>
          <w:trHeight w:val="315"/>
        </w:trPr>
        <w:tc>
          <w:tcPr>
            <w:tcW w:w="553" w:type="pct"/>
            <w:shd w:val="clear" w:color="auto" w:fill="C6EFCE"/>
            <w:noWrap/>
            <w:vAlign w:val="center"/>
            <w:hideMark/>
          </w:tcPr>
          <w:p w14:paraId="087F6A57"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127</w:t>
            </w:r>
          </w:p>
        </w:tc>
        <w:tc>
          <w:tcPr>
            <w:tcW w:w="1949" w:type="pct"/>
            <w:shd w:val="clear" w:color="auto" w:fill="C6EFCE"/>
            <w:noWrap/>
            <w:vAlign w:val="center"/>
            <w:hideMark/>
          </w:tcPr>
          <w:p w14:paraId="1B1F3EB6"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Digisprong (R-4.01)</w:t>
            </w:r>
          </w:p>
        </w:tc>
        <w:tc>
          <w:tcPr>
            <w:tcW w:w="343" w:type="pct"/>
            <w:shd w:val="clear" w:color="auto" w:fill="C6EFCE"/>
            <w:noWrap/>
            <w:vAlign w:val="center"/>
            <w:hideMark/>
          </w:tcPr>
          <w:p w14:paraId="18B57AF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053A83EA"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nouveau cadre TIC pour l’enseignement obligatoire en Flandre</w:t>
            </w:r>
          </w:p>
        </w:tc>
      </w:tr>
      <w:tr w:rsidR="00E71057" w:rsidRPr="009D65D8" w14:paraId="5967ABA4" w14:textId="77777777" w:rsidTr="00EB1BD7">
        <w:trPr>
          <w:trHeight w:val="315"/>
        </w:trPr>
        <w:tc>
          <w:tcPr>
            <w:tcW w:w="553" w:type="pct"/>
            <w:shd w:val="clear" w:color="auto" w:fill="C6EFCE"/>
            <w:noWrap/>
            <w:vAlign w:val="center"/>
            <w:hideMark/>
          </w:tcPr>
          <w:p w14:paraId="1B340D00"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128</w:t>
            </w:r>
          </w:p>
        </w:tc>
        <w:tc>
          <w:tcPr>
            <w:tcW w:w="1949" w:type="pct"/>
            <w:shd w:val="clear" w:color="auto" w:fill="C6EFCE"/>
            <w:noWrap/>
            <w:vAlign w:val="center"/>
            <w:hideMark/>
          </w:tcPr>
          <w:p w14:paraId="36E378EA"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Fonds pour l’avancement de l’enseignement supérieur (R-4.02)</w:t>
            </w:r>
          </w:p>
        </w:tc>
        <w:tc>
          <w:tcPr>
            <w:tcW w:w="343" w:type="pct"/>
            <w:shd w:val="clear" w:color="auto" w:fill="C6EFCE"/>
            <w:noWrap/>
            <w:vAlign w:val="center"/>
            <w:hideMark/>
          </w:tcPr>
          <w:p w14:paraId="4FA28086"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28297484"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Document de vision pour un enseignement supérieur axé sur l’avenir, flexible et numérique</w:t>
            </w:r>
          </w:p>
        </w:tc>
      </w:tr>
      <w:tr w:rsidR="00E71057" w:rsidRPr="009D65D8" w14:paraId="1F3FEF98" w14:textId="77777777" w:rsidTr="00EB1BD7">
        <w:trPr>
          <w:trHeight w:val="315"/>
        </w:trPr>
        <w:tc>
          <w:tcPr>
            <w:tcW w:w="553" w:type="pct"/>
            <w:shd w:val="clear" w:color="auto" w:fill="C6EFCE"/>
            <w:noWrap/>
            <w:vAlign w:val="center"/>
            <w:hideMark/>
          </w:tcPr>
          <w:p w14:paraId="79309B8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134</w:t>
            </w:r>
          </w:p>
        </w:tc>
        <w:tc>
          <w:tcPr>
            <w:tcW w:w="1949" w:type="pct"/>
            <w:shd w:val="clear" w:color="auto" w:fill="C6EFCE"/>
            <w:noWrap/>
            <w:vAlign w:val="center"/>
            <w:hideMark/>
          </w:tcPr>
          <w:p w14:paraId="58CC5C6B"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Fonds pour l’avancement de l’enseignement supérieur (I-4.02)</w:t>
            </w:r>
          </w:p>
        </w:tc>
        <w:tc>
          <w:tcPr>
            <w:tcW w:w="343" w:type="pct"/>
            <w:shd w:val="clear" w:color="auto" w:fill="C6EFCE"/>
            <w:noWrap/>
            <w:vAlign w:val="center"/>
            <w:hideMark/>
          </w:tcPr>
          <w:p w14:paraId="330259C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55" w:type="pct"/>
            <w:shd w:val="clear" w:color="auto" w:fill="C6EFCE"/>
            <w:noWrap/>
            <w:vAlign w:val="center"/>
            <w:hideMark/>
          </w:tcPr>
          <w:p w14:paraId="7C3BDAA5"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l’offre d’enseignement supérieur en Flandre pour le rendre plus flexible et à l’épreuve du temps</w:t>
            </w:r>
          </w:p>
        </w:tc>
      </w:tr>
      <w:tr w:rsidR="00E71057" w:rsidRPr="009D65D8" w14:paraId="2C1B9C53" w14:textId="77777777" w:rsidTr="00EB1BD7">
        <w:trPr>
          <w:trHeight w:val="315"/>
        </w:trPr>
        <w:tc>
          <w:tcPr>
            <w:tcW w:w="553" w:type="pct"/>
            <w:shd w:val="clear" w:color="auto" w:fill="C6EFCE"/>
            <w:noWrap/>
            <w:vAlign w:val="center"/>
            <w:hideMark/>
          </w:tcPr>
          <w:p w14:paraId="72D7533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140</w:t>
            </w:r>
          </w:p>
        </w:tc>
        <w:tc>
          <w:tcPr>
            <w:tcW w:w="1949" w:type="pct"/>
            <w:shd w:val="clear" w:color="auto" w:fill="C6EFCE"/>
            <w:noWrap/>
            <w:vAlign w:val="center"/>
            <w:hideMark/>
          </w:tcPr>
          <w:p w14:paraId="49A12DC4"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Lutte contre la discrimination sur le marché de l’emploi (R-4.04)</w:t>
            </w:r>
          </w:p>
        </w:tc>
        <w:tc>
          <w:tcPr>
            <w:tcW w:w="343" w:type="pct"/>
            <w:shd w:val="clear" w:color="auto" w:fill="C6EFCE"/>
            <w:noWrap/>
            <w:vAlign w:val="center"/>
            <w:hideMark/>
          </w:tcPr>
          <w:p w14:paraId="4765938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1ED9FF15"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Cadre réglementaire adapté et meilleure application des tests de discrimination</w:t>
            </w:r>
          </w:p>
        </w:tc>
      </w:tr>
      <w:tr w:rsidR="00E71057" w:rsidRPr="009D65D8" w14:paraId="33100FC5" w14:textId="77777777" w:rsidTr="00EB1BD7">
        <w:trPr>
          <w:trHeight w:val="315"/>
        </w:trPr>
        <w:tc>
          <w:tcPr>
            <w:tcW w:w="553" w:type="pct"/>
            <w:shd w:val="clear" w:color="auto" w:fill="C6EFCE"/>
            <w:noWrap/>
            <w:vAlign w:val="center"/>
            <w:hideMark/>
          </w:tcPr>
          <w:p w14:paraId="3A48F1DF"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141</w:t>
            </w:r>
          </w:p>
        </w:tc>
        <w:tc>
          <w:tcPr>
            <w:tcW w:w="1949" w:type="pct"/>
            <w:shd w:val="clear" w:color="auto" w:fill="C6EFCE"/>
            <w:noWrap/>
            <w:vAlign w:val="center"/>
            <w:hideMark/>
          </w:tcPr>
          <w:p w14:paraId="1B73CA10"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marché du travail plus inclusif (R-4.06)</w:t>
            </w:r>
          </w:p>
        </w:tc>
        <w:tc>
          <w:tcPr>
            <w:tcW w:w="343" w:type="pct"/>
            <w:shd w:val="clear" w:color="auto" w:fill="C6EFCE"/>
            <w:noWrap/>
            <w:vAlign w:val="center"/>
            <w:hideMark/>
          </w:tcPr>
          <w:p w14:paraId="441B7751"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55" w:type="pct"/>
            <w:shd w:val="clear" w:color="auto" w:fill="C6EFCE"/>
            <w:noWrap/>
            <w:vAlign w:val="center"/>
            <w:hideMark/>
          </w:tcPr>
          <w:p w14:paraId="6CBD3E68"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actions sectorielles de lutte contre la discrimination</w:t>
            </w:r>
          </w:p>
        </w:tc>
      </w:tr>
      <w:tr w:rsidR="00E71057" w:rsidRPr="009D65D8" w14:paraId="5FFE538D" w14:textId="77777777" w:rsidTr="00EB1BD7">
        <w:trPr>
          <w:trHeight w:val="315"/>
        </w:trPr>
        <w:tc>
          <w:tcPr>
            <w:tcW w:w="553" w:type="pct"/>
            <w:shd w:val="clear" w:color="auto" w:fill="C6EFCE"/>
            <w:noWrap/>
            <w:vAlign w:val="center"/>
            <w:hideMark/>
          </w:tcPr>
          <w:p w14:paraId="0A39D94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143</w:t>
            </w:r>
          </w:p>
        </w:tc>
        <w:tc>
          <w:tcPr>
            <w:tcW w:w="1949" w:type="pct"/>
            <w:shd w:val="clear" w:color="auto" w:fill="C6EFCE"/>
            <w:noWrap/>
            <w:vAlign w:val="center"/>
            <w:hideMark/>
          </w:tcPr>
          <w:p w14:paraId="6852258E"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de (re)qualification des compétences (I-4.07)</w:t>
            </w:r>
          </w:p>
        </w:tc>
        <w:tc>
          <w:tcPr>
            <w:tcW w:w="343" w:type="pct"/>
            <w:shd w:val="clear" w:color="auto" w:fill="C6EFCE"/>
            <w:noWrap/>
            <w:vAlign w:val="center"/>
            <w:hideMark/>
          </w:tcPr>
          <w:p w14:paraId="32779679"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30D46A4A"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des subventions liées aux initiatives d’innovation sociale</w:t>
            </w:r>
          </w:p>
        </w:tc>
      </w:tr>
      <w:tr w:rsidR="00E71057" w:rsidRPr="009D65D8" w14:paraId="64BD4D31" w14:textId="77777777" w:rsidTr="00EB1BD7">
        <w:trPr>
          <w:trHeight w:val="315"/>
        </w:trPr>
        <w:tc>
          <w:tcPr>
            <w:tcW w:w="553" w:type="pct"/>
            <w:shd w:val="clear" w:color="auto" w:fill="C6EFCE"/>
            <w:noWrap/>
            <w:vAlign w:val="center"/>
            <w:hideMark/>
          </w:tcPr>
          <w:p w14:paraId="3AD82AAE"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146</w:t>
            </w:r>
          </w:p>
        </w:tc>
        <w:tc>
          <w:tcPr>
            <w:tcW w:w="1949" w:type="pct"/>
            <w:shd w:val="clear" w:color="auto" w:fill="C6EFCE"/>
            <w:noWrap/>
            <w:vAlign w:val="center"/>
            <w:hideMark/>
          </w:tcPr>
          <w:p w14:paraId="11EA229D"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E-inclusion pour la Belgique (I-4.08)</w:t>
            </w:r>
          </w:p>
        </w:tc>
        <w:tc>
          <w:tcPr>
            <w:tcW w:w="343" w:type="pct"/>
            <w:shd w:val="clear" w:color="auto" w:fill="C6EFCE"/>
            <w:noWrap/>
            <w:vAlign w:val="center"/>
            <w:hideMark/>
          </w:tcPr>
          <w:p w14:paraId="5E3EACDC"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2155" w:type="pct"/>
            <w:shd w:val="clear" w:color="auto" w:fill="C6EFCE"/>
            <w:noWrap/>
            <w:vAlign w:val="center"/>
            <w:hideMark/>
          </w:tcPr>
          <w:p w14:paraId="257A6D3C"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Octroi des subventions</w:t>
            </w:r>
          </w:p>
        </w:tc>
      </w:tr>
      <w:tr w:rsidR="00E71057" w:rsidRPr="009D65D8" w14:paraId="6C4D5128" w14:textId="77777777" w:rsidTr="00EB1BD7">
        <w:trPr>
          <w:trHeight w:val="315"/>
        </w:trPr>
        <w:tc>
          <w:tcPr>
            <w:tcW w:w="553" w:type="pct"/>
            <w:shd w:val="clear" w:color="auto" w:fill="C6EFCE"/>
            <w:noWrap/>
            <w:vAlign w:val="center"/>
          </w:tcPr>
          <w:p w14:paraId="4D474C0F"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148</w:t>
            </w:r>
          </w:p>
        </w:tc>
        <w:tc>
          <w:tcPr>
            <w:tcW w:w="1949" w:type="pct"/>
            <w:shd w:val="clear" w:color="auto" w:fill="C6EFCE"/>
            <w:noWrap/>
            <w:vAlign w:val="center"/>
          </w:tcPr>
          <w:p w14:paraId="433DAD92"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Genre et marché du travail (I-4.10)</w:t>
            </w:r>
          </w:p>
        </w:tc>
        <w:tc>
          <w:tcPr>
            <w:tcW w:w="343" w:type="pct"/>
            <w:shd w:val="clear" w:color="auto" w:fill="C6EFCE"/>
            <w:noWrap/>
            <w:vAlign w:val="center"/>
          </w:tcPr>
          <w:p w14:paraId="303896E0"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C</w:t>
            </w:r>
          </w:p>
        </w:tc>
        <w:tc>
          <w:tcPr>
            <w:tcW w:w="2155" w:type="pct"/>
            <w:shd w:val="clear" w:color="auto" w:fill="C6EFCE"/>
            <w:noWrap/>
            <w:vAlign w:val="center"/>
          </w:tcPr>
          <w:p w14:paraId="0600EB3E"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Signature de conventions de subvention</w:t>
            </w:r>
          </w:p>
        </w:tc>
      </w:tr>
      <w:tr w:rsidR="00E71057" w:rsidRPr="009D65D8" w14:paraId="66702CAE" w14:textId="77777777" w:rsidTr="00EB1BD7">
        <w:trPr>
          <w:trHeight w:val="315"/>
        </w:trPr>
        <w:tc>
          <w:tcPr>
            <w:tcW w:w="553" w:type="pct"/>
            <w:shd w:val="clear" w:color="auto" w:fill="C6EFCE"/>
            <w:noWrap/>
            <w:vAlign w:val="center"/>
            <w:hideMark/>
          </w:tcPr>
          <w:p w14:paraId="6D2F6F1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154</w:t>
            </w:r>
          </w:p>
        </w:tc>
        <w:tc>
          <w:tcPr>
            <w:tcW w:w="1949" w:type="pct"/>
            <w:shd w:val="clear" w:color="auto" w:fill="C6EFCE"/>
            <w:noWrap/>
            <w:vAlign w:val="center"/>
            <w:hideMark/>
          </w:tcPr>
          <w:p w14:paraId="4FC63726" w14:textId="68FF5AF8" w:rsidR="000D1388" w:rsidRPr="009D65D8" w:rsidRDefault="000E1ECE">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Création de places en crèche (I-4.13)</w:t>
            </w:r>
          </w:p>
        </w:tc>
        <w:tc>
          <w:tcPr>
            <w:tcW w:w="343" w:type="pct"/>
            <w:shd w:val="clear" w:color="auto" w:fill="C6EFCE"/>
            <w:noWrap/>
            <w:vAlign w:val="center"/>
            <w:hideMark/>
          </w:tcPr>
          <w:p w14:paraId="023E8CA4"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55" w:type="pct"/>
            <w:shd w:val="clear" w:color="auto" w:fill="C6EFCE"/>
            <w:noWrap/>
            <w:vAlign w:val="center"/>
            <w:hideMark/>
          </w:tcPr>
          <w:p w14:paraId="34A62F45"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de travaux aux promoteurs</w:t>
            </w:r>
          </w:p>
        </w:tc>
      </w:tr>
      <w:tr w:rsidR="00E71057" w:rsidRPr="009D65D8" w14:paraId="587347DA" w14:textId="77777777" w:rsidTr="00EB1BD7">
        <w:trPr>
          <w:trHeight w:val="315"/>
        </w:trPr>
        <w:tc>
          <w:tcPr>
            <w:tcW w:w="553" w:type="pct"/>
            <w:shd w:val="clear" w:color="auto" w:fill="C6EFCE"/>
            <w:noWrap/>
            <w:vAlign w:val="center"/>
            <w:hideMark/>
          </w:tcPr>
          <w:p w14:paraId="786EEC0B"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159</w:t>
            </w:r>
          </w:p>
        </w:tc>
        <w:tc>
          <w:tcPr>
            <w:tcW w:w="1949" w:type="pct"/>
            <w:shd w:val="clear" w:color="auto" w:fill="C6EFCE"/>
            <w:noWrap/>
            <w:vAlign w:val="center"/>
            <w:hideMark/>
          </w:tcPr>
          <w:p w14:paraId="52626438"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A6K/E6K – Hub d’innovation et de formation numérique et technologique (I-5.01)</w:t>
            </w:r>
          </w:p>
        </w:tc>
        <w:tc>
          <w:tcPr>
            <w:tcW w:w="343" w:type="pct"/>
            <w:shd w:val="clear" w:color="auto" w:fill="C6EFCE"/>
            <w:noWrap/>
            <w:vAlign w:val="center"/>
            <w:hideMark/>
          </w:tcPr>
          <w:p w14:paraId="23ABACDC"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0C1338B6"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Activité développée via le A6K-E6K</w:t>
            </w:r>
          </w:p>
        </w:tc>
      </w:tr>
      <w:tr w:rsidR="00E71057" w:rsidRPr="009D65D8" w14:paraId="396C24E3" w14:textId="77777777" w:rsidTr="00EB1BD7">
        <w:trPr>
          <w:trHeight w:val="315"/>
        </w:trPr>
        <w:tc>
          <w:tcPr>
            <w:tcW w:w="553" w:type="pct"/>
            <w:shd w:val="clear" w:color="auto" w:fill="C6EFCE"/>
            <w:noWrap/>
            <w:vAlign w:val="center"/>
            <w:hideMark/>
          </w:tcPr>
          <w:p w14:paraId="599856B4"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174</w:t>
            </w:r>
          </w:p>
        </w:tc>
        <w:tc>
          <w:tcPr>
            <w:tcW w:w="1949" w:type="pct"/>
            <w:shd w:val="clear" w:color="auto" w:fill="C6EFCE"/>
            <w:noWrap/>
            <w:vAlign w:val="center"/>
            <w:hideMark/>
          </w:tcPr>
          <w:p w14:paraId="44430F6E"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Compte formation (R-5.03)</w:t>
            </w:r>
          </w:p>
        </w:tc>
        <w:tc>
          <w:tcPr>
            <w:tcW w:w="343" w:type="pct"/>
            <w:shd w:val="clear" w:color="auto" w:fill="C6EFCE"/>
            <w:noWrap/>
            <w:vAlign w:val="center"/>
            <w:hideMark/>
          </w:tcPr>
          <w:p w14:paraId="5BB3D93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1DA0B5D3"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établissant l’inscription obligatoire au service public de l’emploi.</w:t>
            </w:r>
          </w:p>
        </w:tc>
      </w:tr>
      <w:tr w:rsidR="00E71057" w:rsidRPr="009D65D8" w14:paraId="4C8FD762" w14:textId="77777777" w:rsidTr="00EB1BD7">
        <w:trPr>
          <w:trHeight w:val="315"/>
        </w:trPr>
        <w:tc>
          <w:tcPr>
            <w:tcW w:w="553" w:type="pct"/>
            <w:shd w:val="clear" w:color="auto" w:fill="C6EFCE"/>
            <w:noWrap/>
            <w:vAlign w:val="center"/>
            <w:hideMark/>
          </w:tcPr>
          <w:p w14:paraId="04CFEC04"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184</w:t>
            </w:r>
          </w:p>
        </w:tc>
        <w:tc>
          <w:tcPr>
            <w:tcW w:w="1949" w:type="pct"/>
            <w:shd w:val="clear" w:color="auto" w:fill="C6EFCE"/>
            <w:noWrap/>
            <w:vAlign w:val="center"/>
            <w:hideMark/>
          </w:tcPr>
          <w:p w14:paraId="379DF6DF"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R&amp;D: Minimisation des déchets lors du démantèlement (I-5.10)</w:t>
            </w:r>
          </w:p>
        </w:tc>
        <w:tc>
          <w:tcPr>
            <w:tcW w:w="343" w:type="pct"/>
            <w:shd w:val="clear" w:color="auto" w:fill="C6EFCE"/>
            <w:noWrap/>
            <w:vAlign w:val="center"/>
            <w:hideMark/>
          </w:tcPr>
          <w:p w14:paraId="4214A34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2CC99618"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du marché pour la construction de l’installation de traitement des matériaux (MaT)</w:t>
            </w:r>
          </w:p>
        </w:tc>
      </w:tr>
      <w:tr w:rsidR="00E71057" w:rsidRPr="009D65D8" w14:paraId="3D40DCE7" w14:textId="77777777" w:rsidTr="00EB1BD7">
        <w:trPr>
          <w:trHeight w:val="315"/>
        </w:trPr>
        <w:tc>
          <w:tcPr>
            <w:tcW w:w="553" w:type="pct"/>
            <w:shd w:val="clear" w:color="auto" w:fill="C6EFCE"/>
            <w:noWrap/>
            <w:vAlign w:val="center"/>
            <w:hideMark/>
          </w:tcPr>
          <w:p w14:paraId="45469B1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207</w:t>
            </w:r>
          </w:p>
        </w:tc>
        <w:tc>
          <w:tcPr>
            <w:tcW w:w="1949" w:type="pct"/>
            <w:shd w:val="clear" w:color="auto" w:fill="C6EFCE"/>
            <w:noWrap/>
            <w:vAlign w:val="center"/>
            <w:hideMark/>
          </w:tcPr>
          <w:p w14:paraId="40B804E3"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Revues des dépenses (R-6)</w:t>
            </w:r>
          </w:p>
        </w:tc>
        <w:tc>
          <w:tcPr>
            <w:tcW w:w="343" w:type="pct"/>
            <w:shd w:val="clear" w:color="auto" w:fill="C6EFCE"/>
            <w:noWrap/>
            <w:vAlign w:val="center"/>
            <w:hideMark/>
          </w:tcPr>
          <w:p w14:paraId="6EA0624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hideMark/>
          </w:tcPr>
          <w:p w14:paraId="19E69077"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intégration de la revue de dépenses dans le processus budgétaire (1) ou (2)/évaluation ex post de la revue des dépenses</w:t>
            </w:r>
          </w:p>
        </w:tc>
      </w:tr>
      <w:tr w:rsidR="00E71057" w:rsidRPr="009D65D8" w14:paraId="36348D39" w14:textId="77777777" w:rsidTr="00EB1BD7">
        <w:trPr>
          <w:trHeight w:val="315"/>
        </w:trPr>
        <w:tc>
          <w:tcPr>
            <w:tcW w:w="553" w:type="pct"/>
            <w:shd w:val="clear" w:color="auto" w:fill="C6EFCE"/>
            <w:noWrap/>
            <w:vAlign w:val="center"/>
          </w:tcPr>
          <w:p w14:paraId="7C67622E"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228</w:t>
            </w:r>
          </w:p>
        </w:tc>
        <w:tc>
          <w:tcPr>
            <w:tcW w:w="1949" w:type="pct"/>
            <w:shd w:val="clear" w:color="auto" w:fill="C6EFCE"/>
            <w:noWrap/>
            <w:vAlign w:val="center"/>
          </w:tcPr>
          <w:p w14:paraId="252E7DDE"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Procédures de recours devant le Conseil d’État (R-7.02)</w:t>
            </w:r>
          </w:p>
        </w:tc>
        <w:tc>
          <w:tcPr>
            <w:tcW w:w="343" w:type="pct"/>
            <w:shd w:val="clear" w:color="auto" w:fill="C6EFCE"/>
            <w:noWrap/>
            <w:vAlign w:val="center"/>
          </w:tcPr>
          <w:p w14:paraId="039F6A92"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2155" w:type="pct"/>
            <w:shd w:val="clear" w:color="auto" w:fill="C6EFCE"/>
            <w:noWrap/>
            <w:vAlign w:val="center"/>
          </w:tcPr>
          <w:p w14:paraId="15C80A01"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Entrée en vigueur de la législation</w:t>
            </w:r>
          </w:p>
        </w:tc>
      </w:tr>
      <w:tr w:rsidR="00E71057" w:rsidRPr="009D65D8" w14:paraId="76B32157" w14:textId="77777777" w:rsidTr="00EB1BD7">
        <w:trPr>
          <w:trHeight w:val="315"/>
        </w:trPr>
        <w:tc>
          <w:tcPr>
            <w:tcW w:w="553" w:type="pct"/>
            <w:shd w:val="clear" w:color="auto" w:fill="C6EFCE"/>
            <w:noWrap/>
            <w:vAlign w:val="center"/>
          </w:tcPr>
          <w:p w14:paraId="191A9AC7"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229</w:t>
            </w:r>
          </w:p>
        </w:tc>
        <w:tc>
          <w:tcPr>
            <w:tcW w:w="1949" w:type="pct"/>
            <w:shd w:val="clear" w:color="auto" w:fill="C6EFCE"/>
            <w:noWrap/>
            <w:vAlign w:val="center"/>
          </w:tcPr>
          <w:p w14:paraId="2CB07A51"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obligatoire de panneaux photovoltaïques pour les grands consommateurs (R-7.03)</w:t>
            </w:r>
          </w:p>
        </w:tc>
        <w:tc>
          <w:tcPr>
            <w:tcW w:w="343" w:type="pct"/>
            <w:shd w:val="clear" w:color="auto" w:fill="C6EFCE"/>
            <w:noWrap/>
            <w:vAlign w:val="center"/>
          </w:tcPr>
          <w:p w14:paraId="09514DD8"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55" w:type="pct"/>
            <w:shd w:val="clear" w:color="auto" w:fill="C6EFCE"/>
            <w:noWrap/>
            <w:vAlign w:val="center"/>
          </w:tcPr>
          <w:p w14:paraId="0F2417D6"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législation</w:t>
            </w:r>
          </w:p>
        </w:tc>
      </w:tr>
      <w:tr w:rsidR="00E71057" w:rsidRPr="009D65D8" w14:paraId="4F3B2CD7" w14:textId="77777777" w:rsidTr="00EB1BD7">
        <w:trPr>
          <w:trHeight w:val="315"/>
        </w:trPr>
        <w:tc>
          <w:tcPr>
            <w:tcW w:w="553" w:type="pct"/>
            <w:shd w:val="clear" w:color="auto" w:fill="C6EFCE"/>
            <w:noWrap/>
            <w:vAlign w:val="center"/>
          </w:tcPr>
          <w:p w14:paraId="5112F413"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IE"/>
              </w:rPr>
            </w:pPr>
          </w:p>
        </w:tc>
        <w:tc>
          <w:tcPr>
            <w:tcW w:w="2292" w:type="pct"/>
            <w:gridSpan w:val="2"/>
            <w:shd w:val="clear" w:color="auto" w:fill="C6EFCE"/>
            <w:noWrap/>
            <w:vAlign w:val="center"/>
          </w:tcPr>
          <w:p w14:paraId="5F2A6547" w14:textId="77777777" w:rsidR="000D1388" w:rsidRPr="009D65D8"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155" w:type="pct"/>
            <w:shd w:val="clear" w:color="auto" w:fill="C6EFCE"/>
            <w:noWrap/>
            <w:vAlign w:val="center"/>
          </w:tcPr>
          <w:p w14:paraId="787C2F9A"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688</w:t>
            </w:r>
            <w:r>
              <w:rPr>
                <w:rFonts w:ascii="Times New Roman" w:hAnsi="Times New Roman"/>
                <w:noProof/>
                <w:color w:val="006100"/>
                <w:sz w:val="24"/>
              </w:rPr>
              <w:t> </w:t>
            </w:r>
            <w:r>
              <w:rPr>
                <w:rFonts w:ascii="Times New Roman" w:hAnsi="Times New Roman"/>
                <w:noProof/>
                <w:color w:val="006100"/>
                <w:sz w:val="20"/>
              </w:rPr>
              <w:t>829</w:t>
            </w:r>
            <w:r>
              <w:rPr>
                <w:rFonts w:ascii="Times New Roman" w:hAnsi="Times New Roman"/>
                <w:noProof/>
                <w:color w:val="006100"/>
                <w:sz w:val="24"/>
              </w:rPr>
              <w:t> </w:t>
            </w:r>
            <w:r>
              <w:rPr>
                <w:rFonts w:ascii="Times New Roman" w:hAnsi="Times New Roman"/>
                <w:noProof/>
                <w:color w:val="006100"/>
                <w:sz w:val="20"/>
              </w:rPr>
              <w:t>691</w:t>
            </w:r>
            <w:r>
              <w:rPr>
                <w:rFonts w:ascii="Times New Roman" w:hAnsi="Times New Roman"/>
                <w:noProof/>
                <w:color w:val="006100"/>
              </w:rPr>
              <w:t> EUR</w:t>
            </w:r>
          </w:p>
        </w:tc>
      </w:tr>
    </w:tbl>
    <w:p w14:paraId="2C3424B9" w14:textId="77777777" w:rsidR="000D1388" w:rsidRPr="009D65D8" w:rsidRDefault="000D1388" w:rsidP="00E71057">
      <w:pPr>
        <w:spacing w:before="120" w:after="120"/>
        <w:rPr>
          <w:rFonts w:ascii="Times New Roman" w:eastAsia="Calibri" w:hAnsi="Times New Roman" w:cs="Times New Roman"/>
          <w:noProof/>
          <w:lang w:val="en-GB"/>
        </w:rPr>
      </w:pPr>
    </w:p>
    <w:p w14:paraId="6771A745" w14:textId="77777777" w:rsidR="000D1388" w:rsidRPr="009D65D8" w:rsidRDefault="00E71057" w:rsidP="00F70F65">
      <w:pPr>
        <w:numPr>
          <w:ilvl w:val="0"/>
          <w:numId w:val="67"/>
        </w:numPr>
        <w:tabs>
          <w:tab w:val="clear" w:pos="850"/>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Quatrième tranche (soutien non remboursable):</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1129"/>
        <w:gridCol w:w="3827"/>
        <w:gridCol w:w="710"/>
        <w:gridCol w:w="4540"/>
      </w:tblGrid>
      <w:tr w:rsidR="00E71057" w:rsidRPr="009D65D8" w14:paraId="079B33FD" w14:textId="77777777" w:rsidTr="00EB1BD7">
        <w:trPr>
          <w:trHeight w:val="300"/>
          <w:tblHeader/>
        </w:trPr>
        <w:tc>
          <w:tcPr>
            <w:tcW w:w="1129" w:type="dxa"/>
            <w:shd w:val="clear" w:color="auto" w:fill="BDD7EE"/>
            <w:noWrap/>
            <w:vAlign w:val="center"/>
            <w:hideMark/>
          </w:tcPr>
          <w:p w14:paraId="0E2AE8A6"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3827" w:type="dxa"/>
            <w:shd w:val="clear" w:color="auto" w:fill="BDD7EE"/>
            <w:noWrap/>
            <w:vAlign w:val="center"/>
            <w:hideMark/>
          </w:tcPr>
          <w:p w14:paraId="1F2BCEF8"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710" w:type="dxa"/>
            <w:shd w:val="clear" w:color="auto" w:fill="BDD7EE"/>
            <w:noWrap/>
            <w:vAlign w:val="center"/>
            <w:hideMark/>
          </w:tcPr>
          <w:p w14:paraId="6EAFCF71"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4540" w:type="dxa"/>
            <w:shd w:val="clear" w:color="auto" w:fill="BDD7EE"/>
            <w:noWrap/>
            <w:vAlign w:val="center"/>
            <w:hideMark/>
          </w:tcPr>
          <w:p w14:paraId="69B60999"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E71057" w:rsidRPr="009D65D8" w14:paraId="7557C396" w14:textId="77777777" w:rsidTr="00EB1BD7">
        <w:trPr>
          <w:trHeight w:val="315"/>
        </w:trPr>
        <w:tc>
          <w:tcPr>
            <w:tcW w:w="1129" w:type="dxa"/>
            <w:shd w:val="clear" w:color="auto" w:fill="C6EFCE"/>
            <w:noWrap/>
            <w:vAlign w:val="center"/>
            <w:hideMark/>
          </w:tcPr>
          <w:p w14:paraId="6826189F"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15 </w:t>
            </w:r>
            <w:r>
              <w:rPr>
                <w:rFonts w:ascii="Times New Roman" w:hAnsi="Times New Roman"/>
                <w:i/>
                <w:iCs/>
                <w:noProof/>
                <w:color w:val="006100"/>
                <w:sz w:val="20"/>
              </w:rPr>
              <w:t>ter</w:t>
            </w:r>
          </w:p>
        </w:tc>
        <w:tc>
          <w:tcPr>
            <w:tcW w:w="3827" w:type="dxa"/>
            <w:shd w:val="clear" w:color="auto" w:fill="C6EFCE"/>
            <w:noWrap/>
            <w:vAlign w:val="center"/>
            <w:hideMark/>
          </w:tcPr>
          <w:p w14:paraId="188B6FF2"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Cadre réglementaire pour le marché du CO</w:t>
            </w:r>
            <w:r>
              <w:rPr>
                <w:rFonts w:ascii="Times New Roman" w:hAnsi="Times New Roman"/>
                <w:noProof/>
                <w:color w:val="006100"/>
                <w:sz w:val="20"/>
                <w:vertAlign w:val="subscript"/>
              </w:rPr>
              <w:t>2</w:t>
            </w:r>
            <w:r>
              <w:rPr>
                <w:rFonts w:ascii="Times New Roman" w:hAnsi="Times New Roman"/>
                <w:noProof/>
                <w:color w:val="006100"/>
                <w:sz w:val="20"/>
              </w:rPr>
              <w:t xml:space="preserve"> en Wallonie (R-1.06)</w:t>
            </w:r>
          </w:p>
        </w:tc>
        <w:tc>
          <w:tcPr>
            <w:tcW w:w="710" w:type="dxa"/>
            <w:shd w:val="clear" w:color="auto" w:fill="C6EFCE"/>
            <w:noWrap/>
            <w:vAlign w:val="center"/>
            <w:hideMark/>
          </w:tcPr>
          <w:p w14:paraId="385244C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472519B3"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d’un décret pour permettre le développement du marché du CO</w:t>
            </w:r>
            <w:r>
              <w:rPr>
                <w:rFonts w:ascii="Times New Roman" w:hAnsi="Times New Roman"/>
                <w:noProof/>
                <w:color w:val="006100"/>
                <w:sz w:val="20"/>
                <w:vertAlign w:val="subscript"/>
              </w:rPr>
              <w:t>2</w:t>
            </w:r>
            <w:r>
              <w:rPr>
                <w:rFonts w:ascii="Times New Roman" w:hAnsi="Times New Roman"/>
                <w:noProof/>
                <w:color w:val="006100"/>
                <w:sz w:val="20"/>
              </w:rPr>
              <w:t xml:space="preserve"> en Wallonie</w:t>
            </w:r>
          </w:p>
        </w:tc>
      </w:tr>
      <w:tr w:rsidR="00E71057" w:rsidRPr="009D65D8" w14:paraId="1959CA95" w14:textId="77777777" w:rsidTr="00EB1BD7">
        <w:trPr>
          <w:trHeight w:val="315"/>
        </w:trPr>
        <w:tc>
          <w:tcPr>
            <w:tcW w:w="1129" w:type="dxa"/>
            <w:shd w:val="clear" w:color="auto" w:fill="C6EFCE"/>
            <w:noWrap/>
            <w:vAlign w:val="center"/>
          </w:tcPr>
          <w:p w14:paraId="42F75059"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40</w:t>
            </w:r>
          </w:p>
        </w:tc>
        <w:tc>
          <w:tcPr>
            <w:tcW w:w="3827" w:type="dxa"/>
            <w:shd w:val="clear" w:color="auto" w:fill="C6EFCE"/>
            <w:noWrap/>
            <w:vAlign w:val="center"/>
          </w:tcPr>
          <w:p w14:paraId="24D22DBE"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Défragmentation écologique (I-1.23)</w:t>
            </w:r>
          </w:p>
        </w:tc>
        <w:tc>
          <w:tcPr>
            <w:tcW w:w="710" w:type="dxa"/>
            <w:shd w:val="clear" w:color="auto" w:fill="C6EFCE"/>
            <w:noWrap/>
            <w:vAlign w:val="center"/>
          </w:tcPr>
          <w:p w14:paraId="2E318979"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tcPr>
          <w:p w14:paraId="3D73AA51"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des projets de défragmentation écologique</w:t>
            </w:r>
          </w:p>
        </w:tc>
      </w:tr>
      <w:tr w:rsidR="00E71057" w:rsidRPr="009D65D8" w14:paraId="36716DD5" w14:textId="77777777" w:rsidTr="00EB1BD7">
        <w:trPr>
          <w:trHeight w:val="315"/>
        </w:trPr>
        <w:tc>
          <w:tcPr>
            <w:tcW w:w="1129" w:type="dxa"/>
            <w:shd w:val="clear" w:color="auto" w:fill="C6EFCE"/>
            <w:noWrap/>
            <w:vAlign w:val="center"/>
            <w:hideMark/>
          </w:tcPr>
          <w:p w14:paraId="24BD71D9"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59</w:t>
            </w:r>
          </w:p>
        </w:tc>
        <w:tc>
          <w:tcPr>
            <w:tcW w:w="3827" w:type="dxa"/>
            <w:shd w:val="clear" w:color="auto" w:fill="C6EFCE"/>
            <w:noWrap/>
            <w:vAlign w:val="center"/>
            <w:hideMark/>
          </w:tcPr>
          <w:p w14:paraId="12C562C2"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Digitalisation SPF (I-2.05) (sous-mesure 1: transformation numérique de la justice) </w:t>
            </w:r>
          </w:p>
        </w:tc>
        <w:tc>
          <w:tcPr>
            <w:tcW w:w="710" w:type="dxa"/>
            <w:shd w:val="clear" w:color="auto" w:fill="C6EFCE"/>
            <w:noWrap/>
            <w:vAlign w:val="center"/>
            <w:hideMark/>
          </w:tcPr>
          <w:p w14:paraId="396A668C"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41ECD9EF"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Base de données pour la collecte de données</w:t>
            </w:r>
          </w:p>
        </w:tc>
      </w:tr>
      <w:tr w:rsidR="00E71057" w:rsidRPr="009D65D8" w14:paraId="3EAF8965" w14:textId="77777777" w:rsidTr="00EB1BD7">
        <w:trPr>
          <w:trHeight w:val="315"/>
        </w:trPr>
        <w:tc>
          <w:tcPr>
            <w:tcW w:w="1129" w:type="dxa"/>
            <w:shd w:val="clear" w:color="auto" w:fill="C6EFCE"/>
            <w:noWrap/>
            <w:vAlign w:val="center"/>
            <w:hideMark/>
          </w:tcPr>
          <w:p w14:paraId="388F4D36"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83</w:t>
            </w:r>
          </w:p>
        </w:tc>
        <w:tc>
          <w:tcPr>
            <w:tcW w:w="3827" w:type="dxa"/>
            <w:shd w:val="clear" w:color="auto" w:fill="C6EFCE"/>
            <w:noWrap/>
            <w:vAlign w:val="center"/>
            <w:hideMark/>
          </w:tcPr>
          <w:p w14:paraId="6C91D95F"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d’un institut d’IA afin d’utiliser cette technologie pour répondre aux défis sociétaux (I-2.14)</w:t>
            </w:r>
          </w:p>
        </w:tc>
        <w:tc>
          <w:tcPr>
            <w:tcW w:w="710" w:type="dxa"/>
            <w:shd w:val="clear" w:color="auto" w:fill="C6EFCE"/>
            <w:noWrap/>
            <w:vAlign w:val="center"/>
            <w:hideMark/>
          </w:tcPr>
          <w:p w14:paraId="324CF9AA" w14:textId="77777777" w:rsidR="000D1388" w:rsidRPr="009D65D8" w:rsidRDefault="00E71057" w:rsidP="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4E12B4D1" w14:textId="77777777" w:rsidR="000D1388" w:rsidRPr="009D65D8"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Services fournis</w:t>
            </w:r>
          </w:p>
        </w:tc>
      </w:tr>
      <w:tr w:rsidR="00E71057" w:rsidRPr="009D65D8" w14:paraId="44BBC669" w14:textId="77777777" w:rsidTr="00EB1BD7">
        <w:trPr>
          <w:trHeight w:val="315"/>
        </w:trPr>
        <w:tc>
          <w:tcPr>
            <w:tcW w:w="1129" w:type="dxa"/>
            <w:shd w:val="clear" w:color="auto" w:fill="C6EFCE"/>
            <w:noWrap/>
            <w:vAlign w:val="center"/>
            <w:hideMark/>
          </w:tcPr>
          <w:p w14:paraId="6F36CED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94</w:t>
            </w:r>
          </w:p>
        </w:tc>
        <w:tc>
          <w:tcPr>
            <w:tcW w:w="3827" w:type="dxa"/>
            <w:shd w:val="clear" w:color="auto" w:fill="C6EFCE"/>
            <w:noWrap/>
            <w:vAlign w:val="center"/>
            <w:hideMark/>
          </w:tcPr>
          <w:p w14:paraId="24AAF90F"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(I-3A)</w:t>
            </w:r>
          </w:p>
        </w:tc>
        <w:tc>
          <w:tcPr>
            <w:tcW w:w="710" w:type="dxa"/>
            <w:shd w:val="clear" w:color="auto" w:fill="C6EFCE"/>
            <w:noWrap/>
            <w:vAlign w:val="center"/>
            <w:hideMark/>
          </w:tcPr>
          <w:p w14:paraId="4E218931"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77990759"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Début de tous les projets cyclables et piétons</w:t>
            </w:r>
          </w:p>
        </w:tc>
      </w:tr>
      <w:tr w:rsidR="00E71057" w:rsidRPr="009D65D8" w14:paraId="33109813" w14:textId="77777777" w:rsidTr="00EB1BD7">
        <w:trPr>
          <w:trHeight w:val="315"/>
        </w:trPr>
        <w:tc>
          <w:tcPr>
            <w:tcW w:w="1129" w:type="dxa"/>
            <w:shd w:val="clear" w:color="auto" w:fill="C6EFCE"/>
            <w:noWrap/>
            <w:vAlign w:val="center"/>
            <w:hideMark/>
          </w:tcPr>
          <w:p w14:paraId="72B78554"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95</w:t>
            </w:r>
          </w:p>
        </w:tc>
        <w:tc>
          <w:tcPr>
            <w:tcW w:w="3827" w:type="dxa"/>
            <w:shd w:val="clear" w:color="auto" w:fill="C6EFCE"/>
            <w:noWrap/>
            <w:vAlign w:val="center"/>
            <w:hideMark/>
          </w:tcPr>
          <w:p w14:paraId="0582E9E5"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(I-3A)</w:t>
            </w:r>
          </w:p>
        </w:tc>
        <w:tc>
          <w:tcPr>
            <w:tcW w:w="710" w:type="dxa"/>
            <w:shd w:val="clear" w:color="auto" w:fill="C6EFCE"/>
            <w:noWrap/>
            <w:vAlign w:val="center"/>
            <w:hideMark/>
          </w:tcPr>
          <w:p w14:paraId="0A53ABC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46F1532C"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Pistes cyclables nouvellement construites ou rénovées</w:t>
            </w:r>
          </w:p>
        </w:tc>
      </w:tr>
      <w:tr w:rsidR="00E71057" w:rsidRPr="009D65D8" w14:paraId="725FC747" w14:textId="77777777" w:rsidTr="00EB1BD7">
        <w:trPr>
          <w:trHeight w:val="315"/>
        </w:trPr>
        <w:tc>
          <w:tcPr>
            <w:tcW w:w="1129" w:type="dxa"/>
            <w:shd w:val="clear" w:color="auto" w:fill="C6EFCE"/>
            <w:noWrap/>
            <w:vAlign w:val="center"/>
            <w:hideMark/>
          </w:tcPr>
          <w:p w14:paraId="1EA6E99F"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102</w:t>
            </w:r>
          </w:p>
        </w:tc>
        <w:tc>
          <w:tcPr>
            <w:tcW w:w="3827" w:type="dxa"/>
            <w:shd w:val="clear" w:color="auto" w:fill="C6EFCE"/>
            <w:noWrap/>
            <w:vAlign w:val="center"/>
            <w:hideMark/>
          </w:tcPr>
          <w:p w14:paraId="045D2EA4"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le transport public en Wallonie (I-3B)</w:t>
            </w:r>
          </w:p>
        </w:tc>
        <w:tc>
          <w:tcPr>
            <w:tcW w:w="710" w:type="dxa"/>
            <w:shd w:val="clear" w:color="auto" w:fill="C6EFCE"/>
            <w:noWrap/>
            <w:vAlign w:val="center"/>
            <w:hideMark/>
          </w:tcPr>
          <w:p w14:paraId="05D2EDB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07F58E46"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du contrat de service public de l’OTW («Opérateur de transport de Wallonie»)</w:t>
            </w:r>
          </w:p>
        </w:tc>
      </w:tr>
      <w:tr w:rsidR="00E71057" w:rsidRPr="009D65D8" w14:paraId="1D1AD844" w14:textId="77777777" w:rsidTr="00EB1BD7">
        <w:trPr>
          <w:trHeight w:val="315"/>
        </w:trPr>
        <w:tc>
          <w:tcPr>
            <w:tcW w:w="1129" w:type="dxa"/>
            <w:shd w:val="clear" w:color="auto" w:fill="C6EFCE"/>
            <w:noWrap/>
            <w:vAlign w:val="center"/>
          </w:tcPr>
          <w:p w14:paraId="5F6CE34E"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122</w:t>
            </w:r>
          </w:p>
        </w:tc>
        <w:tc>
          <w:tcPr>
            <w:tcW w:w="3827" w:type="dxa"/>
            <w:shd w:val="clear" w:color="auto" w:fill="C6EFCE"/>
            <w:noWrap/>
            <w:vAlign w:val="center"/>
          </w:tcPr>
          <w:p w14:paraId="6F59128E"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Bornes de recharge (I-3F)</w:t>
            </w:r>
          </w:p>
        </w:tc>
        <w:tc>
          <w:tcPr>
            <w:tcW w:w="710" w:type="dxa"/>
            <w:shd w:val="clear" w:color="auto" w:fill="C6EFCE"/>
            <w:noWrap/>
            <w:vAlign w:val="center"/>
          </w:tcPr>
          <w:p w14:paraId="4729CF04"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540" w:type="dxa"/>
            <w:shd w:val="clear" w:color="auto" w:fill="C6EFCE"/>
            <w:noWrap/>
            <w:vAlign w:val="center"/>
          </w:tcPr>
          <w:p w14:paraId="29F7A8FE"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Points de recharge privés, semi-publics et publics supplémentaires (étape 2)</w:t>
            </w:r>
          </w:p>
        </w:tc>
      </w:tr>
      <w:tr w:rsidR="00E71057" w:rsidRPr="009D65D8" w14:paraId="74013B47" w14:textId="77777777" w:rsidTr="00EB1BD7">
        <w:trPr>
          <w:trHeight w:val="315"/>
        </w:trPr>
        <w:tc>
          <w:tcPr>
            <w:tcW w:w="1129" w:type="dxa"/>
            <w:shd w:val="clear" w:color="auto" w:fill="C6EFCE"/>
            <w:noWrap/>
            <w:vAlign w:val="center"/>
            <w:hideMark/>
          </w:tcPr>
          <w:p w14:paraId="29E760D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129</w:t>
            </w:r>
          </w:p>
        </w:tc>
        <w:tc>
          <w:tcPr>
            <w:tcW w:w="3827" w:type="dxa"/>
            <w:shd w:val="clear" w:color="auto" w:fill="C6EFCE"/>
            <w:noWrap/>
            <w:vAlign w:val="center"/>
            <w:hideMark/>
          </w:tcPr>
          <w:p w14:paraId="2C7A5A5E"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Actes juridiques visant à réduire le décrochage scolaire et l’absentéisme et à lutter contre les exclusions définitives (R-4.03)</w:t>
            </w:r>
          </w:p>
        </w:tc>
        <w:tc>
          <w:tcPr>
            <w:tcW w:w="710" w:type="dxa"/>
            <w:shd w:val="clear" w:color="auto" w:fill="C6EFCE"/>
            <w:noWrap/>
            <w:vAlign w:val="center"/>
            <w:hideMark/>
          </w:tcPr>
          <w:p w14:paraId="6CE98836"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561B6512"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Législation portant mesures de lutte contre le décrochage scolaire</w:t>
            </w:r>
          </w:p>
        </w:tc>
      </w:tr>
      <w:tr w:rsidR="00E71057" w:rsidRPr="009D65D8" w14:paraId="0E359C98" w14:textId="77777777" w:rsidTr="00EB1BD7">
        <w:trPr>
          <w:trHeight w:val="315"/>
        </w:trPr>
        <w:tc>
          <w:tcPr>
            <w:tcW w:w="1129" w:type="dxa"/>
            <w:shd w:val="clear" w:color="auto" w:fill="C6EFCE"/>
            <w:noWrap/>
            <w:vAlign w:val="center"/>
            <w:hideMark/>
          </w:tcPr>
          <w:p w14:paraId="6E4C0787" w14:textId="77777777" w:rsidR="000D1388" w:rsidRPr="00DD67A6"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133</w:t>
            </w:r>
          </w:p>
        </w:tc>
        <w:tc>
          <w:tcPr>
            <w:tcW w:w="3827" w:type="dxa"/>
            <w:shd w:val="clear" w:color="auto" w:fill="C6EFCE"/>
            <w:noWrap/>
            <w:vAlign w:val="center"/>
            <w:hideMark/>
          </w:tcPr>
          <w:p w14:paraId="75C9C63E" w14:textId="77777777" w:rsidR="000D1388" w:rsidRPr="009D65D8" w:rsidRDefault="00E71057">
            <w:pPr>
              <w:rPr>
                <w:rFonts w:ascii="Times New Roman" w:eastAsia="Calibri" w:hAnsi="Times New Roman" w:cs="Arial"/>
                <w:noProof/>
                <w:color w:val="006100"/>
                <w:sz w:val="20"/>
                <w:szCs w:val="20"/>
              </w:rPr>
            </w:pPr>
            <w:r>
              <w:rPr>
                <w:rFonts w:ascii="Times New Roman" w:hAnsi="Times New Roman"/>
                <w:noProof/>
                <w:color w:val="006100"/>
                <w:sz w:val="20"/>
              </w:rPr>
              <w:t>Stratégie numérique pour l’enseignement supérieur et l’enseignement pour adultes (I-4.04)</w:t>
            </w:r>
          </w:p>
        </w:tc>
        <w:tc>
          <w:tcPr>
            <w:tcW w:w="710" w:type="dxa"/>
            <w:shd w:val="clear" w:color="auto" w:fill="C6EFCE"/>
            <w:noWrap/>
            <w:vAlign w:val="center"/>
            <w:hideMark/>
          </w:tcPr>
          <w:p w14:paraId="58C730A2" w14:textId="77777777" w:rsidR="000D1388" w:rsidRPr="00DD67A6"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6CA19748" w14:textId="77777777" w:rsidR="000D1388" w:rsidRPr="00DD67A6" w:rsidRDefault="00E71057">
            <w:pPr>
              <w:rPr>
                <w:rFonts w:ascii="Times New Roman" w:eastAsia="Calibri" w:hAnsi="Times New Roman" w:cs="Arial"/>
                <w:noProof/>
                <w:color w:val="006100"/>
                <w:sz w:val="20"/>
                <w:szCs w:val="20"/>
              </w:rPr>
            </w:pPr>
            <w:r>
              <w:rPr>
                <w:rFonts w:ascii="Times New Roman" w:hAnsi="Times New Roman"/>
                <w:noProof/>
                <w:color w:val="006100"/>
                <w:sz w:val="20"/>
              </w:rPr>
              <w:t>Octroi de subventions pour de l’équipement numérique</w:t>
            </w:r>
          </w:p>
        </w:tc>
      </w:tr>
      <w:tr w:rsidR="00E71057" w:rsidRPr="009D65D8" w14:paraId="2182B5DD" w14:textId="77777777" w:rsidTr="00EB1BD7">
        <w:trPr>
          <w:trHeight w:val="315"/>
        </w:trPr>
        <w:tc>
          <w:tcPr>
            <w:tcW w:w="1129" w:type="dxa"/>
            <w:shd w:val="clear" w:color="auto" w:fill="C6EFCE"/>
            <w:noWrap/>
            <w:vAlign w:val="center"/>
            <w:hideMark/>
          </w:tcPr>
          <w:p w14:paraId="39C53B60"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138</w:t>
            </w:r>
          </w:p>
        </w:tc>
        <w:tc>
          <w:tcPr>
            <w:tcW w:w="3827" w:type="dxa"/>
            <w:shd w:val="clear" w:color="auto" w:fill="C6EFCE"/>
            <w:noWrap/>
            <w:vAlign w:val="center"/>
            <w:hideMark/>
          </w:tcPr>
          <w:p w14:paraId="5E83A8A4"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Virage numérique des écoles bruxelloises (I-4.05)</w:t>
            </w:r>
          </w:p>
        </w:tc>
        <w:tc>
          <w:tcPr>
            <w:tcW w:w="710" w:type="dxa"/>
            <w:shd w:val="clear" w:color="auto" w:fill="C6EFCE"/>
            <w:noWrap/>
            <w:vAlign w:val="center"/>
            <w:hideMark/>
          </w:tcPr>
          <w:p w14:paraId="7BE98274"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483E850A"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Équiper les écoles de dispositifs TIC et de points d’accès Wifi afin d’améliorer les performances globales des systèmes d’éducation</w:t>
            </w:r>
          </w:p>
        </w:tc>
      </w:tr>
      <w:tr w:rsidR="00E71057" w:rsidRPr="009D65D8" w:rsidDel="0060494A" w14:paraId="6C7A5CCD" w14:textId="77777777" w:rsidTr="00EB1BD7">
        <w:trPr>
          <w:trHeight w:val="315"/>
        </w:trPr>
        <w:tc>
          <w:tcPr>
            <w:tcW w:w="1129" w:type="dxa"/>
            <w:shd w:val="clear" w:color="auto" w:fill="C6EFCE"/>
            <w:noWrap/>
            <w:vAlign w:val="center"/>
            <w:hideMark/>
          </w:tcPr>
          <w:p w14:paraId="2E87A1F9" w14:textId="77777777" w:rsidR="000D1388" w:rsidRPr="009D65D8" w:rsidDel="0060494A"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139</w:t>
            </w:r>
          </w:p>
        </w:tc>
        <w:tc>
          <w:tcPr>
            <w:tcW w:w="3827" w:type="dxa"/>
            <w:shd w:val="clear" w:color="auto" w:fill="C6EFCE"/>
            <w:noWrap/>
            <w:vAlign w:val="center"/>
            <w:hideMark/>
          </w:tcPr>
          <w:p w14:paraId="245D9A43" w14:textId="77777777" w:rsidR="000D1388" w:rsidRPr="009D65D8" w:rsidDel="0060494A"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de (re-)qualification (R-4.05)</w:t>
            </w:r>
          </w:p>
        </w:tc>
        <w:tc>
          <w:tcPr>
            <w:tcW w:w="710" w:type="dxa"/>
            <w:shd w:val="clear" w:color="auto" w:fill="C6EFCE"/>
            <w:noWrap/>
            <w:vAlign w:val="center"/>
            <w:hideMark/>
          </w:tcPr>
          <w:p w14:paraId="35F3B6C9" w14:textId="77777777" w:rsidR="000D1388" w:rsidRPr="009D65D8" w:rsidDel="0060494A"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61B80A92" w14:textId="77777777" w:rsidR="000D1388" w:rsidRPr="009D65D8" w:rsidDel="0060494A"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Actes juridiques visant à promouvoir l’intégration des groupes défavorisés sur le marché du travail</w:t>
            </w:r>
          </w:p>
        </w:tc>
      </w:tr>
      <w:tr w:rsidR="00E71057" w:rsidRPr="009D65D8" w14:paraId="23AD3A9B" w14:textId="77777777" w:rsidTr="00EB1BD7">
        <w:trPr>
          <w:trHeight w:val="315"/>
        </w:trPr>
        <w:tc>
          <w:tcPr>
            <w:tcW w:w="1129" w:type="dxa"/>
            <w:shd w:val="clear" w:color="auto" w:fill="C6EFCE"/>
            <w:noWrap/>
            <w:vAlign w:val="center"/>
            <w:hideMark/>
          </w:tcPr>
          <w:p w14:paraId="2D47158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144</w:t>
            </w:r>
          </w:p>
        </w:tc>
        <w:tc>
          <w:tcPr>
            <w:tcW w:w="3827" w:type="dxa"/>
            <w:shd w:val="clear" w:color="auto" w:fill="C6EFCE"/>
            <w:noWrap/>
            <w:vAlign w:val="center"/>
            <w:hideMark/>
          </w:tcPr>
          <w:p w14:paraId="1B122CB9"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de (re)qualification des compétences (I-4.07)</w:t>
            </w:r>
          </w:p>
        </w:tc>
        <w:tc>
          <w:tcPr>
            <w:tcW w:w="710" w:type="dxa"/>
            <w:shd w:val="clear" w:color="auto" w:fill="C6EFCE"/>
            <w:noWrap/>
            <w:vAlign w:val="center"/>
            <w:hideMark/>
          </w:tcPr>
          <w:p w14:paraId="234A63A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77DE3BE8"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Conseils en matière de compétences linguistiques et numériques à l’intention des demandeurs d’emploi</w:t>
            </w:r>
          </w:p>
        </w:tc>
      </w:tr>
      <w:tr w:rsidR="00E71057" w:rsidRPr="009D65D8" w14:paraId="7C031185" w14:textId="77777777" w:rsidTr="00EB1BD7">
        <w:trPr>
          <w:trHeight w:val="315"/>
        </w:trPr>
        <w:tc>
          <w:tcPr>
            <w:tcW w:w="1129" w:type="dxa"/>
            <w:shd w:val="clear" w:color="auto" w:fill="C6EFCE"/>
            <w:noWrap/>
            <w:vAlign w:val="center"/>
            <w:hideMark/>
          </w:tcPr>
          <w:p w14:paraId="47AE019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151</w:t>
            </w:r>
          </w:p>
        </w:tc>
        <w:tc>
          <w:tcPr>
            <w:tcW w:w="3827" w:type="dxa"/>
            <w:shd w:val="clear" w:color="auto" w:fill="C6EFCE"/>
            <w:noWrap/>
            <w:vAlign w:val="center"/>
            <w:hideMark/>
          </w:tcPr>
          <w:p w14:paraId="797F9096" w14:textId="4D4047C2" w:rsidR="000D1388" w:rsidRPr="009D65D8" w:rsidRDefault="00E810B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Logements sociaux et logements à destination de personnes vulnérables (I-4.12)</w:t>
            </w:r>
          </w:p>
        </w:tc>
        <w:tc>
          <w:tcPr>
            <w:tcW w:w="710" w:type="dxa"/>
            <w:shd w:val="clear" w:color="auto" w:fill="C6EFCE"/>
            <w:noWrap/>
            <w:vAlign w:val="center"/>
            <w:hideMark/>
          </w:tcPr>
          <w:p w14:paraId="2DDAB411"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3A3AC778"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d’une partie des travaux</w:t>
            </w:r>
          </w:p>
        </w:tc>
      </w:tr>
      <w:tr w:rsidR="00E71057" w:rsidRPr="009D65D8" w14:paraId="6E52CD96" w14:textId="77777777" w:rsidTr="00EB1BD7">
        <w:trPr>
          <w:trHeight w:val="315"/>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40DBC"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157</w:t>
            </w:r>
          </w:p>
        </w:tc>
        <w:tc>
          <w:tcPr>
            <w:tcW w:w="38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4FA6DC"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Fin de carrière et pensions (R-4.07)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C11D4B"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5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D71C8"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Proposition de réforme des pensions</w:t>
            </w:r>
          </w:p>
        </w:tc>
      </w:tr>
      <w:tr w:rsidR="00E71057" w:rsidRPr="009D65D8" w14:paraId="5DA544E7" w14:textId="77777777" w:rsidTr="00EB1BD7">
        <w:trPr>
          <w:trHeight w:val="315"/>
        </w:trPr>
        <w:tc>
          <w:tcPr>
            <w:tcW w:w="1129" w:type="dxa"/>
            <w:shd w:val="clear" w:color="auto" w:fill="C6EFCE"/>
            <w:noWrap/>
            <w:vAlign w:val="center"/>
            <w:hideMark/>
          </w:tcPr>
          <w:p w14:paraId="79A5DBB7"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158</w:t>
            </w:r>
          </w:p>
        </w:tc>
        <w:tc>
          <w:tcPr>
            <w:tcW w:w="3827" w:type="dxa"/>
            <w:shd w:val="clear" w:color="auto" w:fill="C6EFCE"/>
            <w:noWrap/>
            <w:vAlign w:val="center"/>
            <w:hideMark/>
          </w:tcPr>
          <w:p w14:paraId="6AEAEECB"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 de carrière et pensions (R-4.07)</w:t>
            </w:r>
          </w:p>
        </w:tc>
        <w:tc>
          <w:tcPr>
            <w:tcW w:w="710" w:type="dxa"/>
            <w:shd w:val="clear" w:color="auto" w:fill="C6EFCE"/>
            <w:noWrap/>
            <w:vAlign w:val="center"/>
            <w:hideMark/>
          </w:tcPr>
          <w:p w14:paraId="51D7D090"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5F691707"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réforme des pensions</w:t>
            </w:r>
          </w:p>
        </w:tc>
      </w:tr>
      <w:tr w:rsidR="00E71057" w:rsidRPr="009D65D8" w14:paraId="08BFBD56" w14:textId="77777777" w:rsidTr="00EB1BD7">
        <w:trPr>
          <w:trHeight w:val="315"/>
        </w:trPr>
        <w:tc>
          <w:tcPr>
            <w:tcW w:w="1129" w:type="dxa"/>
            <w:shd w:val="clear" w:color="auto" w:fill="C6EFCE"/>
            <w:noWrap/>
            <w:vAlign w:val="center"/>
            <w:hideMark/>
          </w:tcPr>
          <w:p w14:paraId="28513832"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165</w:t>
            </w:r>
          </w:p>
        </w:tc>
        <w:tc>
          <w:tcPr>
            <w:tcW w:w="3827" w:type="dxa"/>
            <w:shd w:val="clear" w:color="auto" w:fill="C6EFCE"/>
            <w:noWrap/>
            <w:vAlign w:val="center"/>
            <w:hideMark/>
          </w:tcPr>
          <w:p w14:paraId="4EE5ADAE"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Offensive d’apprentissage et de carrière (I-5.04)</w:t>
            </w:r>
          </w:p>
        </w:tc>
        <w:tc>
          <w:tcPr>
            <w:tcW w:w="710" w:type="dxa"/>
            <w:shd w:val="clear" w:color="auto" w:fill="C6EFCE"/>
            <w:noWrap/>
            <w:vAlign w:val="center"/>
            <w:hideMark/>
          </w:tcPr>
          <w:p w14:paraId="5C44CC0B"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5654A80C"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Soutien aux entreprises en Flandre au moyen de bilans des compétences et appels à projets </w:t>
            </w:r>
          </w:p>
        </w:tc>
      </w:tr>
      <w:tr w:rsidR="00E71057" w:rsidRPr="009D65D8" w14:paraId="35187952" w14:textId="77777777" w:rsidTr="00EB1BD7">
        <w:trPr>
          <w:trHeight w:val="315"/>
        </w:trPr>
        <w:tc>
          <w:tcPr>
            <w:tcW w:w="1129" w:type="dxa"/>
            <w:shd w:val="clear" w:color="auto" w:fill="C6EFCE"/>
            <w:noWrap/>
            <w:vAlign w:val="center"/>
            <w:hideMark/>
          </w:tcPr>
          <w:p w14:paraId="3ECF521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166</w:t>
            </w:r>
          </w:p>
        </w:tc>
        <w:tc>
          <w:tcPr>
            <w:tcW w:w="3827" w:type="dxa"/>
            <w:shd w:val="clear" w:color="auto" w:fill="C6EFCE"/>
            <w:noWrap/>
            <w:vAlign w:val="center"/>
            <w:hideMark/>
          </w:tcPr>
          <w:p w14:paraId="328C87D5"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de relance du marché de l’emploi axée sur l’efficience et l’optimisation des politiques d’activation et de formation (I-5.05)</w:t>
            </w:r>
          </w:p>
        </w:tc>
        <w:tc>
          <w:tcPr>
            <w:tcW w:w="710" w:type="dxa"/>
            <w:shd w:val="clear" w:color="auto" w:fill="C6EFCE"/>
            <w:noWrap/>
            <w:vAlign w:val="center"/>
            <w:hideMark/>
          </w:tcPr>
          <w:p w14:paraId="5443C38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46B1FBDF"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à l’activation des chercheurs d’emploi et des travailleurs à Bruxelles</w:t>
            </w:r>
          </w:p>
        </w:tc>
      </w:tr>
      <w:tr w:rsidR="00E71057" w:rsidRPr="009D65D8" w14:paraId="376861FF" w14:textId="77777777" w:rsidTr="00EB1BD7">
        <w:trPr>
          <w:trHeight w:val="315"/>
        </w:trPr>
        <w:tc>
          <w:tcPr>
            <w:tcW w:w="1129" w:type="dxa"/>
            <w:shd w:val="clear" w:color="auto" w:fill="C6EFCE"/>
            <w:noWrap/>
            <w:vAlign w:val="center"/>
            <w:hideMark/>
          </w:tcPr>
          <w:p w14:paraId="06F31A6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170</w:t>
            </w:r>
          </w:p>
        </w:tc>
        <w:tc>
          <w:tcPr>
            <w:tcW w:w="3827" w:type="dxa"/>
            <w:shd w:val="clear" w:color="auto" w:fill="C6EFCE"/>
            <w:noWrap/>
            <w:vAlign w:val="center"/>
            <w:hideMark/>
          </w:tcPr>
          <w:p w14:paraId="3749A70F"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Compétences numériques (I-5.06)</w:t>
            </w:r>
          </w:p>
        </w:tc>
        <w:tc>
          <w:tcPr>
            <w:tcW w:w="710" w:type="dxa"/>
            <w:shd w:val="clear" w:color="auto" w:fill="C6EFCE"/>
            <w:noWrap/>
            <w:vAlign w:val="center"/>
            <w:hideMark/>
          </w:tcPr>
          <w:p w14:paraId="1F9AADA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0C05039D"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Outils et services numériques aux citoyens, aux employeurs et aux partenaires du VDAB </w:t>
            </w:r>
          </w:p>
        </w:tc>
      </w:tr>
      <w:tr w:rsidR="00E71057" w:rsidRPr="009D65D8" w14:paraId="26B71EB3" w14:textId="77777777" w:rsidTr="00EB1BD7">
        <w:trPr>
          <w:trHeight w:val="315"/>
        </w:trPr>
        <w:tc>
          <w:tcPr>
            <w:tcW w:w="1129" w:type="dxa"/>
            <w:shd w:val="clear" w:color="auto" w:fill="C6EFCE"/>
            <w:noWrap/>
            <w:vAlign w:val="center"/>
            <w:hideMark/>
          </w:tcPr>
          <w:p w14:paraId="3A8443D0"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188</w:t>
            </w:r>
          </w:p>
        </w:tc>
        <w:tc>
          <w:tcPr>
            <w:tcW w:w="3827" w:type="dxa"/>
            <w:shd w:val="clear" w:color="auto" w:fill="C6EFCE"/>
            <w:noWrap/>
            <w:vAlign w:val="center"/>
            <w:hideMark/>
          </w:tcPr>
          <w:p w14:paraId="7F2A43AC"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710" w:type="dxa"/>
            <w:shd w:val="clear" w:color="auto" w:fill="C6EFCE"/>
            <w:noWrap/>
            <w:vAlign w:val="center"/>
            <w:hideMark/>
          </w:tcPr>
          <w:p w14:paraId="137317C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4163A4D4"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publics de travaux pour la construction de deux plateformes logistiques dans le secteur agroalimentaire</w:t>
            </w:r>
          </w:p>
        </w:tc>
      </w:tr>
      <w:tr w:rsidR="00E71057" w:rsidRPr="009D65D8" w14:paraId="56B49011" w14:textId="77777777" w:rsidTr="00EB1BD7">
        <w:trPr>
          <w:trHeight w:val="315"/>
        </w:trPr>
        <w:tc>
          <w:tcPr>
            <w:tcW w:w="1129" w:type="dxa"/>
            <w:shd w:val="clear" w:color="auto" w:fill="C6EFCE"/>
            <w:noWrap/>
            <w:vAlign w:val="center"/>
            <w:hideMark/>
          </w:tcPr>
          <w:p w14:paraId="5A21900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208</w:t>
            </w:r>
          </w:p>
        </w:tc>
        <w:tc>
          <w:tcPr>
            <w:tcW w:w="3827" w:type="dxa"/>
            <w:shd w:val="clear" w:color="auto" w:fill="C6EFCE"/>
            <w:noWrap/>
            <w:vAlign w:val="center"/>
            <w:hideMark/>
          </w:tcPr>
          <w:p w14:paraId="549EE53C"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Revues des dépenses (R-6)</w:t>
            </w:r>
          </w:p>
        </w:tc>
        <w:tc>
          <w:tcPr>
            <w:tcW w:w="710" w:type="dxa"/>
            <w:shd w:val="clear" w:color="auto" w:fill="C6EFCE"/>
            <w:noWrap/>
            <w:vAlign w:val="center"/>
            <w:hideMark/>
          </w:tcPr>
          <w:p w14:paraId="6ECD0B5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4B38A23B"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intégration de la revue de dépenses dans le processus budgétaire/évaluation ex post de la revue des dépenses:</w:t>
            </w:r>
          </w:p>
        </w:tc>
      </w:tr>
      <w:tr w:rsidR="00E71057" w:rsidRPr="009D65D8" w14:paraId="41ED06E6" w14:textId="77777777" w:rsidTr="00EB1BD7">
        <w:trPr>
          <w:trHeight w:val="315"/>
        </w:trPr>
        <w:tc>
          <w:tcPr>
            <w:tcW w:w="1129" w:type="dxa"/>
            <w:shd w:val="clear" w:color="auto" w:fill="C6EFCE"/>
            <w:noWrap/>
            <w:vAlign w:val="center"/>
            <w:hideMark/>
          </w:tcPr>
          <w:p w14:paraId="6807C5D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211</w:t>
            </w:r>
          </w:p>
        </w:tc>
        <w:tc>
          <w:tcPr>
            <w:tcW w:w="3827" w:type="dxa"/>
            <w:shd w:val="clear" w:color="auto" w:fill="C6EFCE"/>
            <w:noWrap/>
            <w:vAlign w:val="center"/>
            <w:hideMark/>
          </w:tcPr>
          <w:p w14:paraId="0D3D0DD7"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Révision du Code de l’air, du climat et de la maîtrise de l’énergie – RBC (R-7.01)</w:t>
            </w:r>
          </w:p>
        </w:tc>
        <w:tc>
          <w:tcPr>
            <w:tcW w:w="710" w:type="dxa"/>
            <w:shd w:val="clear" w:color="auto" w:fill="C6EFCE"/>
            <w:noWrap/>
            <w:vAlign w:val="center"/>
            <w:hideMark/>
          </w:tcPr>
          <w:p w14:paraId="7A48B0F1"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51B90476"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Nouvelles obligations en matière de rénovation des bâtiments</w:t>
            </w:r>
          </w:p>
        </w:tc>
      </w:tr>
      <w:tr w:rsidR="00E71057" w:rsidRPr="009D65D8" w14:paraId="1DB05FD9" w14:textId="77777777" w:rsidTr="00EB1BD7">
        <w:trPr>
          <w:trHeight w:val="315"/>
        </w:trPr>
        <w:tc>
          <w:tcPr>
            <w:tcW w:w="1129" w:type="dxa"/>
            <w:shd w:val="clear" w:color="auto" w:fill="C6EFCE"/>
            <w:noWrap/>
            <w:vAlign w:val="center"/>
            <w:hideMark/>
          </w:tcPr>
          <w:p w14:paraId="3D2E6BD7"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212</w:t>
            </w:r>
          </w:p>
        </w:tc>
        <w:tc>
          <w:tcPr>
            <w:tcW w:w="3827" w:type="dxa"/>
            <w:shd w:val="clear" w:color="auto" w:fill="C6EFCE"/>
            <w:noWrap/>
            <w:vAlign w:val="center"/>
            <w:hideMark/>
          </w:tcPr>
          <w:p w14:paraId="38EBD91E"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 BCR (I-7.01)</w:t>
            </w:r>
          </w:p>
        </w:tc>
        <w:tc>
          <w:tcPr>
            <w:tcW w:w="710" w:type="dxa"/>
            <w:shd w:val="clear" w:color="auto" w:fill="C6EFCE"/>
            <w:noWrap/>
            <w:vAlign w:val="center"/>
            <w:hideMark/>
          </w:tcPr>
          <w:p w14:paraId="4AF52EB6"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3B0DDBA7"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résidentiels</w:t>
            </w:r>
            <w:r>
              <w:rPr>
                <w:rFonts w:ascii="Times New Roman" w:hAnsi="Times New Roman"/>
                <w:noProof/>
                <w:sz w:val="20"/>
              </w:rPr>
              <w:t xml:space="preserve"> </w:t>
            </w:r>
          </w:p>
        </w:tc>
      </w:tr>
      <w:tr w:rsidR="00E71057" w:rsidRPr="009D65D8" w14:paraId="1C7608EA" w14:textId="77777777" w:rsidTr="00EB1BD7">
        <w:trPr>
          <w:trHeight w:val="315"/>
        </w:trPr>
        <w:tc>
          <w:tcPr>
            <w:tcW w:w="1129" w:type="dxa"/>
            <w:shd w:val="clear" w:color="auto" w:fill="C6EFCE"/>
            <w:noWrap/>
            <w:vAlign w:val="center"/>
            <w:hideMark/>
          </w:tcPr>
          <w:p w14:paraId="1259DAE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214</w:t>
            </w:r>
          </w:p>
        </w:tc>
        <w:tc>
          <w:tcPr>
            <w:tcW w:w="3827" w:type="dxa"/>
            <w:shd w:val="clear" w:color="auto" w:fill="C6EFCE"/>
            <w:noWrap/>
            <w:vAlign w:val="center"/>
            <w:hideMark/>
          </w:tcPr>
          <w:p w14:paraId="1C30A0CC"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Primes à l’énergie – Communauté germanophone (I-7.03)</w:t>
            </w:r>
          </w:p>
        </w:tc>
        <w:tc>
          <w:tcPr>
            <w:tcW w:w="710" w:type="dxa"/>
            <w:shd w:val="clear" w:color="auto" w:fill="C6EFCE"/>
            <w:noWrap/>
            <w:vAlign w:val="center"/>
            <w:hideMark/>
          </w:tcPr>
          <w:p w14:paraId="10957EC4"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522CD1B6"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w:t>
            </w:r>
          </w:p>
        </w:tc>
      </w:tr>
      <w:tr w:rsidR="00E71057" w:rsidRPr="009D65D8" w14:paraId="14642CC4" w14:textId="77777777" w:rsidTr="00EB1BD7">
        <w:trPr>
          <w:trHeight w:val="315"/>
        </w:trPr>
        <w:tc>
          <w:tcPr>
            <w:tcW w:w="1129" w:type="dxa"/>
            <w:shd w:val="clear" w:color="auto" w:fill="C6EFCE"/>
            <w:noWrap/>
            <w:vAlign w:val="center"/>
            <w:hideMark/>
          </w:tcPr>
          <w:p w14:paraId="7740ABA8"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219</w:t>
            </w:r>
          </w:p>
        </w:tc>
        <w:tc>
          <w:tcPr>
            <w:tcW w:w="3827" w:type="dxa"/>
            <w:shd w:val="clear" w:color="auto" w:fill="C6EFCE"/>
            <w:noWrap/>
            <w:vAlign w:val="center"/>
            <w:hideMark/>
          </w:tcPr>
          <w:p w14:paraId="07064425"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Plateforme de recherche sur la transition énergétique (I-7.11)</w:t>
            </w:r>
          </w:p>
        </w:tc>
        <w:tc>
          <w:tcPr>
            <w:tcW w:w="710" w:type="dxa"/>
            <w:shd w:val="clear" w:color="auto" w:fill="C6EFCE"/>
            <w:noWrap/>
            <w:vAlign w:val="center"/>
            <w:hideMark/>
          </w:tcPr>
          <w:p w14:paraId="1670F984"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0720E7AB"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publiques</w:t>
            </w:r>
          </w:p>
        </w:tc>
      </w:tr>
      <w:tr w:rsidR="00E71057" w:rsidRPr="009D65D8" w14:paraId="720E10EA" w14:textId="77777777" w:rsidTr="00EB1BD7">
        <w:trPr>
          <w:trHeight w:val="315"/>
        </w:trPr>
        <w:tc>
          <w:tcPr>
            <w:tcW w:w="1129" w:type="dxa"/>
            <w:shd w:val="clear" w:color="auto" w:fill="C6EFCE"/>
            <w:noWrap/>
            <w:vAlign w:val="center"/>
            <w:hideMark/>
          </w:tcPr>
          <w:p w14:paraId="62162408"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230</w:t>
            </w:r>
          </w:p>
        </w:tc>
        <w:tc>
          <w:tcPr>
            <w:tcW w:w="3827" w:type="dxa"/>
            <w:shd w:val="clear" w:color="auto" w:fill="C6EFCE"/>
            <w:noWrap/>
            <w:vAlign w:val="center"/>
            <w:hideMark/>
          </w:tcPr>
          <w:p w14:paraId="06713607"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Accélérer la transition énergétique (R-7.04)</w:t>
            </w:r>
          </w:p>
        </w:tc>
        <w:tc>
          <w:tcPr>
            <w:tcW w:w="710" w:type="dxa"/>
            <w:shd w:val="clear" w:color="auto" w:fill="C6EFCE"/>
            <w:noWrap/>
            <w:vAlign w:val="center"/>
            <w:hideMark/>
          </w:tcPr>
          <w:p w14:paraId="40326C5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6972BEC9"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législation</w:t>
            </w:r>
          </w:p>
        </w:tc>
      </w:tr>
      <w:tr w:rsidR="00E71057" w:rsidRPr="009D65D8" w14:paraId="7C998325" w14:textId="77777777" w:rsidTr="00EB1BD7">
        <w:trPr>
          <w:trHeight w:val="315"/>
        </w:trPr>
        <w:tc>
          <w:tcPr>
            <w:tcW w:w="1129" w:type="dxa"/>
            <w:shd w:val="clear" w:color="auto" w:fill="C6EFCE"/>
            <w:noWrap/>
            <w:vAlign w:val="center"/>
          </w:tcPr>
          <w:p w14:paraId="20ABD06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233</w:t>
            </w:r>
          </w:p>
        </w:tc>
        <w:tc>
          <w:tcPr>
            <w:tcW w:w="3827" w:type="dxa"/>
            <w:shd w:val="clear" w:color="auto" w:fill="C6EFCE"/>
            <w:noWrap/>
            <w:vAlign w:val="center"/>
          </w:tcPr>
          <w:p w14:paraId="7A67C354"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Optimisation de la distribution d’énergie (I-7.17)</w:t>
            </w:r>
          </w:p>
        </w:tc>
        <w:tc>
          <w:tcPr>
            <w:tcW w:w="710" w:type="dxa"/>
            <w:shd w:val="clear" w:color="auto" w:fill="C6EFCE"/>
            <w:noWrap/>
            <w:vAlign w:val="center"/>
          </w:tcPr>
          <w:p w14:paraId="79BD76A2"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tcPr>
          <w:p w14:paraId="747D0E46"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aux deux principaux opérateurs du réseau électrique de la Région wallonne</w:t>
            </w:r>
          </w:p>
        </w:tc>
      </w:tr>
      <w:tr w:rsidR="00E71057" w:rsidRPr="009D65D8" w14:paraId="58B5A8DE" w14:textId="77777777" w:rsidTr="00EB1BD7">
        <w:trPr>
          <w:trHeight w:val="315"/>
        </w:trPr>
        <w:tc>
          <w:tcPr>
            <w:tcW w:w="1129" w:type="dxa"/>
            <w:shd w:val="clear" w:color="auto" w:fill="C6EFCE"/>
            <w:noWrap/>
            <w:vAlign w:val="center"/>
          </w:tcPr>
          <w:p w14:paraId="28491C0D"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IE"/>
              </w:rPr>
            </w:pPr>
          </w:p>
        </w:tc>
        <w:tc>
          <w:tcPr>
            <w:tcW w:w="4537" w:type="dxa"/>
            <w:gridSpan w:val="2"/>
            <w:shd w:val="clear" w:color="auto" w:fill="C6EFCE"/>
            <w:noWrap/>
            <w:vAlign w:val="center"/>
          </w:tcPr>
          <w:p w14:paraId="17C5F112" w14:textId="77777777" w:rsidR="000D1388" w:rsidRPr="009D65D8"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4540" w:type="dxa"/>
            <w:shd w:val="clear" w:color="auto" w:fill="C6EFCE"/>
            <w:noWrap/>
            <w:vAlign w:val="center"/>
          </w:tcPr>
          <w:p w14:paraId="1FBE0AEB" w14:textId="77777777" w:rsidR="000D1388" w:rsidRPr="009D65D8" w:rsidRDefault="00E71057">
            <w:pPr>
              <w:spacing w:after="0"/>
              <w:rPr>
                <w:rFonts w:ascii="Calibri" w:eastAsia="Yu Mincho" w:hAnsi="Calibri" w:cs="Arial"/>
                <w:noProof/>
                <w:color w:val="006100"/>
                <w:sz w:val="20"/>
                <w:szCs w:val="20"/>
              </w:rPr>
            </w:pPr>
            <w:r>
              <w:rPr>
                <w:rFonts w:ascii="Times New Roman" w:hAnsi="Times New Roman"/>
                <w:noProof/>
                <w:color w:val="006100"/>
                <w:sz w:val="20"/>
              </w:rPr>
              <w:t>656</w:t>
            </w:r>
            <w:r>
              <w:rPr>
                <w:rFonts w:ascii="Times New Roman" w:hAnsi="Times New Roman"/>
                <w:noProof/>
                <w:color w:val="006100"/>
                <w:sz w:val="24"/>
              </w:rPr>
              <w:t> </w:t>
            </w:r>
            <w:r>
              <w:rPr>
                <w:rFonts w:ascii="Times New Roman" w:hAnsi="Times New Roman"/>
                <w:noProof/>
                <w:color w:val="006100"/>
                <w:sz w:val="20"/>
              </w:rPr>
              <w:t>896</w:t>
            </w:r>
            <w:r>
              <w:rPr>
                <w:rFonts w:ascii="Times New Roman" w:hAnsi="Times New Roman"/>
                <w:noProof/>
                <w:color w:val="006100"/>
                <w:sz w:val="24"/>
              </w:rPr>
              <w:t> </w:t>
            </w:r>
            <w:r>
              <w:rPr>
                <w:rFonts w:ascii="Times New Roman" w:hAnsi="Times New Roman"/>
                <w:noProof/>
                <w:color w:val="006100"/>
                <w:sz w:val="20"/>
              </w:rPr>
              <w:t>372</w:t>
            </w:r>
            <w:r>
              <w:rPr>
                <w:rFonts w:ascii="Times New Roman" w:hAnsi="Times New Roman"/>
                <w:noProof/>
                <w:color w:val="006100"/>
              </w:rPr>
              <w:t> EUR</w:t>
            </w:r>
          </w:p>
        </w:tc>
      </w:tr>
    </w:tbl>
    <w:p w14:paraId="4C1C4223" w14:textId="77777777" w:rsidR="000D1388" w:rsidRPr="009D65D8" w:rsidRDefault="000D1388" w:rsidP="00E71057">
      <w:pPr>
        <w:rPr>
          <w:rFonts w:ascii="Times New Roman" w:eastAsia="Calibri" w:hAnsi="Times New Roman" w:cs="Times New Roman"/>
          <w:noProof/>
          <w:lang w:val="en-GB"/>
        </w:rPr>
      </w:pPr>
    </w:p>
    <w:p w14:paraId="73220B5C" w14:textId="77777777" w:rsidR="000D1388" w:rsidRPr="009D65D8" w:rsidRDefault="00E71057" w:rsidP="00F70F65">
      <w:pPr>
        <w:numPr>
          <w:ilvl w:val="0"/>
          <w:numId w:val="67"/>
        </w:numPr>
        <w:tabs>
          <w:tab w:val="clear" w:pos="850"/>
        </w:tabs>
        <w:spacing w:before="120" w:after="120" w:line="240" w:lineRule="auto"/>
        <w:jc w:val="both"/>
        <w:rPr>
          <w:rFonts w:ascii="Times New Roman" w:eastAsia="Calibri" w:hAnsi="Times New Roman" w:cs="Times New Roman"/>
          <w:noProof/>
          <w:sz w:val="24"/>
        </w:rPr>
      </w:pPr>
      <w:bookmarkStart w:id="20" w:name="_Hlk148370212"/>
      <w:r>
        <w:rPr>
          <w:rFonts w:ascii="Times New Roman" w:hAnsi="Times New Roman"/>
          <w:noProof/>
          <w:sz w:val="24"/>
        </w:rPr>
        <w:t>Cinquième tranche (soutien non remboursable):</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686"/>
        <w:gridCol w:w="25"/>
        <w:gridCol w:w="685"/>
        <w:gridCol w:w="25"/>
        <w:gridCol w:w="4655"/>
        <w:gridCol w:w="143"/>
      </w:tblGrid>
      <w:tr w:rsidR="00E71057" w:rsidRPr="009D65D8" w14:paraId="72915DE4" w14:textId="77777777" w:rsidTr="00EB1BD7">
        <w:trPr>
          <w:trHeight w:val="300"/>
          <w:tblHeader/>
        </w:trPr>
        <w:tc>
          <w:tcPr>
            <w:tcW w:w="546" w:type="pct"/>
            <w:tcBorders>
              <w:bottom w:val="single" w:sz="4" w:space="0" w:color="auto"/>
            </w:tcBorders>
            <w:shd w:val="clear" w:color="auto" w:fill="BDD7EE"/>
            <w:noWrap/>
            <w:vAlign w:val="center"/>
            <w:hideMark/>
          </w:tcPr>
          <w:bookmarkEnd w:id="20"/>
          <w:p w14:paraId="7C1AAFAB"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1781" w:type="pct"/>
            <w:tcBorders>
              <w:bottom w:val="single" w:sz="4" w:space="0" w:color="auto"/>
            </w:tcBorders>
            <w:shd w:val="clear" w:color="auto" w:fill="BDD7EE"/>
            <w:noWrap/>
            <w:vAlign w:val="center"/>
            <w:hideMark/>
          </w:tcPr>
          <w:p w14:paraId="26D23F04"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343" w:type="pct"/>
            <w:gridSpan w:val="2"/>
            <w:tcBorders>
              <w:bottom w:val="single" w:sz="4" w:space="0" w:color="auto"/>
            </w:tcBorders>
            <w:shd w:val="clear" w:color="auto" w:fill="BDD7EE"/>
            <w:noWrap/>
            <w:vAlign w:val="center"/>
            <w:hideMark/>
          </w:tcPr>
          <w:p w14:paraId="6AC834B9"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331" w:type="pct"/>
            <w:gridSpan w:val="3"/>
            <w:tcBorders>
              <w:bottom w:val="single" w:sz="4" w:space="0" w:color="auto"/>
            </w:tcBorders>
            <w:shd w:val="clear" w:color="auto" w:fill="BDD7EE"/>
            <w:noWrap/>
            <w:vAlign w:val="center"/>
            <w:hideMark/>
          </w:tcPr>
          <w:p w14:paraId="1D9B86DC"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E71057" w:rsidRPr="009D65D8" w14:paraId="5376EF3A" w14:textId="77777777" w:rsidTr="00EB1BD7">
        <w:trPr>
          <w:gridAfter w:val="1"/>
          <w:wAfter w:w="69" w:type="pct"/>
          <w:trHeight w:val="315"/>
        </w:trPr>
        <w:tc>
          <w:tcPr>
            <w:tcW w:w="546" w:type="pct"/>
            <w:shd w:val="clear" w:color="auto" w:fill="C6EFCE"/>
            <w:noWrap/>
            <w:vAlign w:val="center"/>
            <w:hideMark/>
          </w:tcPr>
          <w:p w14:paraId="4DCBE7F7"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w:t>
            </w:r>
          </w:p>
        </w:tc>
        <w:tc>
          <w:tcPr>
            <w:tcW w:w="1793" w:type="pct"/>
            <w:gridSpan w:val="2"/>
            <w:shd w:val="clear" w:color="auto" w:fill="C6EFCE"/>
            <w:noWrap/>
            <w:vAlign w:val="center"/>
            <w:hideMark/>
          </w:tcPr>
          <w:p w14:paraId="228EDD8D"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 et sociaux (I-1A)</w:t>
            </w:r>
          </w:p>
        </w:tc>
        <w:tc>
          <w:tcPr>
            <w:tcW w:w="343" w:type="pct"/>
            <w:gridSpan w:val="2"/>
            <w:shd w:val="clear" w:color="auto" w:fill="C6EFCE"/>
            <w:noWrap/>
            <w:vAlign w:val="center"/>
            <w:hideMark/>
          </w:tcPr>
          <w:p w14:paraId="5DD63680"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49" w:type="pct"/>
            <w:shd w:val="clear" w:color="auto" w:fill="C6EFCE"/>
            <w:noWrap/>
            <w:vAlign w:val="center"/>
            <w:hideMark/>
          </w:tcPr>
          <w:p w14:paraId="7DF5A2E4" w14:textId="360DBC90"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Rénovation de logements privés et de logements sociaux </w:t>
            </w:r>
          </w:p>
        </w:tc>
      </w:tr>
      <w:tr w:rsidR="00E71057" w:rsidRPr="009D65D8" w14:paraId="316F6FA3" w14:textId="77777777" w:rsidTr="00EB1BD7">
        <w:trPr>
          <w:gridAfter w:val="1"/>
          <w:wAfter w:w="69" w:type="pct"/>
          <w:trHeight w:val="315"/>
        </w:trPr>
        <w:tc>
          <w:tcPr>
            <w:tcW w:w="546" w:type="pct"/>
            <w:shd w:val="clear" w:color="auto" w:fill="C6EFCE"/>
            <w:noWrap/>
            <w:vAlign w:val="center"/>
            <w:hideMark/>
          </w:tcPr>
          <w:p w14:paraId="14C45B37"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w:t>
            </w:r>
          </w:p>
        </w:tc>
        <w:tc>
          <w:tcPr>
            <w:tcW w:w="1793" w:type="pct"/>
            <w:gridSpan w:val="2"/>
            <w:shd w:val="clear" w:color="auto" w:fill="C6EFCE"/>
            <w:noWrap/>
            <w:vAlign w:val="center"/>
            <w:hideMark/>
          </w:tcPr>
          <w:p w14:paraId="4BEC09F9" w14:textId="4807A70B"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(I-1B)</w:t>
            </w:r>
          </w:p>
        </w:tc>
        <w:tc>
          <w:tcPr>
            <w:tcW w:w="343" w:type="pct"/>
            <w:gridSpan w:val="2"/>
            <w:shd w:val="clear" w:color="auto" w:fill="C6EFCE"/>
            <w:noWrap/>
            <w:vAlign w:val="center"/>
            <w:hideMark/>
          </w:tcPr>
          <w:p w14:paraId="394769C1"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49" w:type="pct"/>
            <w:shd w:val="clear" w:color="auto" w:fill="C6EFCE"/>
            <w:noWrap/>
            <w:vAlign w:val="center"/>
            <w:hideMark/>
          </w:tcPr>
          <w:p w14:paraId="03B0D1DB"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(étape 2)</w:t>
            </w:r>
          </w:p>
        </w:tc>
      </w:tr>
      <w:tr w:rsidR="00E71057" w:rsidRPr="009D65D8" w14:paraId="379CC655" w14:textId="77777777" w:rsidTr="00EB1BD7">
        <w:trPr>
          <w:gridAfter w:val="1"/>
          <w:wAfter w:w="69" w:type="pct"/>
          <w:trHeight w:val="315"/>
        </w:trPr>
        <w:tc>
          <w:tcPr>
            <w:tcW w:w="546" w:type="pct"/>
            <w:shd w:val="clear" w:color="auto" w:fill="C6EFCE"/>
            <w:noWrap/>
            <w:vAlign w:val="center"/>
            <w:hideMark/>
          </w:tcPr>
          <w:p w14:paraId="1B1A991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w:t>
            </w:r>
          </w:p>
        </w:tc>
        <w:tc>
          <w:tcPr>
            <w:tcW w:w="1793" w:type="pct"/>
            <w:gridSpan w:val="2"/>
            <w:shd w:val="clear" w:color="auto" w:fill="C6EFCE"/>
            <w:noWrap/>
            <w:vAlign w:val="center"/>
            <w:hideMark/>
          </w:tcPr>
          <w:p w14:paraId="666F7E70"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(I-1.15)</w:t>
            </w:r>
          </w:p>
        </w:tc>
        <w:tc>
          <w:tcPr>
            <w:tcW w:w="343" w:type="pct"/>
            <w:gridSpan w:val="2"/>
            <w:shd w:val="clear" w:color="auto" w:fill="C6EFCE"/>
            <w:noWrap/>
            <w:vAlign w:val="center"/>
            <w:hideMark/>
          </w:tcPr>
          <w:p w14:paraId="5E527749" w14:textId="77777777" w:rsidR="000D1388" w:rsidRPr="009D65D8" w:rsidRDefault="00E71057" w:rsidP="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2249" w:type="pct"/>
            <w:shd w:val="clear" w:color="auto" w:fill="C6EFCE"/>
            <w:noWrap/>
            <w:vAlign w:val="center"/>
            <w:hideMark/>
          </w:tcPr>
          <w:p w14:paraId="1CB71B3D"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Projets achevés</w:t>
            </w:r>
          </w:p>
        </w:tc>
      </w:tr>
      <w:tr w:rsidR="00E71057" w:rsidRPr="009D65D8" w14:paraId="2A847B55" w14:textId="77777777" w:rsidTr="00EB1BD7">
        <w:trPr>
          <w:gridAfter w:val="1"/>
          <w:wAfter w:w="69" w:type="pct"/>
          <w:trHeight w:val="315"/>
        </w:trPr>
        <w:tc>
          <w:tcPr>
            <w:tcW w:w="546" w:type="pct"/>
            <w:shd w:val="clear" w:color="auto" w:fill="C6EFCE"/>
            <w:noWrap/>
            <w:vAlign w:val="center"/>
            <w:hideMark/>
          </w:tcPr>
          <w:p w14:paraId="1471762F"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65</w:t>
            </w:r>
          </w:p>
        </w:tc>
        <w:tc>
          <w:tcPr>
            <w:tcW w:w="1793" w:type="pct"/>
            <w:gridSpan w:val="2"/>
            <w:shd w:val="clear" w:color="auto" w:fill="C6EFCE"/>
            <w:noWrap/>
            <w:vAlign w:val="center"/>
            <w:hideMark/>
          </w:tcPr>
          <w:p w14:paraId="5FCFB19A"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 l’ONE (I-2.07)</w:t>
            </w:r>
          </w:p>
        </w:tc>
        <w:tc>
          <w:tcPr>
            <w:tcW w:w="343" w:type="pct"/>
            <w:gridSpan w:val="2"/>
            <w:shd w:val="clear" w:color="auto" w:fill="C6EFCE"/>
            <w:noWrap/>
            <w:vAlign w:val="center"/>
            <w:hideMark/>
          </w:tcPr>
          <w:p w14:paraId="3DDD5A8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49" w:type="pct"/>
            <w:shd w:val="clear" w:color="auto" w:fill="C6EFCE"/>
            <w:noWrap/>
            <w:vAlign w:val="center"/>
            <w:hideMark/>
          </w:tcPr>
          <w:p w14:paraId="6FE7CBDB"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Les plateformes numériques sont accessibles</w:t>
            </w:r>
          </w:p>
        </w:tc>
      </w:tr>
      <w:tr w:rsidR="00E71057" w:rsidRPr="009D65D8" w14:paraId="205145D0" w14:textId="77777777" w:rsidTr="00EB1BD7">
        <w:trPr>
          <w:gridAfter w:val="1"/>
          <w:wAfter w:w="69" w:type="pct"/>
          <w:trHeight w:val="315"/>
        </w:trPr>
        <w:tc>
          <w:tcPr>
            <w:tcW w:w="546" w:type="pct"/>
            <w:shd w:val="clear" w:color="auto" w:fill="C6EFCE"/>
            <w:noWrap/>
            <w:vAlign w:val="center"/>
            <w:hideMark/>
          </w:tcPr>
          <w:p w14:paraId="377C3F9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69</w:t>
            </w:r>
          </w:p>
        </w:tc>
        <w:tc>
          <w:tcPr>
            <w:tcW w:w="1793" w:type="pct"/>
            <w:gridSpan w:val="2"/>
            <w:shd w:val="clear" w:color="auto" w:fill="C6EFCE"/>
            <w:noWrap/>
            <w:vAlign w:val="center"/>
            <w:hideMark/>
          </w:tcPr>
          <w:p w14:paraId="349FC01F"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gouvernement flamand (I-2.09)</w:t>
            </w:r>
          </w:p>
        </w:tc>
        <w:tc>
          <w:tcPr>
            <w:tcW w:w="343" w:type="pct"/>
            <w:gridSpan w:val="2"/>
            <w:shd w:val="clear" w:color="auto" w:fill="C6EFCE"/>
            <w:noWrap/>
            <w:vAlign w:val="center"/>
            <w:hideMark/>
          </w:tcPr>
          <w:p w14:paraId="6F9A374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49" w:type="pct"/>
            <w:shd w:val="clear" w:color="auto" w:fill="C6EFCE"/>
            <w:noWrap/>
            <w:vAlign w:val="center"/>
            <w:hideMark/>
          </w:tcPr>
          <w:p w14:paraId="0A48A792"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de digitalisation</w:t>
            </w:r>
          </w:p>
        </w:tc>
      </w:tr>
      <w:tr w:rsidR="00E71057" w:rsidRPr="009D65D8" w14:paraId="647EA659" w14:textId="77777777" w:rsidTr="00EB1BD7">
        <w:trPr>
          <w:gridAfter w:val="1"/>
          <w:wAfter w:w="69" w:type="pct"/>
          <w:trHeight w:val="315"/>
        </w:trPr>
        <w:tc>
          <w:tcPr>
            <w:tcW w:w="546" w:type="pct"/>
            <w:shd w:val="clear" w:color="auto" w:fill="C6EFCE"/>
            <w:noWrap/>
            <w:vAlign w:val="center"/>
            <w:hideMark/>
          </w:tcPr>
          <w:p w14:paraId="68EFF1C2"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73</w:t>
            </w:r>
          </w:p>
        </w:tc>
        <w:tc>
          <w:tcPr>
            <w:tcW w:w="1793" w:type="pct"/>
            <w:gridSpan w:val="2"/>
            <w:shd w:val="clear" w:color="auto" w:fill="C6EFCE"/>
            <w:noWrap/>
            <w:vAlign w:val="center"/>
            <w:hideMark/>
          </w:tcPr>
          <w:p w14:paraId="581A9E54"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des processus citoyens-entreprises (I-2.11)</w:t>
            </w:r>
          </w:p>
        </w:tc>
        <w:tc>
          <w:tcPr>
            <w:tcW w:w="343" w:type="pct"/>
            <w:gridSpan w:val="2"/>
            <w:shd w:val="clear" w:color="auto" w:fill="C6EFCE"/>
            <w:noWrap/>
            <w:vAlign w:val="center"/>
            <w:hideMark/>
          </w:tcPr>
          <w:p w14:paraId="1038EA37"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49" w:type="pct"/>
            <w:shd w:val="clear" w:color="auto" w:fill="C6EFCE"/>
            <w:noWrap/>
            <w:vAlign w:val="center"/>
            <w:hideMark/>
          </w:tcPr>
          <w:p w14:paraId="727DF075"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Trois plateformes numériques</w:t>
            </w:r>
          </w:p>
        </w:tc>
      </w:tr>
      <w:tr w:rsidR="00E71057" w:rsidRPr="009D65D8" w14:paraId="39BB873B" w14:textId="77777777" w:rsidTr="00EB1BD7">
        <w:trPr>
          <w:gridAfter w:val="1"/>
          <w:wAfter w:w="69" w:type="pct"/>
          <w:trHeight w:val="315"/>
        </w:trPr>
        <w:tc>
          <w:tcPr>
            <w:tcW w:w="546" w:type="pct"/>
            <w:shd w:val="clear" w:color="auto" w:fill="C6EFCE"/>
            <w:noWrap/>
            <w:vAlign w:val="center"/>
            <w:hideMark/>
          </w:tcPr>
          <w:p w14:paraId="69C08942"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100</w:t>
            </w:r>
          </w:p>
        </w:tc>
        <w:tc>
          <w:tcPr>
            <w:tcW w:w="1793" w:type="pct"/>
            <w:gridSpan w:val="2"/>
            <w:shd w:val="clear" w:color="auto" w:fill="C6EFCE"/>
            <w:noWrap/>
            <w:vAlign w:val="center"/>
            <w:hideMark/>
          </w:tcPr>
          <w:p w14:paraId="1A5E9C85"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le transport public en Wallonie (I-3B)</w:t>
            </w:r>
          </w:p>
        </w:tc>
        <w:tc>
          <w:tcPr>
            <w:tcW w:w="343" w:type="pct"/>
            <w:gridSpan w:val="2"/>
            <w:shd w:val="clear" w:color="auto" w:fill="C6EFCE"/>
            <w:noWrap/>
            <w:vAlign w:val="center"/>
            <w:hideMark/>
          </w:tcPr>
          <w:p w14:paraId="3AA7513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49" w:type="pct"/>
            <w:shd w:val="clear" w:color="auto" w:fill="C6EFCE"/>
            <w:noWrap/>
            <w:vAlign w:val="center"/>
            <w:hideMark/>
          </w:tcPr>
          <w:p w14:paraId="3FE47078"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Équiper les carrefours de feux de circulation intelligents</w:t>
            </w:r>
          </w:p>
        </w:tc>
      </w:tr>
      <w:tr w:rsidR="00E71057" w:rsidRPr="009D65D8" w14:paraId="2FFC4699" w14:textId="77777777" w:rsidTr="00EB1BD7">
        <w:trPr>
          <w:gridAfter w:val="1"/>
          <w:wAfter w:w="69" w:type="pct"/>
          <w:trHeight w:val="315"/>
        </w:trPr>
        <w:tc>
          <w:tcPr>
            <w:tcW w:w="546" w:type="pct"/>
            <w:shd w:val="clear" w:color="auto" w:fill="C6EFCE"/>
            <w:noWrap/>
            <w:vAlign w:val="center"/>
            <w:hideMark/>
          </w:tcPr>
          <w:p w14:paraId="6A3FC1E4"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106</w:t>
            </w:r>
          </w:p>
        </w:tc>
        <w:tc>
          <w:tcPr>
            <w:tcW w:w="1793" w:type="pct"/>
            <w:gridSpan w:val="2"/>
            <w:shd w:val="clear" w:color="auto" w:fill="C6EFCE"/>
            <w:noWrap/>
            <w:vAlign w:val="center"/>
            <w:hideMark/>
          </w:tcPr>
          <w:p w14:paraId="2AFE3167"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Canal Albert et Trilogiport (I-3.11)</w:t>
            </w:r>
          </w:p>
        </w:tc>
        <w:tc>
          <w:tcPr>
            <w:tcW w:w="343" w:type="pct"/>
            <w:gridSpan w:val="2"/>
            <w:shd w:val="clear" w:color="auto" w:fill="C6EFCE"/>
            <w:noWrap/>
            <w:vAlign w:val="center"/>
            <w:hideMark/>
          </w:tcPr>
          <w:p w14:paraId="74BA13A2"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49" w:type="pct"/>
            <w:shd w:val="clear" w:color="auto" w:fill="C6EFCE"/>
            <w:noWrap/>
            <w:vAlign w:val="center"/>
            <w:hideMark/>
          </w:tcPr>
          <w:p w14:paraId="2190182D"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pour les travaux des ponts sur le Canal Albert/et d’une nouvelle plateforme Trilogiport</w:t>
            </w:r>
          </w:p>
        </w:tc>
      </w:tr>
      <w:tr w:rsidR="00E71057" w:rsidRPr="009D65D8" w14:paraId="009A6750" w14:textId="77777777" w:rsidTr="00EB1BD7">
        <w:trPr>
          <w:gridAfter w:val="1"/>
          <w:wAfter w:w="69" w:type="pct"/>
          <w:trHeight w:val="315"/>
        </w:trPr>
        <w:tc>
          <w:tcPr>
            <w:tcW w:w="546" w:type="pct"/>
            <w:shd w:val="clear" w:color="auto" w:fill="C6EFCE"/>
            <w:noWrap/>
            <w:vAlign w:val="center"/>
            <w:hideMark/>
          </w:tcPr>
          <w:p w14:paraId="7C2D23A9"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108</w:t>
            </w:r>
          </w:p>
        </w:tc>
        <w:tc>
          <w:tcPr>
            <w:tcW w:w="1793" w:type="pct"/>
            <w:gridSpan w:val="2"/>
            <w:shd w:val="clear" w:color="auto" w:fill="C6EFCE"/>
            <w:noWrap/>
            <w:vAlign w:val="center"/>
            <w:hideMark/>
          </w:tcPr>
          <w:p w14:paraId="6ABE008E"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Stockage, analyse et visualisation des données relatives à la mobilité sur une plateforme numérique (I-3D) </w:t>
            </w:r>
          </w:p>
        </w:tc>
        <w:tc>
          <w:tcPr>
            <w:tcW w:w="343" w:type="pct"/>
            <w:gridSpan w:val="2"/>
            <w:shd w:val="clear" w:color="auto" w:fill="C6EFCE"/>
            <w:noWrap/>
            <w:vAlign w:val="center"/>
            <w:hideMark/>
          </w:tcPr>
          <w:p w14:paraId="162832A9"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49" w:type="pct"/>
            <w:shd w:val="clear" w:color="auto" w:fill="C6EFCE"/>
            <w:noWrap/>
            <w:vAlign w:val="center"/>
            <w:hideMark/>
          </w:tcPr>
          <w:p w14:paraId="1F2C4687"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Établissement de cas d’utilisation des données relatives à la mobilité</w:t>
            </w:r>
          </w:p>
        </w:tc>
      </w:tr>
      <w:tr w:rsidR="00E71057" w:rsidRPr="009D65D8" w14:paraId="113913CE" w14:textId="77777777" w:rsidTr="00EB1BD7">
        <w:trPr>
          <w:gridAfter w:val="1"/>
          <w:wAfter w:w="69" w:type="pct"/>
          <w:trHeight w:val="315"/>
        </w:trPr>
        <w:tc>
          <w:tcPr>
            <w:tcW w:w="546" w:type="pct"/>
            <w:shd w:val="clear" w:color="auto" w:fill="C6EFCE"/>
            <w:noWrap/>
            <w:vAlign w:val="center"/>
            <w:hideMark/>
          </w:tcPr>
          <w:p w14:paraId="3E7A195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115</w:t>
            </w:r>
          </w:p>
        </w:tc>
        <w:tc>
          <w:tcPr>
            <w:tcW w:w="1793" w:type="pct"/>
            <w:gridSpan w:val="2"/>
            <w:shd w:val="clear" w:color="auto" w:fill="C6EFCE"/>
            <w:noWrap/>
            <w:vAlign w:val="center"/>
            <w:hideMark/>
          </w:tcPr>
          <w:p w14:paraId="6D2BF28E"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Verdir la flotte de bus (I-3G)</w:t>
            </w:r>
          </w:p>
        </w:tc>
        <w:tc>
          <w:tcPr>
            <w:tcW w:w="343" w:type="pct"/>
            <w:gridSpan w:val="2"/>
            <w:shd w:val="clear" w:color="auto" w:fill="C6EFCE"/>
            <w:noWrap/>
            <w:vAlign w:val="center"/>
            <w:hideMark/>
          </w:tcPr>
          <w:p w14:paraId="4A051ADC"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49" w:type="pct"/>
            <w:shd w:val="clear" w:color="auto" w:fill="C6EFCE"/>
            <w:noWrap/>
            <w:vAlign w:val="center"/>
            <w:hideMark/>
          </w:tcPr>
          <w:p w14:paraId="40E44BB4" w14:textId="77777777" w:rsidR="000D1388" w:rsidRPr="009D65D8"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Bus verts livrés en Flandre, à Bruxelles et en Wallonie et infrastructures de recharge livrées en Flandre</w:t>
            </w:r>
          </w:p>
        </w:tc>
      </w:tr>
      <w:tr w:rsidR="00E71057" w:rsidRPr="009D65D8" w14:paraId="0812A6AA" w14:textId="77777777" w:rsidTr="00EB1BD7">
        <w:trPr>
          <w:gridAfter w:val="1"/>
          <w:wAfter w:w="69" w:type="pct"/>
          <w:trHeight w:val="315"/>
        </w:trPr>
        <w:tc>
          <w:tcPr>
            <w:tcW w:w="546" w:type="pct"/>
            <w:shd w:val="clear" w:color="auto" w:fill="C6EFCE"/>
            <w:noWrap/>
            <w:vAlign w:val="center"/>
          </w:tcPr>
          <w:p w14:paraId="55B99063"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254</w:t>
            </w:r>
          </w:p>
        </w:tc>
        <w:tc>
          <w:tcPr>
            <w:tcW w:w="1793" w:type="pct"/>
            <w:gridSpan w:val="2"/>
            <w:shd w:val="clear" w:color="auto" w:fill="C6EFCE"/>
            <w:noWrap/>
            <w:vAlign w:val="center"/>
          </w:tcPr>
          <w:p w14:paraId="4AE51BE7"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Réforme de la taxe de mise en circulation des véhicules de la Région wallonne (R-3.08)</w:t>
            </w:r>
          </w:p>
        </w:tc>
        <w:tc>
          <w:tcPr>
            <w:tcW w:w="343" w:type="pct"/>
            <w:gridSpan w:val="2"/>
            <w:shd w:val="clear" w:color="auto" w:fill="C6EFCE"/>
            <w:noWrap/>
            <w:vAlign w:val="center"/>
          </w:tcPr>
          <w:p w14:paraId="526C4303"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2249" w:type="pct"/>
            <w:shd w:val="clear" w:color="auto" w:fill="C6EFCE"/>
            <w:noWrap/>
            <w:vAlign w:val="center"/>
          </w:tcPr>
          <w:p w14:paraId="1E53989E"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Entrée en vigueur de l’acte juridique réformant la taxe de circulation des véhicules</w:t>
            </w:r>
          </w:p>
        </w:tc>
      </w:tr>
      <w:tr w:rsidR="00E71057" w:rsidRPr="009D65D8" w14:paraId="5098132A" w14:textId="77777777" w:rsidTr="00EB1BD7">
        <w:trPr>
          <w:gridAfter w:val="1"/>
          <w:wAfter w:w="69" w:type="pct"/>
          <w:trHeight w:val="315"/>
        </w:trPr>
        <w:tc>
          <w:tcPr>
            <w:tcW w:w="546" w:type="pct"/>
            <w:shd w:val="clear" w:color="auto" w:fill="C6EFCE"/>
            <w:noWrap/>
            <w:vAlign w:val="center"/>
            <w:hideMark/>
          </w:tcPr>
          <w:p w14:paraId="4E908340"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160</w:t>
            </w:r>
          </w:p>
        </w:tc>
        <w:tc>
          <w:tcPr>
            <w:tcW w:w="1793" w:type="pct"/>
            <w:gridSpan w:val="2"/>
            <w:shd w:val="clear" w:color="auto" w:fill="C6EFCE"/>
            <w:noWrap/>
            <w:vAlign w:val="center"/>
            <w:hideMark/>
          </w:tcPr>
          <w:p w14:paraId="190810A2"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à niveau des infrastructures de formation de pointe (I-5.03)</w:t>
            </w:r>
          </w:p>
        </w:tc>
        <w:tc>
          <w:tcPr>
            <w:tcW w:w="343" w:type="pct"/>
            <w:gridSpan w:val="2"/>
            <w:shd w:val="clear" w:color="auto" w:fill="C6EFCE"/>
            <w:noWrap/>
            <w:vAlign w:val="center"/>
            <w:hideMark/>
          </w:tcPr>
          <w:p w14:paraId="6572DD48"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49" w:type="pct"/>
            <w:shd w:val="clear" w:color="auto" w:fill="C6EFCE"/>
            <w:noWrap/>
            <w:vAlign w:val="center"/>
            <w:hideMark/>
          </w:tcPr>
          <w:p w14:paraId="02A00979"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Bâtiments et équipements </w:t>
            </w:r>
          </w:p>
        </w:tc>
      </w:tr>
      <w:tr w:rsidR="00E71057" w:rsidRPr="009D65D8" w14:paraId="48133022" w14:textId="77777777" w:rsidTr="00EB1BD7">
        <w:trPr>
          <w:gridAfter w:val="1"/>
          <w:wAfter w:w="69" w:type="pct"/>
          <w:trHeight w:val="315"/>
        </w:trPr>
        <w:tc>
          <w:tcPr>
            <w:tcW w:w="546" w:type="pct"/>
            <w:shd w:val="clear" w:color="auto" w:fill="C6EFCE"/>
            <w:noWrap/>
            <w:vAlign w:val="center"/>
            <w:hideMark/>
          </w:tcPr>
          <w:p w14:paraId="7524128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161</w:t>
            </w:r>
          </w:p>
        </w:tc>
        <w:tc>
          <w:tcPr>
            <w:tcW w:w="1793" w:type="pct"/>
            <w:gridSpan w:val="2"/>
            <w:shd w:val="clear" w:color="auto" w:fill="C6EFCE"/>
            <w:noWrap/>
            <w:vAlign w:val="center"/>
            <w:hideMark/>
          </w:tcPr>
          <w:p w14:paraId="03E838A4"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EU Biotech Campus (I-5.02)</w:t>
            </w:r>
          </w:p>
        </w:tc>
        <w:tc>
          <w:tcPr>
            <w:tcW w:w="343" w:type="pct"/>
            <w:gridSpan w:val="2"/>
            <w:shd w:val="clear" w:color="auto" w:fill="C6EFCE"/>
            <w:noWrap/>
            <w:vAlign w:val="center"/>
            <w:hideMark/>
          </w:tcPr>
          <w:p w14:paraId="7ED18C78"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49" w:type="pct"/>
            <w:shd w:val="clear" w:color="auto" w:fill="C6EFCE"/>
            <w:noWrap/>
            <w:vAlign w:val="center"/>
            <w:hideMark/>
          </w:tcPr>
          <w:p w14:paraId="4806CDD5" w14:textId="77777777" w:rsidR="000D1388" w:rsidRPr="009D65D8"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et équipements</w:t>
            </w:r>
          </w:p>
        </w:tc>
      </w:tr>
      <w:tr w:rsidR="00E71057" w:rsidRPr="009D65D8" w14:paraId="0FD48C71" w14:textId="77777777" w:rsidTr="00EB1BD7">
        <w:trPr>
          <w:gridAfter w:val="1"/>
          <w:wAfter w:w="69" w:type="pct"/>
          <w:trHeight w:val="315"/>
        </w:trPr>
        <w:tc>
          <w:tcPr>
            <w:tcW w:w="546" w:type="pct"/>
            <w:shd w:val="clear" w:color="auto" w:fill="C6EFCE"/>
            <w:noWrap/>
            <w:vAlign w:val="center"/>
          </w:tcPr>
          <w:p w14:paraId="232A5455"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175</w:t>
            </w:r>
          </w:p>
        </w:tc>
        <w:tc>
          <w:tcPr>
            <w:tcW w:w="1793" w:type="pct"/>
            <w:gridSpan w:val="2"/>
            <w:shd w:val="clear" w:color="auto" w:fill="C6EFCE"/>
            <w:noWrap/>
            <w:vAlign w:val="center"/>
          </w:tcPr>
          <w:p w14:paraId="29F1FB66"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Limitation des allocations de chômage dans le temps et dégressivité renforcée des allocations de chômage (R 5,01)</w:t>
            </w:r>
          </w:p>
        </w:tc>
        <w:tc>
          <w:tcPr>
            <w:tcW w:w="343" w:type="pct"/>
            <w:gridSpan w:val="2"/>
            <w:shd w:val="clear" w:color="auto" w:fill="C6EFCE"/>
            <w:noWrap/>
            <w:vAlign w:val="center"/>
          </w:tcPr>
          <w:p w14:paraId="43464C93"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2249" w:type="pct"/>
            <w:shd w:val="clear" w:color="auto" w:fill="C6EFCE"/>
            <w:noWrap/>
            <w:vAlign w:val="center"/>
          </w:tcPr>
          <w:p w14:paraId="7AF4790B"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Réforme fédérale des prestations de chômage</w:t>
            </w:r>
          </w:p>
        </w:tc>
      </w:tr>
      <w:tr w:rsidR="00E71057" w:rsidRPr="009D65D8" w14:paraId="6D634963" w14:textId="77777777" w:rsidTr="00EB1BD7">
        <w:trPr>
          <w:gridAfter w:val="1"/>
          <w:wAfter w:w="69" w:type="pct"/>
          <w:trHeight w:val="315"/>
        </w:trPr>
        <w:tc>
          <w:tcPr>
            <w:tcW w:w="546" w:type="pct"/>
            <w:shd w:val="clear" w:color="auto" w:fill="C6EFCE"/>
            <w:noWrap/>
            <w:vAlign w:val="center"/>
            <w:hideMark/>
          </w:tcPr>
          <w:p w14:paraId="681C7ED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190</w:t>
            </w:r>
          </w:p>
        </w:tc>
        <w:tc>
          <w:tcPr>
            <w:tcW w:w="1793" w:type="pct"/>
            <w:gridSpan w:val="2"/>
            <w:shd w:val="clear" w:color="auto" w:fill="C6EFCE"/>
            <w:noWrap/>
            <w:vAlign w:val="center"/>
            <w:hideMark/>
          </w:tcPr>
          <w:p w14:paraId="283A5233"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343" w:type="pct"/>
            <w:gridSpan w:val="2"/>
            <w:shd w:val="clear" w:color="auto" w:fill="C6EFCE"/>
            <w:noWrap/>
            <w:vAlign w:val="center"/>
            <w:hideMark/>
          </w:tcPr>
          <w:p w14:paraId="6070376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49" w:type="pct"/>
            <w:shd w:val="clear" w:color="auto" w:fill="C6EFCE"/>
            <w:noWrap/>
            <w:vAlign w:val="center"/>
            <w:hideMark/>
          </w:tcPr>
          <w:p w14:paraId="4C0B6D0C" w14:textId="6286C778"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Construction et équipement de deux plateformes logistiques achevés</w:t>
            </w:r>
          </w:p>
        </w:tc>
      </w:tr>
      <w:tr w:rsidR="00E71057" w:rsidRPr="009D65D8" w14:paraId="693D16E6" w14:textId="77777777" w:rsidTr="00EB1BD7">
        <w:trPr>
          <w:gridAfter w:val="1"/>
          <w:wAfter w:w="69" w:type="pct"/>
          <w:trHeight w:val="315"/>
        </w:trPr>
        <w:tc>
          <w:tcPr>
            <w:tcW w:w="546" w:type="pct"/>
            <w:shd w:val="clear" w:color="auto" w:fill="C6EFCE"/>
            <w:noWrap/>
            <w:vAlign w:val="center"/>
            <w:hideMark/>
          </w:tcPr>
          <w:p w14:paraId="1503479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192</w:t>
            </w:r>
          </w:p>
        </w:tc>
        <w:tc>
          <w:tcPr>
            <w:tcW w:w="1793" w:type="pct"/>
            <w:gridSpan w:val="2"/>
            <w:shd w:val="clear" w:color="auto" w:fill="C6EFCE"/>
            <w:noWrap/>
            <w:vAlign w:val="center"/>
            <w:hideMark/>
          </w:tcPr>
          <w:p w14:paraId="39DF1433"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secteur touristique wallon (I-5.13)</w:t>
            </w:r>
          </w:p>
        </w:tc>
        <w:tc>
          <w:tcPr>
            <w:tcW w:w="343" w:type="pct"/>
            <w:gridSpan w:val="2"/>
            <w:shd w:val="clear" w:color="auto" w:fill="C6EFCE"/>
            <w:noWrap/>
            <w:vAlign w:val="center"/>
            <w:hideMark/>
          </w:tcPr>
          <w:p w14:paraId="3E16AAE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49" w:type="pct"/>
            <w:shd w:val="clear" w:color="auto" w:fill="C6EFCE"/>
            <w:noWrap/>
            <w:vAlign w:val="center"/>
            <w:hideMark/>
          </w:tcPr>
          <w:p w14:paraId="06A7AA4E"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 d’hébergements, d’organismes ou d’attractions touristiques disponibles sur l’«outil régional de commercialisation»</w:t>
            </w:r>
          </w:p>
        </w:tc>
      </w:tr>
      <w:tr w:rsidR="00E71057" w:rsidRPr="009D65D8" w14:paraId="6E9EB42F" w14:textId="77777777" w:rsidTr="00EB1BD7">
        <w:trPr>
          <w:gridAfter w:val="1"/>
          <w:wAfter w:w="69" w:type="pct"/>
          <w:trHeight w:val="315"/>
        </w:trPr>
        <w:tc>
          <w:tcPr>
            <w:tcW w:w="546" w:type="pct"/>
            <w:shd w:val="clear" w:color="auto" w:fill="C6EFCE"/>
            <w:noWrap/>
            <w:vAlign w:val="center"/>
          </w:tcPr>
          <w:p w14:paraId="67A467F8"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255</w:t>
            </w:r>
          </w:p>
        </w:tc>
        <w:tc>
          <w:tcPr>
            <w:tcW w:w="1793" w:type="pct"/>
            <w:gridSpan w:val="2"/>
            <w:shd w:val="clear" w:color="auto" w:fill="C6EFCE"/>
            <w:noWrap/>
            <w:vAlign w:val="center"/>
          </w:tcPr>
          <w:p w14:paraId="29357CF2"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Injection de fonds propres dans la Participatiemaatschappij Vlaanderen (PMV) afin de soutenir les entreprises actives dans le domaine de la biotechnologie (I-5.19)</w:t>
            </w:r>
          </w:p>
        </w:tc>
        <w:tc>
          <w:tcPr>
            <w:tcW w:w="343" w:type="pct"/>
            <w:gridSpan w:val="2"/>
            <w:shd w:val="clear" w:color="auto" w:fill="C6EFCE"/>
            <w:noWrap/>
            <w:vAlign w:val="center"/>
          </w:tcPr>
          <w:p w14:paraId="04072051" w14:textId="77777777" w:rsidR="000D1388" w:rsidRPr="003266D9"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2249" w:type="pct"/>
            <w:shd w:val="clear" w:color="auto" w:fill="C6EFCE"/>
            <w:noWrap/>
            <w:vAlign w:val="center"/>
          </w:tcPr>
          <w:p w14:paraId="206F7315" w14:textId="77777777"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Politique d’investissement</w:t>
            </w:r>
          </w:p>
        </w:tc>
      </w:tr>
      <w:tr w:rsidR="00E71057" w:rsidRPr="009D65D8" w14:paraId="42CAAD55" w14:textId="77777777" w:rsidTr="00EB1BD7">
        <w:trPr>
          <w:gridAfter w:val="1"/>
          <w:wAfter w:w="69" w:type="pct"/>
          <w:trHeight w:val="315"/>
        </w:trPr>
        <w:tc>
          <w:tcPr>
            <w:tcW w:w="546" w:type="pct"/>
            <w:shd w:val="clear" w:color="auto" w:fill="C6EFCE"/>
            <w:noWrap/>
            <w:vAlign w:val="center"/>
            <w:hideMark/>
          </w:tcPr>
          <w:p w14:paraId="59735AD2"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216</w:t>
            </w:r>
          </w:p>
        </w:tc>
        <w:tc>
          <w:tcPr>
            <w:tcW w:w="1793" w:type="pct"/>
            <w:gridSpan w:val="2"/>
            <w:shd w:val="clear" w:color="auto" w:fill="C6EFCE"/>
            <w:noWrap/>
            <w:vAlign w:val="center"/>
            <w:hideMark/>
          </w:tcPr>
          <w:p w14:paraId="39700BEC"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Mesures pour la neutralité énergétique et climatique des bâtiments publics – État fédéral (I-7.05)</w:t>
            </w:r>
          </w:p>
        </w:tc>
        <w:tc>
          <w:tcPr>
            <w:tcW w:w="343" w:type="pct"/>
            <w:gridSpan w:val="2"/>
            <w:shd w:val="clear" w:color="auto" w:fill="C6EFCE"/>
            <w:noWrap/>
            <w:vAlign w:val="center"/>
            <w:hideMark/>
          </w:tcPr>
          <w:p w14:paraId="1A862A36" w14:textId="77777777" w:rsidR="000D1388" w:rsidRPr="003266D9"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C</w:t>
            </w:r>
          </w:p>
        </w:tc>
        <w:tc>
          <w:tcPr>
            <w:tcW w:w="2249" w:type="pct"/>
            <w:shd w:val="clear" w:color="auto" w:fill="C6EFCE"/>
            <w:noWrap/>
            <w:vAlign w:val="center"/>
            <w:hideMark/>
          </w:tcPr>
          <w:p w14:paraId="280E2C6A"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d’installation</w:t>
            </w:r>
          </w:p>
        </w:tc>
      </w:tr>
      <w:tr w:rsidR="00E71057" w:rsidRPr="009D65D8" w14:paraId="41BC63EF" w14:textId="77777777" w:rsidTr="00EB1BD7">
        <w:trPr>
          <w:gridAfter w:val="1"/>
          <w:wAfter w:w="69" w:type="pct"/>
          <w:trHeight w:val="315"/>
        </w:trPr>
        <w:tc>
          <w:tcPr>
            <w:tcW w:w="546" w:type="pct"/>
            <w:shd w:val="clear" w:color="auto" w:fill="C6EFCE"/>
            <w:noWrap/>
            <w:vAlign w:val="center"/>
            <w:hideMark/>
          </w:tcPr>
          <w:p w14:paraId="7468730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220</w:t>
            </w:r>
          </w:p>
        </w:tc>
        <w:tc>
          <w:tcPr>
            <w:tcW w:w="1793" w:type="pct"/>
            <w:gridSpan w:val="2"/>
            <w:shd w:val="clear" w:color="auto" w:fill="C6EFCE"/>
            <w:noWrap/>
            <w:vAlign w:val="center"/>
            <w:hideMark/>
          </w:tcPr>
          <w:p w14:paraId="661131D3"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Plateforme de recherche sur la transition énergétique (I-7.11)</w:t>
            </w:r>
          </w:p>
        </w:tc>
        <w:tc>
          <w:tcPr>
            <w:tcW w:w="343" w:type="pct"/>
            <w:gridSpan w:val="2"/>
            <w:shd w:val="clear" w:color="auto" w:fill="C6EFCE"/>
            <w:noWrap/>
            <w:vAlign w:val="center"/>
            <w:hideMark/>
          </w:tcPr>
          <w:p w14:paraId="3CB14FAF"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49" w:type="pct"/>
            <w:shd w:val="clear" w:color="auto" w:fill="C6EFCE"/>
            <w:noWrap/>
            <w:vAlign w:val="center"/>
            <w:hideMark/>
          </w:tcPr>
          <w:p w14:paraId="794AB2DB"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Acquisition d’équipements</w:t>
            </w:r>
          </w:p>
        </w:tc>
      </w:tr>
      <w:tr w:rsidR="00E71057" w:rsidRPr="009D65D8" w14:paraId="0A6196C3" w14:textId="77777777" w:rsidTr="00EB1BD7">
        <w:trPr>
          <w:gridAfter w:val="1"/>
          <w:wAfter w:w="69" w:type="pct"/>
          <w:trHeight w:val="315"/>
        </w:trPr>
        <w:tc>
          <w:tcPr>
            <w:tcW w:w="546" w:type="pct"/>
            <w:shd w:val="clear" w:color="auto" w:fill="C6EFCE"/>
            <w:noWrap/>
            <w:vAlign w:val="center"/>
          </w:tcPr>
          <w:p w14:paraId="7352A2B6" w14:textId="77777777" w:rsidR="000D1388" w:rsidRPr="009D65D8" w:rsidRDefault="000D1388" w:rsidP="00E71057">
            <w:pPr>
              <w:spacing w:after="0"/>
              <w:jc w:val="center"/>
              <w:rPr>
                <w:rFonts w:ascii="Times New Roman" w:eastAsia="Times New Roman" w:hAnsi="Times New Roman" w:cs="Times New Roman"/>
                <w:noProof/>
                <w:color w:val="006100"/>
                <w:sz w:val="20"/>
                <w:szCs w:val="20"/>
                <w:lang w:val="en-GB" w:eastAsia="en-IE"/>
              </w:rPr>
            </w:pPr>
          </w:p>
        </w:tc>
        <w:tc>
          <w:tcPr>
            <w:tcW w:w="2136" w:type="pct"/>
            <w:gridSpan w:val="4"/>
            <w:shd w:val="clear" w:color="auto" w:fill="C6EFCE"/>
            <w:noWrap/>
            <w:vAlign w:val="center"/>
          </w:tcPr>
          <w:p w14:paraId="4439069F" w14:textId="77777777" w:rsidR="000D1388" w:rsidRPr="009D65D8" w:rsidRDefault="00E71057" w:rsidP="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249" w:type="pct"/>
            <w:shd w:val="clear" w:color="auto" w:fill="C6EFCE"/>
            <w:noWrap/>
            <w:vAlign w:val="center"/>
          </w:tcPr>
          <w:p w14:paraId="5ABFC7D2" w14:textId="77777777" w:rsidR="000D1388" w:rsidRPr="009D65D8" w:rsidRDefault="00E71057" w:rsidP="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463</w:t>
            </w:r>
            <w:r>
              <w:rPr>
                <w:rFonts w:ascii="Times New Roman" w:hAnsi="Times New Roman"/>
                <w:noProof/>
                <w:color w:val="006100"/>
                <w:sz w:val="24"/>
              </w:rPr>
              <w:t> </w:t>
            </w:r>
            <w:r>
              <w:rPr>
                <w:rFonts w:ascii="Times New Roman" w:hAnsi="Times New Roman"/>
                <w:noProof/>
                <w:color w:val="006100"/>
                <w:sz w:val="20"/>
              </w:rPr>
              <w:t>459</w:t>
            </w:r>
            <w:r>
              <w:rPr>
                <w:rFonts w:ascii="Times New Roman" w:hAnsi="Times New Roman"/>
                <w:noProof/>
                <w:color w:val="006100"/>
                <w:sz w:val="24"/>
              </w:rPr>
              <w:t> </w:t>
            </w:r>
            <w:r>
              <w:rPr>
                <w:rFonts w:ascii="Times New Roman" w:hAnsi="Times New Roman"/>
                <w:noProof/>
                <w:color w:val="006100"/>
                <w:sz w:val="20"/>
              </w:rPr>
              <w:t>423</w:t>
            </w:r>
            <w:r>
              <w:rPr>
                <w:rFonts w:ascii="Times New Roman" w:hAnsi="Times New Roman"/>
                <w:noProof/>
                <w:color w:val="006100"/>
              </w:rPr>
              <w:t> EUR</w:t>
            </w:r>
          </w:p>
        </w:tc>
      </w:tr>
    </w:tbl>
    <w:p w14:paraId="5CE177A7" w14:textId="77777777" w:rsidR="000D1388" w:rsidRPr="009D65D8" w:rsidRDefault="000D1388" w:rsidP="00E71057">
      <w:pPr>
        <w:spacing w:before="120" w:after="120"/>
        <w:rPr>
          <w:rFonts w:ascii="Times New Roman" w:eastAsia="Calibri" w:hAnsi="Times New Roman" w:cs="Times New Roman"/>
          <w:noProof/>
          <w:lang w:val="en-GB"/>
        </w:rPr>
      </w:pPr>
    </w:p>
    <w:p w14:paraId="50B82014" w14:textId="77777777" w:rsidR="000D1388" w:rsidRPr="009D65D8" w:rsidRDefault="00E71057" w:rsidP="00F70F65">
      <w:pPr>
        <w:numPr>
          <w:ilvl w:val="0"/>
          <w:numId w:val="67"/>
        </w:numPr>
        <w:tabs>
          <w:tab w:val="clear" w:pos="850"/>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Sixième tranche (soutien non remboursable):</w:t>
      </w:r>
    </w:p>
    <w:tbl>
      <w:tblPr>
        <w:tblW w:w="10206" w:type="dxa"/>
        <w:tblLayout w:type="fixed"/>
        <w:tblLook w:val="04A0" w:firstRow="1" w:lastRow="0" w:firstColumn="1" w:lastColumn="0" w:noHBand="0" w:noVBand="1"/>
      </w:tblPr>
      <w:tblGrid>
        <w:gridCol w:w="1271"/>
        <w:gridCol w:w="3543"/>
        <w:gridCol w:w="710"/>
        <w:gridCol w:w="4682"/>
      </w:tblGrid>
      <w:tr w:rsidR="00E71057" w:rsidRPr="009D65D8" w14:paraId="40BDB585" w14:textId="77777777" w:rsidTr="00EB1BD7">
        <w:trPr>
          <w:trHeight w:val="300"/>
          <w:tblHeader/>
        </w:trPr>
        <w:tc>
          <w:tcPr>
            <w:tcW w:w="1271" w:type="dxa"/>
            <w:tcBorders>
              <w:top w:val="single" w:sz="4" w:space="0" w:color="auto"/>
              <w:left w:val="single" w:sz="4" w:space="0" w:color="auto"/>
              <w:bottom w:val="single" w:sz="4" w:space="0" w:color="auto"/>
              <w:right w:val="single" w:sz="4" w:space="0" w:color="auto"/>
            </w:tcBorders>
            <w:shd w:val="clear" w:color="auto" w:fill="BDD7EE"/>
            <w:noWrap/>
            <w:vAlign w:val="center"/>
            <w:hideMark/>
          </w:tcPr>
          <w:p w14:paraId="42B37402"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3543" w:type="dxa"/>
            <w:tcBorders>
              <w:top w:val="single" w:sz="4" w:space="0" w:color="auto"/>
              <w:left w:val="nil"/>
              <w:bottom w:val="single" w:sz="4" w:space="0" w:color="auto"/>
              <w:right w:val="single" w:sz="4" w:space="0" w:color="auto"/>
            </w:tcBorders>
            <w:shd w:val="clear" w:color="auto" w:fill="BDD7EE"/>
            <w:noWrap/>
            <w:vAlign w:val="center"/>
            <w:hideMark/>
          </w:tcPr>
          <w:p w14:paraId="79765B45"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710" w:type="dxa"/>
            <w:tcBorders>
              <w:top w:val="single" w:sz="4" w:space="0" w:color="auto"/>
              <w:left w:val="nil"/>
              <w:bottom w:val="single" w:sz="4" w:space="0" w:color="auto"/>
              <w:right w:val="single" w:sz="4" w:space="0" w:color="auto"/>
            </w:tcBorders>
            <w:shd w:val="clear" w:color="auto" w:fill="BDD7EE"/>
            <w:noWrap/>
            <w:vAlign w:val="center"/>
            <w:hideMark/>
          </w:tcPr>
          <w:p w14:paraId="4C987182"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4682" w:type="dxa"/>
            <w:tcBorders>
              <w:top w:val="single" w:sz="4" w:space="0" w:color="auto"/>
              <w:left w:val="nil"/>
              <w:bottom w:val="single" w:sz="4" w:space="0" w:color="auto"/>
              <w:right w:val="single" w:sz="4" w:space="0" w:color="auto"/>
            </w:tcBorders>
            <w:shd w:val="clear" w:color="auto" w:fill="BDD7EE"/>
            <w:noWrap/>
            <w:vAlign w:val="center"/>
            <w:hideMark/>
          </w:tcPr>
          <w:p w14:paraId="0F47636B"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E71057" w:rsidRPr="009D65D8" w14:paraId="4FC3EEAF"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E98B41"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901195" w14:textId="77777777" w:rsidR="000D1388" w:rsidRPr="00EC516A"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(I-1B)</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FF5A38" w14:textId="77777777" w:rsidR="000D1388" w:rsidRPr="00EC516A"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34EF0E" w14:textId="77777777" w:rsidR="000D1388" w:rsidRPr="00EC516A"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(étape 3)</w:t>
            </w:r>
          </w:p>
        </w:tc>
      </w:tr>
      <w:tr w:rsidR="00E71057" w:rsidRPr="009D65D8" w14:paraId="0EF941E4"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A8A07E" w14:textId="77777777" w:rsidR="000D1388" w:rsidRPr="00DD67A6"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14 </w:t>
            </w:r>
            <w:r>
              <w:rPr>
                <w:rFonts w:ascii="Times New Roman" w:hAnsi="Times New Roman"/>
                <w:i/>
                <w:iCs/>
                <w:noProof/>
                <w:color w:val="006100"/>
                <w:sz w:val="20"/>
              </w:rPr>
              <w:t>bis</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21D159" w14:textId="77777777" w:rsidR="000D1388" w:rsidRPr="00EC516A"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Rénovation de bâtiments (I-1B)</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9196E" w14:textId="77777777" w:rsidR="000D1388" w:rsidRPr="00EC516A"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013920" w14:textId="620293A8" w:rsidR="000D1388" w:rsidRPr="00EC516A" w:rsidRDefault="005B6317">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Rénovation de bâtiments (étape 4) </w:t>
            </w:r>
          </w:p>
        </w:tc>
      </w:tr>
      <w:tr w:rsidR="00E71057" w:rsidRPr="009D65D8" w14:paraId="49805FDC"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B61835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F7C32C" w14:textId="77777777" w:rsidR="000D1388" w:rsidRPr="00EC516A"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07356A" w14:textId="77777777" w:rsidR="000D1388" w:rsidRPr="00EC516A"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9919D1" w14:textId="77777777" w:rsidR="000D1388" w:rsidRPr="00EC516A"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recherche finals</w:t>
            </w:r>
          </w:p>
        </w:tc>
      </w:tr>
      <w:tr w:rsidR="00E71057" w:rsidRPr="009D65D8" w14:paraId="3FA650A2"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EA5B34"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B9C364" w14:textId="77777777" w:rsidR="000D1388" w:rsidRPr="00EC516A"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89A393" w14:textId="77777777" w:rsidR="000D1388" w:rsidRPr="00EC516A"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552CD8" w14:textId="664A0660" w:rsidR="000D1388" w:rsidRPr="00EC516A" w:rsidRDefault="004805F3">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Lettres d’évaluation positives</w:t>
            </w:r>
          </w:p>
        </w:tc>
      </w:tr>
      <w:tr w:rsidR="00E71057" w:rsidRPr="009D65D8" w14:paraId="5C5530C6"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701B7C"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28</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DB4C92" w14:textId="77777777" w:rsidR="000D1388" w:rsidRPr="00EC516A"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Développer l’industrie à faible émission de carbone (I-1.18)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1565CB" w14:textId="77777777" w:rsidR="000D1388" w:rsidRPr="00EC516A"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EECDAC" w14:textId="40E372A8" w:rsidR="000D1388" w:rsidRPr="00EC516A"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Lettres d’évaluation positives</w:t>
            </w:r>
          </w:p>
        </w:tc>
      </w:tr>
      <w:tr w:rsidR="00E71057" w:rsidRPr="009D65D8" w14:paraId="252F36F3"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3D0E58" w14:textId="77777777" w:rsidR="000D1388" w:rsidRPr="00DD67A6"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37</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5C2DD3" w14:textId="77777777" w:rsidR="000D1388" w:rsidRPr="00EC516A"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Biodiversité et adaptation au climat (I-1.22)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56A1AF" w14:textId="77777777" w:rsidR="000D1388" w:rsidRPr="00EC516A" w:rsidRDefault="00E71057" w:rsidP="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85B2F4" w14:textId="2C6B7EBE" w:rsidR="000D1388" w:rsidRPr="00EC516A" w:rsidRDefault="001119D5">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livraison pour les activités de protection de la nature</w:t>
            </w:r>
          </w:p>
        </w:tc>
      </w:tr>
      <w:tr w:rsidR="00E71057" w:rsidRPr="009D65D8" w14:paraId="21F74F36"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5BC8F1"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39</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389607" w14:textId="77777777" w:rsidR="000D1388" w:rsidRPr="00EC516A"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Biodiversité et adaptation au climat (I-1.22)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E0412A" w14:textId="77777777" w:rsidR="000D1388" w:rsidRPr="00EC516A" w:rsidRDefault="00E71057" w:rsidP="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30D20F" w14:textId="454FCA4D" w:rsidR="000D1388" w:rsidRPr="00EC516A" w:rsidRDefault="00006C88">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livraison des travaux d’infrastructure liés à l’«Entre-Sambre-et-Meuse» et à la «Vallée de la Semois»</w:t>
            </w:r>
          </w:p>
        </w:tc>
      </w:tr>
      <w:tr w:rsidR="00E71057" w:rsidRPr="009D65D8" w14:paraId="778B2D95"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A68237"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43</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DE4947" w14:textId="77777777" w:rsidR="000D1388" w:rsidRPr="00EC516A"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Blue Deal (I-1.24)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AE05B5" w14:textId="77777777" w:rsidR="000D1388" w:rsidRPr="00EC516A"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1DAD38" w14:textId="1BFA48CE" w:rsidR="000D1388" w:rsidRPr="00EC516A" w:rsidRDefault="00E8749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Gestion de l’eau et adaptation au changement climatique </w:t>
            </w:r>
          </w:p>
        </w:tc>
      </w:tr>
      <w:tr w:rsidR="00E71057" w:rsidRPr="00435CEF" w14:paraId="7F17137B"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0B13B"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43 </w:t>
            </w:r>
            <w:r>
              <w:rPr>
                <w:rFonts w:ascii="Times New Roman" w:hAnsi="Times New Roman"/>
                <w:i/>
                <w:iCs/>
                <w:noProof/>
                <w:color w:val="006100"/>
                <w:sz w:val="20"/>
              </w:rPr>
              <w:t>bis</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BE0E6" w14:textId="77777777" w:rsidR="000D1388" w:rsidRPr="00EC516A"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Blue Deal (I-1.24)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FC7CC" w14:textId="77777777" w:rsidR="000D1388" w:rsidRPr="00EC516A"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0BAB2" w14:textId="0C304C79" w:rsidR="000D1388" w:rsidRPr="00EC516A" w:rsidRDefault="005C6AD4">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Décaissement pour des projets de gestion de l’eau et d’adaptation au changement climatique </w:t>
            </w:r>
          </w:p>
        </w:tc>
      </w:tr>
      <w:tr w:rsidR="00E71057" w:rsidRPr="009D65D8" w14:paraId="74F32DE6" w14:textId="77777777" w:rsidTr="00EB1BD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534733" w14:textId="77777777" w:rsidR="000D1388" w:rsidRPr="009D65D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49</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DF5090" w14:textId="33F2763B" w:rsidR="000D1388" w:rsidRPr="00EC516A" w:rsidRDefault="64C1060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Capacités d’interception (I-2.02)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226068" w14:textId="77777777" w:rsidR="000D1388" w:rsidRPr="00EC516A"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D9432F" w14:textId="77AE78B7" w:rsidR="000D1388" w:rsidRPr="00EC516A" w:rsidRDefault="05FD3418">
            <w:pPr>
              <w:spacing w:after="0"/>
              <w:rPr>
                <w:noProof/>
              </w:rPr>
            </w:pPr>
            <w:r>
              <w:rPr>
                <w:rFonts w:ascii="Times New Roman" w:hAnsi="Times New Roman"/>
                <w:noProof/>
                <w:color w:val="006100"/>
                <w:sz w:val="20"/>
              </w:rPr>
              <w:t>Matériel pour les capacités d’interception</w:t>
            </w:r>
          </w:p>
        </w:tc>
      </w:tr>
      <w:tr w:rsidR="00E71057" w:rsidRPr="009D65D8" w14:paraId="06357515" w14:textId="77777777" w:rsidTr="00EB1BD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34C9DD"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50</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31001E" w14:textId="0A7F4AE2" w:rsidR="000D1388" w:rsidRPr="00EC516A" w:rsidRDefault="0074469C">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Capacités d’interception (I-2.03)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DE8120" w14:textId="77777777" w:rsidR="000D1388" w:rsidRPr="00EC516A"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0C76C6" w14:textId="41EE67BD" w:rsidR="000D1388" w:rsidRPr="00DB0434" w:rsidRDefault="34D279F1">
            <w:pPr>
              <w:spacing w:after="0"/>
              <w:rPr>
                <w:rFonts w:ascii="Times New Roman" w:eastAsia="Calibri" w:hAnsi="Times New Roman" w:cs="Arial"/>
                <w:noProof/>
                <w:color w:val="006100"/>
                <w:sz w:val="20"/>
                <w:szCs w:val="20"/>
              </w:rPr>
            </w:pPr>
            <w:r>
              <w:rPr>
                <w:rFonts w:ascii="Times New Roman" w:hAnsi="Times New Roman"/>
                <w:noProof/>
                <w:color w:val="006100"/>
                <w:sz w:val="20"/>
              </w:rPr>
              <w:t>Capacités d’interception et registre</w:t>
            </w:r>
          </w:p>
        </w:tc>
      </w:tr>
      <w:tr w:rsidR="00E71057" w:rsidRPr="009D65D8" w14:paraId="087EEC75"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D9508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52</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F2A008" w14:textId="3A2D1F2A"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(I-2.04) (sous-mesure 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F24911"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E9FC41" w14:textId="7AD969B3" w:rsidR="000D1388" w:rsidRPr="00DD67A6" w:rsidRDefault="004C543E">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fonctionnalités sont accessibles</w:t>
            </w:r>
          </w:p>
        </w:tc>
      </w:tr>
      <w:tr w:rsidR="00E71057" w:rsidRPr="009D65D8" w14:paraId="34D82247"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4209B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53</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7C8232" w14:textId="12A2DBD6"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(I-2.04) (sous-mesure 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B9BB45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629AC3" w14:textId="65C4303E"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Plateforme interactive </w:t>
            </w:r>
          </w:p>
        </w:tc>
      </w:tr>
      <w:tr w:rsidR="00E71057" w:rsidRPr="009D65D8" w14:paraId="0C16FCE0"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A7C5F2"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61D20B"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C3D6E0"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1711EA" w14:textId="327B9F8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Projets de digitalisation</w:t>
            </w:r>
          </w:p>
        </w:tc>
      </w:tr>
      <w:tr w:rsidR="00E71057" w:rsidRPr="009D65D8" w14:paraId="02F04E96"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FE00F" w14:textId="77777777" w:rsidR="000D1388" w:rsidRPr="009D65D8" w:rsidRDefault="00E71057" w:rsidP="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58</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73929D"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Digitalisation SPF (I-2.05)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CC71D8" w14:textId="77777777" w:rsidR="000D1388" w:rsidRPr="009D65D8" w:rsidRDefault="00E71057" w:rsidP="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383905"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Centralisation interne des décisions de justice</w:t>
            </w:r>
          </w:p>
        </w:tc>
      </w:tr>
      <w:tr w:rsidR="00E71057" w:rsidRPr="009D65D8" w14:paraId="23D2E011" w14:textId="77777777" w:rsidTr="00EB1BD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0374D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60</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A5ECE5" w14:textId="4BA3D230"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7DCBA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FBBEC9" w14:textId="66C3549A"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Système de gestion des dossiers en place pour cinq entités judiciaires</w:t>
            </w:r>
          </w:p>
        </w:tc>
      </w:tr>
      <w:tr w:rsidR="00E71057" w:rsidRPr="009D65D8" w14:paraId="30C2E010" w14:textId="77777777" w:rsidTr="00EB1BD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AA4BF"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61</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F128C" w14:textId="77777777" w:rsidR="000D1388" w:rsidRPr="009D65D8" w:rsidRDefault="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Digitalisation SPF (I-2.05)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3752B5" w14:textId="77777777" w:rsidR="000D1388" w:rsidRPr="009D65D8" w:rsidRDefault="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6CDF65" w14:textId="6E9177A0" w:rsidR="000D1388" w:rsidRPr="009D65D8" w:rsidRDefault="00E26AAD">
            <w:pPr>
              <w:spacing w:after="0"/>
              <w:rPr>
                <w:rFonts w:ascii="Times New Roman" w:eastAsia="Calibri" w:hAnsi="Times New Roman" w:cs="Arial"/>
                <w:noProof/>
                <w:color w:val="006100"/>
                <w:sz w:val="20"/>
                <w:szCs w:val="20"/>
              </w:rPr>
            </w:pPr>
            <w:r>
              <w:rPr>
                <w:rFonts w:ascii="Times New Roman" w:hAnsi="Times New Roman"/>
                <w:noProof/>
                <w:color w:val="006100"/>
                <w:sz w:val="20"/>
              </w:rPr>
              <w:t>Digitalisation des procédures judiciaires</w:t>
            </w:r>
          </w:p>
        </w:tc>
      </w:tr>
      <w:tr w:rsidR="00E71057" w:rsidRPr="009D65D8" w14:paraId="2434A135"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1A8C65"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64</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8DC93" w14:textId="77777777" w:rsidR="000D1388" w:rsidRPr="00746A1A" w:rsidRDefault="00E71057">
            <w:pPr>
              <w:spacing w:after="0"/>
              <w:rPr>
                <w:rFonts w:ascii="Times New Roman" w:eastAsia="Calibri" w:hAnsi="Times New Roman" w:cs="Arial"/>
                <w:noProof/>
                <w:color w:val="006100"/>
                <w:sz w:val="20"/>
                <w:szCs w:val="20"/>
                <w:lang w:val="en-IE"/>
              </w:rPr>
            </w:pPr>
            <w:r w:rsidRPr="00746A1A">
              <w:rPr>
                <w:rFonts w:ascii="Times New Roman" w:hAnsi="Times New Roman"/>
                <w:noProof/>
                <w:color w:val="006100"/>
                <w:sz w:val="20"/>
                <w:lang w:val="en-IE"/>
              </w:rPr>
              <w:t>eHealth Services et Health Data (I-2.06)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82E418" w14:textId="77777777" w:rsidR="000D1388" w:rsidRPr="009D65D8" w:rsidRDefault="00E71057">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754DBF" w14:textId="5DA7339A" w:rsidR="000D1388" w:rsidRPr="009D65D8" w:rsidRDefault="00E71057">
            <w:pPr>
              <w:spacing w:after="0"/>
              <w:rPr>
                <w:rFonts w:ascii="Times New Roman" w:eastAsia="Calibri" w:hAnsi="Times New Roman" w:cs="Arial"/>
                <w:noProof/>
                <w:color w:val="006100"/>
                <w:sz w:val="20"/>
              </w:rPr>
            </w:pPr>
            <w:r>
              <w:rPr>
                <w:rFonts w:ascii="Times New Roman" w:hAnsi="Times New Roman"/>
                <w:noProof/>
                <w:color w:val="006100"/>
                <w:sz w:val="20"/>
              </w:rPr>
              <w:t>Projets de digitalisation</w:t>
            </w:r>
          </w:p>
        </w:tc>
      </w:tr>
      <w:tr w:rsidR="00E71057" w:rsidRPr="009D65D8" w14:paraId="22F2B9A6"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193BCF"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D182799" w14:textId="72738C29"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de digitalisation (I-2.08)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B409A6"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E302E3" w14:textId="57988E1B"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Digitalisation des œuvres audiovisuelles et audio et création d’œuvres numériques autochtones </w:t>
            </w:r>
          </w:p>
        </w:tc>
      </w:tr>
      <w:tr w:rsidR="00E71057" w:rsidRPr="009D65D8" w14:paraId="0C928A96"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C8E07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67</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57C976" w14:textId="55D4EC5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de digitalisation (I-2.08)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D88F5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A006795" w14:textId="4AC6D4B4" w:rsidR="000D1388" w:rsidRPr="009D65D8" w:rsidRDefault="004659CA">
            <w:pPr>
              <w:spacing w:after="0"/>
              <w:rPr>
                <w:rFonts w:ascii="Times New Roman" w:eastAsia="Calibri" w:hAnsi="Times New Roman" w:cs="Arial"/>
                <w:noProof/>
                <w:color w:val="006100"/>
                <w:sz w:val="20"/>
                <w:szCs w:val="20"/>
              </w:rPr>
            </w:pPr>
            <w:r>
              <w:rPr>
                <w:rFonts w:ascii="Times New Roman" w:hAnsi="Times New Roman"/>
                <w:noProof/>
                <w:color w:val="006100"/>
                <w:sz w:val="20"/>
              </w:rPr>
              <w:t>Outil numérique</w:t>
            </w:r>
          </w:p>
        </w:tc>
      </w:tr>
      <w:tr w:rsidR="00E71057" w:rsidRPr="009D65D8" w14:paraId="3B8DEE74"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DB4C98"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80</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165496" w14:textId="48DADA60"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Couverture par les réseaux en fibre optique (I-2.13)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B7D196"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F05231"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Couverture</w:t>
            </w:r>
          </w:p>
        </w:tc>
      </w:tr>
      <w:tr w:rsidR="00E71057" w:rsidRPr="009D65D8" w14:paraId="2BC45C4D"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01AB03" w14:textId="77777777" w:rsidR="000D1388" w:rsidRPr="009D65D8" w:rsidRDefault="00E71057" w:rsidP="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84</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0A67E3" w14:textId="6E20789A" w:rsidR="000D1388" w:rsidRPr="009D65D8" w:rsidRDefault="00FB0FDB">
            <w:pPr>
              <w:spacing w:after="0"/>
              <w:rPr>
                <w:rFonts w:ascii="Times New Roman" w:eastAsia="Calibri" w:hAnsi="Times New Roman" w:cs="Arial"/>
                <w:noProof/>
                <w:color w:val="006100"/>
                <w:sz w:val="20"/>
                <w:szCs w:val="20"/>
              </w:rPr>
            </w:pPr>
            <w:r>
              <w:rPr>
                <w:rFonts w:ascii="Times New Roman" w:hAnsi="Times New Roman"/>
                <w:noProof/>
                <w:color w:val="006100"/>
                <w:sz w:val="20"/>
              </w:rPr>
              <w:t>Connectivité de 35 parcs d’activités économiques de Wallonie (I-2.15)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0221E" w14:textId="77777777" w:rsidR="000D1388" w:rsidRPr="009D65D8" w:rsidRDefault="00E71057" w:rsidP="00E71057">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69AAA4" w14:textId="77777777" w:rsidR="000D1388" w:rsidRPr="009D65D8" w:rsidRDefault="00E71057" w:rsidP="00E71057">
            <w:pPr>
              <w:spacing w:after="0"/>
              <w:rPr>
                <w:rFonts w:ascii="Times New Roman" w:eastAsia="Calibri" w:hAnsi="Times New Roman" w:cs="Arial"/>
                <w:noProof/>
                <w:color w:val="006100"/>
                <w:sz w:val="20"/>
                <w:szCs w:val="20"/>
              </w:rPr>
            </w:pPr>
            <w:r>
              <w:rPr>
                <w:rFonts w:ascii="Times New Roman" w:hAnsi="Times New Roman"/>
                <w:noProof/>
                <w:color w:val="006100"/>
                <w:sz w:val="20"/>
              </w:rPr>
              <w:t>Connectivité par fibre optique de 35 parcs d’activités économiques</w:t>
            </w:r>
          </w:p>
        </w:tc>
      </w:tr>
      <w:tr w:rsidR="00E71057" w:rsidRPr="009D65D8" w14:paraId="4F10AAC2"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15C03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7C4B23"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(I-3A)</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5B3DEE"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63A07C"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Pistes cyclables nouvellement construites ou rénovées</w:t>
            </w:r>
          </w:p>
        </w:tc>
      </w:tr>
      <w:tr w:rsidR="00E71057" w:rsidRPr="009D65D8" w14:paraId="3525E1AB" w14:textId="77777777" w:rsidTr="00EB1BD7">
        <w:trPr>
          <w:trHeight w:val="51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73BC1A" w14:textId="77777777" w:rsidR="000D1388" w:rsidRPr="009D65D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96b</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04134D" w14:textId="77777777" w:rsidR="000D1388" w:rsidRPr="009D65D8" w:rsidRDefault="00E71057">
            <w:pPr>
              <w:rPr>
                <w:rFonts w:ascii="Times New Roman" w:eastAsia="Calibri" w:hAnsi="Times New Roman" w:cs="Arial"/>
                <w:noProof/>
                <w:color w:val="006100"/>
                <w:sz w:val="20"/>
                <w:szCs w:val="20"/>
              </w:rPr>
            </w:pPr>
            <w:r>
              <w:rPr>
                <w:rFonts w:ascii="Times New Roman" w:hAnsi="Times New Roman"/>
                <w:noProof/>
                <w:color w:val="006100"/>
                <w:sz w:val="20"/>
              </w:rPr>
              <w:t>Infrastructure cyclable – Vélo Plus – État fédéral (I-3.03b)</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65535A" w14:textId="77777777" w:rsidR="000D1388" w:rsidRPr="009D65D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3B9092" w14:textId="44A65384" w:rsidR="000D1388" w:rsidRPr="009D65D8" w:rsidRDefault="00E71057">
            <w:pPr>
              <w:rPr>
                <w:rFonts w:ascii="Times New Roman" w:eastAsia="Calibri" w:hAnsi="Times New Roman" w:cs="Arial"/>
                <w:noProof/>
                <w:color w:val="006100"/>
                <w:sz w:val="20"/>
                <w:szCs w:val="20"/>
              </w:rPr>
            </w:pPr>
            <w:r>
              <w:rPr>
                <w:rFonts w:ascii="Times New Roman" w:hAnsi="Times New Roman"/>
                <w:noProof/>
                <w:color w:val="006100"/>
                <w:sz w:val="20"/>
              </w:rPr>
              <w:t>Pistes cyclables nouvellement construites ou rénovées</w:t>
            </w:r>
          </w:p>
        </w:tc>
      </w:tr>
      <w:tr w:rsidR="00E71057" w:rsidRPr="009D65D8" w14:paraId="7BCB84C2"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4F328B"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97</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52B4AB"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 Vélo Plus – RBC (I-3.03a)</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5E9EA7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D50270"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Nouveau parking à vélos public</w:t>
            </w:r>
          </w:p>
        </w:tc>
      </w:tr>
      <w:tr w:rsidR="00A92CDB" w:rsidRPr="009D65D8" w14:paraId="16D64E84" w14:textId="77777777" w:rsidTr="00EB1B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PrEx>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A28992" w14:textId="77777777" w:rsidR="00A92CDB" w:rsidRPr="009D65D8" w:rsidRDefault="00A92CDB" w:rsidP="00586036">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98</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8470E4" w14:textId="77777777" w:rsidR="00A92CDB" w:rsidRPr="009D65D8" w:rsidRDefault="00A92CDB" w:rsidP="00586036">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Infrastructures cyclables et piétonnes – Schuman (I-3.04)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EBC646" w14:textId="77777777" w:rsidR="00A92CDB" w:rsidRPr="009D65D8" w:rsidRDefault="00A92CDB" w:rsidP="00586036">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22578D" w14:textId="77777777" w:rsidR="00A92CDB" w:rsidRPr="009D65D8" w:rsidRDefault="00A92CDB" w:rsidP="00586036">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Espaces publics modernisés pour les piétons, les cyclistes et les transports publics à Schuman</w:t>
            </w:r>
          </w:p>
        </w:tc>
      </w:tr>
      <w:tr w:rsidR="00E71057" w:rsidRPr="009D65D8" w14:paraId="5D246AF2"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B11344"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101</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3CFD3C"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le transport public en Wallonie (I-3B)</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CB9EFF"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9F58F4" w14:textId="32407350" w:rsidR="000D1388" w:rsidRPr="009D65D8" w:rsidRDefault="00796C4F">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Voies du métro de Charleroi posées ou réhabilitées et équipements de carrefours de feux de circulation intelligents</w:t>
            </w:r>
          </w:p>
        </w:tc>
      </w:tr>
      <w:tr w:rsidR="008532D4" w:rsidRPr="009D65D8" w14:paraId="701AFD4D"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27ABBE"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F46C17" w14:textId="6D949B0D"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d’infrastructure ferroviaire et travaux d’accessibilité des gares (I-3C)</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E3A6E9"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8742D0" w14:textId="3EB41123"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Interventions ferroviaires et travaux d’accessibilité des gares (étape 3)</w:t>
            </w:r>
          </w:p>
        </w:tc>
      </w:tr>
      <w:tr w:rsidR="008532D4" w:rsidRPr="009D65D8" w14:paraId="54555A62"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7467B6"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107</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ABB8AF5"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Canal Albert et Trilogiport (I-3.11)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CEAAAE"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76883C" w14:textId="7ADCEE22"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Augmentation de la hauteur des ponts sur le canal Albert et installation d’une signalisation complémentaire sur un pont/extension de la plateforme Trilogiport</w:t>
            </w:r>
          </w:p>
        </w:tc>
      </w:tr>
      <w:tr w:rsidR="008532D4" w:rsidRPr="009D65D8" w14:paraId="256BC061"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7953B7" w14:textId="77777777" w:rsidR="008532D4" w:rsidRPr="009D65D8"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109</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8D85D2" w14:textId="46A8215E"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Systèmes informatiques ferroviaires (I-3E)</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53AA2C" w14:textId="3B14DC6E" w:rsidR="008532D4" w:rsidRPr="009D65D8"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B42E95" w14:textId="2E6147BB" w:rsidR="008532D4" w:rsidRPr="009D65D8" w:rsidRDefault="008532D4" w:rsidP="008532D4">
            <w:pPr>
              <w:spacing w:after="0"/>
              <w:rPr>
                <w:rFonts w:ascii="Times New Roman" w:eastAsia="Calibri" w:hAnsi="Times New Roman" w:cs="Arial"/>
                <w:noProof/>
                <w:color w:val="006100"/>
                <w:sz w:val="20"/>
                <w:szCs w:val="20"/>
              </w:rPr>
            </w:pPr>
            <w:r>
              <w:rPr>
                <w:rFonts w:ascii="Times New Roman" w:hAnsi="Times New Roman"/>
                <w:noProof/>
                <w:color w:val="0B6A0B"/>
                <w:sz w:val="20"/>
              </w:rPr>
              <w:t>Systèmes informatiques ferroviaires</w:t>
            </w:r>
          </w:p>
        </w:tc>
      </w:tr>
      <w:tr w:rsidR="008532D4" w:rsidRPr="00A92CDB" w14:paraId="5279FD0A"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tcPr>
          <w:p w14:paraId="31C01032"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115 </w:t>
            </w:r>
            <w:r>
              <w:rPr>
                <w:rFonts w:ascii="Times New Roman" w:hAnsi="Times New Roman"/>
                <w:i/>
                <w:iCs/>
                <w:noProof/>
                <w:color w:val="006100"/>
                <w:sz w:val="20"/>
              </w:rPr>
              <w:t>ter</w:t>
            </w:r>
          </w:p>
        </w:tc>
        <w:tc>
          <w:tcPr>
            <w:tcW w:w="3543" w:type="dxa"/>
            <w:tcBorders>
              <w:top w:val="single" w:sz="4" w:space="0" w:color="auto"/>
              <w:left w:val="single" w:sz="4" w:space="0" w:color="auto"/>
              <w:bottom w:val="single" w:sz="4" w:space="0" w:color="auto"/>
              <w:right w:val="single" w:sz="4" w:space="0" w:color="auto"/>
            </w:tcBorders>
            <w:shd w:val="clear" w:color="auto" w:fill="C6EFCE"/>
            <w:noWrap/>
          </w:tcPr>
          <w:p w14:paraId="303A2887"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Verdir la flotte de bus – (I-3G)</w:t>
            </w:r>
          </w:p>
        </w:tc>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42319F21"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tcPr>
          <w:p w14:paraId="04B297E6" w14:textId="17E77DAF"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Bus verts, infrastructures de recharge et un dépôt de bus en Wallonie</w:t>
            </w:r>
          </w:p>
        </w:tc>
      </w:tr>
      <w:tr w:rsidR="008532D4" w:rsidRPr="009D65D8" w14:paraId="06420DA4"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D4219" w14:textId="77777777" w:rsidR="008532D4" w:rsidRPr="009D65D8" w:rsidRDefault="008532D4" w:rsidP="008532D4">
            <w:pPr>
              <w:spacing w:after="0"/>
              <w:jc w:val="center"/>
              <w:rPr>
                <w:rFonts w:ascii="Times New Roman" w:eastAsia="Calibri" w:hAnsi="Times New Roman" w:cs="Arial"/>
                <w:noProof/>
                <w:color w:val="006100"/>
                <w:sz w:val="20"/>
              </w:rPr>
            </w:pPr>
            <w:r>
              <w:rPr>
                <w:rFonts w:ascii="Times New Roman" w:hAnsi="Times New Roman"/>
                <w:noProof/>
                <w:color w:val="006100"/>
                <w:sz w:val="20"/>
              </w:rPr>
              <w:t>125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0D8E47" w14:textId="77777777" w:rsidR="008532D4" w:rsidRPr="009D65D8" w:rsidRDefault="008532D4" w:rsidP="008532D4">
            <w:pPr>
              <w:spacing w:after="0"/>
              <w:rPr>
                <w:rFonts w:ascii="Times New Roman" w:eastAsia="Calibri" w:hAnsi="Times New Roman" w:cs="Arial"/>
                <w:noProof/>
                <w:color w:val="006100"/>
                <w:sz w:val="20"/>
              </w:rPr>
            </w:pPr>
            <w:r>
              <w:rPr>
                <w:rFonts w:ascii="Times New Roman" w:hAnsi="Times New Roman"/>
                <w:noProof/>
                <w:color w:val="006100"/>
                <w:sz w:val="20"/>
              </w:rPr>
              <w:t>Fraude en matière d’émissions (R-3.07)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18016D" w14:textId="77777777" w:rsidR="008532D4" w:rsidRPr="009D65D8" w:rsidRDefault="008532D4" w:rsidP="008532D4">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FB7EF2" w14:textId="77777777" w:rsidR="008532D4" w:rsidRPr="009D65D8" w:rsidRDefault="008532D4" w:rsidP="008532D4">
            <w:pPr>
              <w:spacing w:after="0"/>
              <w:rPr>
                <w:rFonts w:ascii="Times New Roman" w:eastAsia="Calibri" w:hAnsi="Times New Roman" w:cs="Arial"/>
                <w:noProof/>
                <w:color w:val="006100"/>
                <w:sz w:val="20"/>
              </w:rPr>
            </w:pPr>
            <w:r>
              <w:rPr>
                <w:rFonts w:ascii="Times New Roman" w:hAnsi="Times New Roman"/>
                <w:noProof/>
                <w:color w:val="006100"/>
                <w:sz w:val="20"/>
              </w:rPr>
              <w:t>Système informatique intégrant les données d’émission avec les observations des inspections techniques périodiques et inspections routières</w:t>
            </w:r>
          </w:p>
        </w:tc>
      </w:tr>
      <w:tr w:rsidR="008532D4" w:rsidRPr="009D65D8" w14:paraId="7E59521E"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120CA5" w14:textId="77777777" w:rsidR="008532D4" w:rsidRPr="00DD67A6"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147</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7BD507" w14:textId="26CD5A66" w:rsidR="008532D4" w:rsidRPr="00DD67A6"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Plateforme digitale pour les détenus (I-4.09)</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A86B7F" w14:textId="77777777" w:rsidR="008532D4" w:rsidRPr="00DD67A6" w:rsidRDefault="008532D4" w:rsidP="008532D4">
            <w:pPr>
              <w:jc w:val="center"/>
              <w:rPr>
                <w:rFonts w:ascii="Times New Roman" w:eastAsia="Calibri" w:hAnsi="Times New Roman" w:cs="Arial"/>
                <w:strike/>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30CDF1" w14:textId="7552B181" w:rsidR="008532D4" w:rsidRPr="00DD67A6"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Installation d’une plateforme numérique</w:t>
            </w:r>
          </w:p>
        </w:tc>
      </w:tr>
      <w:tr w:rsidR="008532D4" w:rsidRPr="009D65D8" w14:paraId="11E17BCA"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B0323F" w14:textId="77777777" w:rsidR="008532D4" w:rsidRPr="00DD67A6"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152</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8483B6" w14:textId="5EC16927" w:rsidR="008532D4" w:rsidRPr="00DD67A6" w:rsidRDefault="00E810B4" w:rsidP="008532D4">
            <w:pPr>
              <w:rPr>
                <w:rFonts w:ascii="Times New Roman" w:eastAsia="Calibri" w:hAnsi="Times New Roman" w:cs="Arial"/>
                <w:noProof/>
                <w:color w:val="006100"/>
                <w:sz w:val="20"/>
                <w:szCs w:val="20"/>
              </w:rPr>
            </w:pPr>
            <w:r>
              <w:rPr>
                <w:rFonts w:ascii="Times New Roman" w:hAnsi="Times New Roman"/>
                <w:noProof/>
                <w:color w:val="006100"/>
                <w:sz w:val="20"/>
              </w:rPr>
              <w:t>Logements sociaux et logements à destination de personnes vulnérables (I-4.12)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DBB60" w14:textId="77777777" w:rsidR="008532D4" w:rsidRPr="00DD67A6"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A3F0C" w14:textId="77777777" w:rsidR="008532D4" w:rsidRPr="009D65D8"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Installation de box intelligentes pour les personnes vulnérables</w:t>
            </w:r>
          </w:p>
        </w:tc>
      </w:tr>
      <w:tr w:rsidR="008532D4" w:rsidRPr="009D65D8" w14:paraId="49C0BDA8"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4F8295"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153</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51425B" w14:textId="1E1FC6F4" w:rsidR="008532D4" w:rsidRPr="009D65D8" w:rsidRDefault="00E810B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Logements sociaux et logements à destination de personnes vulnérables (I-4.12)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6B67B0"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675A17A" w14:textId="5E636E0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Places dans des refuges ou des lieux d’hébergement, unités de logements inclusifs ou sociaux achetées, construites ou rénovées</w:t>
            </w:r>
          </w:p>
        </w:tc>
      </w:tr>
      <w:tr w:rsidR="00F7185D" w:rsidRPr="009D65D8" w14:paraId="19DD432B"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A6E4A9" w14:textId="77777777" w:rsidR="00F7185D" w:rsidRPr="009D65D8" w:rsidRDefault="00F7185D" w:rsidP="001739DE">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9F2D70" w14:textId="77777777" w:rsidR="00F7185D" w:rsidRPr="009D65D8" w:rsidRDefault="00F7185D" w:rsidP="001739DE">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Création de places en crèche (I-4.13)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9F203E" w14:textId="77777777" w:rsidR="00F7185D" w:rsidRPr="009D65D8" w:rsidRDefault="00F7185D" w:rsidP="001739DE">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A4BC6C" w14:textId="77777777" w:rsidR="00F7185D" w:rsidRPr="009D65D8" w:rsidRDefault="00F7185D" w:rsidP="001739DE">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Création de places en crèche</w:t>
            </w:r>
          </w:p>
        </w:tc>
      </w:tr>
      <w:tr w:rsidR="007C5726" w:rsidRPr="009D65D8" w14:paraId="4E76412E"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38A4EF" w14:textId="77777777" w:rsidR="007C5726" w:rsidRPr="009D65D8" w:rsidRDefault="007C5726" w:rsidP="007C5726">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162</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1C2290" w14:textId="77777777" w:rsidR="007C5726" w:rsidRPr="009D65D8" w:rsidRDefault="007C5726" w:rsidP="007C5726">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A6K/E6K Hub d’innovation et de formation numérique et technologique (I-5.01)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66E1EF" w14:textId="77777777" w:rsidR="007C5726" w:rsidRPr="009D65D8" w:rsidRDefault="007C5726" w:rsidP="007C5726">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F63C5B" w14:textId="237FCB71" w:rsidR="007C5726" w:rsidRPr="009D65D8" w:rsidRDefault="007C5726" w:rsidP="007C5726">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Bâtiments rénovés ou construits </w:t>
            </w:r>
          </w:p>
        </w:tc>
      </w:tr>
      <w:tr w:rsidR="008532D4" w:rsidRPr="009D65D8" w14:paraId="2F956E92"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AF5E8C"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163</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CAFCB9"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à niveau des infrastructures de formation de pointe (I-5.03)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4E1335"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43B577" w14:textId="77777777" w:rsidR="008532D4" w:rsidRPr="009D65D8" w:rsidRDefault="008532D4" w:rsidP="008532D4">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et équipements</w:t>
            </w:r>
          </w:p>
        </w:tc>
      </w:tr>
      <w:tr w:rsidR="008532D4" w:rsidRPr="009D65D8" w14:paraId="3F40B39D"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BFB6CD"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171</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D48F31"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Formation numérique tout au long de la vie (I-5.07)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8637E5"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1B3803" w14:textId="5D09B970" w:rsidR="008532D4" w:rsidRPr="009D65D8" w:rsidRDefault="00FA5E19" w:rsidP="008532D4">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et équipements pour la formation aux compétences numériques</w:t>
            </w:r>
          </w:p>
        </w:tc>
      </w:tr>
      <w:tr w:rsidR="008532D4" w:rsidRPr="009D65D8" w14:paraId="5B62A700"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3776C9"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179</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D4D44F"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Médecine nucléaire (I-5.08)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E1CBFE"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5B9B53" w14:textId="1C088924"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de radio-isotopes construite et licence de l’AFCN et enregistrement auprès de l’AFMPS obtenus</w:t>
            </w:r>
          </w:p>
        </w:tc>
      </w:tr>
      <w:tr w:rsidR="008532D4" w:rsidRPr="009D65D8" w14:paraId="3D54FFA8"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ADA1C2" w14:textId="77777777" w:rsidR="008532D4" w:rsidRPr="009D65D8"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180</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238BDC" w14:textId="77777777" w:rsidR="008532D4" w:rsidRPr="009D65D8"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 xml:space="preserve">Médecine nucléaire (I-5.08) </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B93E7B" w14:textId="77777777" w:rsidR="008532D4" w:rsidRPr="009D65D8"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9EBA12" w14:textId="0E81E413" w:rsidR="008532D4" w:rsidRPr="009D65D8" w:rsidRDefault="7D275259" w:rsidP="008532D4">
            <w:pPr>
              <w:rPr>
                <w:rFonts w:ascii="Times New Roman" w:eastAsia="Calibri" w:hAnsi="Times New Roman" w:cs="Arial"/>
                <w:noProof/>
                <w:color w:val="006100"/>
                <w:sz w:val="20"/>
                <w:szCs w:val="20"/>
              </w:rPr>
            </w:pPr>
            <w:r>
              <w:rPr>
                <w:rFonts w:ascii="Times New Roman" w:hAnsi="Times New Roman"/>
                <w:noProof/>
                <w:color w:val="006100"/>
                <w:sz w:val="20"/>
              </w:rPr>
              <w:t>Rapport publié</w:t>
            </w:r>
          </w:p>
        </w:tc>
      </w:tr>
      <w:tr w:rsidR="008532D4" w:rsidRPr="009D65D8" w14:paraId="7C56F560"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E0B5F0"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B06CDD"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R&amp;D: Minimisation des déchets lors du démantèlement (I-5.10)</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4D285C"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124110" w14:textId="273D53DB"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de traitement des matériaux (MaT) construite et prête à être mise en service</w:t>
            </w:r>
          </w:p>
        </w:tc>
      </w:tr>
      <w:tr w:rsidR="008532D4" w:rsidRPr="009D65D8" w14:paraId="78251EBC"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1059AA"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187</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4C96EA"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Renforcer la R&amp;D (I-5.11)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4665C7"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BB43CF" w14:textId="1634C9FC"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projets de R&amp;D&amp;I et d’infrastructure retenus ont reçu les fonds</w:t>
            </w:r>
          </w:p>
        </w:tc>
      </w:tr>
      <w:tr w:rsidR="008532D4" w:rsidRPr="009D65D8" w14:paraId="3F5B5C90"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18F786"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191</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DCB8CE"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AA8A9B"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9438FF" w14:textId="698F1679"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Construction, achat, rénovation ou équipement d’infrastructures.</w:t>
            </w:r>
          </w:p>
        </w:tc>
      </w:tr>
      <w:tr w:rsidR="008532D4" w:rsidRPr="009D65D8" w14:paraId="2B1DB7D4"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FAD68E"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198</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05E20C"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Recyclage Hub (I-5.14)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BDC5BE"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57ECA1"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dans les six installations de recyclage</w:t>
            </w:r>
          </w:p>
        </w:tc>
      </w:tr>
      <w:tr w:rsidR="008532D4" w:rsidRPr="009D65D8" w14:paraId="02D8AAE7"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22039A"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200</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F0FEA3" w14:textId="77777777" w:rsidR="008532D4" w:rsidRPr="00746A1A" w:rsidRDefault="008532D4" w:rsidP="008532D4">
            <w:pPr>
              <w:spacing w:after="0"/>
              <w:rPr>
                <w:rFonts w:ascii="Times New Roman" w:eastAsia="Times New Roman" w:hAnsi="Times New Roman" w:cs="Times New Roman"/>
                <w:noProof/>
                <w:color w:val="006100"/>
                <w:sz w:val="20"/>
                <w:szCs w:val="20"/>
                <w:lang w:val="en-IE"/>
              </w:rPr>
            </w:pPr>
            <w:r w:rsidRPr="00746A1A">
              <w:rPr>
                <w:rFonts w:ascii="Times New Roman" w:hAnsi="Times New Roman"/>
                <w:noProof/>
                <w:color w:val="006100"/>
                <w:sz w:val="20"/>
                <w:lang w:val="en-IE"/>
              </w:rPr>
              <w:t>Belgium Builds Back Circular (I-5.15)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65AF4B"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02C8A8"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Livraison des actions de sensibilisation à l’intention des PME et des projets circulaires</w:t>
            </w:r>
          </w:p>
        </w:tc>
      </w:tr>
      <w:tr w:rsidR="008532D4" w:rsidRPr="009D65D8" w14:paraId="5C38BFD8"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21198A"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DD90C4"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de l’économie circulaire en Wallonie (I-5.16)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075A37"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1CAD7E" w14:textId="563BB3BD" w:rsidR="008532D4" w:rsidRPr="009D65D8" w:rsidRDefault="00AE3E21"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Lettres d’évaluation positives</w:t>
            </w:r>
          </w:p>
        </w:tc>
      </w:tr>
      <w:tr w:rsidR="008532D4" w:rsidRPr="009D65D8" w14:paraId="5913BA5F"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24B217" w14:textId="77777777" w:rsidR="008532D4" w:rsidRPr="009D65D8" w:rsidRDefault="008532D4" w:rsidP="008532D4">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256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D0D00F" w14:textId="77777777" w:rsidR="008532D4" w:rsidRPr="009D65D8" w:rsidRDefault="008532D4" w:rsidP="008532D4">
            <w:pPr>
              <w:spacing w:after="0"/>
              <w:rPr>
                <w:rFonts w:ascii="Times New Roman" w:eastAsia="Calibri" w:hAnsi="Times New Roman" w:cs="Arial"/>
                <w:noProof/>
                <w:color w:val="006100"/>
                <w:sz w:val="20"/>
                <w:szCs w:val="20"/>
              </w:rPr>
            </w:pPr>
            <w:r>
              <w:rPr>
                <w:rFonts w:ascii="Times New Roman" w:hAnsi="Times New Roman"/>
                <w:noProof/>
                <w:color w:val="006100"/>
                <w:sz w:val="20"/>
              </w:rPr>
              <w:t>Injection de fonds propres dans la Participatiemaatschappij Vlaanderen (PMV) afin de soutenir les entreprises actives dans le domaine de la biotechnologie (I-5.19)</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CA8FAA" w14:textId="77777777" w:rsidR="008532D4" w:rsidRPr="009D65D8" w:rsidRDefault="008532D4" w:rsidP="008532D4">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639CA" w14:textId="77777777" w:rsidR="008532D4" w:rsidRPr="009D65D8" w:rsidRDefault="008532D4" w:rsidP="008532D4">
            <w:pPr>
              <w:spacing w:after="0"/>
              <w:rPr>
                <w:rFonts w:ascii="Times New Roman" w:eastAsia="Calibri" w:hAnsi="Times New Roman" w:cs="Arial"/>
                <w:noProof/>
                <w:color w:val="006100"/>
                <w:sz w:val="20"/>
              </w:rPr>
            </w:pPr>
            <w:r>
              <w:rPr>
                <w:rFonts w:ascii="Times New Roman" w:hAnsi="Times New Roman"/>
                <w:noProof/>
                <w:color w:val="006100"/>
                <w:sz w:val="20"/>
              </w:rPr>
              <w:t>Injection de fonds propres</w:t>
            </w:r>
          </w:p>
        </w:tc>
      </w:tr>
      <w:tr w:rsidR="008532D4" w:rsidRPr="009D65D8" w14:paraId="0A7F1F0E"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E1ACFF"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B68E59"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des logements sociaux – WAL (I-7.04)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7FD2C3"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C541EE"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Panneaux solaires et pompes à chaleur dans les logements sociaux </w:t>
            </w:r>
          </w:p>
        </w:tc>
      </w:tr>
      <w:tr w:rsidR="008532D4" w:rsidRPr="009D65D8" w14:paraId="24DC7E19"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D71C86" w14:textId="77777777" w:rsidR="008532D4" w:rsidRPr="009D65D8" w:rsidRDefault="008532D4" w:rsidP="008532D4">
            <w:pPr>
              <w:spacing w:after="0"/>
              <w:jc w:val="center"/>
              <w:rPr>
                <w:rFonts w:ascii="Times New Roman" w:eastAsia="Calibri" w:hAnsi="Times New Roman" w:cs="Arial"/>
                <w:noProof/>
                <w:color w:val="006100"/>
                <w:sz w:val="20"/>
              </w:rPr>
            </w:pPr>
            <w:r>
              <w:rPr>
                <w:rFonts w:ascii="Times New Roman" w:hAnsi="Times New Roman"/>
                <w:noProof/>
                <w:color w:val="006100"/>
                <w:sz w:val="20"/>
              </w:rPr>
              <w:t>217</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E229C" w14:textId="315E184B" w:rsidR="008532D4" w:rsidRPr="009D65D8" w:rsidRDefault="4736A062" w:rsidP="008532D4">
            <w:pPr>
              <w:spacing w:after="0"/>
              <w:rPr>
                <w:rFonts w:ascii="Times New Roman" w:eastAsia="Calibri" w:hAnsi="Times New Roman" w:cs="Arial"/>
                <w:noProof/>
                <w:color w:val="006100"/>
                <w:sz w:val="20"/>
                <w:szCs w:val="20"/>
              </w:rPr>
            </w:pPr>
            <w:r>
              <w:rPr>
                <w:rFonts w:ascii="Times New Roman" w:hAnsi="Times New Roman"/>
                <w:noProof/>
                <w:color w:val="006100"/>
                <w:sz w:val="20"/>
              </w:rPr>
              <w:t>Pompes à chaleur, isolation, panneaux solaires ou lampes LED dans les bâtiments (I-7.10)</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2A406" w14:textId="77777777" w:rsidR="008532D4" w:rsidRPr="009D65D8" w:rsidRDefault="008532D4" w:rsidP="008532D4">
            <w:pPr>
              <w:spacing w:after="0"/>
              <w:jc w:val="center"/>
              <w:rPr>
                <w:rFonts w:ascii="Times New Roman" w:eastAsia="Calibri" w:hAnsi="Times New Roman" w:cs="Arial"/>
                <w:noProof/>
                <w:color w:val="006100"/>
                <w:sz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CB3C7E" w14:textId="01D6C426" w:rsidR="008532D4" w:rsidRPr="009D65D8" w:rsidRDefault="6721345E" w:rsidP="008532D4">
            <w:pPr>
              <w:spacing w:after="0"/>
              <w:rPr>
                <w:rFonts w:ascii="Times New Roman" w:eastAsia="Calibri" w:hAnsi="Times New Roman" w:cs="Arial"/>
                <w:noProof/>
                <w:color w:val="006100"/>
                <w:sz w:val="20"/>
                <w:szCs w:val="20"/>
              </w:rPr>
            </w:pPr>
            <w:r>
              <w:rPr>
                <w:rFonts w:ascii="Times New Roman" w:hAnsi="Times New Roman"/>
                <w:noProof/>
                <w:color w:val="006100"/>
                <w:sz w:val="20"/>
              </w:rPr>
              <w:t>Pompes à chaleur, isolation, panneaux solaires ou lampes LED</w:t>
            </w:r>
          </w:p>
        </w:tc>
      </w:tr>
      <w:tr w:rsidR="008532D4" w:rsidRPr="009D65D8" w14:paraId="10179C3D"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DE5422"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218</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4E6808" w14:textId="69A1FF1C" w:rsidR="008532D4" w:rsidRPr="009D65D8" w:rsidRDefault="1815D898"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Mesures énergétiques pour les bâtiments – VLA (I-7)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F9BFEA"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445903" w14:textId="771D1A1C" w:rsidR="008532D4" w:rsidRPr="009D65D8" w:rsidRDefault="00C20EE5"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Mesures énergétiques pour les bâtiments</w:t>
            </w:r>
          </w:p>
        </w:tc>
      </w:tr>
      <w:tr w:rsidR="008532D4" w:rsidRPr="009D65D8" w14:paraId="0BD63358"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D182F5"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99F70D" w14:textId="477CDE15"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Mesures pour le climat dans l’agriculture (I-7.14)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A785EA"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C933D4" w14:textId="432BB918" w:rsidR="008532D4" w:rsidRPr="009D65D8" w:rsidRDefault="3D761CAD"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visite établis</w:t>
            </w:r>
          </w:p>
        </w:tc>
      </w:tr>
      <w:tr w:rsidR="008532D4" w:rsidRPr="009D65D8" w14:paraId="542ADFE9"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7C7CF4" w14:textId="77777777" w:rsidR="008532D4" w:rsidRPr="009D65D8" w:rsidRDefault="008532D4" w:rsidP="008532D4">
            <w:pPr>
              <w:spacing w:after="0"/>
              <w:jc w:val="center"/>
              <w:rPr>
                <w:rFonts w:ascii="Times New Roman" w:eastAsia="Calibri" w:hAnsi="Times New Roman" w:cs="Arial"/>
                <w:noProof/>
                <w:color w:val="006100"/>
                <w:sz w:val="20"/>
              </w:rPr>
            </w:pPr>
            <w:r>
              <w:rPr>
                <w:rFonts w:ascii="Times New Roman" w:hAnsi="Times New Roman"/>
                <w:noProof/>
                <w:color w:val="006100"/>
                <w:sz w:val="20"/>
              </w:rPr>
              <w:t>231</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D26924" w14:textId="77777777" w:rsidR="008532D4" w:rsidRPr="009D65D8" w:rsidRDefault="008532D4" w:rsidP="008532D4">
            <w:pPr>
              <w:spacing w:after="0"/>
              <w:rPr>
                <w:rFonts w:ascii="Times New Roman" w:eastAsia="Calibri" w:hAnsi="Times New Roman" w:cs="Arial"/>
                <w:noProof/>
                <w:color w:val="006100"/>
                <w:sz w:val="20"/>
              </w:rPr>
            </w:pPr>
            <w:r>
              <w:rPr>
                <w:rFonts w:ascii="Times New Roman" w:hAnsi="Times New Roman"/>
                <w:noProof/>
                <w:color w:val="006100"/>
                <w:sz w:val="20"/>
              </w:rPr>
              <w:t>Accélérer la transition énergétique (R-7.04)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87561" w14:textId="77777777" w:rsidR="008532D4" w:rsidRPr="009D65D8" w:rsidRDefault="008532D4" w:rsidP="008532D4">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5BC1E9" w14:textId="77777777" w:rsidR="008532D4" w:rsidRPr="00DD67A6" w:rsidRDefault="008532D4" w:rsidP="008532D4">
            <w:pPr>
              <w:spacing w:after="0"/>
              <w:rPr>
                <w:rFonts w:ascii="Times New Roman" w:eastAsia="Calibri" w:hAnsi="Times New Roman" w:cs="Arial"/>
                <w:noProof/>
                <w:color w:val="006100"/>
                <w:sz w:val="20"/>
              </w:rPr>
            </w:pPr>
            <w:r>
              <w:rPr>
                <w:rFonts w:ascii="Times New Roman" w:hAnsi="Times New Roman"/>
                <w:noProof/>
                <w:color w:val="006100"/>
                <w:sz w:val="20"/>
              </w:rPr>
              <w:t>Entrée en vigueur de l’acte juridique</w:t>
            </w:r>
          </w:p>
        </w:tc>
      </w:tr>
      <w:tr w:rsidR="008532D4" w:rsidRPr="009D65D8" w14:paraId="148A47C5"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BDCC670"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234</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B57388"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Optimisation de la distribution d’énergie (I-7.17)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1DEEC3"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5D9E30"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de compteurs intelligents</w:t>
            </w:r>
          </w:p>
        </w:tc>
      </w:tr>
      <w:tr w:rsidR="008532D4" w:rsidRPr="009D65D8" w14:paraId="64B1ED62"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F00A1D"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C0C131" w14:textId="5160952D"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Investissements dans l’électrification des infrastructures portuaires de la Région flamande (I-7.18)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C059A7"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3C4864"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Lettres d’acceptation</w:t>
            </w:r>
          </w:p>
        </w:tc>
      </w:tr>
      <w:tr w:rsidR="008532D4" w:rsidRPr="009D65D8" w14:paraId="1F8B4BD9"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ECA644"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242</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B33420"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Verdir la flotte de bus – RBC (I-7.21)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E39D04"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0BAA27"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Bus électriques livrés</w:t>
            </w:r>
          </w:p>
        </w:tc>
      </w:tr>
      <w:tr w:rsidR="008532D4" w:rsidRPr="009D65D8" w14:paraId="3FE7BD01"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E987B8"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244</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08670D" w14:textId="77777777" w:rsidR="008532D4" w:rsidRPr="00E5698E" w:rsidRDefault="008532D4" w:rsidP="008532D4">
            <w:pPr>
              <w:spacing w:after="0"/>
              <w:rPr>
                <w:rFonts w:ascii="Times New Roman" w:eastAsia="Times New Roman" w:hAnsi="Times New Roman" w:cs="Times New Roman"/>
                <w:noProof/>
                <w:color w:val="006100"/>
                <w:sz w:val="20"/>
                <w:szCs w:val="20"/>
                <w:lang w:val="en-IE"/>
              </w:rPr>
            </w:pPr>
            <w:r w:rsidRPr="00E5698E">
              <w:rPr>
                <w:rFonts w:ascii="Times New Roman" w:hAnsi="Times New Roman"/>
                <w:noProof/>
                <w:color w:val="006100"/>
                <w:sz w:val="20"/>
                <w:lang w:val="en-IE"/>
              </w:rPr>
              <w:t>Éclairage public LED – VLA (I-7.23)</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6622F5"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57E48C"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Éclairages LED installés</w:t>
            </w:r>
          </w:p>
        </w:tc>
      </w:tr>
      <w:tr w:rsidR="008532D4" w:rsidRPr="009D65D8" w14:paraId="67A16A83"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4AA9A7"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5B40CA"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Rail – un réseau efficace – FED (I-7.24)</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D1460B"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790AD5"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Ré-électrification de lignes ferroviaires</w:t>
            </w:r>
          </w:p>
        </w:tc>
      </w:tr>
      <w:tr w:rsidR="000E1ECE" w:rsidRPr="009D65D8" w14:paraId="273923BC"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801B53" w14:textId="58E0989E" w:rsidR="000E1ECE" w:rsidRPr="009D65D8" w:rsidRDefault="000E1ECE" w:rsidP="000E1ECE">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246</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52308" w14:textId="77777777" w:rsidR="000E1ECE" w:rsidRPr="009D65D8" w:rsidRDefault="000E1ECE" w:rsidP="000E1ECE">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de recharge pour bus – RBC (I-3.21)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3DC89E" w14:textId="77777777" w:rsidR="000E1ECE" w:rsidRPr="009D65D8" w:rsidRDefault="000E1ECE" w:rsidP="000E1ECE">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61FA8" w14:textId="7F689BB7" w:rsidR="000E1ECE" w:rsidRPr="009D65D8" w:rsidRDefault="000E1ECE" w:rsidP="000E1ECE">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Infrastructure de recharge réceptionnée sur site ou livrée </w:t>
            </w:r>
          </w:p>
        </w:tc>
      </w:tr>
      <w:tr w:rsidR="008532D4" w:rsidRPr="009D65D8" w14:paraId="20E41514"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1CA382"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249</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B9A59E" w14:textId="77777777"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SMELD – FED (I-5.18)</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136DC0" w14:textId="77777777" w:rsidR="008532D4" w:rsidRPr="009D65D8" w:rsidRDefault="008532D4" w:rsidP="008532D4">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661FF1" w14:textId="5BE3B96E" w:rsidR="008532D4" w:rsidRPr="009D65D8" w:rsidRDefault="008532D4" w:rsidP="008532D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d’un four de fusion</w:t>
            </w:r>
          </w:p>
        </w:tc>
      </w:tr>
      <w:tr w:rsidR="008532D4" w:rsidRPr="009D65D8" w14:paraId="28914C2D"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096067" w14:textId="77777777" w:rsidR="008532D4" w:rsidRPr="009D65D8"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252</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C43BD7" w14:textId="77777777" w:rsidR="008532D4" w:rsidRPr="009D65D8"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Programme de restauration de la nature marine de l’État fédéral (I-1.25)</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387A94" w14:textId="77777777" w:rsidR="008532D4" w:rsidRPr="009D65D8"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C34094" w14:textId="4A4D9703" w:rsidR="008532D4" w:rsidRPr="009D65D8"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Projets d’études de restauration de la nature marine</w:t>
            </w:r>
          </w:p>
        </w:tc>
      </w:tr>
      <w:tr w:rsidR="008532D4" w:rsidRPr="009D65D8" w14:paraId="632904CB"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242F17" w14:textId="77777777" w:rsidR="008532D4" w:rsidRPr="009D65D8"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257</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2F6FE8" w14:textId="77777777" w:rsidR="008532D4" w:rsidRPr="009D65D8"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Injection de capitaux dans la SFPIM Defence de l’État fédéral (I-5.20)</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E4D5FF" w14:textId="77777777" w:rsidR="008532D4" w:rsidRPr="009D65D8"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F272C1" w14:textId="77777777" w:rsidR="008532D4" w:rsidRPr="009D65D8"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Politique d’investissement et système de gestion et de contrôle de la SFPIM Defence</w:t>
            </w:r>
          </w:p>
        </w:tc>
      </w:tr>
      <w:tr w:rsidR="008532D4" w:rsidRPr="009D65D8" w14:paraId="0F75FFDD"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A9BFCE" w14:textId="77777777" w:rsidR="008532D4" w:rsidRPr="009D65D8"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253</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30166F" w14:textId="77777777" w:rsidR="008532D4" w:rsidRPr="009D65D8"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«Projet énergétique offshore» de l’État fédéral (I-1.26)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D95692" w14:textId="1DA73711" w:rsidR="008532D4" w:rsidRPr="009D65D8" w:rsidRDefault="008206BF"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DB0C5D" w14:textId="32F84D03" w:rsidR="008532D4" w:rsidRPr="009D65D8" w:rsidRDefault="008303D6" w:rsidP="008532D4">
            <w:pPr>
              <w:rPr>
                <w:rFonts w:ascii="Times New Roman" w:eastAsia="Calibri" w:hAnsi="Times New Roman" w:cs="Arial"/>
                <w:noProof/>
                <w:color w:val="006100"/>
                <w:sz w:val="20"/>
                <w:szCs w:val="20"/>
              </w:rPr>
            </w:pPr>
            <w:r>
              <w:rPr>
                <w:rFonts w:ascii="Times New Roman" w:hAnsi="Times New Roman"/>
                <w:noProof/>
                <w:color w:val="006100"/>
                <w:sz w:val="20"/>
              </w:rPr>
              <w:t>Achat de matériel pour des projets énergétiques en mer</w:t>
            </w:r>
          </w:p>
        </w:tc>
      </w:tr>
      <w:tr w:rsidR="008532D4" w:rsidRPr="009D65D8" w14:paraId="1ACA915C"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E57DFA" w14:textId="77777777" w:rsidR="008532D4" w:rsidRPr="00FE38B1" w:rsidRDefault="008532D4" w:rsidP="008532D4">
            <w:pPr>
              <w:jc w:val="center"/>
              <w:rPr>
                <w:rFonts w:ascii="Times New Roman" w:eastAsia="Calibri" w:hAnsi="Times New Roman" w:cs="Arial"/>
                <w:noProof/>
                <w:color w:val="006100"/>
                <w:sz w:val="20"/>
              </w:rPr>
            </w:pPr>
            <w:r>
              <w:rPr>
                <w:rFonts w:ascii="Times New Roman" w:hAnsi="Times New Roman"/>
                <w:noProof/>
                <w:color w:val="006100"/>
                <w:sz w:val="20"/>
              </w:rPr>
              <w:t>258</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1EBE9B" w14:textId="77777777" w:rsidR="008532D4" w:rsidRPr="00FE38B1" w:rsidRDefault="008532D4" w:rsidP="008532D4">
            <w:pPr>
              <w:rPr>
                <w:rFonts w:ascii="Times New Roman" w:eastAsia="Calibri" w:hAnsi="Times New Roman" w:cs="Arial"/>
                <w:noProof/>
                <w:color w:val="006100"/>
                <w:sz w:val="20"/>
              </w:rPr>
            </w:pPr>
            <w:r>
              <w:rPr>
                <w:rFonts w:ascii="Times New Roman" w:hAnsi="Times New Roman"/>
                <w:noProof/>
                <w:color w:val="006100"/>
                <w:sz w:val="20"/>
              </w:rPr>
              <w:t>Injection de capitaux dans la SFPIM Defence de l’État fédéral (I-5.20)</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831187" w14:textId="77777777" w:rsidR="008532D4" w:rsidRPr="00FE38B1" w:rsidRDefault="008532D4" w:rsidP="008532D4">
            <w:pPr>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446459" w14:textId="77777777" w:rsidR="008532D4" w:rsidRPr="00FE38B1" w:rsidRDefault="008532D4" w:rsidP="008532D4">
            <w:pPr>
              <w:rPr>
                <w:rFonts w:ascii="Times New Roman" w:eastAsia="Calibri" w:hAnsi="Times New Roman" w:cs="Arial"/>
                <w:noProof/>
                <w:color w:val="006100"/>
                <w:sz w:val="20"/>
              </w:rPr>
            </w:pPr>
            <w:r>
              <w:rPr>
                <w:rFonts w:ascii="Times New Roman" w:hAnsi="Times New Roman"/>
                <w:noProof/>
                <w:color w:val="006100"/>
                <w:sz w:val="20"/>
              </w:rPr>
              <w:t>Injection de fonds propres</w:t>
            </w:r>
          </w:p>
        </w:tc>
      </w:tr>
      <w:tr w:rsidR="008532D4" w:rsidRPr="009D65D8" w14:paraId="2C1EA146"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3746E5" w14:textId="77777777" w:rsidR="008532D4" w:rsidRPr="009D65D8" w:rsidRDefault="008532D4" w:rsidP="008532D4">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260</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A79C2E" w14:textId="50744720" w:rsidR="008532D4" w:rsidRPr="00DD67A6"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Rénovation de logements en Région wallonne (I-7.26)</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1F5425" w14:textId="77777777" w:rsidR="008532D4" w:rsidRPr="00DD67A6"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EBFB90" w14:textId="7EBAC0B9" w:rsidR="008532D4" w:rsidRPr="009D65D8"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Versement des primes à la rénovation énergétique des logements</w:t>
            </w:r>
          </w:p>
        </w:tc>
      </w:tr>
      <w:tr w:rsidR="008532D4" w:rsidRPr="009D65D8" w14:paraId="769675F6"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DCBBA" w14:textId="77777777" w:rsidR="008532D4" w:rsidRPr="009D65D8" w:rsidRDefault="008532D4" w:rsidP="008532D4">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261</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D7B7B" w14:textId="77777777" w:rsidR="008532D4" w:rsidRPr="00DD67A6"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Régime amélioré de subventions énergétiques – BCR</w:t>
            </w:r>
            <w:r>
              <w:rPr>
                <w:rFonts w:ascii="Times New Roman" w:hAnsi="Times New Roman"/>
                <w:noProof/>
                <w:color w:val="006100"/>
              </w:rPr>
              <w:t xml:space="preserve"> (I-7.01)</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70084" w14:textId="77777777" w:rsidR="008532D4" w:rsidRPr="009D65D8"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B91D5" w14:textId="672E3673" w:rsidR="008532D4" w:rsidRPr="00DD67A6"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Rénovation de logements</w:t>
            </w:r>
          </w:p>
        </w:tc>
      </w:tr>
      <w:tr w:rsidR="008532D4" w:rsidRPr="009D65D8" w14:paraId="208DE42C"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38598E" w14:textId="77777777" w:rsidR="008532D4" w:rsidRDefault="008532D4" w:rsidP="008532D4">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262</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D04160" w14:textId="6C6801BB" w:rsidR="008532D4" w:rsidRPr="00252B55" w:rsidRDefault="008532D4" w:rsidP="008532D4">
            <w:pPr>
              <w:spacing w:before="120" w:after="120" w:line="240" w:lineRule="auto"/>
              <w:jc w:val="both"/>
              <w:rPr>
                <w:rFonts w:ascii="Times New Roman" w:eastAsia="Calibri" w:hAnsi="Times New Roman" w:cs="Times New Roman"/>
                <w:noProof/>
                <w:color w:val="000000"/>
                <w:sz w:val="20"/>
                <w:szCs w:val="20"/>
                <w:u w:val="single"/>
              </w:rPr>
            </w:pPr>
            <w:r>
              <w:rPr>
                <w:rFonts w:ascii="Times New Roman" w:hAnsi="Times New Roman"/>
                <w:noProof/>
                <w:color w:val="006100"/>
                <w:sz w:val="20"/>
              </w:rPr>
              <w:t>Rénovation de logements sociaux (I-1.02)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68E0D6" w14:textId="77777777" w:rsidR="008532D4" w:rsidRDefault="008532D4" w:rsidP="008532D4">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626DD" w14:textId="77777777" w:rsidR="008532D4" w:rsidRDefault="008532D4" w:rsidP="008532D4">
            <w:pPr>
              <w:rPr>
                <w:rFonts w:ascii="Times New Roman" w:eastAsia="Calibri" w:hAnsi="Times New Roman" w:cs="Arial"/>
                <w:noProof/>
                <w:color w:val="006100"/>
                <w:sz w:val="20"/>
                <w:szCs w:val="20"/>
              </w:rPr>
            </w:pPr>
            <w:r>
              <w:rPr>
                <w:rFonts w:ascii="Times New Roman" w:hAnsi="Times New Roman"/>
                <w:noProof/>
                <w:color w:val="006100"/>
                <w:sz w:val="20"/>
              </w:rPr>
              <w:t>Rénovation de logements sociaux</w:t>
            </w:r>
          </w:p>
        </w:tc>
      </w:tr>
      <w:tr w:rsidR="236186E3" w14:paraId="3A47CDE3"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8EBD71" w14:textId="45CEE7C7" w:rsidR="6294E02D" w:rsidRDefault="00614B4D" w:rsidP="236186E3">
            <w:pPr>
              <w:jc w:val="center"/>
              <w:rPr>
                <w:noProof/>
              </w:rPr>
            </w:pPr>
            <w:r>
              <w:rPr>
                <w:rFonts w:ascii="Times New Roman" w:hAnsi="Times New Roman"/>
                <w:noProof/>
                <w:color w:val="006100"/>
                <w:sz w:val="20"/>
              </w:rPr>
              <w:t>263</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95982" w14:textId="3F8288B6" w:rsidR="236186E3" w:rsidRDefault="6294E02D" w:rsidP="236186E3">
            <w:pPr>
              <w:spacing w:line="240" w:lineRule="auto"/>
              <w:jc w:val="both"/>
              <w:rPr>
                <w:noProof/>
              </w:rPr>
            </w:pPr>
            <w:r>
              <w:rPr>
                <w:rFonts w:ascii="Times New Roman" w:hAnsi="Times New Roman"/>
                <w:noProof/>
                <w:color w:val="006100"/>
                <w:sz w:val="20"/>
              </w:rPr>
              <w:t>Contribution volontaire de la Belgique au programme de l’Union pour une connectivité sécurisée IRIS</w:t>
            </w:r>
            <w:r>
              <w:rPr>
                <w:rFonts w:ascii="Times New Roman" w:hAnsi="Times New Roman"/>
                <w:noProof/>
                <w:color w:val="006100"/>
                <w:sz w:val="20"/>
                <w:vertAlign w:val="superscript"/>
              </w:rPr>
              <w:t>2</w:t>
            </w:r>
            <w:r>
              <w:rPr>
                <w:rFonts w:ascii="Times New Roman" w:hAnsi="Times New Roman"/>
                <w:noProof/>
                <w:color w:val="006100"/>
                <w:sz w:val="20"/>
              </w:rPr>
              <w:t>, financée par la Région wallonne (I-5.22)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79CB1F" w14:textId="5887B313" w:rsidR="236186E3" w:rsidRDefault="2C657820" w:rsidP="236186E3">
            <w:pPr>
              <w:jc w:val="center"/>
              <w:rPr>
                <w:noProof/>
              </w:rPr>
            </w:pPr>
            <w:r>
              <w:rPr>
                <w:rFonts w:ascii="Times New Roman" w:hAnsi="Times New Roman"/>
                <w:noProof/>
                <w:color w:val="006100"/>
                <w:sz w:val="20"/>
              </w:rPr>
              <w:t>J</w:t>
            </w: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3C77F9" w14:textId="6B00C12D" w:rsidR="236186E3" w:rsidRDefault="2C657820" w:rsidP="236186E3">
            <w:pPr>
              <w:rPr>
                <w:rFonts w:ascii="Times New Roman" w:eastAsia="Calibri" w:hAnsi="Times New Roman" w:cs="Arial"/>
                <w:noProof/>
                <w:color w:val="006100"/>
                <w:sz w:val="20"/>
                <w:szCs w:val="20"/>
              </w:rPr>
            </w:pPr>
            <w:r>
              <w:rPr>
                <w:rFonts w:ascii="Times New Roman" w:hAnsi="Times New Roman"/>
                <w:noProof/>
                <w:color w:val="006100"/>
                <w:sz w:val="20"/>
              </w:rPr>
              <w:t>Signature de la convention de contribution entre le gouvernement belge et la Commission européenne et affectation d’une contribution volontaire à IRIS</w:t>
            </w:r>
            <w:r>
              <w:rPr>
                <w:rFonts w:ascii="Times New Roman" w:hAnsi="Times New Roman"/>
                <w:noProof/>
                <w:color w:val="006100"/>
                <w:sz w:val="20"/>
                <w:vertAlign w:val="superscript"/>
              </w:rPr>
              <w:t xml:space="preserve">2 </w:t>
            </w:r>
          </w:p>
        </w:tc>
      </w:tr>
      <w:tr w:rsidR="008532D4" w:rsidRPr="009D65D8" w14:paraId="2C9781E5" w14:textId="77777777" w:rsidTr="00EB1BD7">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77376F" w14:textId="77777777" w:rsidR="008532D4" w:rsidRPr="00746A1A" w:rsidRDefault="008532D4" w:rsidP="008532D4">
            <w:pPr>
              <w:jc w:val="center"/>
              <w:rPr>
                <w:rFonts w:ascii="Times New Roman" w:eastAsia="Calibri" w:hAnsi="Times New Roman" w:cs="Arial"/>
                <w:noProof/>
                <w:color w:val="006100"/>
                <w:sz w:val="20"/>
                <w:szCs w:val="20"/>
                <w:lang w:val="fr-BE"/>
              </w:rPr>
            </w:pP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969A28" w14:textId="77777777" w:rsidR="008532D4" w:rsidRPr="009D65D8" w:rsidRDefault="008532D4" w:rsidP="008532D4">
            <w:pPr>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A4BBAF" w14:textId="77777777" w:rsidR="008532D4" w:rsidRPr="009D65D8" w:rsidRDefault="008532D4" w:rsidP="008532D4">
            <w:pPr>
              <w:jc w:val="center"/>
              <w:rPr>
                <w:rFonts w:ascii="Times New Roman" w:eastAsia="Calibri" w:hAnsi="Times New Roman" w:cs="Arial"/>
                <w:noProof/>
                <w:color w:val="006100"/>
                <w:sz w:val="20"/>
                <w:szCs w:val="20"/>
                <w:lang w:val="en-GB"/>
              </w:rPr>
            </w:pPr>
          </w:p>
        </w:tc>
        <w:tc>
          <w:tcPr>
            <w:tcW w:w="468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C10987" w14:textId="77777777" w:rsidR="008532D4" w:rsidRPr="009D65D8" w:rsidRDefault="008532D4" w:rsidP="008532D4">
            <w:pPr>
              <w:rPr>
                <w:rFonts w:ascii="Times New Roman" w:eastAsia="Times New Roman" w:hAnsi="Times New Roman" w:cs="Times New Roman"/>
                <w:noProof/>
                <w:sz w:val="18"/>
                <w:szCs w:val="18"/>
              </w:rPr>
            </w:pPr>
            <w:r>
              <w:rPr>
                <w:rFonts w:ascii="Times New Roman" w:hAnsi="Times New Roman"/>
                <w:noProof/>
                <w:color w:val="006100"/>
                <w:sz w:val="20"/>
              </w:rPr>
              <w:t>1 275 155 339 EUR</w:t>
            </w:r>
          </w:p>
        </w:tc>
      </w:tr>
    </w:tbl>
    <w:p w14:paraId="1687BACF" w14:textId="77777777" w:rsidR="000D1388" w:rsidRPr="009D65D8" w:rsidRDefault="000D1388" w:rsidP="00E71057">
      <w:pPr>
        <w:rPr>
          <w:rFonts w:ascii="Times New Roman" w:eastAsia="Calibri" w:hAnsi="Times New Roman" w:cs="Times New Roman"/>
          <w:noProof/>
          <w:lang w:val="en-GB"/>
        </w:rPr>
      </w:pPr>
    </w:p>
    <w:p w14:paraId="7016432E" w14:textId="77777777" w:rsidR="000D1388" w:rsidRPr="009D65D8" w:rsidRDefault="00E71057" w:rsidP="00F70F65">
      <w:pPr>
        <w:keepNext/>
        <w:numPr>
          <w:ilvl w:val="0"/>
          <w:numId w:val="66"/>
        </w:numPr>
        <w:tabs>
          <w:tab w:val="left" w:pos="850"/>
        </w:tabs>
        <w:spacing w:before="120" w:after="120" w:line="240" w:lineRule="auto"/>
        <w:jc w:val="both"/>
        <w:outlineLvl w:val="1"/>
        <w:rPr>
          <w:rFonts w:ascii="Times New Roman" w:eastAsia="Calibri" w:hAnsi="Times New Roman" w:cs="Times New Roman"/>
          <w:b/>
          <w:noProof/>
          <w:sz w:val="24"/>
        </w:rPr>
      </w:pPr>
      <w:r>
        <w:rPr>
          <w:rFonts w:ascii="Times New Roman" w:hAnsi="Times New Roman"/>
          <w:b/>
          <w:noProof/>
          <w:sz w:val="24"/>
        </w:rPr>
        <w:t>Prêt</w:t>
      </w:r>
    </w:p>
    <w:p w14:paraId="211C2D74" w14:textId="77777777" w:rsidR="000D1388" w:rsidRPr="009D65D8" w:rsidRDefault="00E71057" w:rsidP="00E71057">
      <w:pPr>
        <w:spacing w:before="120" w:after="240" w:line="240" w:lineRule="auto"/>
        <w:ind w:left="851"/>
        <w:jc w:val="both"/>
        <w:rPr>
          <w:rFonts w:ascii="Times New Roman" w:eastAsia="Calibri" w:hAnsi="Times New Roman" w:cs="Times New Roman"/>
          <w:noProof/>
          <w:sz w:val="24"/>
        </w:rPr>
      </w:pPr>
      <w:r>
        <w:rPr>
          <w:rFonts w:ascii="Times New Roman" w:hAnsi="Times New Roman"/>
          <w:noProof/>
          <w:sz w:val="24"/>
        </w:rPr>
        <w:t>Les tranches visées à l’article 3, paragraphe 2, sont organisées de la manière suivante:</w:t>
      </w:r>
    </w:p>
    <w:p w14:paraId="51088ACA" w14:textId="60E82D96" w:rsidR="000D1388" w:rsidRPr="008509A1" w:rsidRDefault="00E71057" w:rsidP="008509A1">
      <w:pPr>
        <w:pStyle w:val="NumPar4"/>
        <w:numPr>
          <w:ilvl w:val="6"/>
          <w:numId w:val="67"/>
        </w:numPr>
        <w:ind w:left="426"/>
        <w:rPr>
          <w:noProof/>
        </w:rPr>
      </w:pPr>
      <w:r>
        <w:rPr>
          <w:noProof/>
        </w:rPr>
        <w:t>Première tranche (prêts):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ook w:val="04A0" w:firstRow="1" w:lastRow="0" w:firstColumn="1" w:lastColumn="0" w:noHBand="0" w:noVBand="1"/>
      </w:tblPr>
      <w:tblGrid>
        <w:gridCol w:w="1822"/>
        <w:gridCol w:w="2902"/>
        <w:gridCol w:w="1139"/>
        <w:gridCol w:w="4343"/>
      </w:tblGrid>
      <w:tr w:rsidR="00E71057" w:rsidRPr="009D65D8" w14:paraId="36FCAA2D" w14:textId="77777777">
        <w:trPr>
          <w:trHeight w:val="300"/>
        </w:trPr>
        <w:tc>
          <w:tcPr>
            <w:tcW w:w="417" w:type="pct"/>
            <w:shd w:val="clear" w:color="auto" w:fill="BDD7EE"/>
            <w:noWrap/>
            <w:vAlign w:val="bottom"/>
            <w:hideMark/>
          </w:tcPr>
          <w:p w14:paraId="4FC14471" w14:textId="77777777" w:rsidR="000D1388" w:rsidRPr="009D65D8" w:rsidRDefault="00E71057">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1789" w:type="pct"/>
            <w:shd w:val="clear" w:color="auto" w:fill="BDD7EE"/>
            <w:noWrap/>
            <w:vAlign w:val="bottom"/>
            <w:hideMark/>
          </w:tcPr>
          <w:p w14:paraId="446B93D1" w14:textId="77777777" w:rsidR="000D1388" w:rsidRPr="009D65D8" w:rsidRDefault="00E71057">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412" w:type="pct"/>
            <w:shd w:val="clear" w:color="auto" w:fill="BDD7EE"/>
            <w:noWrap/>
            <w:vAlign w:val="bottom"/>
            <w:hideMark/>
          </w:tcPr>
          <w:p w14:paraId="6E12A0EC"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382" w:type="pct"/>
            <w:shd w:val="clear" w:color="auto" w:fill="BDD7EE"/>
            <w:noWrap/>
            <w:vAlign w:val="bottom"/>
            <w:hideMark/>
          </w:tcPr>
          <w:p w14:paraId="5BB4826E" w14:textId="77777777" w:rsidR="000D1388" w:rsidRPr="009D65D8" w:rsidRDefault="00E71057">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E71057" w:rsidRPr="009D65D8" w14:paraId="15B9A0DC" w14:textId="77777777">
        <w:trPr>
          <w:trHeight w:val="315"/>
        </w:trPr>
        <w:tc>
          <w:tcPr>
            <w:tcW w:w="417" w:type="pct"/>
            <w:shd w:val="clear" w:color="auto" w:fill="C6EFCE"/>
            <w:noWrap/>
            <w:vAlign w:val="center"/>
            <w:hideMark/>
          </w:tcPr>
          <w:p w14:paraId="16194FA0"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54 </w:t>
            </w:r>
            <w:r>
              <w:rPr>
                <w:rFonts w:ascii="Times New Roman" w:hAnsi="Times New Roman"/>
                <w:i/>
                <w:iCs/>
                <w:noProof/>
                <w:color w:val="006100"/>
                <w:sz w:val="20"/>
              </w:rPr>
              <w:t>ter</w:t>
            </w:r>
          </w:p>
        </w:tc>
        <w:tc>
          <w:tcPr>
            <w:tcW w:w="1789" w:type="pct"/>
            <w:shd w:val="clear" w:color="auto" w:fill="C6EFCE"/>
            <w:noWrap/>
            <w:vAlign w:val="center"/>
            <w:hideMark/>
          </w:tcPr>
          <w:p w14:paraId="64106758"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 </w:t>
            </w:r>
            <w:r>
              <w:rPr>
                <w:rFonts w:ascii="Times New Roman" w:hAnsi="Times New Roman"/>
                <w:i/>
                <w:iCs/>
                <w:noProof/>
                <w:color w:val="006100"/>
                <w:sz w:val="20"/>
              </w:rPr>
              <w:t>bis</w:t>
            </w:r>
            <w:r>
              <w:rPr>
                <w:rFonts w:ascii="Times New Roman" w:hAnsi="Times New Roman"/>
                <w:noProof/>
                <w:color w:val="006100"/>
                <w:sz w:val="20"/>
              </w:rPr>
              <w:t>)</w:t>
            </w:r>
          </w:p>
        </w:tc>
        <w:tc>
          <w:tcPr>
            <w:tcW w:w="412" w:type="pct"/>
            <w:shd w:val="clear" w:color="auto" w:fill="C6EFCE"/>
            <w:noWrap/>
            <w:vAlign w:val="center"/>
            <w:hideMark/>
          </w:tcPr>
          <w:p w14:paraId="645979FA"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382" w:type="pct"/>
            <w:shd w:val="clear" w:color="auto" w:fill="C6EFCE"/>
            <w:noWrap/>
            <w:vAlign w:val="center"/>
            <w:hideMark/>
          </w:tcPr>
          <w:p w14:paraId="57A951F2"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sont définies</w:t>
            </w:r>
          </w:p>
        </w:tc>
      </w:tr>
      <w:tr w:rsidR="00E71057" w:rsidRPr="009D65D8" w14:paraId="7A0C3F3A" w14:textId="77777777">
        <w:trPr>
          <w:trHeight w:val="315"/>
        </w:trPr>
        <w:tc>
          <w:tcPr>
            <w:tcW w:w="417" w:type="pct"/>
            <w:shd w:val="clear" w:color="auto" w:fill="C6EFCE"/>
            <w:noWrap/>
            <w:vAlign w:val="center"/>
            <w:hideMark/>
          </w:tcPr>
          <w:p w14:paraId="0D5CD9A3"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239</w:t>
            </w:r>
          </w:p>
        </w:tc>
        <w:tc>
          <w:tcPr>
            <w:tcW w:w="1789" w:type="pct"/>
            <w:shd w:val="clear" w:color="auto" w:fill="C6EFCE"/>
            <w:noWrap/>
            <w:vAlign w:val="center"/>
            <w:hideMark/>
          </w:tcPr>
          <w:p w14:paraId="3E160128"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Îlot énergétique offshore (I-7.20)</w:t>
            </w:r>
          </w:p>
        </w:tc>
        <w:tc>
          <w:tcPr>
            <w:tcW w:w="412" w:type="pct"/>
            <w:shd w:val="clear" w:color="auto" w:fill="C6EFCE"/>
            <w:noWrap/>
            <w:vAlign w:val="center"/>
            <w:hideMark/>
          </w:tcPr>
          <w:p w14:paraId="6D37252F"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382" w:type="pct"/>
            <w:shd w:val="clear" w:color="auto" w:fill="C6EFCE"/>
            <w:noWrap/>
            <w:vAlign w:val="center"/>
            <w:hideMark/>
          </w:tcPr>
          <w:p w14:paraId="779A6B1D"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des études FEED et environnementales</w:t>
            </w:r>
          </w:p>
        </w:tc>
      </w:tr>
      <w:tr w:rsidR="00E71057" w:rsidRPr="009D65D8" w14:paraId="4541B5FE" w14:textId="77777777">
        <w:trPr>
          <w:trHeight w:val="315"/>
        </w:trPr>
        <w:tc>
          <w:tcPr>
            <w:tcW w:w="417" w:type="pct"/>
            <w:shd w:val="clear" w:color="auto" w:fill="C6EFCE"/>
            <w:noWrap/>
            <w:vAlign w:val="center"/>
          </w:tcPr>
          <w:p w14:paraId="42E29279"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IE"/>
              </w:rPr>
            </w:pPr>
          </w:p>
        </w:tc>
        <w:tc>
          <w:tcPr>
            <w:tcW w:w="2201" w:type="pct"/>
            <w:gridSpan w:val="2"/>
            <w:shd w:val="clear" w:color="auto" w:fill="C6EFCE"/>
            <w:noWrap/>
            <w:vAlign w:val="center"/>
          </w:tcPr>
          <w:p w14:paraId="091A1649" w14:textId="77777777" w:rsidR="000D1388" w:rsidRPr="009D65D8"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382" w:type="pct"/>
            <w:shd w:val="clear" w:color="auto" w:fill="C6EFCE"/>
            <w:noWrap/>
            <w:vAlign w:val="center"/>
          </w:tcPr>
          <w:p w14:paraId="48D59854"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48</w:t>
            </w:r>
            <w:r>
              <w:rPr>
                <w:rFonts w:ascii="Times New Roman" w:hAnsi="Times New Roman"/>
                <w:noProof/>
                <w:color w:val="006100"/>
                <w:sz w:val="24"/>
              </w:rPr>
              <w:t> </w:t>
            </w:r>
            <w:r>
              <w:rPr>
                <w:rFonts w:ascii="Times New Roman" w:hAnsi="Times New Roman"/>
                <w:noProof/>
                <w:color w:val="006100"/>
                <w:sz w:val="20"/>
              </w:rPr>
              <w:t>840</w:t>
            </w:r>
            <w:r>
              <w:rPr>
                <w:rFonts w:ascii="Times New Roman" w:hAnsi="Times New Roman"/>
                <w:noProof/>
                <w:color w:val="006100"/>
                <w:sz w:val="24"/>
              </w:rPr>
              <w:t> </w:t>
            </w:r>
            <w:r>
              <w:rPr>
                <w:rFonts w:ascii="Times New Roman" w:hAnsi="Times New Roman"/>
                <w:noProof/>
                <w:color w:val="006100"/>
                <w:sz w:val="20"/>
              </w:rPr>
              <w:t>000</w:t>
            </w:r>
            <w:r>
              <w:rPr>
                <w:rFonts w:ascii="Times New Roman" w:hAnsi="Times New Roman"/>
                <w:noProof/>
                <w:color w:val="006100"/>
              </w:rPr>
              <w:t> EUR</w:t>
            </w:r>
          </w:p>
        </w:tc>
      </w:tr>
    </w:tbl>
    <w:p w14:paraId="04EFA532" w14:textId="77777777" w:rsidR="000D1388" w:rsidRPr="009D65D8" w:rsidRDefault="000D1388" w:rsidP="00E71057">
      <w:pPr>
        <w:rPr>
          <w:rFonts w:ascii="Times New Roman" w:eastAsia="Calibri" w:hAnsi="Times New Roman" w:cs="Times New Roman"/>
          <w:noProof/>
          <w:lang w:val="en-GB"/>
        </w:rPr>
      </w:pPr>
    </w:p>
    <w:p w14:paraId="78A1336C" w14:textId="5C21035B" w:rsidR="000D1388" w:rsidRPr="008509A1" w:rsidRDefault="00E71057" w:rsidP="008509A1">
      <w:pPr>
        <w:pStyle w:val="ListParagraph"/>
        <w:numPr>
          <w:ilvl w:val="6"/>
          <w:numId w:val="67"/>
        </w:numPr>
        <w:spacing w:before="120" w:after="120" w:line="240" w:lineRule="auto"/>
        <w:ind w:left="426"/>
        <w:jc w:val="both"/>
        <w:rPr>
          <w:rFonts w:ascii="Times New Roman" w:eastAsia="Calibri" w:hAnsi="Times New Roman" w:cs="Times New Roman"/>
          <w:noProof/>
        </w:rPr>
      </w:pPr>
      <w:r>
        <w:rPr>
          <w:rFonts w:ascii="Times New Roman" w:hAnsi="Times New Roman"/>
          <w:noProof/>
        </w:rPr>
        <w:t>Deuxième tranche (prêts):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1272"/>
        <w:gridCol w:w="3231"/>
        <w:gridCol w:w="737"/>
        <w:gridCol w:w="114"/>
        <w:gridCol w:w="4852"/>
      </w:tblGrid>
      <w:tr w:rsidR="00E71057" w:rsidRPr="009D65D8" w14:paraId="6F84A247" w14:textId="77777777" w:rsidTr="00EB1BD7">
        <w:trPr>
          <w:trHeight w:val="300"/>
        </w:trPr>
        <w:tc>
          <w:tcPr>
            <w:tcW w:w="623" w:type="pct"/>
            <w:shd w:val="clear" w:color="auto" w:fill="BDD7EE"/>
            <w:noWrap/>
            <w:vAlign w:val="bottom"/>
            <w:hideMark/>
          </w:tcPr>
          <w:p w14:paraId="5B3EA248" w14:textId="77777777" w:rsidR="000D1388" w:rsidRPr="009D65D8" w:rsidRDefault="00E71057">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1583" w:type="pct"/>
            <w:shd w:val="clear" w:color="auto" w:fill="BDD7EE"/>
            <w:noWrap/>
            <w:vAlign w:val="bottom"/>
            <w:hideMark/>
          </w:tcPr>
          <w:p w14:paraId="0CE47B4D" w14:textId="77777777" w:rsidR="000D1388" w:rsidRPr="009D65D8" w:rsidRDefault="00E71057">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361" w:type="pct"/>
            <w:shd w:val="clear" w:color="auto" w:fill="BDD7EE"/>
            <w:noWrap/>
            <w:vAlign w:val="bottom"/>
            <w:hideMark/>
          </w:tcPr>
          <w:p w14:paraId="345AF5F7"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433" w:type="pct"/>
            <w:gridSpan w:val="2"/>
            <w:shd w:val="clear" w:color="auto" w:fill="BDD7EE"/>
            <w:noWrap/>
            <w:vAlign w:val="bottom"/>
            <w:hideMark/>
          </w:tcPr>
          <w:p w14:paraId="209AD907" w14:textId="77777777" w:rsidR="000D1388" w:rsidRPr="009D65D8" w:rsidRDefault="00E71057">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E71057" w:rsidRPr="009D65D8" w14:paraId="18F0295B" w14:textId="77777777" w:rsidTr="00EB1BD7">
        <w:trPr>
          <w:trHeight w:val="315"/>
        </w:trPr>
        <w:tc>
          <w:tcPr>
            <w:tcW w:w="623" w:type="pct"/>
            <w:shd w:val="clear" w:color="auto" w:fill="C6EFCE"/>
            <w:noWrap/>
            <w:vAlign w:val="center"/>
            <w:hideMark/>
          </w:tcPr>
          <w:p w14:paraId="4E527B99"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240</w:t>
            </w:r>
          </w:p>
        </w:tc>
        <w:tc>
          <w:tcPr>
            <w:tcW w:w="1583" w:type="pct"/>
            <w:shd w:val="clear" w:color="auto" w:fill="C6EFCE"/>
            <w:noWrap/>
            <w:vAlign w:val="center"/>
            <w:hideMark/>
          </w:tcPr>
          <w:p w14:paraId="4D5C7585"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Îlot énergétique offshore (I-7.20)</w:t>
            </w:r>
          </w:p>
        </w:tc>
        <w:tc>
          <w:tcPr>
            <w:tcW w:w="417" w:type="pct"/>
            <w:gridSpan w:val="2"/>
            <w:shd w:val="clear" w:color="auto" w:fill="C6EFCE"/>
            <w:noWrap/>
            <w:vAlign w:val="center"/>
            <w:hideMark/>
          </w:tcPr>
          <w:p w14:paraId="6F15607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377" w:type="pct"/>
            <w:shd w:val="clear" w:color="auto" w:fill="C6EFCE"/>
            <w:noWrap/>
            <w:vAlign w:val="center"/>
            <w:hideMark/>
          </w:tcPr>
          <w:p w14:paraId="22224CFC"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Permis d’environnement pour l’îlot énergétique obtenus</w:t>
            </w:r>
          </w:p>
        </w:tc>
      </w:tr>
      <w:tr w:rsidR="00E71057" w:rsidRPr="009D65D8" w14:paraId="3EF5F48F" w14:textId="77777777" w:rsidTr="00EB1BD7">
        <w:trPr>
          <w:trHeight w:val="315"/>
        </w:trPr>
        <w:tc>
          <w:tcPr>
            <w:tcW w:w="623" w:type="pct"/>
            <w:shd w:val="clear" w:color="auto" w:fill="C6EFCE"/>
            <w:noWrap/>
            <w:vAlign w:val="center"/>
          </w:tcPr>
          <w:p w14:paraId="506F3850" w14:textId="77777777" w:rsidR="000D1388" w:rsidRPr="00746A1A" w:rsidRDefault="000D1388">
            <w:pPr>
              <w:spacing w:after="0"/>
              <w:jc w:val="center"/>
              <w:rPr>
                <w:rFonts w:ascii="Times New Roman" w:eastAsia="Times New Roman" w:hAnsi="Times New Roman" w:cs="Times New Roman"/>
                <w:noProof/>
                <w:color w:val="006100"/>
                <w:sz w:val="20"/>
                <w:szCs w:val="20"/>
                <w:lang w:val="fr-BE" w:eastAsia="en-IE"/>
              </w:rPr>
            </w:pPr>
          </w:p>
        </w:tc>
        <w:tc>
          <w:tcPr>
            <w:tcW w:w="2000" w:type="pct"/>
            <w:gridSpan w:val="3"/>
            <w:shd w:val="clear" w:color="auto" w:fill="C6EFCE"/>
            <w:noWrap/>
            <w:vAlign w:val="center"/>
          </w:tcPr>
          <w:p w14:paraId="55D02E00" w14:textId="77777777" w:rsidR="000D1388" w:rsidRPr="009D65D8"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377" w:type="pct"/>
            <w:shd w:val="clear" w:color="auto" w:fill="C6EFCE"/>
            <w:noWrap/>
            <w:vAlign w:val="center"/>
          </w:tcPr>
          <w:p w14:paraId="2E81A725"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24 420 000</w:t>
            </w:r>
            <w:r>
              <w:rPr>
                <w:rFonts w:ascii="Times New Roman" w:hAnsi="Times New Roman"/>
                <w:noProof/>
                <w:color w:val="006100"/>
                <w:sz w:val="24"/>
              </w:rPr>
              <w:t> </w:t>
            </w:r>
            <w:r>
              <w:rPr>
                <w:rFonts w:ascii="Times New Roman" w:hAnsi="Times New Roman"/>
                <w:noProof/>
                <w:color w:val="006100"/>
                <w:sz w:val="20"/>
              </w:rPr>
              <w:t>EUR</w:t>
            </w:r>
          </w:p>
        </w:tc>
      </w:tr>
    </w:tbl>
    <w:p w14:paraId="7CB3DBAD" w14:textId="77777777" w:rsidR="000D1388" w:rsidRPr="009D65D8" w:rsidRDefault="000D1388" w:rsidP="00E71057">
      <w:pPr>
        <w:rPr>
          <w:rFonts w:ascii="Times New Roman" w:eastAsia="Calibri" w:hAnsi="Times New Roman" w:cs="Times New Roman"/>
          <w:noProof/>
          <w:lang w:val="en-GB"/>
        </w:rPr>
      </w:pPr>
    </w:p>
    <w:p w14:paraId="1AFF71DD" w14:textId="77777777" w:rsidR="000D1388" w:rsidRPr="008509A1" w:rsidRDefault="00E71057" w:rsidP="008509A1">
      <w:pPr>
        <w:pStyle w:val="ListParagraph"/>
        <w:numPr>
          <w:ilvl w:val="0"/>
          <w:numId w:val="66"/>
        </w:numPr>
        <w:spacing w:before="120" w:after="120" w:line="240" w:lineRule="auto"/>
        <w:jc w:val="both"/>
        <w:rPr>
          <w:rFonts w:ascii="Times New Roman" w:eastAsia="Calibri" w:hAnsi="Times New Roman" w:cs="Times New Roman"/>
          <w:noProof/>
        </w:rPr>
      </w:pPr>
      <w:r>
        <w:rPr>
          <w:rFonts w:ascii="Times New Roman" w:hAnsi="Times New Roman"/>
          <w:noProof/>
        </w:rPr>
        <w:t>Troisième tranche (prêts):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1272"/>
        <w:gridCol w:w="3231"/>
        <w:gridCol w:w="737"/>
        <w:gridCol w:w="4966"/>
      </w:tblGrid>
      <w:tr w:rsidR="00E71057" w:rsidRPr="009D65D8" w14:paraId="291EA522" w14:textId="77777777" w:rsidTr="00EB1BD7">
        <w:trPr>
          <w:trHeight w:val="300"/>
        </w:trPr>
        <w:tc>
          <w:tcPr>
            <w:tcW w:w="623" w:type="pct"/>
            <w:shd w:val="clear" w:color="auto" w:fill="BDD7EE"/>
            <w:noWrap/>
            <w:vAlign w:val="bottom"/>
            <w:hideMark/>
          </w:tcPr>
          <w:p w14:paraId="54BFE20F" w14:textId="77777777" w:rsidR="000D1388" w:rsidRPr="009D65D8" w:rsidRDefault="00E71057">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1583" w:type="pct"/>
            <w:shd w:val="clear" w:color="auto" w:fill="BDD7EE"/>
            <w:noWrap/>
            <w:vAlign w:val="bottom"/>
            <w:hideMark/>
          </w:tcPr>
          <w:p w14:paraId="60502AD2" w14:textId="77777777" w:rsidR="000D1388" w:rsidRPr="009D65D8" w:rsidRDefault="00E71057">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361" w:type="pct"/>
            <w:shd w:val="clear" w:color="auto" w:fill="BDD7EE"/>
            <w:noWrap/>
            <w:vAlign w:val="bottom"/>
            <w:hideMark/>
          </w:tcPr>
          <w:p w14:paraId="7E879E2A" w14:textId="77777777" w:rsidR="000D1388" w:rsidRPr="009D65D8" w:rsidRDefault="00E71057">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433" w:type="pct"/>
            <w:shd w:val="clear" w:color="auto" w:fill="BDD7EE"/>
            <w:noWrap/>
            <w:vAlign w:val="bottom"/>
            <w:hideMark/>
          </w:tcPr>
          <w:p w14:paraId="33CBB655" w14:textId="77777777" w:rsidR="000D1388" w:rsidRPr="009D65D8" w:rsidRDefault="00E71057">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E71057" w:rsidRPr="009D65D8" w14:paraId="357A06CF" w14:textId="77777777" w:rsidTr="00EB1BD7">
        <w:trPr>
          <w:trHeight w:val="315"/>
        </w:trPr>
        <w:tc>
          <w:tcPr>
            <w:tcW w:w="623" w:type="pct"/>
            <w:shd w:val="clear" w:color="auto" w:fill="C6EFCE"/>
            <w:noWrap/>
            <w:vAlign w:val="center"/>
            <w:hideMark/>
          </w:tcPr>
          <w:p w14:paraId="17B1E36B"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55 </w:t>
            </w:r>
            <w:r>
              <w:rPr>
                <w:rFonts w:ascii="Times New Roman" w:hAnsi="Times New Roman"/>
                <w:i/>
                <w:iCs/>
                <w:noProof/>
                <w:color w:val="006100"/>
                <w:sz w:val="20"/>
              </w:rPr>
              <w:t>ter</w:t>
            </w:r>
          </w:p>
        </w:tc>
        <w:tc>
          <w:tcPr>
            <w:tcW w:w="1583" w:type="pct"/>
            <w:shd w:val="clear" w:color="auto" w:fill="C6EFCE"/>
            <w:noWrap/>
            <w:vAlign w:val="center"/>
            <w:hideMark/>
          </w:tcPr>
          <w:p w14:paraId="1E6E4016" w14:textId="6D175100" w:rsidR="000D1388" w:rsidRPr="009D65D8" w:rsidRDefault="008A23AF">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de digitalisation pour les administrations chargées de l’asile et de l’immigration (I-2.05 </w:t>
            </w:r>
            <w:r>
              <w:rPr>
                <w:rFonts w:ascii="Times New Roman" w:hAnsi="Times New Roman"/>
                <w:i/>
                <w:iCs/>
                <w:noProof/>
                <w:color w:val="006100"/>
                <w:sz w:val="20"/>
              </w:rPr>
              <w:t>bis</w:t>
            </w:r>
            <w:r>
              <w:rPr>
                <w:rFonts w:ascii="Times New Roman" w:hAnsi="Times New Roman"/>
                <w:noProof/>
                <w:color w:val="006100"/>
                <w:sz w:val="20"/>
              </w:rPr>
              <w:t>)</w:t>
            </w:r>
          </w:p>
        </w:tc>
        <w:tc>
          <w:tcPr>
            <w:tcW w:w="361" w:type="pct"/>
            <w:shd w:val="clear" w:color="auto" w:fill="C6EFCE"/>
            <w:noWrap/>
            <w:vAlign w:val="center"/>
            <w:hideMark/>
          </w:tcPr>
          <w:p w14:paraId="069D5906"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433" w:type="pct"/>
            <w:shd w:val="clear" w:color="auto" w:fill="C6EFCE"/>
            <w:noWrap/>
            <w:vAlign w:val="center"/>
            <w:hideMark/>
          </w:tcPr>
          <w:p w14:paraId="5D6CE42A" w14:textId="328B66C2" w:rsidR="000D1388" w:rsidRPr="00516674" w:rsidRDefault="00E71057">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Projets de digitalisation</w:t>
            </w:r>
          </w:p>
        </w:tc>
      </w:tr>
      <w:tr w:rsidR="00E71057" w:rsidRPr="009D65D8" w14:paraId="518C177F" w14:textId="77777777" w:rsidTr="00EB1BD7">
        <w:trPr>
          <w:trHeight w:val="315"/>
        </w:trPr>
        <w:tc>
          <w:tcPr>
            <w:tcW w:w="623" w:type="pct"/>
            <w:shd w:val="clear" w:color="auto" w:fill="C6EFCE"/>
            <w:noWrap/>
            <w:vAlign w:val="center"/>
            <w:hideMark/>
          </w:tcPr>
          <w:p w14:paraId="50F31EF4"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241</w:t>
            </w:r>
          </w:p>
        </w:tc>
        <w:tc>
          <w:tcPr>
            <w:tcW w:w="1583" w:type="pct"/>
            <w:shd w:val="clear" w:color="auto" w:fill="C6EFCE"/>
            <w:noWrap/>
            <w:vAlign w:val="center"/>
            <w:hideMark/>
          </w:tcPr>
          <w:p w14:paraId="19F768AF"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Îlot énergétique offshore (I-7.20)</w:t>
            </w:r>
          </w:p>
        </w:tc>
        <w:tc>
          <w:tcPr>
            <w:tcW w:w="361" w:type="pct"/>
            <w:shd w:val="clear" w:color="auto" w:fill="C6EFCE"/>
            <w:noWrap/>
            <w:vAlign w:val="center"/>
            <w:hideMark/>
          </w:tcPr>
          <w:p w14:paraId="4377C695" w14:textId="77777777" w:rsidR="000D1388" w:rsidRPr="009D65D8" w:rsidRDefault="00E71057">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433" w:type="pct"/>
            <w:shd w:val="clear" w:color="auto" w:fill="C6EFCE"/>
            <w:noWrap/>
            <w:vAlign w:val="center"/>
            <w:hideMark/>
          </w:tcPr>
          <w:p w14:paraId="650A2721" w14:textId="77777777" w:rsidR="000D1388" w:rsidRPr="009D65D8"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concernant l’îlot énergétique</w:t>
            </w:r>
          </w:p>
        </w:tc>
      </w:tr>
      <w:tr w:rsidR="00E71057" w:rsidRPr="009D65D8" w14:paraId="0B751A7B" w14:textId="77777777" w:rsidTr="00EB1BD7">
        <w:trPr>
          <w:trHeight w:val="315"/>
        </w:trPr>
        <w:tc>
          <w:tcPr>
            <w:tcW w:w="623"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6E3C4E" w14:textId="77777777" w:rsidR="000D1388" w:rsidRPr="009D65D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259</w:t>
            </w:r>
          </w:p>
        </w:tc>
        <w:tc>
          <w:tcPr>
            <w:tcW w:w="1583"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0C35A8" w14:textId="77777777" w:rsidR="000D1388" w:rsidRPr="009D65D8" w:rsidRDefault="00E71057">
            <w:pPr>
              <w:rPr>
                <w:rFonts w:ascii="Times New Roman" w:eastAsia="Calibri" w:hAnsi="Times New Roman" w:cs="Arial"/>
                <w:noProof/>
                <w:color w:val="006100"/>
                <w:sz w:val="20"/>
                <w:szCs w:val="20"/>
              </w:rPr>
            </w:pPr>
            <w:r>
              <w:rPr>
                <w:rFonts w:ascii="Times New Roman" w:hAnsi="Times New Roman"/>
                <w:noProof/>
                <w:color w:val="006100"/>
                <w:sz w:val="20"/>
              </w:rPr>
              <w:t>Mesure renforcée: Injection de capitaux dans la SFPIM Defence de l’État fédéral (I-5.21)</w:t>
            </w:r>
          </w:p>
        </w:tc>
        <w:tc>
          <w:tcPr>
            <w:tcW w:w="36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734626" w14:textId="77777777" w:rsidR="000D1388" w:rsidRPr="009D65D8" w:rsidRDefault="00E71057">
            <w:pPr>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2433"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56EAA8" w14:textId="77777777" w:rsidR="000D1388" w:rsidRPr="009D65D8" w:rsidRDefault="00E71057">
            <w:pPr>
              <w:rPr>
                <w:rFonts w:ascii="Times New Roman" w:eastAsia="Calibri" w:hAnsi="Times New Roman" w:cs="Arial"/>
                <w:noProof/>
                <w:color w:val="006100"/>
                <w:sz w:val="20"/>
                <w:szCs w:val="20"/>
              </w:rPr>
            </w:pPr>
            <w:r>
              <w:rPr>
                <w:rFonts w:ascii="Times New Roman" w:hAnsi="Times New Roman"/>
                <w:noProof/>
                <w:color w:val="006100"/>
                <w:sz w:val="20"/>
              </w:rPr>
              <w:t>Injection de fonds propres</w:t>
            </w:r>
          </w:p>
        </w:tc>
      </w:tr>
      <w:tr w:rsidR="00E71057" w:rsidRPr="009F76CD" w14:paraId="211099F4" w14:textId="77777777" w:rsidTr="00EB1BD7">
        <w:trPr>
          <w:trHeight w:val="315"/>
        </w:trPr>
        <w:tc>
          <w:tcPr>
            <w:tcW w:w="623" w:type="pct"/>
            <w:shd w:val="clear" w:color="auto" w:fill="C6EFCE"/>
            <w:noWrap/>
            <w:vAlign w:val="center"/>
          </w:tcPr>
          <w:p w14:paraId="2685A672" w14:textId="77777777" w:rsidR="000D1388" w:rsidRPr="009D65D8" w:rsidRDefault="000D1388">
            <w:pPr>
              <w:spacing w:after="0"/>
              <w:jc w:val="center"/>
              <w:rPr>
                <w:rFonts w:ascii="Times New Roman" w:eastAsia="Times New Roman" w:hAnsi="Times New Roman" w:cs="Times New Roman"/>
                <w:noProof/>
                <w:color w:val="006100"/>
                <w:sz w:val="20"/>
                <w:szCs w:val="20"/>
                <w:lang w:val="en-GB" w:eastAsia="en-IE"/>
              </w:rPr>
            </w:pPr>
          </w:p>
        </w:tc>
        <w:tc>
          <w:tcPr>
            <w:tcW w:w="1944" w:type="pct"/>
            <w:gridSpan w:val="2"/>
            <w:shd w:val="clear" w:color="auto" w:fill="C6EFCE"/>
            <w:noWrap/>
            <w:vAlign w:val="center"/>
          </w:tcPr>
          <w:p w14:paraId="704F1B02" w14:textId="77777777" w:rsidR="000D1388" w:rsidRPr="009D65D8" w:rsidRDefault="00E71057">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433" w:type="pct"/>
            <w:shd w:val="clear" w:color="auto" w:fill="C6EFCE"/>
            <w:noWrap/>
            <w:vAlign w:val="center"/>
          </w:tcPr>
          <w:p w14:paraId="25CC1364" w14:textId="04B67613" w:rsidR="000D1388" w:rsidRPr="009F76CD" w:rsidRDefault="00E7105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136</w:t>
            </w:r>
            <w:r>
              <w:rPr>
                <w:rFonts w:ascii="Times New Roman" w:hAnsi="Times New Roman"/>
                <w:noProof/>
                <w:color w:val="006100"/>
                <w:sz w:val="24"/>
              </w:rPr>
              <w:t> </w:t>
            </w:r>
            <w:r>
              <w:rPr>
                <w:rFonts w:ascii="Times New Roman" w:hAnsi="Times New Roman"/>
                <w:noProof/>
                <w:color w:val="006100"/>
                <w:sz w:val="20"/>
              </w:rPr>
              <w:t>344</w:t>
            </w:r>
            <w:r>
              <w:rPr>
                <w:rFonts w:ascii="Times New Roman" w:hAnsi="Times New Roman"/>
                <w:noProof/>
                <w:color w:val="006100"/>
                <w:sz w:val="24"/>
              </w:rPr>
              <w:t> </w:t>
            </w:r>
            <w:r>
              <w:rPr>
                <w:rFonts w:ascii="Times New Roman" w:hAnsi="Times New Roman"/>
                <w:noProof/>
                <w:color w:val="006100"/>
                <w:sz w:val="20"/>
              </w:rPr>
              <w:t>000</w:t>
            </w:r>
            <w:r>
              <w:rPr>
                <w:rFonts w:ascii="Times New Roman" w:hAnsi="Times New Roman"/>
                <w:noProof/>
                <w:color w:val="006100"/>
              </w:rPr>
              <w:t> EUR</w:t>
            </w:r>
          </w:p>
        </w:tc>
      </w:tr>
      <w:bookmarkEnd w:id="4"/>
    </w:tbl>
    <w:p w14:paraId="14EEE914" w14:textId="77777777" w:rsidR="000D1388" w:rsidRPr="00AF0E7B" w:rsidRDefault="000D1388" w:rsidP="00E71057">
      <w:pPr>
        <w:rPr>
          <w:noProof/>
          <w:lang w:val="en-US"/>
        </w:rPr>
      </w:pPr>
    </w:p>
    <w:p w14:paraId="2C706A06" w14:textId="77777777" w:rsidR="000D1388" w:rsidRDefault="00E71057">
      <w:pPr>
        <w:spacing w:line="278" w:lineRule="auto"/>
        <w:rPr>
          <w:noProof/>
        </w:rPr>
      </w:pPr>
      <w:r>
        <w:rPr>
          <w:noProof/>
        </w:rPr>
        <w:br w:type="page"/>
      </w:r>
    </w:p>
    <w:p w14:paraId="6FA04623" w14:textId="77777777" w:rsidR="000D1388" w:rsidRPr="00F66FF8" w:rsidRDefault="00E71057" w:rsidP="00E71057">
      <w:pPr>
        <w:keepNext/>
        <w:spacing w:before="120" w:after="240" w:line="240" w:lineRule="auto"/>
        <w:jc w:val="both"/>
        <w:outlineLvl w:val="0"/>
        <w:rPr>
          <w:rFonts w:ascii="Times New Roman" w:eastAsia="Yu Gothic Light" w:hAnsi="Times New Roman" w:cs="Times New Roman"/>
          <w:b/>
          <w:bCs/>
          <w:smallCaps/>
          <w:noProof/>
          <w:sz w:val="24"/>
          <w:szCs w:val="28"/>
        </w:rPr>
      </w:pPr>
      <w:r>
        <w:rPr>
          <w:rFonts w:ascii="Times New Roman" w:hAnsi="Times New Roman"/>
          <w:b/>
          <w:smallCaps/>
          <w:noProof/>
          <w:sz w:val="24"/>
        </w:rPr>
        <w:t xml:space="preserve">PARTIE 3: MODALITÉS COMPLÉMENTAIRES </w:t>
      </w:r>
    </w:p>
    <w:p w14:paraId="72AFA45F" w14:textId="77777777" w:rsidR="000D1388" w:rsidRPr="00E54B1D" w:rsidRDefault="00E71057" w:rsidP="00E71057">
      <w:pPr>
        <w:keepNext/>
        <w:tabs>
          <w:tab w:val="left" w:pos="850"/>
        </w:tabs>
        <w:spacing w:before="120" w:after="120" w:line="240" w:lineRule="auto"/>
        <w:jc w:val="both"/>
        <w:outlineLvl w:val="1"/>
        <w:rPr>
          <w:rFonts w:ascii="Times New Roman" w:eastAsia="Calibri" w:hAnsi="Times New Roman" w:cs="Times New Roman"/>
          <w:b/>
          <w:noProof/>
          <w:sz w:val="24"/>
        </w:rPr>
      </w:pPr>
      <w:r>
        <w:rPr>
          <w:rFonts w:ascii="Times New Roman" w:hAnsi="Times New Roman"/>
          <w:b/>
          <w:noProof/>
          <w:sz w:val="24"/>
        </w:rPr>
        <w:t xml:space="preserve">1. Modalités de suivi et de mise en œuvre du plan pour la reprise et la résilience </w:t>
      </w:r>
    </w:p>
    <w:p w14:paraId="5741D3DC" w14:textId="77777777" w:rsidR="000D1388" w:rsidRPr="00115EF4" w:rsidRDefault="00E71057" w:rsidP="00E71057">
      <w:pPr>
        <w:jc w:val="both"/>
        <w:rPr>
          <w:rFonts w:ascii="Times New Roman" w:hAnsi="Times New Roman" w:cs="Times New Roman"/>
          <w:noProof/>
          <w:sz w:val="24"/>
          <w:szCs w:val="24"/>
        </w:rPr>
      </w:pPr>
      <w:r>
        <w:rPr>
          <w:rFonts w:ascii="Times New Roman" w:hAnsi="Times New Roman"/>
          <w:noProof/>
          <w:sz w:val="24"/>
        </w:rPr>
        <w:t xml:space="preserve">Le suivi et la mise en œuvre du plan pour la reprise et la résilience de la Belgique se déroulent selon les modalités suivantes ci-après. </w:t>
      </w:r>
    </w:p>
    <w:p w14:paraId="136988CC" w14:textId="77777777" w:rsidR="000D1388" w:rsidRPr="00115EF4" w:rsidRDefault="00E71057" w:rsidP="00E71057">
      <w:pPr>
        <w:jc w:val="both"/>
        <w:rPr>
          <w:rFonts w:ascii="Times New Roman" w:hAnsi="Times New Roman" w:cs="Times New Roman"/>
          <w:noProof/>
          <w:sz w:val="24"/>
          <w:szCs w:val="24"/>
        </w:rPr>
      </w:pPr>
      <w:r>
        <w:rPr>
          <w:rFonts w:ascii="Times New Roman" w:hAnsi="Times New Roman"/>
          <w:noProof/>
          <w:sz w:val="24"/>
        </w:rPr>
        <w:t xml:space="preserve">La mise en œuvre du plan pour la reprise et la résilience de la Belgique fait l’objet d’un suivi tant au niveau interfédéral qu’au niveau de chaque entité chargée de la mise en œuvre des mesures du plan, pris séparément. Le secrétaire d’État pour la relance et les investissements stratégiques est chargé de la coordination de la mise en œuvre du plan au niveau interfédéral. Compte tenu du large éventail de mesures incluses dans le plan, pour lesquelles les compétences sont réparties entre sept entités, le coordinateur interfédéral est responsable du suivi de la mise en œuvre du plan et doit veiller à sa cohérence. </w:t>
      </w:r>
    </w:p>
    <w:p w14:paraId="52B1C6D6" w14:textId="77777777" w:rsidR="000D1388" w:rsidRPr="00115EF4" w:rsidRDefault="00E71057" w:rsidP="00E71057">
      <w:pPr>
        <w:jc w:val="both"/>
        <w:rPr>
          <w:rFonts w:ascii="Times New Roman" w:hAnsi="Times New Roman" w:cs="Times New Roman"/>
          <w:noProof/>
          <w:sz w:val="24"/>
          <w:szCs w:val="24"/>
        </w:rPr>
      </w:pPr>
      <w:r>
        <w:rPr>
          <w:rFonts w:ascii="Times New Roman" w:hAnsi="Times New Roman"/>
          <w:noProof/>
          <w:sz w:val="24"/>
        </w:rPr>
        <w:t>Le suivi au niveau politique du plan est assuré par la Conférence interministérielle. La conférence interministérielle est présidée par le secrétaire d’État pour la relance et les investissements stratégiques et est composée de représentants de l’État fédéral, des régions et des Communautés.</w:t>
      </w:r>
    </w:p>
    <w:p w14:paraId="0925D996" w14:textId="77777777" w:rsidR="000D1388" w:rsidRPr="00115EF4" w:rsidRDefault="00E71057" w:rsidP="00E71057">
      <w:pPr>
        <w:jc w:val="both"/>
        <w:rPr>
          <w:rFonts w:ascii="Times New Roman" w:hAnsi="Times New Roman" w:cs="Times New Roman"/>
          <w:noProof/>
          <w:sz w:val="24"/>
          <w:szCs w:val="24"/>
        </w:rPr>
      </w:pPr>
      <w:r>
        <w:rPr>
          <w:rFonts w:ascii="Times New Roman" w:hAnsi="Times New Roman"/>
          <w:noProof/>
          <w:sz w:val="24"/>
        </w:rPr>
        <w:t>Le suivi administratif du plan est assuré par un Comité de suivi interfédéral. Le Comité de suivi est composé de représentants de toutes les entités chargées de l’établissement de rapports et du suivi administratif des projets relevant de leur responsabilité. Le Comité de suivi est présidé par le secrétaire permanent du Service public fédéral BOSA («</w:t>
      </w:r>
      <w:r>
        <w:rPr>
          <w:rFonts w:ascii="Times New Roman" w:hAnsi="Times New Roman"/>
          <w:i/>
          <w:noProof/>
          <w:sz w:val="24"/>
        </w:rPr>
        <w:t>Federale overheidsdienst beleid en ondersteuning</w:t>
      </w:r>
      <w:r>
        <w:rPr>
          <w:rFonts w:ascii="Times New Roman" w:hAnsi="Times New Roman"/>
          <w:noProof/>
          <w:sz w:val="24"/>
        </w:rPr>
        <w:t xml:space="preserve">»), qui assure la continuité de la coordination générale du plan et des contacts techniques avec la Commission, en collaboration avec le secrétaire d’État pour la relance et les investissements stratégiques. Le Comité de suivi assure le suivi de la mise en œuvre et des réalisations du plan, coordonne la préparation de chaque demande de paiement, recense les risques de non-respect des jalons et des cibles et propose des solutions si les risques se concrétisent. </w:t>
      </w:r>
    </w:p>
    <w:p w14:paraId="0C18FACE" w14:textId="77777777" w:rsidR="000D1388" w:rsidRPr="00115EF4" w:rsidRDefault="00E71057" w:rsidP="00E71057">
      <w:pPr>
        <w:jc w:val="both"/>
        <w:rPr>
          <w:rFonts w:ascii="Times New Roman" w:hAnsi="Times New Roman" w:cs="Times New Roman"/>
          <w:noProof/>
          <w:sz w:val="24"/>
          <w:szCs w:val="24"/>
        </w:rPr>
      </w:pPr>
      <w:r>
        <w:rPr>
          <w:rFonts w:ascii="Times New Roman" w:hAnsi="Times New Roman"/>
          <w:noProof/>
          <w:sz w:val="24"/>
        </w:rPr>
        <w:t xml:space="preserve">Chaque entité suit l’état d’avancement des projets d’investissement et de réforme relevant du plan. Chaque niveau de gouvernement met en place une unité centrale de coordination chargée du suivi horizontal et de la coordination des mesures relevant de sa responsabilité. Les niveaux centraux de coordination régionale/communautaire assurent le suivi et veillent à l’établissement de rapports au moyen d’un outil de suivi numérique qui permet au Comité de suivi interfédéral de suivre la mise en œuvre du plan. </w:t>
      </w:r>
    </w:p>
    <w:p w14:paraId="355A63DD" w14:textId="77777777" w:rsidR="000D1388" w:rsidRPr="00115EF4" w:rsidRDefault="00E71057" w:rsidP="00E71057">
      <w:pPr>
        <w:jc w:val="both"/>
        <w:rPr>
          <w:rFonts w:ascii="Times New Roman" w:hAnsi="Times New Roman" w:cs="Times New Roman"/>
          <w:noProof/>
          <w:sz w:val="24"/>
          <w:szCs w:val="24"/>
        </w:rPr>
      </w:pPr>
      <w:r>
        <w:rPr>
          <w:rFonts w:ascii="Times New Roman" w:hAnsi="Times New Roman"/>
          <w:noProof/>
          <w:sz w:val="24"/>
        </w:rPr>
        <w:t xml:space="preserve">La Belgique a désigné deux entités en tant qu’autorités d’audit, la Vlaamse Auditautoriteit (VAA) pour la Région flamande et la Communauté flamande, et le Interfédéral de l’Inspection des Finances (CAIF) pour l’État fédéral et les autres régions et Communautés (Région de Bruxelles-Capitale, Région wallonne, Communauté française et Communauté germanophone). Les deux entités sont indépendantes des entités chargées de la mise en œuvre de la FRR en Belgique. </w:t>
      </w:r>
    </w:p>
    <w:p w14:paraId="67B5E382" w14:textId="77777777" w:rsidR="000D1388" w:rsidRPr="00115EF4" w:rsidRDefault="00E71057" w:rsidP="00E71057">
      <w:pPr>
        <w:jc w:val="both"/>
        <w:rPr>
          <w:rFonts w:ascii="Times New Roman" w:hAnsi="Times New Roman" w:cs="Times New Roman"/>
          <w:noProof/>
          <w:sz w:val="24"/>
          <w:szCs w:val="24"/>
        </w:rPr>
      </w:pPr>
      <w:r>
        <w:rPr>
          <w:rFonts w:ascii="Times New Roman" w:hAnsi="Times New Roman"/>
          <w:noProof/>
          <w:sz w:val="24"/>
        </w:rPr>
        <w:t>Le plan belge recense les différents organismes chargés de la mise en œuvre, du suivi et du contrôle des projets dans chacune des sept entités (État fédéral, Région flamande, Communauté flamande, Région wallonne, Région de Bruxelles-Capitale, Communauté française et Communauté germanophone). Les services responsables de la mise en œuvre (autorités de gestion) et de l’audit et du contrôle (autorités d’audit) sont également chargés des contrôles portant sur les projets financés par d’autres fonds de l’UE, ce qui leur permet d’avoir une vue d’ensemble du financement de l’UE et contribue à réduire le risque de double financement.</w:t>
      </w:r>
    </w:p>
    <w:p w14:paraId="47E5E458" w14:textId="77777777" w:rsidR="000D1388" w:rsidRPr="00115EF4" w:rsidRDefault="00E71057" w:rsidP="00E71057">
      <w:pPr>
        <w:keepNext/>
        <w:spacing w:before="120" w:after="120" w:line="240" w:lineRule="auto"/>
        <w:jc w:val="both"/>
        <w:outlineLvl w:val="1"/>
        <w:rPr>
          <w:rFonts w:ascii="Times New Roman" w:eastAsia="Calibri" w:hAnsi="Times New Roman" w:cs="Times New Roman"/>
          <w:b/>
          <w:noProof/>
          <w:sz w:val="24"/>
          <w:szCs w:val="24"/>
        </w:rPr>
      </w:pPr>
      <w:r>
        <w:rPr>
          <w:rFonts w:ascii="Times New Roman" w:hAnsi="Times New Roman"/>
          <w:b/>
          <w:noProof/>
          <w:sz w:val="24"/>
        </w:rPr>
        <w:t xml:space="preserve">2. Modalités permettant à la Commission d’accéder pleinement aux données sous-jacentes </w:t>
      </w:r>
    </w:p>
    <w:p w14:paraId="5975CFF2" w14:textId="77777777" w:rsidR="000D1388" w:rsidRPr="00115EF4" w:rsidRDefault="00E71057" w:rsidP="00E71057">
      <w:pPr>
        <w:jc w:val="both"/>
        <w:rPr>
          <w:rFonts w:ascii="Times New Roman" w:hAnsi="Times New Roman" w:cs="Times New Roman"/>
          <w:noProof/>
          <w:sz w:val="24"/>
          <w:szCs w:val="24"/>
        </w:rPr>
      </w:pPr>
      <w:r>
        <w:rPr>
          <w:rFonts w:ascii="Times New Roman" w:hAnsi="Times New Roman"/>
          <w:noProof/>
          <w:sz w:val="24"/>
        </w:rPr>
        <w:t xml:space="preserve">Afin de donner à la Commission un accès complet aux données sous-jacentes pertinentes, la Belgique met en place les dispositions ci-après. </w:t>
      </w:r>
    </w:p>
    <w:p w14:paraId="17B757CD" w14:textId="77777777" w:rsidR="000D1388" w:rsidRPr="00115EF4" w:rsidRDefault="00E71057" w:rsidP="00E71057">
      <w:pPr>
        <w:jc w:val="both"/>
        <w:rPr>
          <w:rFonts w:ascii="Times New Roman" w:hAnsi="Times New Roman" w:cs="Times New Roman"/>
          <w:noProof/>
          <w:sz w:val="24"/>
          <w:szCs w:val="24"/>
        </w:rPr>
      </w:pPr>
      <w:r>
        <w:rPr>
          <w:rFonts w:ascii="Times New Roman" w:hAnsi="Times New Roman"/>
          <w:noProof/>
          <w:sz w:val="24"/>
        </w:rPr>
        <w:t xml:space="preserve">Le secrétaire d’État pour la relance et les investissements stratégiques coordonne la mise en œuvre du plan, tandis que le suivi est assuré au niveau politique par la Conférence interministérielle et au niveau administratif par le Comité de suivi interfédéral. En particulier, le secrétaire d’État pour la relance et les investissements stratégiques agit en tant qu’organe de coordination chargé du suivi des progrès accomplis dans la réalisation des jalons et des cibles, du suivi et, s’il y a lieu, de la mise en œuvre activités de contrôle et d’audit, ainsi que de la fourniture des rapports et des demandes de paiement. Il coordonne la communication d’informations sur les jalons et cibles et les indicateurs pertinents, mais aussi d’informations financières qualitatives et d’autres données, par exemple de données sur les bénéficiaires finals. L’encodage des données se fait dans des systèmes informatiques décentralisés dans différents ministères, qui sont tenus de communiquer les données requises au secrétaire d’État pour la relance et les investissements stratégiques. </w:t>
      </w:r>
    </w:p>
    <w:p w14:paraId="4E3B5321" w14:textId="2780DE55" w:rsidR="000D1388" w:rsidRPr="00CC1346" w:rsidRDefault="00E71057" w:rsidP="00E71057">
      <w:pPr>
        <w:jc w:val="both"/>
        <w:rPr>
          <w:rFonts w:ascii="Times New Roman" w:hAnsi="Times New Roman" w:cs="Times New Roman"/>
          <w:noProof/>
          <w:sz w:val="24"/>
          <w:szCs w:val="24"/>
        </w:rPr>
      </w:pPr>
      <w:r>
        <w:rPr>
          <w:rFonts w:ascii="Times New Roman" w:hAnsi="Times New Roman"/>
          <w:noProof/>
          <w:sz w:val="24"/>
        </w:rPr>
        <w:t>Conformément à l’article 24, paragraphe 2, du règlement (UE) 2021/241, une fois que les jalons et cibles pertinents qui sont convenus dans la partie 2.1 de la présente annexe sont atteints, la Belgique soumet à la Commission une demande dûment justifiée de paiement de la contribution financière. La Belgique veille à ce que, sur demande, la Commission ait pleinement accès aux données pertinentes sous-jacentes qui étayent la justification de la demande de paiement, tant pour l’évaluation de la demande de paiement conformément à l’article 24, paragraphe 3, du règlement (UE) 2021/241 qu’à des fins d’audit et de contrôle.</w:t>
      </w:r>
    </w:p>
    <w:sectPr w:rsidR="000D1388" w:rsidRPr="00CC1346">
      <w:headerReference w:type="even" r:id="rId312"/>
      <w:headerReference w:type="default" r:id="rId313"/>
      <w:footerReference w:type="even" r:id="rId314"/>
      <w:footerReference w:type="default" r:id="rId315"/>
      <w:headerReference w:type="first" r:id="rId316"/>
      <w:footerReference w:type="first" r:id="rId317"/>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0B0E6" w14:textId="77777777" w:rsidR="002F3469" w:rsidRDefault="002F3469" w:rsidP="00A43C50">
      <w:r>
        <w:separator/>
      </w:r>
    </w:p>
  </w:endnote>
  <w:endnote w:type="continuationSeparator" w:id="0">
    <w:p w14:paraId="3C9D49CE" w14:textId="77777777" w:rsidR="002F3469" w:rsidRDefault="002F3469"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Next LT Pro">
    <w:charset w:val="00"/>
    <w:family w:val="swiss"/>
    <w:pitch w:val="variable"/>
    <w:sig w:usb0="800000EF" w:usb1="5000204A"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42FCE" w14:textId="3887C274" w:rsidR="006E5BC0" w:rsidRPr="006E5BC0" w:rsidRDefault="006E5BC0" w:rsidP="006E5BC0">
    <w:pPr>
      <w:pStyle w:val="FooterCoverPage"/>
      <w:rPr>
        <w:rFonts w:ascii="Arial" w:hAnsi="Arial" w:cs="Arial"/>
        <w:b/>
        <w:sz w:val="48"/>
      </w:rPr>
    </w:pPr>
    <w:r w:rsidRPr="006E5BC0">
      <w:rPr>
        <w:rFonts w:ascii="Arial" w:hAnsi="Arial" w:cs="Arial"/>
        <w:b/>
        <w:sz w:val="48"/>
      </w:rPr>
      <w:t>FR</w:t>
    </w:r>
    <w:r w:rsidRPr="006E5BC0">
      <w:rPr>
        <w:rFonts w:ascii="Arial" w:hAnsi="Arial" w:cs="Arial"/>
        <w:b/>
        <w:sz w:val="48"/>
      </w:rPr>
      <w:tab/>
    </w:r>
    <w:r w:rsidRPr="006E5BC0">
      <w:rPr>
        <w:rFonts w:ascii="Arial" w:hAnsi="Arial" w:cs="Arial"/>
        <w:b/>
        <w:sz w:val="48"/>
      </w:rPr>
      <w:tab/>
    </w:r>
    <w:r w:rsidRPr="006E5BC0">
      <w:tab/>
    </w:r>
    <w:r w:rsidRPr="006E5BC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34EDA" w14:textId="572C5735" w:rsidR="006E5BC0" w:rsidRPr="006E5BC0" w:rsidRDefault="006E5BC0" w:rsidP="006E5BC0">
    <w:pPr>
      <w:pStyle w:val="FooterCoverPage"/>
      <w:rPr>
        <w:rFonts w:ascii="Arial" w:hAnsi="Arial" w:cs="Arial"/>
        <w:b/>
        <w:sz w:val="48"/>
      </w:rPr>
    </w:pPr>
    <w:r w:rsidRPr="006E5BC0">
      <w:rPr>
        <w:rFonts w:ascii="Arial" w:hAnsi="Arial" w:cs="Arial"/>
        <w:b/>
        <w:sz w:val="48"/>
      </w:rPr>
      <w:t>FR</w:t>
    </w:r>
    <w:r w:rsidRPr="006E5BC0">
      <w:rPr>
        <w:rFonts w:ascii="Arial" w:hAnsi="Arial" w:cs="Arial"/>
        <w:b/>
        <w:sz w:val="48"/>
      </w:rPr>
      <w:tab/>
    </w:r>
    <w:r w:rsidRPr="006E5BC0">
      <w:rPr>
        <w:rFonts w:ascii="Arial" w:hAnsi="Arial" w:cs="Arial"/>
        <w:b/>
        <w:sz w:val="48"/>
      </w:rPr>
      <w:tab/>
    </w:r>
    <w:r w:rsidRPr="006E5BC0">
      <w:tab/>
    </w:r>
    <w:r w:rsidRPr="006E5BC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C8AB4" w14:textId="77777777" w:rsidR="006E5BC0" w:rsidRPr="006E5BC0" w:rsidRDefault="006E5BC0" w:rsidP="006E5BC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24496" w14:textId="77777777" w:rsidR="000D1388" w:rsidRPr="00ED64B3" w:rsidRDefault="000D13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924750"/>
      <w:docPartObj>
        <w:docPartGallery w:val="Page Numbers (Bottom of Page)"/>
        <w:docPartUnique/>
      </w:docPartObj>
    </w:sdtPr>
    <w:sdtEndPr>
      <w:rPr>
        <w:noProof/>
      </w:rPr>
    </w:sdtEndPr>
    <w:sdtContent>
      <w:p w14:paraId="226772C8" w14:textId="70C47871" w:rsidR="00EC2ED4" w:rsidRDefault="00EC2ED4">
        <w:pPr>
          <w:pStyle w:val="Footer"/>
          <w:jc w:val="center"/>
        </w:pPr>
        <w:r>
          <w:fldChar w:fldCharType="begin"/>
        </w:r>
        <w:r>
          <w:instrText xml:space="preserve"> PAGE   \* MERGEFORMAT </w:instrText>
        </w:r>
        <w:r>
          <w:fldChar w:fldCharType="separate"/>
        </w:r>
        <w:r w:rsidR="006E5BC0">
          <w:rPr>
            <w:noProof/>
          </w:rPr>
          <w:t>1</w:t>
        </w:r>
        <w:r>
          <w:fldChar w:fldCharType="end"/>
        </w:r>
      </w:p>
    </w:sdtContent>
  </w:sdt>
  <w:p w14:paraId="37DF19FE" w14:textId="16FFD329" w:rsidR="00E7770D" w:rsidRPr="00862696" w:rsidRDefault="00E7770D" w:rsidP="008626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1A0C6" w14:textId="77777777" w:rsidR="000D1388" w:rsidRPr="00ED64B3" w:rsidRDefault="000D138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7AAFD" w14:textId="77777777" w:rsidR="000D1388" w:rsidRPr="00ED64B3" w:rsidRDefault="000D13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671791"/>
      <w:docPartObj>
        <w:docPartGallery w:val="Page Numbers (Bottom of Page)"/>
        <w:docPartUnique/>
      </w:docPartObj>
    </w:sdtPr>
    <w:sdtEndPr>
      <w:rPr>
        <w:noProof/>
      </w:rPr>
    </w:sdtEndPr>
    <w:sdtContent>
      <w:p w14:paraId="3CC615E7" w14:textId="0531C02D" w:rsidR="00EC2ED4" w:rsidRDefault="00EC2ED4">
        <w:pPr>
          <w:pStyle w:val="Footer"/>
          <w:jc w:val="center"/>
        </w:pPr>
        <w:r>
          <w:fldChar w:fldCharType="begin"/>
        </w:r>
        <w:r>
          <w:instrText xml:space="preserve"> PAGE   \* MERGEFORMAT </w:instrText>
        </w:r>
        <w:r>
          <w:fldChar w:fldCharType="separate"/>
        </w:r>
        <w:r w:rsidR="006E5BC0">
          <w:rPr>
            <w:noProof/>
          </w:rPr>
          <w:t>8</w:t>
        </w:r>
        <w:r>
          <w:fldChar w:fldCharType="end"/>
        </w:r>
      </w:p>
    </w:sdtContent>
  </w:sdt>
  <w:p w14:paraId="0C679FDA" w14:textId="77777777" w:rsidR="00E7770D" w:rsidRDefault="00E7770D">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B751A" w14:textId="77777777" w:rsidR="000D1388" w:rsidRPr="00ED64B3" w:rsidRDefault="000D138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1D886" w14:textId="77777777" w:rsidR="000D1388" w:rsidRPr="00ED64B3" w:rsidRDefault="000D138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685783"/>
      <w:docPartObj>
        <w:docPartGallery w:val="Page Numbers (Bottom of Page)"/>
        <w:docPartUnique/>
      </w:docPartObj>
    </w:sdtPr>
    <w:sdtEndPr>
      <w:rPr>
        <w:noProof/>
      </w:rPr>
    </w:sdtEndPr>
    <w:sdtContent>
      <w:p w14:paraId="0CA391F2" w14:textId="07AE08EB" w:rsidR="00CC0AAF" w:rsidRDefault="00CC0AAF">
        <w:pPr>
          <w:pStyle w:val="Footer"/>
          <w:jc w:val="center"/>
        </w:pPr>
        <w:r>
          <w:fldChar w:fldCharType="begin"/>
        </w:r>
        <w:r>
          <w:instrText xml:space="preserve"> PAGE   \* MERGEFORMAT </w:instrText>
        </w:r>
        <w:r>
          <w:fldChar w:fldCharType="separate"/>
        </w:r>
        <w:r w:rsidR="00D60B35">
          <w:rPr>
            <w:noProof/>
          </w:rPr>
          <w:t>9</w:t>
        </w:r>
        <w:r>
          <w:fldChar w:fldCharType="end"/>
        </w:r>
      </w:p>
    </w:sdtContent>
  </w:sdt>
  <w:p w14:paraId="048E3F58" w14:textId="77777777" w:rsidR="00E7770D" w:rsidRDefault="00E7770D">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EAF1B" w14:textId="77777777" w:rsidR="000D1388" w:rsidRPr="00ED64B3" w:rsidRDefault="000D138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EBC6E" w14:textId="77777777" w:rsidR="000D1388" w:rsidRPr="00ED64B3" w:rsidRDefault="000D138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806133"/>
      <w:docPartObj>
        <w:docPartGallery w:val="Page Numbers (Bottom of Page)"/>
        <w:docPartUnique/>
      </w:docPartObj>
    </w:sdtPr>
    <w:sdtEndPr>
      <w:rPr>
        <w:noProof/>
      </w:rPr>
    </w:sdtEndPr>
    <w:sdtContent>
      <w:p w14:paraId="5B1B68CD" w14:textId="1DA58E14" w:rsidR="000E686E" w:rsidRDefault="000E686E">
        <w:pPr>
          <w:pStyle w:val="Footer"/>
          <w:jc w:val="center"/>
        </w:pPr>
        <w:r>
          <w:fldChar w:fldCharType="begin"/>
        </w:r>
        <w:r>
          <w:instrText xml:space="preserve"> PAGE   \* MERGEFORMAT </w:instrText>
        </w:r>
        <w:r>
          <w:fldChar w:fldCharType="separate"/>
        </w:r>
        <w:r>
          <w:t>2</w:t>
        </w:r>
        <w:r>
          <w:fldChar w:fldCharType="end"/>
        </w:r>
      </w:p>
    </w:sdtContent>
  </w:sdt>
  <w:p w14:paraId="18DE2484" w14:textId="77777777" w:rsidR="00E7770D" w:rsidRDefault="00E7770D">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74E9D" w14:textId="77777777" w:rsidR="000D1388" w:rsidRPr="00ED64B3" w:rsidRDefault="000D138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D1E93" w14:textId="77777777" w:rsidR="000D1388" w:rsidRPr="00ED64B3" w:rsidRDefault="000D138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0480198"/>
      <w:docPartObj>
        <w:docPartGallery w:val="Page Numbers (Bottom of Page)"/>
        <w:docPartUnique/>
      </w:docPartObj>
    </w:sdtPr>
    <w:sdtEndPr>
      <w:rPr>
        <w:noProof/>
      </w:rPr>
    </w:sdtEndPr>
    <w:sdtContent>
      <w:p w14:paraId="1A737E5A" w14:textId="4393B307" w:rsidR="000E686E" w:rsidRDefault="000E686E">
        <w:pPr>
          <w:pStyle w:val="Footer"/>
          <w:jc w:val="center"/>
        </w:pPr>
        <w:r>
          <w:fldChar w:fldCharType="begin"/>
        </w:r>
        <w:r>
          <w:instrText xml:space="preserve"> PAGE   \* MERGEFORMAT </w:instrText>
        </w:r>
        <w:r>
          <w:fldChar w:fldCharType="separate"/>
        </w:r>
        <w:r>
          <w:t>2</w:t>
        </w:r>
        <w:r>
          <w:fldChar w:fldCharType="end"/>
        </w:r>
      </w:p>
    </w:sdtContent>
  </w:sdt>
  <w:p w14:paraId="707FA3D4" w14:textId="77777777" w:rsidR="00E7770D" w:rsidRDefault="00E7770D">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1C10D" w14:textId="77777777" w:rsidR="000D1388" w:rsidRPr="00ED64B3" w:rsidRDefault="000D138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DA856" w14:textId="77777777" w:rsidR="000D1388" w:rsidRPr="00ED64B3" w:rsidRDefault="000D138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913139"/>
      <w:docPartObj>
        <w:docPartGallery w:val="Page Numbers (Bottom of Page)"/>
        <w:docPartUnique/>
      </w:docPartObj>
    </w:sdtPr>
    <w:sdtEndPr>
      <w:rPr>
        <w:noProof/>
      </w:rPr>
    </w:sdtEndPr>
    <w:sdtContent>
      <w:p w14:paraId="155B2209" w14:textId="3953BC4D" w:rsidR="000E686E" w:rsidRDefault="000E686E">
        <w:pPr>
          <w:pStyle w:val="Footer"/>
          <w:jc w:val="center"/>
        </w:pPr>
        <w:r>
          <w:fldChar w:fldCharType="begin"/>
        </w:r>
        <w:r>
          <w:instrText xml:space="preserve"> PAGE   \* MERGEFORMAT </w:instrText>
        </w:r>
        <w:r>
          <w:fldChar w:fldCharType="separate"/>
        </w:r>
        <w:r>
          <w:t>2</w:t>
        </w:r>
        <w:r>
          <w:fldChar w:fldCharType="end"/>
        </w:r>
      </w:p>
    </w:sdtContent>
  </w:sdt>
  <w:p w14:paraId="798FCCF5" w14:textId="77777777" w:rsidR="00E7770D" w:rsidRDefault="00E7770D">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EA53A" w14:textId="77777777" w:rsidR="000D1388" w:rsidRPr="00ED64B3" w:rsidRDefault="000D138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E733D" w14:textId="77777777" w:rsidR="000D1388" w:rsidRPr="00ED64B3" w:rsidRDefault="000D138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764585"/>
      <w:docPartObj>
        <w:docPartGallery w:val="Page Numbers (Bottom of Page)"/>
        <w:docPartUnique/>
      </w:docPartObj>
    </w:sdtPr>
    <w:sdtEndPr>
      <w:rPr>
        <w:noProof/>
      </w:rPr>
    </w:sdtEndPr>
    <w:sdtContent>
      <w:p w14:paraId="08B29C0B" w14:textId="2E625D42" w:rsidR="000E686E" w:rsidRDefault="000E686E">
        <w:pPr>
          <w:pStyle w:val="Footer"/>
          <w:jc w:val="center"/>
        </w:pPr>
        <w:r>
          <w:fldChar w:fldCharType="begin"/>
        </w:r>
        <w:r>
          <w:instrText xml:space="preserve"> PAGE   \* MERGEFORMAT </w:instrText>
        </w:r>
        <w:r>
          <w:fldChar w:fldCharType="separate"/>
        </w:r>
        <w:r>
          <w:t>2</w:t>
        </w:r>
        <w:r>
          <w:fldChar w:fldCharType="end"/>
        </w:r>
      </w:p>
    </w:sdtContent>
  </w:sdt>
  <w:p w14:paraId="7F1821B3" w14:textId="77777777" w:rsidR="00E7770D" w:rsidRDefault="00E7770D">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D12E4" w14:textId="77777777" w:rsidR="000D1388" w:rsidRPr="00ED64B3" w:rsidRDefault="000D138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AA617" w14:textId="77777777" w:rsidR="000D1388" w:rsidRPr="00ED64B3" w:rsidRDefault="000D138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0704359"/>
      <w:docPartObj>
        <w:docPartGallery w:val="Page Numbers (Bottom of Page)"/>
        <w:docPartUnique/>
      </w:docPartObj>
    </w:sdtPr>
    <w:sdtEndPr>
      <w:rPr>
        <w:noProof/>
      </w:rPr>
    </w:sdtEndPr>
    <w:sdtContent>
      <w:p w14:paraId="04D91749" w14:textId="7843FF6E" w:rsidR="000E686E" w:rsidRDefault="000E686E">
        <w:pPr>
          <w:pStyle w:val="Footer"/>
          <w:jc w:val="center"/>
        </w:pPr>
        <w:r>
          <w:fldChar w:fldCharType="begin"/>
        </w:r>
        <w:r>
          <w:instrText xml:space="preserve"> PAGE   \* MERGEFORMAT </w:instrText>
        </w:r>
        <w:r>
          <w:fldChar w:fldCharType="separate"/>
        </w:r>
        <w:r>
          <w:t>2</w:t>
        </w:r>
        <w:r>
          <w:fldChar w:fldCharType="end"/>
        </w:r>
      </w:p>
    </w:sdtContent>
  </w:sdt>
  <w:p w14:paraId="0F7242C6" w14:textId="77777777" w:rsidR="00E7770D" w:rsidRDefault="00E7770D">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C30F9" w14:textId="77777777" w:rsidR="000D1388" w:rsidRPr="00ED64B3" w:rsidRDefault="000D138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EB7B8" w14:textId="77777777" w:rsidR="000D1388" w:rsidRPr="00ED64B3" w:rsidRDefault="000D138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061691"/>
      <w:docPartObj>
        <w:docPartGallery w:val="Page Numbers (Bottom of Page)"/>
        <w:docPartUnique/>
      </w:docPartObj>
    </w:sdtPr>
    <w:sdtEndPr>
      <w:rPr>
        <w:noProof/>
      </w:rPr>
    </w:sdtEndPr>
    <w:sdtContent>
      <w:p w14:paraId="7CF14C54" w14:textId="0903A9E3" w:rsidR="000E686E" w:rsidRDefault="000E686E">
        <w:pPr>
          <w:pStyle w:val="Footer"/>
          <w:jc w:val="center"/>
        </w:pPr>
        <w:r>
          <w:fldChar w:fldCharType="begin"/>
        </w:r>
        <w:r>
          <w:instrText xml:space="preserve"> PAGE   \* MERGEFORMAT </w:instrText>
        </w:r>
        <w:r>
          <w:fldChar w:fldCharType="separate"/>
        </w:r>
        <w:r>
          <w:t>2</w:t>
        </w:r>
        <w:r>
          <w:fldChar w:fldCharType="end"/>
        </w:r>
      </w:p>
    </w:sdtContent>
  </w:sdt>
  <w:p w14:paraId="266C451F" w14:textId="77777777" w:rsidR="00E7770D" w:rsidRDefault="00E7770D">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0DA69" w14:textId="77777777" w:rsidR="000D1388" w:rsidRPr="00ED64B3" w:rsidRDefault="000D138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75756" w14:textId="77777777" w:rsidR="000D1388" w:rsidRPr="00ED64B3" w:rsidRDefault="000D138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20584"/>
      <w:docPartObj>
        <w:docPartGallery w:val="Page Numbers (Bottom of Page)"/>
        <w:docPartUnique/>
      </w:docPartObj>
    </w:sdtPr>
    <w:sdtEndPr>
      <w:rPr>
        <w:noProof/>
      </w:rPr>
    </w:sdtEndPr>
    <w:sdtContent>
      <w:p w14:paraId="7F712779" w14:textId="59F829FE" w:rsidR="000E686E" w:rsidRDefault="000E686E">
        <w:pPr>
          <w:pStyle w:val="Footer"/>
          <w:jc w:val="center"/>
        </w:pPr>
        <w:r>
          <w:fldChar w:fldCharType="begin"/>
        </w:r>
        <w:r>
          <w:instrText xml:space="preserve"> PAGE   \* MERGEFORMAT </w:instrText>
        </w:r>
        <w:r>
          <w:fldChar w:fldCharType="separate"/>
        </w:r>
        <w:r>
          <w:t>2</w:t>
        </w:r>
        <w:r>
          <w:fldChar w:fldCharType="end"/>
        </w:r>
      </w:p>
    </w:sdtContent>
  </w:sdt>
  <w:p w14:paraId="1E57FA3C" w14:textId="77777777" w:rsidR="00E7770D" w:rsidRDefault="00E7770D">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9B818" w14:textId="77777777" w:rsidR="000D1388" w:rsidRPr="00ED64B3" w:rsidRDefault="000D138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00C95" w14:textId="77777777" w:rsidR="000D1388" w:rsidRPr="00ED64B3" w:rsidRDefault="000D138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3977153"/>
      <w:docPartObj>
        <w:docPartGallery w:val="Page Numbers (Bottom of Page)"/>
        <w:docPartUnique/>
      </w:docPartObj>
    </w:sdtPr>
    <w:sdtEndPr>
      <w:rPr>
        <w:noProof/>
      </w:rPr>
    </w:sdtEndPr>
    <w:sdtContent>
      <w:p w14:paraId="00BE0B7B" w14:textId="2954AE5F" w:rsidR="000E686E" w:rsidRDefault="000E686E">
        <w:pPr>
          <w:pStyle w:val="Footer"/>
          <w:jc w:val="center"/>
        </w:pPr>
        <w:r>
          <w:fldChar w:fldCharType="begin"/>
        </w:r>
        <w:r>
          <w:instrText xml:space="preserve"> PAGE   \* MERGEFORMAT </w:instrText>
        </w:r>
        <w:r>
          <w:fldChar w:fldCharType="separate"/>
        </w:r>
        <w:r>
          <w:t>2</w:t>
        </w:r>
        <w:r>
          <w:fldChar w:fldCharType="end"/>
        </w:r>
      </w:p>
    </w:sdtContent>
  </w:sdt>
  <w:p w14:paraId="5A2AAA5E" w14:textId="77777777" w:rsidR="00E7770D" w:rsidRDefault="00E7770D">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5B1E4" w14:textId="77777777" w:rsidR="000D1388" w:rsidRPr="00ED64B3" w:rsidRDefault="000D138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9E28E" w14:textId="77777777" w:rsidR="000D1388" w:rsidRPr="00ED64B3" w:rsidRDefault="000D138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98258"/>
      <w:docPartObj>
        <w:docPartGallery w:val="Page Numbers (Bottom of Page)"/>
        <w:docPartUnique/>
      </w:docPartObj>
    </w:sdtPr>
    <w:sdtEndPr>
      <w:rPr>
        <w:noProof/>
      </w:rPr>
    </w:sdtEndPr>
    <w:sdtContent>
      <w:p w14:paraId="59A72143" w14:textId="6A19E6BF" w:rsidR="000E686E" w:rsidRDefault="000E686E">
        <w:pPr>
          <w:pStyle w:val="Footer"/>
          <w:jc w:val="center"/>
        </w:pPr>
        <w:r>
          <w:fldChar w:fldCharType="begin"/>
        </w:r>
        <w:r>
          <w:instrText xml:space="preserve"> PAGE   \* MERGEFORMAT </w:instrText>
        </w:r>
        <w:r>
          <w:fldChar w:fldCharType="separate"/>
        </w:r>
        <w:r>
          <w:t>2</w:t>
        </w:r>
        <w:r>
          <w:fldChar w:fldCharType="end"/>
        </w:r>
      </w:p>
    </w:sdtContent>
  </w:sdt>
  <w:p w14:paraId="26273A5B" w14:textId="77777777" w:rsidR="00E7770D" w:rsidRDefault="00E7770D">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3F5FF" w14:textId="77777777" w:rsidR="000D1388" w:rsidRPr="00ED64B3" w:rsidRDefault="000D138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82B31" w14:textId="77777777" w:rsidR="000D1388" w:rsidRPr="00ED64B3" w:rsidRDefault="000D138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2965866"/>
      <w:docPartObj>
        <w:docPartGallery w:val="Page Numbers (Bottom of Page)"/>
        <w:docPartUnique/>
      </w:docPartObj>
    </w:sdtPr>
    <w:sdtEndPr>
      <w:rPr>
        <w:noProof/>
      </w:rPr>
    </w:sdtEndPr>
    <w:sdtContent>
      <w:p w14:paraId="5DB1232D" w14:textId="5DD7B2A2" w:rsidR="000E686E" w:rsidRDefault="000E686E">
        <w:pPr>
          <w:pStyle w:val="Footer"/>
          <w:jc w:val="center"/>
        </w:pPr>
        <w:r>
          <w:fldChar w:fldCharType="begin"/>
        </w:r>
        <w:r>
          <w:instrText xml:space="preserve"> PAGE   \* MERGEFORMAT </w:instrText>
        </w:r>
        <w:r>
          <w:fldChar w:fldCharType="separate"/>
        </w:r>
        <w:r>
          <w:t>2</w:t>
        </w:r>
        <w:r>
          <w:fldChar w:fldCharType="end"/>
        </w:r>
      </w:p>
    </w:sdtContent>
  </w:sdt>
  <w:p w14:paraId="4D85C663" w14:textId="77777777" w:rsidR="00E7770D" w:rsidRDefault="00E7770D">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7D772" w14:textId="77777777" w:rsidR="000D1388" w:rsidRPr="00ED64B3" w:rsidRDefault="000D138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89313" w14:textId="77777777" w:rsidR="000D1388" w:rsidRPr="00ED64B3" w:rsidRDefault="000D138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765915"/>
      <w:docPartObj>
        <w:docPartGallery w:val="Page Numbers (Bottom of Page)"/>
        <w:docPartUnique/>
      </w:docPartObj>
    </w:sdtPr>
    <w:sdtEndPr>
      <w:rPr>
        <w:noProof/>
      </w:rPr>
    </w:sdtEndPr>
    <w:sdtContent>
      <w:p w14:paraId="2DBDC947" w14:textId="43FCDF4C" w:rsidR="000E686E" w:rsidRDefault="000E686E">
        <w:pPr>
          <w:pStyle w:val="Footer"/>
          <w:jc w:val="center"/>
        </w:pPr>
        <w:r>
          <w:fldChar w:fldCharType="begin"/>
        </w:r>
        <w:r>
          <w:instrText xml:space="preserve"> PAGE   \* MERGEFORMAT </w:instrText>
        </w:r>
        <w:r>
          <w:fldChar w:fldCharType="separate"/>
        </w:r>
        <w:r>
          <w:t>2</w:t>
        </w:r>
        <w:r>
          <w:fldChar w:fldCharType="end"/>
        </w:r>
      </w:p>
    </w:sdtContent>
  </w:sdt>
  <w:p w14:paraId="15DE0810" w14:textId="77777777" w:rsidR="00E7770D" w:rsidRDefault="00E7770D">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0D82" w14:textId="77777777" w:rsidR="000D1388" w:rsidRPr="00ED64B3" w:rsidRDefault="000D138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06E8A" w14:textId="77777777" w:rsidR="000D1388" w:rsidRPr="00ED64B3" w:rsidRDefault="000D138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7904955"/>
      <w:docPartObj>
        <w:docPartGallery w:val="Page Numbers (Bottom of Page)"/>
        <w:docPartUnique/>
      </w:docPartObj>
    </w:sdtPr>
    <w:sdtEndPr>
      <w:rPr>
        <w:noProof/>
      </w:rPr>
    </w:sdtEndPr>
    <w:sdtContent>
      <w:p w14:paraId="7B56CF52" w14:textId="0A706C77" w:rsidR="000E686E" w:rsidRDefault="000E686E">
        <w:pPr>
          <w:pStyle w:val="Footer"/>
          <w:jc w:val="center"/>
        </w:pPr>
        <w:r>
          <w:fldChar w:fldCharType="begin"/>
        </w:r>
        <w:r>
          <w:instrText xml:space="preserve"> PAGE   \* MERGEFORMAT </w:instrText>
        </w:r>
        <w:r>
          <w:fldChar w:fldCharType="separate"/>
        </w:r>
        <w:r>
          <w:t>2</w:t>
        </w:r>
        <w:r>
          <w:fldChar w:fldCharType="end"/>
        </w:r>
      </w:p>
    </w:sdtContent>
  </w:sdt>
  <w:p w14:paraId="1AD88E53" w14:textId="77777777" w:rsidR="00E7770D" w:rsidRDefault="00E7770D">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4776A" w14:textId="77777777" w:rsidR="000D1388" w:rsidRPr="00ED64B3" w:rsidRDefault="000D138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8E159" w14:textId="77777777" w:rsidR="000D1388" w:rsidRPr="00ED64B3" w:rsidRDefault="000D138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9245085"/>
      <w:docPartObj>
        <w:docPartGallery w:val="Page Numbers (Bottom of Page)"/>
        <w:docPartUnique/>
      </w:docPartObj>
    </w:sdtPr>
    <w:sdtEndPr>
      <w:rPr>
        <w:noProof/>
      </w:rPr>
    </w:sdtEndPr>
    <w:sdtContent>
      <w:p w14:paraId="4AAA054C" w14:textId="4EA94F61" w:rsidR="00FD6065" w:rsidRDefault="00FD6065">
        <w:pPr>
          <w:pStyle w:val="Footer"/>
          <w:jc w:val="center"/>
        </w:pPr>
        <w:r>
          <w:fldChar w:fldCharType="begin"/>
        </w:r>
        <w:r>
          <w:instrText xml:space="preserve"> PAGE   \* MERGEFORMAT </w:instrText>
        </w:r>
        <w:r>
          <w:fldChar w:fldCharType="separate"/>
        </w:r>
        <w:r>
          <w:t>2</w:t>
        </w:r>
        <w:r>
          <w:fldChar w:fldCharType="end"/>
        </w:r>
      </w:p>
    </w:sdtContent>
  </w:sdt>
  <w:p w14:paraId="2203910F" w14:textId="77777777" w:rsidR="00E7770D" w:rsidRDefault="00E7770D">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A08B9" w14:textId="77777777" w:rsidR="000D1388" w:rsidRPr="00ED64B3" w:rsidRDefault="000D138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A40C9" w14:textId="77777777" w:rsidR="000D1388" w:rsidRPr="00ED64B3" w:rsidRDefault="000D138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438750"/>
      <w:docPartObj>
        <w:docPartGallery w:val="Page Numbers (Bottom of Page)"/>
        <w:docPartUnique/>
      </w:docPartObj>
    </w:sdtPr>
    <w:sdtEndPr>
      <w:rPr>
        <w:noProof/>
      </w:rPr>
    </w:sdtEndPr>
    <w:sdtContent>
      <w:p w14:paraId="4537106A" w14:textId="0DFA2F66" w:rsidR="00FD6065" w:rsidRDefault="00FD6065">
        <w:pPr>
          <w:pStyle w:val="Footer"/>
          <w:jc w:val="center"/>
        </w:pPr>
        <w:r>
          <w:fldChar w:fldCharType="begin"/>
        </w:r>
        <w:r>
          <w:instrText xml:space="preserve"> PAGE   \* MERGEFORMAT </w:instrText>
        </w:r>
        <w:r>
          <w:fldChar w:fldCharType="separate"/>
        </w:r>
        <w:r>
          <w:t>2</w:t>
        </w:r>
        <w:r>
          <w:fldChar w:fldCharType="end"/>
        </w:r>
      </w:p>
    </w:sdtContent>
  </w:sdt>
  <w:p w14:paraId="28BBF93B" w14:textId="77777777" w:rsidR="00E7770D" w:rsidRDefault="00E7770D">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5BB1E" w14:textId="77777777" w:rsidR="000D1388" w:rsidRPr="00ED64B3" w:rsidRDefault="000D138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37E8D" w14:textId="77777777" w:rsidR="000D1388" w:rsidRPr="00ED64B3" w:rsidRDefault="000D138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769740"/>
      <w:docPartObj>
        <w:docPartGallery w:val="Page Numbers (Bottom of Page)"/>
        <w:docPartUnique/>
      </w:docPartObj>
    </w:sdtPr>
    <w:sdtEndPr>
      <w:rPr>
        <w:noProof/>
      </w:rPr>
    </w:sdtEndPr>
    <w:sdtContent>
      <w:p w14:paraId="242F6450" w14:textId="0EF990D5" w:rsidR="00FD6065" w:rsidRDefault="00FD6065">
        <w:pPr>
          <w:pStyle w:val="Footer"/>
          <w:jc w:val="center"/>
        </w:pPr>
        <w:r>
          <w:fldChar w:fldCharType="begin"/>
        </w:r>
        <w:r>
          <w:instrText xml:space="preserve"> PAGE   \* MERGEFORMAT </w:instrText>
        </w:r>
        <w:r>
          <w:fldChar w:fldCharType="separate"/>
        </w:r>
        <w:r>
          <w:t>2</w:t>
        </w:r>
        <w:r>
          <w:fldChar w:fldCharType="end"/>
        </w:r>
      </w:p>
    </w:sdtContent>
  </w:sdt>
  <w:p w14:paraId="5FD4C48F" w14:textId="77777777" w:rsidR="00E7770D" w:rsidRDefault="00E7770D">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53117" w14:textId="77777777" w:rsidR="000D1388" w:rsidRPr="00ED64B3" w:rsidRDefault="000D138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ACC61" w14:textId="77777777" w:rsidR="000D1388" w:rsidRDefault="000D138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834157"/>
      <w:docPartObj>
        <w:docPartGallery w:val="Page Numbers (Bottom of Page)"/>
        <w:docPartUnique/>
      </w:docPartObj>
    </w:sdtPr>
    <w:sdtEndPr>
      <w:rPr>
        <w:noProof/>
      </w:rPr>
    </w:sdtEndPr>
    <w:sdtContent>
      <w:p w14:paraId="48F6D21A" w14:textId="5F3BAEF1" w:rsidR="00FD6065" w:rsidRDefault="00FD6065">
        <w:pPr>
          <w:pStyle w:val="Footer"/>
          <w:jc w:val="center"/>
        </w:pPr>
        <w:r>
          <w:fldChar w:fldCharType="begin"/>
        </w:r>
        <w:r>
          <w:instrText xml:space="preserve"> PAGE   \* MERGEFORMAT </w:instrText>
        </w:r>
        <w:r>
          <w:fldChar w:fldCharType="separate"/>
        </w:r>
        <w:r>
          <w:t>2</w:t>
        </w:r>
        <w:r>
          <w:fldChar w:fldCharType="end"/>
        </w:r>
      </w:p>
    </w:sdtContent>
  </w:sdt>
  <w:p w14:paraId="4D6956F7" w14:textId="77777777" w:rsidR="00E7770D" w:rsidRDefault="00E7770D">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74951"/>
      <w:docPartObj>
        <w:docPartGallery w:val="Page Numbers (Bottom of Page)"/>
        <w:docPartUnique/>
      </w:docPartObj>
    </w:sdtPr>
    <w:sdtEndPr>
      <w:rPr>
        <w:noProof/>
      </w:rPr>
    </w:sdtEndPr>
    <w:sdtContent>
      <w:p w14:paraId="42D70FC6" w14:textId="77777777" w:rsidR="000D1388" w:rsidRDefault="00E71057">
        <w:pPr>
          <w:pStyle w:val="Footer"/>
          <w:jc w:val="center"/>
        </w:pPr>
        <w:r>
          <w:fldChar w:fldCharType="begin"/>
        </w:r>
        <w:r>
          <w:instrText xml:space="preserve"> PAGE   \* MERGEFORMAT </w:instrText>
        </w:r>
        <w:r>
          <w:fldChar w:fldCharType="separate"/>
        </w:r>
        <w:r>
          <w:t>2</w:t>
        </w:r>
        <w:r>
          <w:fldChar w:fldCharType="end"/>
        </w:r>
      </w:p>
    </w:sdtContent>
  </w:sdt>
  <w:p w14:paraId="4F850090" w14:textId="77777777" w:rsidR="000D1388" w:rsidRDefault="000D1388">
    <w:pPr>
      <w:pStyle w:val="FooterCouncil"/>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6738C" w14:textId="77777777" w:rsidR="000D1388" w:rsidRPr="00ED64B3" w:rsidRDefault="000D138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303930"/>
      <w:docPartObj>
        <w:docPartGallery w:val="Page Numbers (Bottom of Page)"/>
        <w:docPartUnique/>
      </w:docPartObj>
    </w:sdtPr>
    <w:sdtEndPr>
      <w:rPr>
        <w:noProof/>
      </w:rPr>
    </w:sdtEndPr>
    <w:sdtContent>
      <w:p w14:paraId="1D2ED175" w14:textId="31ECBA2D" w:rsidR="00FD6065" w:rsidRDefault="00FD6065">
        <w:pPr>
          <w:pStyle w:val="Footer"/>
          <w:jc w:val="center"/>
        </w:pPr>
        <w:r>
          <w:fldChar w:fldCharType="begin"/>
        </w:r>
        <w:r>
          <w:instrText xml:space="preserve"> PAGE   \* MERGEFORMAT </w:instrText>
        </w:r>
        <w:r>
          <w:fldChar w:fldCharType="separate"/>
        </w:r>
        <w:r>
          <w:t>2</w:t>
        </w:r>
        <w:r>
          <w:fldChar w:fldCharType="end"/>
        </w:r>
      </w:p>
    </w:sdtContent>
  </w:sdt>
  <w:p w14:paraId="4F8ABA7B" w14:textId="77777777" w:rsidR="00E7770D" w:rsidRDefault="00E7770D">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60D6F" w14:textId="77777777" w:rsidR="000D1388" w:rsidRPr="00ED64B3" w:rsidRDefault="000D138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47037" w14:textId="77777777" w:rsidR="000D1388" w:rsidRPr="00ED64B3" w:rsidRDefault="000D138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3252038"/>
      <w:docPartObj>
        <w:docPartGallery w:val="Page Numbers (Bottom of Page)"/>
        <w:docPartUnique/>
      </w:docPartObj>
    </w:sdtPr>
    <w:sdtEndPr>
      <w:rPr>
        <w:noProof/>
      </w:rPr>
    </w:sdtEndPr>
    <w:sdtContent>
      <w:p w14:paraId="36D756B3" w14:textId="0B5D069C" w:rsidR="00FD6065" w:rsidRDefault="00FD6065">
        <w:pPr>
          <w:pStyle w:val="Footer"/>
          <w:jc w:val="center"/>
        </w:pPr>
        <w:r>
          <w:fldChar w:fldCharType="begin"/>
        </w:r>
        <w:r>
          <w:instrText xml:space="preserve"> PAGE   \* MERGEFORMAT </w:instrText>
        </w:r>
        <w:r>
          <w:fldChar w:fldCharType="separate"/>
        </w:r>
        <w:r>
          <w:t>2</w:t>
        </w:r>
        <w:r>
          <w:fldChar w:fldCharType="end"/>
        </w:r>
      </w:p>
    </w:sdtContent>
  </w:sdt>
  <w:p w14:paraId="39E893BD" w14:textId="77777777" w:rsidR="00E7770D" w:rsidRDefault="00E7770D">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816EC" w14:textId="77777777" w:rsidR="000D1388" w:rsidRPr="00ED64B3" w:rsidRDefault="000D138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50CE8" w14:textId="77777777" w:rsidR="000D1388" w:rsidRPr="00ED64B3" w:rsidRDefault="000D138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8031880"/>
      <w:docPartObj>
        <w:docPartGallery w:val="Page Numbers (Bottom of Page)"/>
        <w:docPartUnique/>
      </w:docPartObj>
    </w:sdtPr>
    <w:sdtEndPr>
      <w:rPr>
        <w:noProof/>
      </w:rPr>
    </w:sdtEndPr>
    <w:sdtContent>
      <w:p w14:paraId="60EC3F86" w14:textId="7C629CFC" w:rsidR="00FD6065" w:rsidRDefault="00FD6065">
        <w:pPr>
          <w:pStyle w:val="Footer"/>
          <w:jc w:val="center"/>
        </w:pPr>
        <w:r>
          <w:fldChar w:fldCharType="begin"/>
        </w:r>
        <w:r>
          <w:instrText xml:space="preserve"> PAGE   \* MERGEFORMAT </w:instrText>
        </w:r>
        <w:r>
          <w:fldChar w:fldCharType="separate"/>
        </w:r>
        <w:r>
          <w:t>2</w:t>
        </w:r>
        <w:r>
          <w:fldChar w:fldCharType="end"/>
        </w:r>
      </w:p>
    </w:sdtContent>
  </w:sdt>
  <w:p w14:paraId="1C748CED" w14:textId="77777777" w:rsidR="00E7770D" w:rsidRDefault="00E7770D">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864A5" w14:textId="77777777" w:rsidR="000D1388" w:rsidRPr="00ED64B3" w:rsidRDefault="000D138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1E080" w14:textId="77777777" w:rsidR="000D1388" w:rsidRPr="00ED64B3" w:rsidRDefault="000D138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552623"/>
      <w:docPartObj>
        <w:docPartGallery w:val="Page Numbers (Bottom of Page)"/>
        <w:docPartUnique/>
      </w:docPartObj>
    </w:sdtPr>
    <w:sdtEndPr>
      <w:rPr>
        <w:noProof/>
      </w:rPr>
    </w:sdtEndPr>
    <w:sdtContent>
      <w:p w14:paraId="51E8D03D" w14:textId="6DBED663" w:rsidR="00FD6065" w:rsidRDefault="00FD6065">
        <w:pPr>
          <w:pStyle w:val="Footer"/>
          <w:jc w:val="center"/>
        </w:pPr>
        <w:r>
          <w:fldChar w:fldCharType="begin"/>
        </w:r>
        <w:r>
          <w:instrText xml:space="preserve"> PAGE   \* MERGEFORMAT </w:instrText>
        </w:r>
        <w:r>
          <w:fldChar w:fldCharType="separate"/>
        </w:r>
        <w:r>
          <w:t>2</w:t>
        </w:r>
        <w:r>
          <w:fldChar w:fldCharType="end"/>
        </w:r>
      </w:p>
    </w:sdtContent>
  </w:sdt>
  <w:p w14:paraId="03D7432E" w14:textId="77777777" w:rsidR="00E7770D" w:rsidRDefault="00E7770D">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7B327" w14:textId="77777777" w:rsidR="000D1388" w:rsidRPr="00ED64B3" w:rsidRDefault="000D138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7860D" w14:textId="77777777" w:rsidR="000D1388" w:rsidRPr="00ED64B3" w:rsidRDefault="000D138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858390"/>
      <w:docPartObj>
        <w:docPartGallery w:val="Page Numbers (Bottom of Page)"/>
        <w:docPartUnique/>
      </w:docPartObj>
    </w:sdtPr>
    <w:sdtEndPr>
      <w:rPr>
        <w:noProof/>
      </w:rPr>
    </w:sdtEndPr>
    <w:sdtContent>
      <w:p w14:paraId="53B32CD8" w14:textId="2F1DE24E" w:rsidR="00FD6065" w:rsidRDefault="00FD6065">
        <w:pPr>
          <w:pStyle w:val="Footer"/>
          <w:jc w:val="center"/>
        </w:pPr>
        <w:r>
          <w:fldChar w:fldCharType="begin"/>
        </w:r>
        <w:r>
          <w:instrText xml:space="preserve"> PAGE   \* MERGEFORMAT </w:instrText>
        </w:r>
        <w:r>
          <w:fldChar w:fldCharType="separate"/>
        </w:r>
        <w:r>
          <w:t>2</w:t>
        </w:r>
        <w:r>
          <w:fldChar w:fldCharType="end"/>
        </w:r>
      </w:p>
    </w:sdtContent>
  </w:sdt>
  <w:p w14:paraId="4406A18C" w14:textId="77777777" w:rsidR="00E7770D" w:rsidRDefault="00E7770D">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0370D" w14:textId="77777777" w:rsidR="000D1388" w:rsidRPr="00ED64B3" w:rsidRDefault="000D1388">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61F12" w14:textId="77777777" w:rsidR="000D1388" w:rsidRPr="00ED64B3" w:rsidRDefault="000D1388">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755581"/>
      <w:docPartObj>
        <w:docPartGallery w:val="Page Numbers (Bottom of Page)"/>
        <w:docPartUnique/>
      </w:docPartObj>
    </w:sdtPr>
    <w:sdtEndPr>
      <w:rPr>
        <w:noProof/>
      </w:rPr>
    </w:sdtEndPr>
    <w:sdtContent>
      <w:p w14:paraId="6413CC9D" w14:textId="6FBA8665" w:rsidR="00FD6065" w:rsidRDefault="00FD6065">
        <w:pPr>
          <w:pStyle w:val="Footer"/>
          <w:jc w:val="center"/>
        </w:pPr>
        <w:r>
          <w:fldChar w:fldCharType="begin"/>
        </w:r>
        <w:r>
          <w:instrText xml:space="preserve"> PAGE   \* MERGEFORMAT </w:instrText>
        </w:r>
        <w:r>
          <w:fldChar w:fldCharType="separate"/>
        </w:r>
        <w:r>
          <w:t>2</w:t>
        </w:r>
        <w:r>
          <w:fldChar w:fldCharType="end"/>
        </w:r>
      </w:p>
    </w:sdtContent>
  </w:sdt>
  <w:p w14:paraId="3CA3EBF5" w14:textId="77777777" w:rsidR="00E7770D" w:rsidRDefault="00E7770D">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A89DC" w14:textId="77777777" w:rsidR="000D1388" w:rsidRPr="00ED64B3" w:rsidRDefault="000D1388">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97CA6" w14:textId="77777777" w:rsidR="000D1388" w:rsidRPr="00ED64B3" w:rsidRDefault="000D1388">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5103046"/>
      <w:docPartObj>
        <w:docPartGallery w:val="Page Numbers (Bottom of Page)"/>
        <w:docPartUnique/>
      </w:docPartObj>
    </w:sdtPr>
    <w:sdtEndPr>
      <w:rPr>
        <w:noProof/>
      </w:rPr>
    </w:sdtEndPr>
    <w:sdtContent>
      <w:p w14:paraId="65B53FF4" w14:textId="11F07EE4" w:rsidR="008E7919" w:rsidRDefault="008E7919">
        <w:pPr>
          <w:pStyle w:val="Footer"/>
          <w:jc w:val="center"/>
        </w:pPr>
        <w:r>
          <w:fldChar w:fldCharType="begin"/>
        </w:r>
        <w:r>
          <w:instrText xml:space="preserve"> PAGE   \* MERGEFORMAT </w:instrText>
        </w:r>
        <w:r>
          <w:fldChar w:fldCharType="separate"/>
        </w:r>
        <w:r>
          <w:t>2</w:t>
        </w:r>
        <w:r>
          <w:fldChar w:fldCharType="end"/>
        </w:r>
      </w:p>
    </w:sdtContent>
  </w:sdt>
  <w:p w14:paraId="222526B0" w14:textId="77777777" w:rsidR="00E7770D" w:rsidRDefault="00E7770D">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EA4FF" w14:textId="77777777" w:rsidR="000D1388" w:rsidRPr="00ED64B3" w:rsidRDefault="000D1388">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92456" w14:textId="77777777" w:rsidR="000D1388" w:rsidRPr="00ED64B3" w:rsidRDefault="000D1388">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712252"/>
      <w:docPartObj>
        <w:docPartGallery w:val="Page Numbers (Bottom of Page)"/>
        <w:docPartUnique/>
      </w:docPartObj>
    </w:sdtPr>
    <w:sdtEndPr>
      <w:rPr>
        <w:noProof/>
      </w:rPr>
    </w:sdtEndPr>
    <w:sdtContent>
      <w:p w14:paraId="5B3B3469" w14:textId="77852BCF" w:rsidR="008E7919" w:rsidRDefault="008E7919">
        <w:pPr>
          <w:pStyle w:val="Footer"/>
          <w:jc w:val="center"/>
        </w:pPr>
        <w:r>
          <w:fldChar w:fldCharType="begin"/>
        </w:r>
        <w:r>
          <w:instrText xml:space="preserve"> PAGE   \* MERGEFORMAT </w:instrText>
        </w:r>
        <w:r>
          <w:fldChar w:fldCharType="separate"/>
        </w:r>
        <w:r>
          <w:t>2</w:t>
        </w:r>
        <w:r>
          <w:fldChar w:fldCharType="end"/>
        </w:r>
      </w:p>
    </w:sdtContent>
  </w:sdt>
  <w:p w14:paraId="1F8C5927" w14:textId="77777777" w:rsidR="00E7770D" w:rsidRDefault="00E7770D">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731BF" w14:textId="77777777" w:rsidR="000D1388" w:rsidRPr="00ED64B3" w:rsidRDefault="000D1388">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5E9C5" w14:textId="77777777" w:rsidR="000D1388" w:rsidRPr="00ED64B3" w:rsidRDefault="000D1388">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087967"/>
      <w:docPartObj>
        <w:docPartGallery w:val="Page Numbers (Bottom of Page)"/>
        <w:docPartUnique/>
      </w:docPartObj>
    </w:sdtPr>
    <w:sdtEndPr>
      <w:rPr>
        <w:noProof/>
      </w:rPr>
    </w:sdtEndPr>
    <w:sdtContent>
      <w:p w14:paraId="2FA28343" w14:textId="569CED77" w:rsidR="008E7919" w:rsidRDefault="008E7919">
        <w:pPr>
          <w:pStyle w:val="Footer"/>
          <w:jc w:val="center"/>
        </w:pPr>
        <w:r>
          <w:fldChar w:fldCharType="begin"/>
        </w:r>
        <w:r>
          <w:instrText xml:space="preserve"> PAGE   \* MERGEFORMAT </w:instrText>
        </w:r>
        <w:r>
          <w:fldChar w:fldCharType="separate"/>
        </w:r>
        <w:r>
          <w:t>2</w:t>
        </w:r>
        <w:r>
          <w:fldChar w:fldCharType="end"/>
        </w:r>
      </w:p>
    </w:sdtContent>
  </w:sdt>
  <w:p w14:paraId="23ADC432" w14:textId="77777777" w:rsidR="00E7770D" w:rsidRDefault="00E7770D">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A66C" w14:textId="77777777" w:rsidR="000D1388" w:rsidRPr="00ED64B3" w:rsidRDefault="000D1388">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6F18A" w14:textId="77777777" w:rsidR="000D1388" w:rsidRPr="00ED64B3" w:rsidRDefault="000D1388">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370640"/>
      <w:docPartObj>
        <w:docPartGallery w:val="Page Numbers (Bottom of Page)"/>
        <w:docPartUnique/>
      </w:docPartObj>
    </w:sdtPr>
    <w:sdtEndPr>
      <w:rPr>
        <w:noProof/>
      </w:rPr>
    </w:sdtEndPr>
    <w:sdtContent>
      <w:p w14:paraId="39B82CEA" w14:textId="6602A5BC" w:rsidR="008E7919" w:rsidRDefault="008E7919">
        <w:pPr>
          <w:pStyle w:val="Footer"/>
          <w:jc w:val="center"/>
        </w:pPr>
        <w:r>
          <w:fldChar w:fldCharType="begin"/>
        </w:r>
        <w:r>
          <w:instrText xml:space="preserve"> PAGE   \* MERGEFORMAT </w:instrText>
        </w:r>
        <w:r>
          <w:fldChar w:fldCharType="separate"/>
        </w:r>
        <w:r>
          <w:t>2</w:t>
        </w:r>
        <w:r>
          <w:fldChar w:fldCharType="end"/>
        </w:r>
      </w:p>
    </w:sdtContent>
  </w:sdt>
  <w:p w14:paraId="2E19DFCC" w14:textId="77777777" w:rsidR="00E7770D" w:rsidRDefault="00E7770D">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22EF5" w14:textId="77777777" w:rsidR="000D1388" w:rsidRPr="00ED64B3" w:rsidRDefault="000D1388">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82EC1" w14:textId="77777777" w:rsidR="000D1388" w:rsidRPr="00ED64B3" w:rsidRDefault="000D1388">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95098"/>
      <w:docPartObj>
        <w:docPartGallery w:val="Page Numbers (Bottom of Page)"/>
        <w:docPartUnique/>
      </w:docPartObj>
    </w:sdtPr>
    <w:sdtEndPr>
      <w:rPr>
        <w:noProof/>
      </w:rPr>
    </w:sdtEndPr>
    <w:sdtContent>
      <w:p w14:paraId="040EFBE9" w14:textId="20F2002E" w:rsidR="00EB38C8" w:rsidRDefault="00EB38C8">
        <w:pPr>
          <w:pStyle w:val="Footer"/>
          <w:jc w:val="center"/>
        </w:pPr>
        <w:r>
          <w:fldChar w:fldCharType="begin"/>
        </w:r>
        <w:r>
          <w:instrText xml:space="preserve"> PAGE   \* MERGEFORMAT </w:instrText>
        </w:r>
        <w:r>
          <w:fldChar w:fldCharType="separate"/>
        </w:r>
        <w:r>
          <w:t>2</w:t>
        </w:r>
        <w:r>
          <w:fldChar w:fldCharType="end"/>
        </w:r>
      </w:p>
    </w:sdtContent>
  </w:sdt>
  <w:p w14:paraId="7E1D7CC9" w14:textId="77777777" w:rsidR="00E7770D" w:rsidRDefault="00E7770D">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85690" w14:textId="77777777" w:rsidR="000D1388" w:rsidRPr="00ED64B3" w:rsidRDefault="000D1388">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DB2CB" w14:textId="77777777" w:rsidR="000D1388" w:rsidRPr="00ED64B3" w:rsidRDefault="000D1388">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991190"/>
      <w:docPartObj>
        <w:docPartGallery w:val="Page Numbers (Bottom of Page)"/>
        <w:docPartUnique/>
      </w:docPartObj>
    </w:sdtPr>
    <w:sdtEndPr>
      <w:rPr>
        <w:noProof/>
      </w:rPr>
    </w:sdtEndPr>
    <w:sdtContent>
      <w:p w14:paraId="5945394B" w14:textId="2EA20959" w:rsidR="00EB38C8" w:rsidRDefault="00EB38C8">
        <w:pPr>
          <w:pStyle w:val="Footer"/>
          <w:jc w:val="center"/>
        </w:pPr>
        <w:r>
          <w:fldChar w:fldCharType="begin"/>
        </w:r>
        <w:r>
          <w:instrText xml:space="preserve"> PAGE   \* MERGEFORMAT </w:instrText>
        </w:r>
        <w:r>
          <w:fldChar w:fldCharType="separate"/>
        </w:r>
        <w:r>
          <w:t>2</w:t>
        </w:r>
        <w:r>
          <w:fldChar w:fldCharType="end"/>
        </w:r>
      </w:p>
    </w:sdtContent>
  </w:sdt>
  <w:p w14:paraId="5D9FC8A1" w14:textId="77777777" w:rsidR="00E7770D" w:rsidRDefault="00E7770D">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566D6" w14:textId="77777777" w:rsidR="000D1388" w:rsidRPr="00ED64B3" w:rsidRDefault="000D1388">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6CE72" w14:textId="77777777" w:rsidR="000D1388" w:rsidRPr="00ED64B3" w:rsidRDefault="000D1388">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516084"/>
      <w:docPartObj>
        <w:docPartGallery w:val="Page Numbers (Bottom of Page)"/>
        <w:docPartUnique/>
      </w:docPartObj>
    </w:sdtPr>
    <w:sdtEndPr>
      <w:rPr>
        <w:noProof/>
      </w:rPr>
    </w:sdtEndPr>
    <w:sdtContent>
      <w:p w14:paraId="2D61E184" w14:textId="0DED64FC" w:rsidR="00EB38C8" w:rsidRDefault="00EB38C8">
        <w:pPr>
          <w:pStyle w:val="Footer"/>
          <w:jc w:val="center"/>
        </w:pPr>
        <w:r>
          <w:fldChar w:fldCharType="begin"/>
        </w:r>
        <w:r>
          <w:instrText xml:space="preserve"> PAGE   \* MERGEFORMAT </w:instrText>
        </w:r>
        <w:r>
          <w:fldChar w:fldCharType="separate"/>
        </w:r>
        <w:r>
          <w:t>2</w:t>
        </w:r>
        <w:r>
          <w:fldChar w:fldCharType="end"/>
        </w:r>
      </w:p>
    </w:sdtContent>
  </w:sdt>
  <w:p w14:paraId="75251EFF" w14:textId="77777777" w:rsidR="00E7770D" w:rsidRDefault="00E7770D">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5EFDB" w14:textId="77777777" w:rsidR="000D1388" w:rsidRPr="00ED64B3" w:rsidRDefault="000D1388">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1B9D5" w14:textId="77777777" w:rsidR="000D1388" w:rsidRPr="00ED64B3" w:rsidRDefault="000D1388">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73460"/>
      <w:docPartObj>
        <w:docPartGallery w:val="Page Numbers (Bottom of Page)"/>
        <w:docPartUnique/>
      </w:docPartObj>
    </w:sdtPr>
    <w:sdtEndPr>
      <w:rPr>
        <w:noProof/>
      </w:rPr>
    </w:sdtEndPr>
    <w:sdtContent>
      <w:p w14:paraId="344DCA15" w14:textId="56D31130" w:rsidR="00EB38C8" w:rsidRDefault="00EB38C8">
        <w:pPr>
          <w:pStyle w:val="Footer"/>
          <w:jc w:val="center"/>
        </w:pPr>
        <w:r>
          <w:fldChar w:fldCharType="begin"/>
        </w:r>
        <w:r>
          <w:instrText xml:space="preserve"> PAGE   \* MERGEFORMAT </w:instrText>
        </w:r>
        <w:r>
          <w:fldChar w:fldCharType="separate"/>
        </w:r>
        <w:r>
          <w:t>2</w:t>
        </w:r>
        <w:r>
          <w:fldChar w:fldCharType="end"/>
        </w:r>
      </w:p>
    </w:sdtContent>
  </w:sdt>
  <w:p w14:paraId="5304F1B9" w14:textId="77777777" w:rsidR="00E7770D" w:rsidRDefault="00E7770D">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219CF" w14:textId="77777777" w:rsidR="000D1388" w:rsidRPr="00ED64B3" w:rsidRDefault="000D1388">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51DC8" w14:textId="77777777" w:rsidR="000D1388" w:rsidRPr="00ED64B3" w:rsidRDefault="000D1388">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483897"/>
      <w:docPartObj>
        <w:docPartGallery w:val="Page Numbers (Bottom of Page)"/>
        <w:docPartUnique/>
      </w:docPartObj>
    </w:sdtPr>
    <w:sdtEndPr>
      <w:rPr>
        <w:noProof/>
      </w:rPr>
    </w:sdtEndPr>
    <w:sdtContent>
      <w:p w14:paraId="6FD77105" w14:textId="74E3E41F" w:rsidR="00EB38C8" w:rsidRDefault="00EB38C8">
        <w:pPr>
          <w:pStyle w:val="Footer"/>
          <w:jc w:val="center"/>
        </w:pPr>
        <w:r>
          <w:fldChar w:fldCharType="begin"/>
        </w:r>
        <w:r>
          <w:instrText xml:space="preserve"> PAGE   \* MERGEFORMAT </w:instrText>
        </w:r>
        <w:r>
          <w:fldChar w:fldCharType="separate"/>
        </w:r>
        <w:r>
          <w:t>2</w:t>
        </w:r>
        <w:r>
          <w:fldChar w:fldCharType="end"/>
        </w:r>
      </w:p>
    </w:sdtContent>
  </w:sdt>
  <w:p w14:paraId="51A5E8A8" w14:textId="77777777" w:rsidR="00E7770D" w:rsidRDefault="00E7770D">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99E5D" w14:textId="77777777" w:rsidR="000D1388" w:rsidRPr="00ED64B3" w:rsidRDefault="000D1388">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9FEBC" w14:textId="77777777" w:rsidR="000D1388" w:rsidRPr="00ED64B3" w:rsidRDefault="000D1388">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058922"/>
      <w:docPartObj>
        <w:docPartGallery w:val="Page Numbers (Bottom of Page)"/>
        <w:docPartUnique/>
      </w:docPartObj>
    </w:sdtPr>
    <w:sdtEndPr>
      <w:rPr>
        <w:noProof/>
      </w:rPr>
    </w:sdtEndPr>
    <w:sdtContent>
      <w:p w14:paraId="16965448" w14:textId="0A542002" w:rsidR="00B80A60" w:rsidRDefault="00B80A60">
        <w:pPr>
          <w:pStyle w:val="Footer"/>
          <w:jc w:val="center"/>
        </w:pPr>
        <w:r>
          <w:fldChar w:fldCharType="begin"/>
        </w:r>
        <w:r>
          <w:instrText xml:space="preserve"> PAGE   \* MERGEFORMAT </w:instrText>
        </w:r>
        <w:r>
          <w:fldChar w:fldCharType="separate"/>
        </w:r>
        <w:r>
          <w:t>2</w:t>
        </w:r>
        <w:r>
          <w:fldChar w:fldCharType="end"/>
        </w:r>
      </w:p>
    </w:sdtContent>
  </w:sdt>
  <w:p w14:paraId="0C716A7F" w14:textId="77777777" w:rsidR="00E7770D" w:rsidRDefault="00E7770D">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DF038" w14:textId="77777777" w:rsidR="000D1388" w:rsidRPr="00ED64B3" w:rsidRDefault="000D1388">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C3454" w14:textId="77777777" w:rsidR="000D1388" w:rsidRPr="00ED64B3" w:rsidRDefault="000D1388">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094957"/>
      <w:docPartObj>
        <w:docPartGallery w:val="Page Numbers (Bottom of Page)"/>
        <w:docPartUnique/>
      </w:docPartObj>
    </w:sdtPr>
    <w:sdtEndPr>
      <w:rPr>
        <w:noProof/>
      </w:rPr>
    </w:sdtEndPr>
    <w:sdtContent>
      <w:p w14:paraId="57A4E7DD" w14:textId="1ACE01C4" w:rsidR="00B80A60" w:rsidRDefault="00B80A60">
        <w:pPr>
          <w:pStyle w:val="Footer"/>
          <w:jc w:val="center"/>
        </w:pPr>
        <w:r>
          <w:fldChar w:fldCharType="begin"/>
        </w:r>
        <w:r>
          <w:instrText xml:space="preserve"> PAGE   \* MERGEFORMAT </w:instrText>
        </w:r>
        <w:r>
          <w:fldChar w:fldCharType="separate"/>
        </w:r>
        <w:r>
          <w:t>2</w:t>
        </w:r>
        <w:r>
          <w:fldChar w:fldCharType="end"/>
        </w:r>
      </w:p>
    </w:sdtContent>
  </w:sdt>
  <w:p w14:paraId="4BF21F14" w14:textId="77777777" w:rsidR="00E7770D" w:rsidRDefault="00E7770D">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8896F" w14:textId="77777777" w:rsidR="000D1388" w:rsidRPr="00ED64B3" w:rsidRDefault="000D1388">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2BA52" w14:textId="77777777" w:rsidR="000D1388" w:rsidRPr="00ED64B3" w:rsidRDefault="000D1388">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962074"/>
      <w:docPartObj>
        <w:docPartGallery w:val="Page Numbers (Bottom of Page)"/>
        <w:docPartUnique/>
      </w:docPartObj>
    </w:sdtPr>
    <w:sdtEndPr>
      <w:rPr>
        <w:noProof/>
      </w:rPr>
    </w:sdtEndPr>
    <w:sdtContent>
      <w:p w14:paraId="37DA8785" w14:textId="51C93718" w:rsidR="00B80A60" w:rsidRDefault="00B80A60">
        <w:pPr>
          <w:pStyle w:val="Footer"/>
          <w:jc w:val="center"/>
        </w:pPr>
        <w:r>
          <w:fldChar w:fldCharType="begin"/>
        </w:r>
        <w:r>
          <w:instrText xml:space="preserve"> PAGE   \* MERGEFORMAT </w:instrText>
        </w:r>
        <w:r>
          <w:fldChar w:fldCharType="separate"/>
        </w:r>
        <w:r>
          <w:t>2</w:t>
        </w:r>
        <w:r>
          <w:fldChar w:fldCharType="end"/>
        </w:r>
      </w:p>
    </w:sdtContent>
  </w:sdt>
  <w:p w14:paraId="56359A11" w14:textId="77777777" w:rsidR="00E7770D" w:rsidRDefault="00E7770D">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6B5BF" w14:textId="77777777" w:rsidR="000D1388" w:rsidRPr="00ED64B3" w:rsidRDefault="000D1388">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9DE80" w14:textId="77777777" w:rsidR="000D1388" w:rsidRDefault="000D1388">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037494"/>
      <w:docPartObj>
        <w:docPartGallery w:val="Page Numbers (Bottom of Page)"/>
        <w:docPartUnique/>
      </w:docPartObj>
    </w:sdtPr>
    <w:sdtEndPr>
      <w:rPr>
        <w:noProof/>
      </w:rPr>
    </w:sdtEndPr>
    <w:sdtContent>
      <w:p w14:paraId="6E0CCEB6" w14:textId="24C5DAA7" w:rsidR="00FE72EE" w:rsidRDefault="00FE72EE">
        <w:pPr>
          <w:pStyle w:val="Footer"/>
          <w:jc w:val="center"/>
        </w:pPr>
        <w:r>
          <w:fldChar w:fldCharType="begin"/>
        </w:r>
        <w:r>
          <w:instrText xml:space="preserve"> PAGE   \* MERGEFORMAT </w:instrText>
        </w:r>
        <w:r>
          <w:fldChar w:fldCharType="separate"/>
        </w:r>
        <w:r>
          <w:t>2</w:t>
        </w:r>
        <w:r>
          <w:fldChar w:fldCharType="end"/>
        </w:r>
      </w:p>
    </w:sdtContent>
  </w:sdt>
  <w:p w14:paraId="12DF9D4E" w14:textId="77777777" w:rsidR="00E7770D" w:rsidRDefault="00E7770D">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D05D7" w14:textId="77777777" w:rsidR="000D1388" w:rsidRDefault="000D1388">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58304" w14:textId="77777777" w:rsidR="000D1388" w:rsidRDefault="000D1388">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048271"/>
      <w:docPartObj>
        <w:docPartGallery w:val="Page Numbers (Bottom of Page)"/>
        <w:docPartUnique/>
      </w:docPartObj>
    </w:sdtPr>
    <w:sdtEndPr>
      <w:rPr>
        <w:noProof/>
      </w:rPr>
    </w:sdtEndPr>
    <w:sdtContent>
      <w:p w14:paraId="1E962AE2" w14:textId="047A4E6C" w:rsidR="00FE72EE" w:rsidRDefault="00FE72EE">
        <w:pPr>
          <w:pStyle w:val="Footer"/>
          <w:jc w:val="center"/>
        </w:pPr>
        <w:r>
          <w:fldChar w:fldCharType="begin"/>
        </w:r>
        <w:r>
          <w:instrText xml:space="preserve"> PAGE   \* MERGEFORMAT </w:instrText>
        </w:r>
        <w:r>
          <w:fldChar w:fldCharType="separate"/>
        </w:r>
        <w:r>
          <w:t>2</w:t>
        </w:r>
        <w:r>
          <w:fldChar w:fldCharType="end"/>
        </w:r>
      </w:p>
    </w:sdtContent>
  </w:sdt>
  <w:p w14:paraId="02DD2802" w14:textId="77777777" w:rsidR="00E7770D" w:rsidRDefault="00E7770D">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DC627" w14:textId="77777777" w:rsidR="000D1388" w:rsidRDefault="000D1388">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2B35E" w14:textId="77777777" w:rsidR="000D1388" w:rsidRDefault="000D1388">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005446"/>
      <w:docPartObj>
        <w:docPartGallery w:val="Page Numbers (Bottom of Page)"/>
        <w:docPartUnique/>
      </w:docPartObj>
    </w:sdtPr>
    <w:sdtEndPr>
      <w:rPr>
        <w:noProof/>
      </w:rPr>
    </w:sdtEndPr>
    <w:sdtContent>
      <w:p w14:paraId="1887DA18" w14:textId="66D7A740" w:rsidR="00FE72EE" w:rsidRDefault="00FE72EE">
        <w:pPr>
          <w:pStyle w:val="Footer"/>
          <w:jc w:val="center"/>
        </w:pPr>
        <w:r>
          <w:fldChar w:fldCharType="begin"/>
        </w:r>
        <w:r>
          <w:instrText xml:space="preserve"> PAGE   \* MERGEFORMAT </w:instrText>
        </w:r>
        <w:r>
          <w:fldChar w:fldCharType="separate"/>
        </w:r>
        <w:r>
          <w:t>2</w:t>
        </w:r>
        <w:r>
          <w:fldChar w:fldCharType="end"/>
        </w:r>
      </w:p>
    </w:sdtContent>
  </w:sdt>
  <w:p w14:paraId="0D11D90C" w14:textId="77777777" w:rsidR="00E7770D" w:rsidRDefault="00E7770D">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26C59" w14:textId="77777777" w:rsidR="000D1388" w:rsidRDefault="000D1388">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67F3A" w14:textId="77777777" w:rsidR="000D1388" w:rsidRDefault="000D1388">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99377"/>
      <w:docPartObj>
        <w:docPartGallery w:val="Page Numbers (Bottom of Page)"/>
        <w:docPartUnique/>
      </w:docPartObj>
    </w:sdtPr>
    <w:sdtEndPr>
      <w:rPr>
        <w:noProof/>
      </w:rPr>
    </w:sdtEndPr>
    <w:sdtContent>
      <w:p w14:paraId="21D5AE53" w14:textId="3F785484" w:rsidR="00FE72EE" w:rsidRDefault="00FE72EE">
        <w:pPr>
          <w:pStyle w:val="Footer"/>
          <w:jc w:val="center"/>
        </w:pPr>
        <w:r>
          <w:fldChar w:fldCharType="begin"/>
        </w:r>
        <w:r>
          <w:instrText xml:space="preserve"> PAGE   \* MERGEFORMAT </w:instrText>
        </w:r>
        <w:r>
          <w:fldChar w:fldCharType="separate"/>
        </w:r>
        <w:r>
          <w:t>2</w:t>
        </w:r>
        <w:r>
          <w:fldChar w:fldCharType="end"/>
        </w:r>
      </w:p>
    </w:sdtContent>
  </w:sdt>
  <w:p w14:paraId="1B7C5B5F" w14:textId="77777777" w:rsidR="00E7770D" w:rsidRDefault="00E7770D">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43F0B" w14:textId="77777777" w:rsidR="000D1388" w:rsidRDefault="000D1388">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406D1" w14:textId="77777777" w:rsidR="000D1388" w:rsidRDefault="000D1388">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769620"/>
      <w:docPartObj>
        <w:docPartGallery w:val="Page Numbers (Bottom of Page)"/>
        <w:docPartUnique/>
      </w:docPartObj>
    </w:sdtPr>
    <w:sdtEndPr>
      <w:rPr>
        <w:noProof/>
      </w:rPr>
    </w:sdtEndPr>
    <w:sdtContent>
      <w:p w14:paraId="1FB8FC61" w14:textId="117E97E9" w:rsidR="00FE72EE" w:rsidRDefault="00FE72EE">
        <w:pPr>
          <w:pStyle w:val="Footer"/>
          <w:jc w:val="center"/>
        </w:pPr>
        <w:r>
          <w:fldChar w:fldCharType="begin"/>
        </w:r>
        <w:r>
          <w:instrText xml:space="preserve"> PAGE   \* MERGEFORMAT </w:instrText>
        </w:r>
        <w:r>
          <w:fldChar w:fldCharType="separate"/>
        </w:r>
        <w:r>
          <w:t>2</w:t>
        </w:r>
        <w:r>
          <w:fldChar w:fldCharType="end"/>
        </w:r>
      </w:p>
    </w:sdtContent>
  </w:sdt>
  <w:p w14:paraId="2B16D6BF" w14:textId="77777777" w:rsidR="00E7770D" w:rsidRDefault="00E7770D">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0332A" w14:textId="77777777" w:rsidR="000D1388" w:rsidRDefault="000D1388">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9073" w14:textId="77777777" w:rsidR="000D1388" w:rsidRDefault="000D1388">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654985"/>
      <w:docPartObj>
        <w:docPartGallery w:val="Page Numbers (Bottom of Page)"/>
        <w:docPartUnique/>
      </w:docPartObj>
    </w:sdtPr>
    <w:sdtEndPr>
      <w:rPr>
        <w:noProof/>
      </w:rPr>
    </w:sdtEndPr>
    <w:sdtContent>
      <w:p w14:paraId="73207696" w14:textId="3A1EB6B6" w:rsidR="00FE72EE" w:rsidRDefault="00FE72EE">
        <w:pPr>
          <w:pStyle w:val="Footer"/>
          <w:jc w:val="center"/>
        </w:pPr>
        <w:r>
          <w:fldChar w:fldCharType="begin"/>
        </w:r>
        <w:r>
          <w:instrText xml:space="preserve"> PAGE   \* MERGEFORMAT </w:instrText>
        </w:r>
        <w:r>
          <w:fldChar w:fldCharType="separate"/>
        </w:r>
        <w:r>
          <w:t>2</w:t>
        </w:r>
        <w:r>
          <w:fldChar w:fldCharType="end"/>
        </w:r>
      </w:p>
    </w:sdtContent>
  </w:sdt>
  <w:p w14:paraId="22A3186C" w14:textId="77777777" w:rsidR="00E7770D" w:rsidRDefault="00E7770D">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9B39F" w14:textId="77777777" w:rsidR="000D1388" w:rsidRDefault="000D1388">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03941" w14:textId="77777777" w:rsidR="000D1388" w:rsidRDefault="000D1388">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1372947"/>
      <w:docPartObj>
        <w:docPartGallery w:val="Page Numbers (Bottom of Page)"/>
        <w:docPartUnique/>
      </w:docPartObj>
    </w:sdtPr>
    <w:sdtEndPr>
      <w:rPr>
        <w:noProof/>
      </w:rPr>
    </w:sdtEndPr>
    <w:sdtContent>
      <w:p w14:paraId="73D596B8" w14:textId="7751F0B1" w:rsidR="00FE72EE" w:rsidRDefault="00FE72EE">
        <w:pPr>
          <w:pStyle w:val="Footer"/>
          <w:jc w:val="center"/>
        </w:pPr>
        <w:r>
          <w:fldChar w:fldCharType="begin"/>
        </w:r>
        <w:r>
          <w:instrText xml:space="preserve"> PAGE   \* MERGEFORMAT </w:instrText>
        </w:r>
        <w:r>
          <w:fldChar w:fldCharType="separate"/>
        </w:r>
        <w:r>
          <w:t>2</w:t>
        </w:r>
        <w:r>
          <w:fldChar w:fldCharType="end"/>
        </w:r>
      </w:p>
    </w:sdtContent>
  </w:sdt>
  <w:p w14:paraId="32193D18" w14:textId="77777777" w:rsidR="00E7770D" w:rsidRDefault="00E7770D">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A8F2A" w14:textId="77777777" w:rsidR="000D1388" w:rsidRDefault="000D1388">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F152F" w14:textId="77777777" w:rsidR="000D1388" w:rsidRDefault="000D1388">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075484"/>
      <w:docPartObj>
        <w:docPartGallery w:val="Page Numbers (Bottom of Page)"/>
        <w:docPartUnique/>
      </w:docPartObj>
    </w:sdtPr>
    <w:sdtEndPr>
      <w:rPr>
        <w:noProof/>
      </w:rPr>
    </w:sdtEndPr>
    <w:sdtContent>
      <w:p w14:paraId="127A296C" w14:textId="7F92FB54" w:rsidR="00FE72EE" w:rsidRDefault="00FE72EE">
        <w:pPr>
          <w:pStyle w:val="Footer"/>
          <w:jc w:val="center"/>
        </w:pPr>
        <w:r>
          <w:fldChar w:fldCharType="begin"/>
        </w:r>
        <w:r>
          <w:instrText xml:space="preserve"> PAGE   \* MERGEFORMAT </w:instrText>
        </w:r>
        <w:r>
          <w:fldChar w:fldCharType="separate"/>
        </w:r>
        <w:r>
          <w:t>2</w:t>
        </w:r>
        <w:r>
          <w:fldChar w:fldCharType="end"/>
        </w:r>
      </w:p>
    </w:sdtContent>
  </w:sdt>
  <w:p w14:paraId="48DAB5A9" w14:textId="77777777" w:rsidR="00E7770D" w:rsidRDefault="00E7770D">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2D62B" w14:textId="77777777" w:rsidR="000D1388" w:rsidRDefault="000D1388">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A2FC9" w14:textId="77777777" w:rsidR="000D1388" w:rsidRDefault="000D1388">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851091"/>
      <w:docPartObj>
        <w:docPartGallery w:val="Page Numbers (Bottom of Page)"/>
        <w:docPartUnique/>
      </w:docPartObj>
    </w:sdtPr>
    <w:sdtEndPr>
      <w:rPr>
        <w:noProof/>
      </w:rPr>
    </w:sdtEndPr>
    <w:sdtContent>
      <w:p w14:paraId="0B4B1E5E" w14:textId="716706D6" w:rsidR="00CC1346" w:rsidRDefault="00CC1346">
        <w:pPr>
          <w:pStyle w:val="Footer"/>
          <w:jc w:val="center"/>
        </w:pPr>
        <w:r>
          <w:fldChar w:fldCharType="begin"/>
        </w:r>
        <w:r>
          <w:instrText xml:space="preserve"> PAGE   \* MERGEFORMAT </w:instrText>
        </w:r>
        <w:r>
          <w:fldChar w:fldCharType="separate"/>
        </w:r>
        <w:r>
          <w:t>2</w:t>
        </w:r>
        <w:r>
          <w:fldChar w:fldCharType="end"/>
        </w:r>
      </w:p>
    </w:sdtContent>
  </w:sdt>
  <w:p w14:paraId="435881BC" w14:textId="77777777" w:rsidR="00E7770D" w:rsidRDefault="00E7770D">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4B992" w14:textId="77777777" w:rsidR="000D1388" w:rsidRDefault="000D1388">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CA761" w14:textId="77777777" w:rsidR="000D1388" w:rsidRPr="00ED64B3" w:rsidRDefault="000D1388">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987167"/>
      <w:docPartObj>
        <w:docPartGallery w:val="Page Numbers (Bottom of Page)"/>
        <w:docPartUnique/>
      </w:docPartObj>
    </w:sdtPr>
    <w:sdtEndPr>
      <w:rPr>
        <w:noProof/>
      </w:rPr>
    </w:sdtEndPr>
    <w:sdtContent>
      <w:p w14:paraId="5E5F94B9" w14:textId="73216A3B" w:rsidR="00CC1346" w:rsidRDefault="00CC1346">
        <w:pPr>
          <w:pStyle w:val="Footer"/>
          <w:jc w:val="center"/>
        </w:pPr>
        <w:r>
          <w:fldChar w:fldCharType="begin"/>
        </w:r>
        <w:r>
          <w:instrText xml:space="preserve"> PAGE   \* MERGEFORMAT </w:instrText>
        </w:r>
        <w:r>
          <w:fldChar w:fldCharType="separate"/>
        </w:r>
        <w:r>
          <w:t>2</w:t>
        </w:r>
        <w:r>
          <w:fldChar w:fldCharType="end"/>
        </w:r>
      </w:p>
    </w:sdtContent>
  </w:sdt>
  <w:p w14:paraId="32DDCDBA" w14:textId="77777777" w:rsidR="00E7770D" w:rsidRDefault="00E7770D">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A314E" w14:textId="77777777" w:rsidR="000D1388" w:rsidRPr="00ED64B3" w:rsidRDefault="000D1388">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98EC6" w14:textId="77777777" w:rsidR="000D1388" w:rsidRPr="00ED64B3" w:rsidRDefault="000D1388">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916989"/>
      <w:docPartObj>
        <w:docPartGallery w:val="Page Numbers (Bottom of Page)"/>
        <w:docPartUnique/>
      </w:docPartObj>
    </w:sdtPr>
    <w:sdtEndPr>
      <w:rPr>
        <w:noProof/>
      </w:rPr>
    </w:sdtEndPr>
    <w:sdtContent>
      <w:p w14:paraId="4B2B7D29" w14:textId="45C549FE" w:rsidR="00CC1346" w:rsidRDefault="00CC1346">
        <w:pPr>
          <w:pStyle w:val="Footer"/>
          <w:jc w:val="center"/>
        </w:pPr>
        <w:r>
          <w:fldChar w:fldCharType="begin"/>
        </w:r>
        <w:r>
          <w:instrText xml:space="preserve"> PAGE   \* MERGEFORMAT </w:instrText>
        </w:r>
        <w:r>
          <w:fldChar w:fldCharType="separate"/>
        </w:r>
        <w:r>
          <w:t>2</w:t>
        </w:r>
        <w:r>
          <w:fldChar w:fldCharType="end"/>
        </w:r>
      </w:p>
    </w:sdtContent>
  </w:sdt>
  <w:p w14:paraId="2B0B5BE7" w14:textId="77777777" w:rsidR="00E7770D" w:rsidRDefault="00E7770D">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D6B37" w14:textId="77777777" w:rsidR="000D1388" w:rsidRPr="00ED64B3" w:rsidRDefault="000D1388">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BE804" w14:textId="77777777" w:rsidR="000D1388" w:rsidRPr="00ED64B3" w:rsidRDefault="000D1388">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743007"/>
      <w:docPartObj>
        <w:docPartGallery w:val="Page Numbers (Bottom of Page)"/>
        <w:docPartUnique/>
      </w:docPartObj>
    </w:sdtPr>
    <w:sdtEndPr>
      <w:rPr>
        <w:noProof/>
      </w:rPr>
    </w:sdtEndPr>
    <w:sdtContent>
      <w:p w14:paraId="48B5F578" w14:textId="5C197358" w:rsidR="00CC1346" w:rsidRDefault="00CC1346">
        <w:pPr>
          <w:pStyle w:val="Footer"/>
          <w:jc w:val="center"/>
        </w:pPr>
        <w:r>
          <w:fldChar w:fldCharType="begin"/>
        </w:r>
        <w:r>
          <w:instrText xml:space="preserve"> PAGE   \* MERGEFORMAT </w:instrText>
        </w:r>
        <w:r>
          <w:fldChar w:fldCharType="separate"/>
        </w:r>
        <w:r>
          <w:t>2</w:t>
        </w:r>
        <w:r>
          <w:fldChar w:fldCharType="end"/>
        </w:r>
      </w:p>
    </w:sdtContent>
  </w:sdt>
  <w:p w14:paraId="36AFF2BB" w14:textId="77777777" w:rsidR="00E7770D" w:rsidRDefault="00E7770D">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405F6" w14:textId="77777777" w:rsidR="000D1388" w:rsidRPr="00ED64B3" w:rsidRDefault="000D1388">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60513" w14:textId="77777777" w:rsidR="000D1388" w:rsidRPr="00ED64B3" w:rsidRDefault="000D1388">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1728388"/>
      <w:docPartObj>
        <w:docPartGallery w:val="Page Numbers (Bottom of Page)"/>
        <w:docPartUnique/>
      </w:docPartObj>
    </w:sdtPr>
    <w:sdtEndPr>
      <w:rPr>
        <w:noProof/>
      </w:rPr>
    </w:sdtEndPr>
    <w:sdtContent>
      <w:p w14:paraId="59DC0A5E" w14:textId="6AD00750" w:rsidR="00CC1346" w:rsidRDefault="00CC1346">
        <w:pPr>
          <w:pStyle w:val="Footer"/>
          <w:jc w:val="center"/>
        </w:pPr>
        <w:r>
          <w:fldChar w:fldCharType="begin"/>
        </w:r>
        <w:r>
          <w:instrText xml:space="preserve"> PAGE   \* MERGEFORMAT </w:instrText>
        </w:r>
        <w:r>
          <w:fldChar w:fldCharType="separate"/>
        </w:r>
        <w:r>
          <w:t>2</w:t>
        </w:r>
        <w:r>
          <w:fldChar w:fldCharType="end"/>
        </w:r>
      </w:p>
    </w:sdtContent>
  </w:sdt>
  <w:p w14:paraId="39F6BEE2" w14:textId="77777777" w:rsidR="00E7770D" w:rsidRDefault="00E7770D">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0F2C4" w14:textId="77777777" w:rsidR="000D1388" w:rsidRPr="00ED64B3" w:rsidRDefault="000D1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639C8" w14:textId="77777777" w:rsidR="002F3469" w:rsidRDefault="002F3469" w:rsidP="00E71057">
      <w:pPr>
        <w:spacing w:after="0" w:line="240" w:lineRule="auto"/>
      </w:pPr>
      <w:r>
        <w:separator/>
      </w:r>
    </w:p>
  </w:footnote>
  <w:footnote w:type="continuationSeparator" w:id="0">
    <w:p w14:paraId="7A3BD432" w14:textId="77777777" w:rsidR="002F3469" w:rsidRDefault="002F3469" w:rsidP="00E71057">
      <w:pPr>
        <w:spacing w:after="0" w:line="240" w:lineRule="auto"/>
      </w:pPr>
      <w:r>
        <w:continuationSeparator/>
      </w:r>
    </w:p>
  </w:footnote>
  <w:footnote w:id="1">
    <w:p w14:paraId="761D7B3B" w14:textId="77777777" w:rsidR="000D1388" w:rsidRPr="00466B7F" w:rsidRDefault="00E71057" w:rsidP="00E71057">
      <w:pPr>
        <w:pStyle w:val="FootnoteText"/>
        <w:ind w:left="0" w:firstLine="0"/>
        <w:rPr>
          <w:sz w:val="22"/>
          <w:szCs w:val="22"/>
        </w:rPr>
      </w:pPr>
      <w:r>
        <w:rPr>
          <w:rStyle w:val="FootnoteReference"/>
          <w:rFonts w:eastAsia="Calibri"/>
          <w:sz w:val="18"/>
          <w:szCs w:val="18"/>
        </w:rPr>
        <w:footnoteRef/>
      </w:r>
      <w:r>
        <w:rPr>
          <w:sz w:val="18"/>
        </w:rPr>
        <w:t xml:space="preserve"> ISO27001, qui fait partie intégrante d’ISO27000 (également connue sous l’appellation «famille de normes ISMS» ou «ISO27K»), comprend les normes de sécurité de l’information</w:t>
      </w:r>
    </w:p>
    <w:p w14:paraId="640D6CDC" w14:textId="77777777" w:rsidR="000D1388" w:rsidRPr="00466B7F" w:rsidRDefault="00E71057" w:rsidP="00E71057">
      <w:pPr>
        <w:pStyle w:val="FootnoteText"/>
        <w:ind w:left="0" w:firstLine="0"/>
        <w:rPr>
          <w:sz w:val="22"/>
          <w:szCs w:val="22"/>
        </w:rPr>
      </w:pPr>
      <w:r>
        <w:rPr>
          <w:sz w:val="18"/>
        </w:rPr>
        <w:t xml:space="preserve">publiées conjointement par l’Organisation internationale de normalisation (ISO) et la Commission électrotechnique internationale (CEI). </w:t>
      </w:r>
    </w:p>
  </w:footnote>
  <w:footnote w:id="2">
    <w:p w14:paraId="72161972" w14:textId="29E64356" w:rsidR="000D1388" w:rsidRPr="00870BB6" w:rsidRDefault="00E71057" w:rsidP="00E71057">
      <w:pPr>
        <w:pStyle w:val="FootnoteText"/>
        <w:ind w:left="0" w:firstLine="0"/>
      </w:pPr>
      <w:r>
        <w:rPr>
          <w:rStyle w:val="FootnoteReference"/>
        </w:rPr>
        <w:footnoteRef/>
      </w:r>
      <w:r>
        <w:t xml:space="preserve"> Cf. annexe Ia de la loi portant assentiment à l’accord de coopération du 5 octobre 2018 entre l’État fédéral, la Région flamande, la Région wallonne et la Région de Bruxelles-Capitale relatif au financement des infrastructures ferroviaires stratégiques/Wet houdende instemming met het samenwerkingsakkoord van 5 oktober 2018 tussen de Federale Staat, het Vlaamse Gewest, het Waalse Gewest en het Brusselse Hoofdstedelijke Gewest betreffende de financiering van de strategische spoorweginfrastructuren, Moniteur belge – 11.3.2019 – Belgisch Staatsblad.</w:t>
      </w:r>
    </w:p>
  </w:footnote>
  <w:footnote w:id="3">
    <w:p w14:paraId="54DB2F56" w14:textId="01B1F3CB" w:rsidR="000D1388" w:rsidRPr="00466B7F" w:rsidRDefault="00E71057" w:rsidP="00E71057">
      <w:pPr>
        <w:pStyle w:val="FootnoteText"/>
        <w:ind w:left="0" w:firstLine="0"/>
      </w:pPr>
      <w:r>
        <w:rPr>
          <w:rStyle w:val="FootnoteReference"/>
        </w:rPr>
        <w:footnoteRef/>
      </w:r>
      <w:r>
        <w:t xml:space="preserve"> Cela fait suite à la recommandation par pays nº 3 de 2018: «S’attaquer aux problèmes croissants de mobilité, notamment en procédant à des investissements dans les infrastructures de transport existantes ou dans de nouvelles et en renforçant les incitations à utiliser les transports collectifs et à faibles émissions».</w:t>
      </w:r>
    </w:p>
  </w:footnote>
  <w:footnote w:id="4">
    <w:p w14:paraId="77B3D912" w14:textId="77777777" w:rsidR="000D1388" w:rsidRPr="00AC1B94" w:rsidRDefault="00E71057" w:rsidP="00E71057">
      <w:pPr>
        <w:pStyle w:val="FootnoteText"/>
        <w:ind w:left="0" w:firstLine="0"/>
        <w:rPr>
          <w:rFonts w:eastAsia="Times New Roman"/>
        </w:rPr>
      </w:pPr>
      <w:r>
        <w:rPr>
          <w:rStyle w:val="FootnoteReference"/>
        </w:rPr>
        <w:footnoteRef/>
      </w:r>
      <w:r>
        <w:tab/>
        <w:t>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5">
    <w:p w14:paraId="499B77C8" w14:textId="77777777" w:rsidR="000D1388" w:rsidRPr="00AC1B94" w:rsidRDefault="00E71057" w:rsidP="00E71057">
      <w:pPr>
        <w:pStyle w:val="FootnoteText"/>
        <w:ind w:left="0" w:firstLine="0"/>
        <w:rPr>
          <w:rFonts w:eastAsia="EC Square Sans Pro"/>
        </w:rPr>
      </w:pPr>
      <w:r>
        <w:rPr>
          <w:rStyle w:val="FootnoteReference"/>
        </w:rPr>
        <w:footnoteRef/>
      </w:r>
      <w:r>
        <w:tab/>
        <w:t>Lorsque l’activité soutenue atteint un niveau projeté d’émissions de gaz à effet de serre qui n’est pas sensiblement inférieur aux valeurs des référentiels pertinentes, il convient de fournir une explication des raisons pour lesquelles cela n’est pas possible. Référentiels pour l’allocation de quotas d’émission à titre gratuit relevant du système d’échange de quotas d’émission, tels que définis dans le règlement d’exécution (UE) 2021/447 de la Commission.</w:t>
      </w:r>
    </w:p>
  </w:footnote>
  <w:footnote w:id="6">
    <w:p w14:paraId="6C4F1164" w14:textId="77777777" w:rsidR="000D1388" w:rsidRPr="00AC1B94" w:rsidRDefault="00E71057" w:rsidP="00E71057">
      <w:pPr>
        <w:pStyle w:val="FootnoteText"/>
        <w:ind w:left="0" w:firstLine="0"/>
      </w:pPr>
      <w:r>
        <w:rPr>
          <w:rStyle w:val="FootnoteReference"/>
        </w:rPr>
        <w:footnoteRef/>
      </w:r>
      <w:r>
        <w:t xml:space="preserve"> Cette exclusion ne s’applique pas aux actions menées dans le cadre de cette mesure dans les installations exclusivement consacrées au traitement des déchets dangereux non recyclables, ni aux installations existantes, lorsque les actions menées dans le cadre de cette mesure ont pour but d’accroître l’efficacité énergétique, de capter les gaz d’échappement en vue de leur stockage ou de leur utilisation ou de récupérer les matériaux contenus dans les cendres d’incinération, pour autant que les actions menées dans le cadre de cette mesure n’entraînent pas une augmentation de la capacité de traitement des déchets des installations ou une prolongation de la durée de vie des installations; pour lesquelles des preuves sont fournies au niveau de l’usine. </w:t>
      </w:r>
    </w:p>
  </w:footnote>
  <w:footnote w:id="7">
    <w:p w14:paraId="305B0C16" w14:textId="77777777" w:rsidR="000D1388" w:rsidRPr="00FC4A8A" w:rsidRDefault="00E71057" w:rsidP="00E71057">
      <w:pPr>
        <w:pStyle w:val="FootnoteText"/>
        <w:ind w:left="0" w:firstLine="0"/>
      </w:pPr>
      <w:r>
        <w:rPr>
          <w:rStyle w:val="FootnoteReference"/>
        </w:rPr>
        <w:footnoteRef/>
      </w:r>
      <w:r>
        <w:t xml:space="preserve"> Cette exclusion ne s’applique pas aux actions menées dans le cadre de cette mesure dans les installations existantes de traitement mécanique et biologique, lorsque les actions menées dans le cadre de cette mesure ont pour but d’accroître l’efficacité énergétique ou d’adapter les opérations de recyclage des déchets séparés aux biodéchets compostés et à la digestion anaérobie des biodéchets, pour autant que les actions menées dans le cadre de cette mesure n’entraînent pas une augmentation de la capacité de traitement des déchets des installations ou une prolongation de la durée de vie des installations; pour lesquelles des preuves sont fournies au niveau de l’usine. </w:t>
      </w:r>
    </w:p>
  </w:footnote>
  <w:footnote w:id="8">
    <w:p w14:paraId="2FEB6B0E" w14:textId="77777777" w:rsidR="000D1388" w:rsidRPr="008A0215" w:rsidRDefault="00E71057" w:rsidP="00E71057">
      <w:pPr>
        <w:pStyle w:val="FootnoteText"/>
        <w:tabs>
          <w:tab w:val="left" w:pos="120"/>
        </w:tabs>
        <w:ind w:left="0" w:firstLine="0"/>
        <w:rPr>
          <w:rFonts w:eastAsia="Times New Roman"/>
        </w:rPr>
      </w:pPr>
      <w:r>
        <w:rPr>
          <w:rStyle w:val="FootnoteReference"/>
        </w:rPr>
        <w:footnoteRef/>
      </w:r>
      <w:r>
        <w:tab/>
        <w:t>Il est considéré qu’un bénéficiaire final se concentre «de manière substantielle» sur un secteur ou une activité commerciale si ce secteur ou cette activité est identifié comme un élément essentiel de l’activité commerciale du bénéficiaire final par rapport aux recettes brutes, aux bénéfices ou à la clientèle du bénéficiaire final. Les recettes brutes générées par le secteur ou l’activité faisant l’objet de restrictions ne dépassent pas, en tout état de cause, 50 % des recettes brutes.</w:t>
      </w:r>
    </w:p>
  </w:footnote>
  <w:footnote w:id="9">
    <w:p w14:paraId="7576C15D" w14:textId="77777777" w:rsidR="000D1388" w:rsidRPr="008A0215" w:rsidRDefault="00E71057" w:rsidP="00E71057">
      <w:pPr>
        <w:tabs>
          <w:tab w:val="left" w:pos="120"/>
        </w:tabs>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tab/>
      </w:r>
      <w:r>
        <w:rPr>
          <w:rFonts w:ascii="Times New Roman" w:hAnsi="Times New Roman"/>
          <w:sz w:val="20"/>
        </w:rPr>
        <w:t>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10">
    <w:p w14:paraId="67E4FF59" w14:textId="77777777" w:rsidR="000D1388" w:rsidRPr="008A0215" w:rsidRDefault="00E71057" w:rsidP="00E71057">
      <w:pPr>
        <w:pStyle w:val="FootnoteText"/>
        <w:tabs>
          <w:tab w:val="left" w:pos="120"/>
        </w:tabs>
        <w:ind w:left="0" w:firstLine="0"/>
        <w:rPr>
          <w:rFonts w:eastAsia="EC Square Sans Pro"/>
        </w:rPr>
      </w:pPr>
      <w:r>
        <w:rPr>
          <w:rStyle w:val="FootnoteReference"/>
        </w:rPr>
        <w:footnoteRef/>
      </w:r>
      <w:r>
        <w:tab/>
        <w:t>les activités relevant du système d’échange de quotas d’émission de l’UE dont le niveau projeté d’émissions de gaz à effet de serre n’est pas inférieur aux valeurs des référentiels pertinentes. Lorsque l’activité bénéficiant de l’aide permet d’obtenir des projections d’émissions de gaz à effet de serre qui ne sont pas sensiblement inférieures aux référentiels pertinents, une explication des raisons pour lesquelles cela n’est pas possible est fournie. Référentiels pour l’allocation de quotas d’émission à titre gratuit relevant du système d’échange de quotas d’émission, tels que définis dans le règlement d’exécution (UE) 2021/447 de la Commission.</w:t>
      </w:r>
    </w:p>
  </w:footnote>
  <w:footnote w:id="11">
    <w:p w14:paraId="5724EF31" w14:textId="77777777" w:rsidR="000D1388" w:rsidRPr="008A0215" w:rsidRDefault="00E71057" w:rsidP="00E71057">
      <w:pPr>
        <w:pStyle w:val="FootnoteText"/>
        <w:tabs>
          <w:tab w:val="left" w:pos="120"/>
        </w:tabs>
        <w:ind w:left="0" w:firstLine="0"/>
        <w:rPr>
          <w:rFonts w:eastAsia="Times New Roman"/>
        </w:rPr>
      </w:pPr>
      <w:r>
        <w:rPr>
          <w:rFonts w:eastAsia="EC Square Sans Pro"/>
          <w:vertAlign w:val="superscript"/>
        </w:rPr>
        <w:footnoteRef/>
      </w:r>
      <w:r>
        <w:tab/>
        <w:t>Les véhicules polluants sont définis comme des véhicules à émission non nulle.</w:t>
      </w:r>
    </w:p>
  </w:footnote>
  <w:footnote w:id="12">
    <w:p w14:paraId="3EF9204A" w14:textId="77777777" w:rsidR="000D1388" w:rsidRPr="00FC4A8A" w:rsidRDefault="00E71057" w:rsidP="00E71057">
      <w:pPr>
        <w:pStyle w:val="FootnoteText"/>
        <w:tabs>
          <w:tab w:val="left" w:pos="120"/>
        </w:tabs>
        <w:ind w:left="0" w:firstLine="0"/>
        <w:rPr>
          <w:rFonts w:eastAsia="Times New Roman"/>
        </w:rPr>
      </w:pPr>
      <w:r>
        <w:rPr>
          <w:rStyle w:val="FootnoteReference"/>
        </w:rPr>
        <w:footnoteRef/>
      </w:r>
      <w:r>
        <w:tab/>
        <w:t>Cette exclusion ne s’applique pas aux actions menées dans les installations exclusivement consacrées au traitement des déchets dangereux non recyclables, ni aux installations existantes, lorsque les actions menées dans le cadre de cette mesure ont pour but d’accroître l’efficacité énergétique, de capter les gaz d’échappement en vue de leur stockage ou de leur utilisation ou de récupérer les matériaux contenus dans les cendres d’incinération, pour autant que les actions menées dans le cadre de cette mesure n’entraînent pas une augmentation de la capacité de traitement des déchets des installations ou une prolongation de la durée de vie des installations, et pour lesquelles des preuves sont fournies au niveau de l’usine.</w:t>
      </w:r>
    </w:p>
  </w:footnote>
  <w:footnote w:id="13">
    <w:p w14:paraId="76588987" w14:textId="77777777" w:rsidR="000D1388" w:rsidRPr="008A0215" w:rsidRDefault="00E71057" w:rsidP="00E71057">
      <w:pPr>
        <w:pStyle w:val="FootnoteText"/>
        <w:ind w:left="0" w:firstLine="0"/>
        <w:rPr>
          <w:rFonts w:eastAsia="Times New Roman"/>
          <w:b/>
          <w:bCs/>
        </w:rPr>
      </w:pPr>
      <w:r>
        <w:rPr>
          <w:rStyle w:val="FootnoteReference"/>
        </w:rPr>
        <w:footnoteRef/>
      </w:r>
      <w:r>
        <w:tab/>
        <w:t>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b) des activités et actifs visés au point ii) pour lesquels l’utilisation de combustibles fossiles est temporaire et techniquement inévitable pour la transition en temps utile vers une exploitation sans combustibles fossiles ; c) des aéronefs utilisés pour la protection civile ou la lutte contre les incendies et les véhicules à usage spécial qui sont fondés sur les meilleurs niveaux de performance environnementale disponibles dans le secteur, et d) de la construction de nouvelles liaisons routières, ponts et/ou tunnels d’une longueur individuelle inférieure à 20 kilomètres et de la rénovation de routes, de ponts et/ou de tunnels.</w:t>
      </w:r>
    </w:p>
  </w:footnote>
  <w:footnote w:id="14">
    <w:p w14:paraId="3DA0E74B" w14:textId="77777777" w:rsidR="000D1388" w:rsidRPr="008A0215" w:rsidRDefault="00E71057" w:rsidP="00E71057">
      <w:pPr>
        <w:pStyle w:val="FootnoteText"/>
        <w:ind w:left="0" w:firstLine="0"/>
        <w:rPr>
          <w:rFonts w:eastAsia="EC Square Sans Pro"/>
        </w:rPr>
      </w:pPr>
      <w:r>
        <w:rPr>
          <w:rStyle w:val="FootnoteReference"/>
        </w:rPr>
        <w:footnoteRef/>
      </w:r>
      <w:r>
        <w:tab/>
        <w:t>Lorsque l’activité soutenue atteint un niveau projeté d’émissions de gaz à effet de serre qui n’est pas sensiblement inférieur aux valeurs des référentiels pertinentes, il convient de fournir une explication des raisons pour lesquelles cela n’est pas possible. Référentiels pour l’allocation de quotas d’émission à titre gratuit relevant du système d’échange de quotas d’émission, tels que définis dans le règlement d’exécution (UE) 2021/447 de la Commission. </w:t>
      </w:r>
    </w:p>
  </w:footnote>
  <w:footnote w:id="15">
    <w:p w14:paraId="60D60DC6" w14:textId="77777777" w:rsidR="000D1388" w:rsidRPr="008A0215" w:rsidRDefault="00E71057" w:rsidP="00E71057">
      <w:pPr>
        <w:pStyle w:val="FootnoteText"/>
        <w:ind w:left="0" w:firstLine="0"/>
      </w:pPr>
      <w:r>
        <w:rPr>
          <w:rStyle w:val="FootnoteReference"/>
        </w:rPr>
        <w:footnoteRef/>
      </w:r>
      <w:r>
        <w:t xml:space="preserve"> Cette exclusion ne s’applique pas aux actions menées dans le cadre de cette mesure dans les installations exclusivement consacrées au traitement des déchets dangereux non recyclables, ni aux installations existantes, lorsque les actions menées dans le cadre de cette mesure ont pour but d’accroître l’efficacité énergétique, de capter les gaz d’échappement en vue de leur stockage ou de leur utilisation ou de récupérer les matériaux contenus dans les cendres d’incinération, pour autant que les actions menées dans le cadre de cette mesure n’entraînent pas une augmentation de la capacité de traitement des déchets des installations ou une prolongation de la durée de vie des installations; pour lesquelles des preuves sont fournies au niveau de l’usine. </w:t>
      </w:r>
    </w:p>
  </w:footnote>
  <w:footnote w:id="16">
    <w:p w14:paraId="0EDB437E" w14:textId="77777777" w:rsidR="000D1388" w:rsidRPr="008A0215" w:rsidRDefault="00E71057" w:rsidP="00E71057">
      <w:pPr>
        <w:pStyle w:val="FootnoteText"/>
        <w:ind w:left="0" w:firstLine="0"/>
      </w:pPr>
      <w:r>
        <w:rPr>
          <w:rStyle w:val="FootnoteReference"/>
        </w:rPr>
        <w:footnoteRef/>
      </w:r>
      <w:r>
        <w:t xml:space="preserve"> Cette exclusion ne s’applique pas aux actions menées dans le cadre de cette mesure dans les installations existantes de traitement mécanique et biologique, lorsque les actions menées dans le cadre de cette mesure ont pour but d’accroître l’efficacité énergétique ou d’adapter les opérations de recyclage des déchets séparés aux biodéchets compostés et à la digestion anaérobie des biodéchets, pour autant que les actions menées dans le cadre de cette mesure n’entraînent pas une augmentation de la capacité de traitement des déchets des installations ou une prolongation de la durée de vie des installations; pour lesquelles des preuves sont fournies au niveau de l’usine. </w:t>
      </w:r>
    </w:p>
  </w:footnote>
  <w:footnote w:id="17">
    <w:p w14:paraId="0CB8F518" w14:textId="77777777" w:rsidR="000D1388" w:rsidRPr="008A0215" w:rsidRDefault="00E71057" w:rsidP="00E71057">
      <w:pPr>
        <w:pStyle w:val="FootnoteText"/>
        <w:ind w:left="0" w:firstLine="0"/>
        <w:rPr>
          <w:rFonts w:eastAsia="Times New Roman"/>
        </w:rPr>
      </w:pPr>
      <w:r>
        <w:rPr>
          <w:rStyle w:val="FootnoteReference"/>
        </w:rPr>
        <w:footnoteRef/>
      </w:r>
      <w:r>
        <w:tab/>
        <w:t>Il est considéré qu’un bénéficiaire final se concentre «de manière substantielle» sur un secteur ou une activité commerciale si les recettes brutes générées par le secteur ou l’activité faisant l’objet de restrictions dépassent 50 % des recettes brutes.</w:t>
      </w:r>
    </w:p>
  </w:footnote>
  <w:footnote w:id="18">
    <w:p w14:paraId="2E9F55AA" w14:textId="77777777" w:rsidR="000D1388" w:rsidRPr="008A0215" w:rsidRDefault="00E71057" w:rsidP="00E71057">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tab/>
      </w:r>
      <w:r>
        <w:rPr>
          <w:rFonts w:ascii="Times New Roman" w:hAnsi="Times New Roman"/>
          <w:sz w:val="20"/>
        </w:rPr>
        <w:t>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19">
    <w:p w14:paraId="31A61A39" w14:textId="77777777" w:rsidR="000D1388" w:rsidRPr="008A0215" w:rsidRDefault="00E71057" w:rsidP="00E71057">
      <w:pPr>
        <w:pStyle w:val="FootnoteText"/>
        <w:ind w:left="0" w:firstLine="0"/>
        <w:rPr>
          <w:rFonts w:eastAsia="EC Square Sans Pro"/>
        </w:rPr>
      </w:pPr>
      <w:r>
        <w:rPr>
          <w:rStyle w:val="FootnoteReference"/>
        </w:rPr>
        <w:footnoteRef/>
      </w:r>
      <w:r>
        <w:tab/>
        <w:t>Y compris les activités relevant du système d’échange de quotas d’émission de l’UE dont le niveau projeté d’émissions de gaz à effet de serre n’est pas inférieur aux valeurs des référentiels pertinentes.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d’émission à titre gratuit pour les activités relevant du système d’échange de quotas d’émission, conformément au règlement d’exécution (UE) 2021/447 de la Commission.</w:t>
      </w:r>
    </w:p>
  </w:footnote>
  <w:footnote w:id="20">
    <w:p w14:paraId="4C48D0C7" w14:textId="77777777" w:rsidR="000D1388" w:rsidRPr="008A0215" w:rsidRDefault="00E71057" w:rsidP="00E71057">
      <w:pPr>
        <w:pStyle w:val="FootnoteText"/>
        <w:ind w:left="0" w:firstLine="0"/>
        <w:rPr>
          <w:rFonts w:eastAsia="Times New Roman"/>
        </w:rPr>
      </w:pPr>
      <w:r>
        <w:rPr>
          <w:rFonts w:eastAsia="EC Square Sans Pro"/>
          <w:vertAlign w:val="superscript"/>
        </w:rPr>
        <w:footnoteRef/>
      </w:r>
      <w:r>
        <w:tab/>
        <w:t>Les véhicules polluants sont définis comme des véhicules à émission non nulle.</w:t>
      </w:r>
    </w:p>
  </w:footnote>
  <w:footnote w:id="21">
    <w:p w14:paraId="207E347E" w14:textId="77777777" w:rsidR="000D1388" w:rsidRPr="00DD67A6" w:rsidRDefault="00E71057" w:rsidP="00E71057">
      <w:pPr>
        <w:pStyle w:val="FootnoteText"/>
        <w:ind w:left="0" w:firstLine="0"/>
        <w:rPr>
          <w:rFonts w:eastAsia="Times New Roman"/>
          <w:sz w:val="18"/>
          <w:szCs w:val="18"/>
        </w:rPr>
      </w:pPr>
      <w:r>
        <w:rPr>
          <w:rStyle w:val="FootnoteReference"/>
        </w:rPr>
        <w:footnoteRef/>
      </w:r>
      <w:r>
        <w:tab/>
        <w:t>Cette exclusion ne s’applique pas aux actions menées dans les installations exclusivement consacrées au traitement des déchets dangereux non recyclables, ni aux installations existantes, lorsque les actions menées dans le cadre de cette mesure ont pour but d’accroître l’efficacité énergétique, de capter les gaz d’échappement en vue de leur stockage ou de leur utilisation ou de récupérer les matériaux contenus dans les cendres d’incinération, pour autant que les actions menées dans le cadre de cette mesure n’entraînent pas une augmentation de la capacité de traitement des déchets des installations ou une prolongation de la durée de vie des installations; pour lesquelles des preuves sont fournies au niveau de l’usine.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E75C2" w14:textId="77777777" w:rsidR="006E5BC0" w:rsidRPr="006E5BC0" w:rsidRDefault="006E5BC0" w:rsidP="006E5BC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E0530" w14:textId="77777777" w:rsidR="006E5BC0" w:rsidRPr="006E5BC0" w:rsidRDefault="006E5BC0" w:rsidP="006E5BC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762CF" w14:textId="77777777" w:rsidR="006E5BC0" w:rsidRPr="006E5BC0" w:rsidRDefault="006E5BC0" w:rsidP="006E5BC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57AC3" w14:textId="77777777" w:rsidR="000D1388" w:rsidRPr="00ED64B3" w:rsidRDefault="000D13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44DA1" w14:textId="77777777" w:rsidR="00E7770D" w:rsidRDefault="00E71057">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FB664" w14:textId="77777777" w:rsidR="000D1388" w:rsidRPr="00ED64B3" w:rsidRDefault="000D13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1C05E" w14:textId="77777777" w:rsidR="000D1388" w:rsidRPr="00ED64B3" w:rsidRDefault="000D138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66873" w14:textId="77777777" w:rsidR="00E7770D" w:rsidRDefault="00E71057">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59E78" w14:textId="77777777" w:rsidR="000D1388" w:rsidRPr="00ED64B3" w:rsidRDefault="000D13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F4062" w14:textId="77777777" w:rsidR="000D1388" w:rsidRPr="00ED64B3" w:rsidRDefault="000D138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6FEDB" w14:textId="77777777" w:rsidR="00E7770D" w:rsidRDefault="00E71057">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DFE95" w14:textId="77777777" w:rsidR="000D1388" w:rsidRPr="00ED64B3" w:rsidRDefault="000D138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CDE56" w14:textId="77777777" w:rsidR="000D1388" w:rsidRPr="00ED64B3" w:rsidRDefault="000D138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B9545" w14:textId="0F10A725" w:rsidR="00E7770D" w:rsidRPr="000E686E" w:rsidRDefault="00E7770D" w:rsidP="000E686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A871A" w14:textId="77777777" w:rsidR="000D1388" w:rsidRPr="00ED64B3" w:rsidRDefault="000D138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E15EA" w14:textId="77777777" w:rsidR="000D1388" w:rsidRPr="00ED64B3" w:rsidRDefault="000D138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B3D05" w14:textId="152E7D7B" w:rsidR="00E7770D" w:rsidRPr="002D3934" w:rsidRDefault="00E7770D" w:rsidP="002D393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3B8C7" w14:textId="77777777" w:rsidR="000D1388" w:rsidRPr="00ED64B3" w:rsidRDefault="000D138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A8DC2" w14:textId="77777777" w:rsidR="000D1388" w:rsidRPr="00ED64B3" w:rsidRDefault="000D138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0356A" w14:textId="77777777" w:rsidR="00E7770D" w:rsidRDefault="00E71057">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7F711" w14:textId="77777777" w:rsidR="000D1388" w:rsidRPr="00ED64B3" w:rsidRDefault="000D138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8830E" w14:textId="77777777" w:rsidR="000D1388" w:rsidRPr="00ED64B3" w:rsidRDefault="000D138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987A1" w14:textId="77777777" w:rsidR="00E7770D" w:rsidRDefault="00E71057">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E2EB5" w14:textId="77777777" w:rsidR="000D1388" w:rsidRPr="00ED64B3" w:rsidRDefault="000D138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96A40" w14:textId="77777777" w:rsidR="000D1388" w:rsidRPr="00ED64B3" w:rsidRDefault="000D138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EA917" w14:textId="424B411E" w:rsidR="00E7770D" w:rsidRDefault="00E7770D"/>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D19CC" w14:textId="77777777" w:rsidR="000D1388" w:rsidRPr="00ED64B3" w:rsidRDefault="000D138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9059F" w14:textId="77777777" w:rsidR="000D1388" w:rsidRPr="00ED64B3" w:rsidRDefault="000D138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220D0" w14:textId="5C0DECBF" w:rsidR="00E7770D" w:rsidRDefault="00E7770D"/>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5B105" w14:textId="77777777" w:rsidR="000D1388" w:rsidRPr="00ED64B3" w:rsidRDefault="000D138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7C764" w14:textId="77777777" w:rsidR="000D1388" w:rsidRPr="00ED64B3" w:rsidRDefault="000D138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12A74" w14:textId="1D4034DB" w:rsidR="00E7770D" w:rsidRDefault="00E7770D"/>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CEB62" w14:textId="77777777" w:rsidR="000D1388" w:rsidRPr="00ED64B3" w:rsidRDefault="000D138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CF660" w14:textId="77777777" w:rsidR="000D1388" w:rsidRPr="00ED64B3" w:rsidRDefault="000D138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AE263" w14:textId="43386464" w:rsidR="00E7770D" w:rsidRDefault="00E7770D"/>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2D2C9" w14:textId="77777777" w:rsidR="000D1388" w:rsidRPr="00ED64B3" w:rsidRDefault="000D138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74163" w14:textId="77777777" w:rsidR="000D1388" w:rsidRPr="00ED64B3" w:rsidRDefault="000D138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C23EF" w14:textId="657017F5" w:rsidR="00E7770D" w:rsidRDefault="00E7770D"/>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57250" w14:textId="77777777" w:rsidR="000D1388" w:rsidRPr="00ED64B3" w:rsidRDefault="000D138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9EBE4" w14:textId="77777777" w:rsidR="000D1388" w:rsidRPr="00ED64B3" w:rsidRDefault="000D138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30FA5" w14:textId="185404B9" w:rsidR="00E7770D" w:rsidRDefault="00E7770D"/>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2D696" w14:textId="77777777" w:rsidR="000D1388" w:rsidRPr="00ED64B3" w:rsidRDefault="000D138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E4F59" w14:textId="77777777" w:rsidR="000D1388" w:rsidRPr="00ED64B3" w:rsidRDefault="000D138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0E9EA" w14:textId="6A45E434" w:rsidR="00E7770D" w:rsidRDefault="00E7770D"/>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582B6" w14:textId="77777777" w:rsidR="000D1388" w:rsidRPr="00ED64B3" w:rsidRDefault="000D138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E4947" w14:textId="77777777" w:rsidR="000D1388" w:rsidRPr="00ED64B3" w:rsidRDefault="000D138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8AC13" w14:textId="1650852C" w:rsidR="00E7770D" w:rsidRDefault="00E7770D"/>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26357" w14:textId="77777777" w:rsidR="000D1388" w:rsidRPr="00ED64B3" w:rsidRDefault="000D138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2664E" w14:textId="77777777" w:rsidR="000D1388" w:rsidRPr="00ED64B3" w:rsidRDefault="000D138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EC4EA" w14:textId="11028CF5" w:rsidR="00E7770D" w:rsidRDefault="00E7770D"/>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0EC48" w14:textId="77777777" w:rsidR="000D1388" w:rsidRPr="00ED64B3" w:rsidRDefault="000D138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A97A4" w14:textId="77777777" w:rsidR="000D1388" w:rsidRPr="00ED64B3" w:rsidRDefault="000D138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45235" w14:textId="22E2530B" w:rsidR="00E7770D" w:rsidRDefault="00E7770D"/>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3BBA0" w14:textId="77777777" w:rsidR="000D1388" w:rsidRPr="00ED64B3" w:rsidRDefault="000D138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A1DE3" w14:textId="77777777" w:rsidR="000D1388" w:rsidRPr="00ED64B3" w:rsidRDefault="000D138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8815F" w14:textId="5875912D" w:rsidR="00E7770D" w:rsidRDefault="00E7770D"/>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5A80E" w14:textId="77777777" w:rsidR="000D1388" w:rsidRPr="00ED64B3" w:rsidRDefault="000D138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90787" w14:textId="77777777" w:rsidR="000D1388" w:rsidRDefault="000D138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C8447" w14:textId="314F4EEE" w:rsidR="00E7770D" w:rsidRDefault="00E7770D"/>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00556" w14:textId="77777777" w:rsidR="000D1388" w:rsidRDefault="00E71057">
    <w:pPr>
      <w:pStyle w:val="HeaderCouncil"/>
    </w:pPr>
    <w:r>
      <w:t> </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B552E" w14:textId="77777777" w:rsidR="000D1388" w:rsidRPr="00ED64B3" w:rsidRDefault="000D138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228E8" w14:textId="059F3E65" w:rsidR="00E7770D" w:rsidRDefault="00E7770D"/>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D1B83" w14:textId="77777777" w:rsidR="000D1388" w:rsidRPr="00ED64B3" w:rsidRDefault="000D138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8F331" w14:textId="77777777" w:rsidR="000D1388" w:rsidRPr="00ED64B3" w:rsidRDefault="000D138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BF633" w14:textId="1D74C472" w:rsidR="00E7770D" w:rsidRDefault="00E7770D"/>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ED0E5" w14:textId="77777777" w:rsidR="000D1388" w:rsidRPr="00ED64B3" w:rsidRDefault="000D138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8F1B9" w14:textId="77777777" w:rsidR="000D1388" w:rsidRPr="00ED64B3" w:rsidRDefault="000D138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7DEBC" w14:textId="77777777" w:rsidR="00E7770D" w:rsidRDefault="00E71057">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68C49" w14:textId="77777777" w:rsidR="000D1388" w:rsidRPr="00ED64B3" w:rsidRDefault="000D138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5D88F" w14:textId="77777777" w:rsidR="000D1388" w:rsidRPr="00ED64B3" w:rsidRDefault="000D138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72D71" w14:textId="4BD89217" w:rsidR="00E7770D" w:rsidRDefault="00E7770D"/>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078D3" w14:textId="77777777" w:rsidR="000D1388" w:rsidRPr="00ED64B3" w:rsidRDefault="000D138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1779D" w14:textId="77777777" w:rsidR="000D1388" w:rsidRPr="00ED64B3" w:rsidRDefault="000D138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8AFDD" w14:textId="4E6949E8" w:rsidR="00E7770D" w:rsidRDefault="00E7770D"/>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DC841" w14:textId="77777777" w:rsidR="000D1388" w:rsidRPr="00ED64B3" w:rsidRDefault="000D1388">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E6CC6" w14:textId="77777777" w:rsidR="000D1388" w:rsidRPr="00ED64B3" w:rsidRDefault="000D1388">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17683" w14:textId="3845230C" w:rsidR="00E7770D" w:rsidRDefault="00E7770D"/>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26DE0" w14:textId="77777777" w:rsidR="000D1388" w:rsidRPr="00ED64B3" w:rsidRDefault="000D1388">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43EF0" w14:textId="77777777" w:rsidR="000D1388" w:rsidRPr="00ED64B3" w:rsidRDefault="000D1388">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3B47C" w14:textId="77777777" w:rsidR="00E7770D" w:rsidRDefault="00E71057">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87CAC" w14:textId="77777777" w:rsidR="000D1388" w:rsidRPr="00ED64B3" w:rsidRDefault="000D1388">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B57E4" w14:textId="77777777" w:rsidR="000D1388" w:rsidRPr="00ED64B3" w:rsidRDefault="000D1388">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44049" w14:textId="4F5E4E10" w:rsidR="00E7770D" w:rsidRDefault="00E7770D"/>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00EF7" w14:textId="77777777" w:rsidR="000D1388" w:rsidRPr="00ED64B3" w:rsidRDefault="000D1388">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3BC0D" w14:textId="77777777" w:rsidR="000D1388" w:rsidRPr="00ED64B3" w:rsidRDefault="000D1388">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C275B" w14:textId="6FE59952" w:rsidR="00E7770D" w:rsidRDefault="00E7770D"/>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622B8" w14:textId="77777777" w:rsidR="000D1388" w:rsidRPr="00ED64B3" w:rsidRDefault="000D1388">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3F4B4" w14:textId="77777777" w:rsidR="000D1388" w:rsidRPr="00ED64B3" w:rsidRDefault="000D1388">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11F3F" w14:textId="5637D300" w:rsidR="00E7770D" w:rsidRDefault="00E7770D"/>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4D190" w14:textId="77777777" w:rsidR="000D1388" w:rsidRPr="00ED64B3" w:rsidRDefault="000D1388">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8E8B1" w14:textId="77777777" w:rsidR="000D1388" w:rsidRPr="00ED64B3" w:rsidRDefault="000D1388">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C4B1D" w14:textId="1AB8F3CF" w:rsidR="00E7770D" w:rsidRDefault="00E7770D"/>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11975" w14:textId="77777777" w:rsidR="000D1388" w:rsidRPr="00ED64B3" w:rsidRDefault="000D1388">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909D8" w14:textId="77777777" w:rsidR="000D1388" w:rsidRPr="00ED64B3" w:rsidRDefault="000D1388">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75A39" w14:textId="446E04B2" w:rsidR="00E7770D" w:rsidRDefault="00E7770D"/>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A8273" w14:textId="77777777" w:rsidR="000D1388" w:rsidRPr="00ED64B3" w:rsidRDefault="000D1388">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926B2" w14:textId="77777777" w:rsidR="000D1388" w:rsidRPr="00ED64B3" w:rsidRDefault="000D1388">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EB0EE" w14:textId="4BB6F8DB" w:rsidR="00E7770D" w:rsidRDefault="00E7770D"/>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5E50F" w14:textId="77777777" w:rsidR="000D1388" w:rsidRPr="00ED64B3" w:rsidRDefault="000D1388">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2A6BC" w14:textId="77777777" w:rsidR="000D1388" w:rsidRPr="00ED64B3" w:rsidRDefault="000D1388">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A3C38" w14:textId="4575BB61" w:rsidR="00E7770D" w:rsidRDefault="00E7770D"/>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F7F54" w14:textId="77777777" w:rsidR="000D1388" w:rsidRPr="00ED64B3" w:rsidRDefault="000D1388">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DD30D" w14:textId="77777777" w:rsidR="000D1388" w:rsidRPr="00ED64B3" w:rsidRDefault="000D1388">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BC129" w14:textId="50A25F90" w:rsidR="00E7770D" w:rsidRDefault="00E7770D"/>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3526D" w14:textId="77777777" w:rsidR="000D1388" w:rsidRPr="00ED64B3" w:rsidRDefault="000D1388">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40303" w14:textId="77777777" w:rsidR="000D1388" w:rsidRPr="00ED64B3" w:rsidRDefault="000D1388">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230B2" w14:textId="003903AA" w:rsidR="00E7770D" w:rsidRDefault="00E7770D"/>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0F094" w14:textId="77777777" w:rsidR="000D1388" w:rsidRPr="00ED64B3" w:rsidRDefault="000D1388">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98D51" w14:textId="77777777" w:rsidR="000D1388" w:rsidRPr="00ED64B3" w:rsidRDefault="000D1388">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F4309" w14:textId="264E36E6" w:rsidR="00E7770D" w:rsidRDefault="00E7770D"/>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72DBF" w14:textId="77777777" w:rsidR="000D1388" w:rsidRPr="00ED64B3" w:rsidRDefault="000D1388">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82E16" w14:textId="77777777" w:rsidR="000D1388" w:rsidRPr="00ED64B3" w:rsidRDefault="000D1388">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48628" w14:textId="219CDA7E" w:rsidR="00E7770D" w:rsidRDefault="00E7770D"/>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44D65" w14:textId="77777777" w:rsidR="000D1388" w:rsidRPr="00ED64B3" w:rsidRDefault="000D1388">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848FE" w14:textId="77777777" w:rsidR="000D1388" w:rsidRDefault="000D1388">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E1CD1" w14:textId="1976D9D6" w:rsidR="00E7770D" w:rsidRDefault="00E7770D"/>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B1E56" w14:textId="77777777" w:rsidR="000D1388" w:rsidRDefault="000D1388">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9CE1B" w14:textId="77777777" w:rsidR="000D1388" w:rsidRDefault="000D1388">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3CA8C" w14:textId="7F8F93D8" w:rsidR="00E7770D" w:rsidRDefault="00E7770D"/>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46A2F" w14:textId="77777777" w:rsidR="000D1388" w:rsidRDefault="000D1388">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A0C83" w14:textId="77777777" w:rsidR="000D1388" w:rsidRDefault="000D1388">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DB12B" w14:textId="4227D302" w:rsidR="00E7770D" w:rsidRDefault="00E7770D"/>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4A07C" w14:textId="77777777" w:rsidR="000D1388" w:rsidRDefault="000D1388">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40546" w14:textId="77777777" w:rsidR="000D1388" w:rsidRDefault="000D1388">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1F86D" w14:textId="0CD6D237" w:rsidR="00E7770D" w:rsidRDefault="00E7770D"/>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D2E3D" w14:textId="77777777" w:rsidR="000D1388" w:rsidRDefault="000D1388">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A9315" w14:textId="77777777" w:rsidR="000D1388" w:rsidRDefault="000D1388">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155A2" w14:textId="3BE00BFA" w:rsidR="00E7770D" w:rsidRDefault="00E7770D"/>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9EEA0" w14:textId="77777777" w:rsidR="000D1388" w:rsidRDefault="000D1388">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64CF6" w14:textId="77777777" w:rsidR="000D1388" w:rsidRDefault="000D1388">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81D9A" w14:textId="1D383DAE" w:rsidR="00E7770D" w:rsidRDefault="00E7770D"/>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0B3CE" w14:textId="77777777" w:rsidR="000D1388" w:rsidRDefault="000D1388">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14597" w14:textId="77777777" w:rsidR="000D1388" w:rsidRDefault="000D1388">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FDD57" w14:textId="0E306E1D" w:rsidR="00E7770D" w:rsidRDefault="00E7770D"/>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22C1B" w14:textId="77777777" w:rsidR="000D1388" w:rsidRDefault="000D1388">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C65B9" w14:textId="77777777" w:rsidR="000D1388" w:rsidRDefault="000D1388">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50EAA" w14:textId="72FD16EA" w:rsidR="00E7770D" w:rsidRDefault="00E7770D"/>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2E1EB" w14:textId="77777777" w:rsidR="000D1388" w:rsidRDefault="000D1388">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E1323" w14:textId="77777777" w:rsidR="000D1388" w:rsidRDefault="000D1388">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860FC" w14:textId="7264FAAD" w:rsidR="00E7770D" w:rsidRDefault="00E7770D"/>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0A362" w14:textId="77777777" w:rsidR="000D1388" w:rsidRDefault="000D1388">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90A81" w14:textId="77777777" w:rsidR="000D1388" w:rsidRPr="00ED64B3" w:rsidRDefault="000D1388">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98CE4" w14:textId="26F1BFCD" w:rsidR="00E7770D" w:rsidRDefault="00E7770D"/>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5A40C" w14:textId="77777777" w:rsidR="000D1388" w:rsidRPr="00ED64B3" w:rsidRDefault="000D1388">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356A4" w14:textId="77777777" w:rsidR="000D1388" w:rsidRPr="00ED64B3" w:rsidRDefault="000D1388">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5F99A" w14:textId="77777777" w:rsidR="00E7770D" w:rsidRDefault="00E71057">
    <w:r>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BBDA9" w14:textId="77777777" w:rsidR="000D1388" w:rsidRPr="00ED64B3" w:rsidRDefault="000D1388">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73C23" w14:textId="77777777" w:rsidR="000D1388" w:rsidRPr="00ED64B3" w:rsidRDefault="000D1388">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93E12" w14:textId="2357E62E" w:rsidR="00E7770D" w:rsidRDefault="00E7770D"/>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3D26F" w14:textId="77777777" w:rsidR="000D1388" w:rsidRPr="00ED64B3" w:rsidRDefault="000D1388">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98845" w14:textId="77777777" w:rsidR="000D1388" w:rsidRPr="00ED64B3" w:rsidRDefault="000D1388">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542F9" w14:textId="15443D48" w:rsidR="00E7770D" w:rsidRDefault="00E7770D"/>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F5B03" w14:textId="77777777" w:rsidR="000D1388" w:rsidRPr="00ED64B3" w:rsidRDefault="000D13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6D6568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76FB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F6A5B4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268B5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BAD5FF"/>
    <w:multiLevelType w:val="hybridMultilevel"/>
    <w:tmpl w:val="FFFFFFFF"/>
    <w:lvl w:ilvl="0" w:tplc="675CBC7E">
      <w:start w:val="1"/>
      <w:numFmt w:val="bullet"/>
      <w:lvlText w:val="-"/>
      <w:lvlJc w:val="left"/>
      <w:pPr>
        <w:ind w:left="720" w:hanging="360"/>
      </w:pPr>
      <w:rPr>
        <w:rFonts w:ascii="Aptos" w:hAnsi="Aptos" w:hint="default"/>
      </w:rPr>
    </w:lvl>
    <w:lvl w:ilvl="1" w:tplc="9E12A7B0">
      <w:start w:val="1"/>
      <w:numFmt w:val="bullet"/>
      <w:lvlText w:val="o"/>
      <w:lvlJc w:val="left"/>
      <w:pPr>
        <w:ind w:left="1440" w:hanging="360"/>
      </w:pPr>
      <w:rPr>
        <w:rFonts w:ascii="Courier New" w:hAnsi="Courier New" w:hint="default"/>
      </w:rPr>
    </w:lvl>
    <w:lvl w:ilvl="2" w:tplc="A46C57E4">
      <w:start w:val="1"/>
      <w:numFmt w:val="bullet"/>
      <w:lvlText w:val=""/>
      <w:lvlJc w:val="left"/>
      <w:pPr>
        <w:ind w:left="2160" w:hanging="360"/>
      </w:pPr>
      <w:rPr>
        <w:rFonts w:ascii="Wingdings" w:hAnsi="Wingdings" w:hint="default"/>
      </w:rPr>
    </w:lvl>
    <w:lvl w:ilvl="3" w:tplc="20524BD6">
      <w:start w:val="1"/>
      <w:numFmt w:val="bullet"/>
      <w:lvlText w:val=""/>
      <w:lvlJc w:val="left"/>
      <w:pPr>
        <w:ind w:left="2880" w:hanging="360"/>
      </w:pPr>
      <w:rPr>
        <w:rFonts w:ascii="Symbol" w:hAnsi="Symbol" w:hint="default"/>
      </w:rPr>
    </w:lvl>
    <w:lvl w:ilvl="4" w:tplc="D8640E86">
      <w:start w:val="1"/>
      <w:numFmt w:val="bullet"/>
      <w:lvlText w:val="o"/>
      <w:lvlJc w:val="left"/>
      <w:pPr>
        <w:ind w:left="3600" w:hanging="360"/>
      </w:pPr>
      <w:rPr>
        <w:rFonts w:ascii="Courier New" w:hAnsi="Courier New" w:hint="default"/>
      </w:rPr>
    </w:lvl>
    <w:lvl w:ilvl="5" w:tplc="779283E2">
      <w:start w:val="1"/>
      <w:numFmt w:val="bullet"/>
      <w:lvlText w:val=""/>
      <w:lvlJc w:val="left"/>
      <w:pPr>
        <w:ind w:left="4320" w:hanging="360"/>
      </w:pPr>
      <w:rPr>
        <w:rFonts w:ascii="Wingdings" w:hAnsi="Wingdings" w:hint="default"/>
      </w:rPr>
    </w:lvl>
    <w:lvl w:ilvl="6" w:tplc="0C4AB3D8">
      <w:start w:val="1"/>
      <w:numFmt w:val="bullet"/>
      <w:lvlText w:val=""/>
      <w:lvlJc w:val="left"/>
      <w:pPr>
        <w:ind w:left="5040" w:hanging="360"/>
      </w:pPr>
      <w:rPr>
        <w:rFonts w:ascii="Symbol" w:hAnsi="Symbol" w:hint="default"/>
      </w:rPr>
    </w:lvl>
    <w:lvl w:ilvl="7" w:tplc="1C0C5212">
      <w:start w:val="1"/>
      <w:numFmt w:val="bullet"/>
      <w:lvlText w:val="o"/>
      <w:lvlJc w:val="left"/>
      <w:pPr>
        <w:ind w:left="5760" w:hanging="360"/>
      </w:pPr>
      <w:rPr>
        <w:rFonts w:ascii="Courier New" w:hAnsi="Courier New" w:hint="default"/>
      </w:rPr>
    </w:lvl>
    <w:lvl w:ilvl="8" w:tplc="F1725DDE">
      <w:start w:val="1"/>
      <w:numFmt w:val="bullet"/>
      <w:lvlText w:val=""/>
      <w:lvlJc w:val="left"/>
      <w:pPr>
        <w:ind w:left="6480" w:hanging="360"/>
      </w:pPr>
      <w:rPr>
        <w:rFonts w:ascii="Wingdings" w:hAnsi="Wingdings" w:hint="default"/>
      </w:rPr>
    </w:lvl>
  </w:abstractNum>
  <w:abstractNum w:abstractNumId="9" w15:restartNumberingAfterBreak="0">
    <w:nsid w:val="03837AFB"/>
    <w:multiLevelType w:val="hybridMultilevel"/>
    <w:tmpl w:val="C2E0A446"/>
    <w:lvl w:ilvl="0" w:tplc="8E0CC8BE">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045B5649"/>
    <w:multiLevelType w:val="hybridMultilevel"/>
    <w:tmpl w:val="08840EB2"/>
    <w:lvl w:ilvl="0" w:tplc="699031B4">
      <w:start w:val="8"/>
      <w:numFmt w:val="bullet"/>
      <w:lvlText w:val="-"/>
      <w:lvlJc w:val="left"/>
      <w:pPr>
        <w:ind w:left="360" w:hanging="360"/>
      </w:pPr>
      <w:rPr>
        <w:rFonts w:ascii="Times New Roman" w:hAnsi="Times New Roman" w:hint="default"/>
        <w:u w:val="none"/>
      </w:rPr>
    </w:lvl>
    <w:lvl w:ilvl="1" w:tplc="1056FA4E" w:tentative="1">
      <w:start w:val="1"/>
      <w:numFmt w:val="bullet"/>
      <w:lvlText w:val="o"/>
      <w:lvlJc w:val="left"/>
      <w:pPr>
        <w:ind w:left="1080" w:hanging="360"/>
      </w:pPr>
      <w:rPr>
        <w:rFonts w:ascii="Courier New" w:hAnsi="Courier New" w:hint="default"/>
      </w:rPr>
    </w:lvl>
    <w:lvl w:ilvl="2" w:tplc="27EAB2E0" w:tentative="1">
      <w:start w:val="1"/>
      <w:numFmt w:val="bullet"/>
      <w:lvlText w:val=""/>
      <w:lvlJc w:val="left"/>
      <w:pPr>
        <w:ind w:left="1800" w:hanging="360"/>
      </w:pPr>
      <w:rPr>
        <w:rFonts w:ascii="Wingdings" w:hAnsi="Wingdings" w:hint="default"/>
      </w:rPr>
    </w:lvl>
    <w:lvl w:ilvl="3" w:tplc="B8BED47C" w:tentative="1">
      <w:start w:val="1"/>
      <w:numFmt w:val="bullet"/>
      <w:lvlText w:val=""/>
      <w:lvlJc w:val="left"/>
      <w:pPr>
        <w:ind w:left="2520" w:hanging="360"/>
      </w:pPr>
      <w:rPr>
        <w:rFonts w:ascii="Symbol" w:hAnsi="Symbol" w:hint="default"/>
      </w:rPr>
    </w:lvl>
    <w:lvl w:ilvl="4" w:tplc="3FCA86A0" w:tentative="1">
      <w:start w:val="1"/>
      <w:numFmt w:val="bullet"/>
      <w:lvlText w:val="o"/>
      <w:lvlJc w:val="left"/>
      <w:pPr>
        <w:ind w:left="3240" w:hanging="360"/>
      </w:pPr>
      <w:rPr>
        <w:rFonts w:ascii="Courier New" w:hAnsi="Courier New" w:hint="default"/>
      </w:rPr>
    </w:lvl>
    <w:lvl w:ilvl="5" w:tplc="39165628" w:tentative="1">
      <w:start w:val="1"/>
      <w:numFmt w:val="bullet"/>
      <w:lvlText w:val=""/>
      <w:lvlJc w:val="left"/>
      <w:pPr>
        <w:ind w:left="3960" w:hanging="360"/>
      </w:pPr>
      <w:rPr>
        <w:rFonts w:ascii="Wingdings" w:hAnsi="Wingdings" w:hint="default"/>
      </w:rPr>
    </w:lvl>
    <w:lvl w:ilvl="6" w:tplc="CFB87F3C" w:tentative="1">
      <w:start w:val="1"/>
      <w:numFmt w:val="bullet"/>
      <w:lvlText w:val=""/>
      <w:lvlJc w:val="left"/>
      <w:pPr>
        <w:ind w:left="4680" w:hanging="360"/>
      </w:pPr>
      <w:rPr>
        <w:rFonts w:ascii="Symbol" w:hAnsi="Symbol" w:hint="default"/>
      </w:rPr>
    </w:lvl>
    <w:lvl w:ilvl="7" w:tplc="94482E2E" w:tentative="1">
      <w:start w:val="1"/>
      <w:numFmt w:val="bullet"/>
      <w:lvlText w:val="o"/>
      <w:lvlJc w:val="left"/>
      <w:pPr>
        <w:ind w:left="5400" w:hanging="360"/>
      </w:pPr>
      <w:rPr>
        <w:rFonts w:ascii="Courier New" w:hAnsi="Courier New" w:hint="default"/>
      </w:rPr>
    </w:lvl>
    <w:lvl w:ilvl="8" w:tplc="E0E8CA18" w:tentative="1">
      <w:start w:val="1"/>
      <w:numFmt w:val="bullet"/>
      <w:lvlText w:val=""/>
      <w:lvlJc w:val="left"/>
      <w:pPr>
        <w:ind w:left="6120" w:hanging="360"/>
      </w:pPr>
      <w:rPr>
        <w:rFonts w:ascii="Wingdings" w:hAnsi="Wingdings" w:hint="default"/>
      </w:rPr>
    </w:lvl>
  </w:abstractNum>
  <w:abstractNum w:abstractNumId="11" w15:restartNumberingAfterBreak="0">
    <w:nsid w:val="056115E9"/>
    <w:multiLevelType w:val="hybridMultilevel"/>
    <w:tmpl w:val="0AEEC256"/>
    <w:lvl w:ilvl="0" w:tplc="20F22B0E">
      <w:start w:val="1"/>
      <w:numFmt w:val="bullet"/>
      <w:lvlText w:val=""/>
      <w:lvlJc w:val="left"/>
      <w:pPr>
        <w:ind w:left="1211" w:hanging="360"/>
      </w:pPr>
      <w:rPr>
        <w:rFonts w:ascii="Symbol" w:hAnsi="Symbol" w:hint="default"/>
      </w:rPr>
    </w:lvl>
    <w:lvl w:ilvl="1" w:tplc="3A809364" w:tentative="1">
      <w:start w:val="1"/>
      <w:numFmt w:val="bullet"/>
      <w:lvlText w:val="o"/>
      <w:lvlJc w:val="left"/>
      <w:pPr>
        <w:ind w:left="1931" w:hanging="360"/>
      </w:pPr>
      <w:rPr>
        <w:rFonts w:ascii="Courier New" w:hAnsi="Courier New" w:hint="default"/>
      </w:rPr>
    </w:lvl>
    <w:lvl w:ilvl="2" w:tplc="08200CA0" w:tentative="1">
      <w:start w:val="1"/>
      <w:numFmt w:val="bullet"/>
      <w:lvlText w:val=""/>
      <w:lvlJc w:val="left"/>
      <w:pPr>
        <w:ind w:left="2651" w:hanging="360"/>
      </w:pPr>
      <w:rPr>
        <w:rFonts w:ascii="Wingdings" w:hAnsi="Wingdings" w:hint="default"/>
      </w:rPr>
    </w:lvl>
    <w:lvl w:ilvl="3" w:tplc="D51C2F16" w:tentative="1">
      <w:start w:val="1"/>
      <w:numFmt w:val="bullet"/>
      <w:lvlText w:val=""/>
      <w:lvlJc w:val="left"/>
      <w:pPr>
        <w:ind w:left="3371" w:hanging="360"/>
      </w:pPr>
      <w:rPr>
        <w:rFonts w:ascii="Symbol" w:hAnsi="Symbol" w:hint="default"/>
      </w:rPr>
    </w:lvl>
    <w:lvl w:ilvl="4" w:tplc="E2BC080A" w:tentative="1">
      <w:start w:val="1"/>
      <w:numFmt w:val="bullet"/>
      <w:lvlText w:val="o"/>
      <w:lvlJc w:val="left"/>
      <w:pPr>
        <w:ind w:left="4091" w:hanging="360"/>
      </w:pPr>
      <w:rPr>
        <w:rFonts w:ascii="Courier New" w:hAnsi="Courier New" w:hint="default"/>
      </w:rPr>
    </w:lvl>
    <w:lvl w:ilvl="5" w:tplc="D9926EAA" w:tentative="1">
      <w:start w:val="1"/>
      <w:numFmt w:val="bullet"/>
      <w:lvlText w:val=""/>
      <w:lvlJc w:val="left"/>
      <w:pPr>
        <w:ind w:left="4811" w:hanging="360"/>
      </w:pPr>
      <w:rPr>
        <w:rFonts w:ascii="Wingdings" w:hAnsi="Wingdings" w:hint="default"/>
      </w:rPr>
    </w:lvl>
    <w:lvl w:ilvl="6" w:tplc="07F0F7D4" w:tentative="1">
      <w:start w:val="1"/>
      <w:numFmt w:val="bullet"/>
      <w:lvlText w:val=""/>
      <w:lvlJc w:val="left"/>
      <w:pPr>
        <w:ind w:left="5531" w:hanging="360"/>
      </w:pPr>
      <w:rPr>
        <w:rFonts w:ascii="Symbol" w:hAnsi="Symbol" w:hint="default"/>
      </w:rPr>
    </w:lvl>
    <w:lvl w:ilvl="7" w:tplc="2C2028F0" w:tentative="1">
      <w:start w:val="1"/>
      <w:numFmt w:val="bullet"/>
      <w:lvlText w:val="o"/>
      <w:lvlJc w:val="left"/>
      <w:pPr>
        <w:ind w:left="6251" w:hanging="360"/>
      </w:pPr>
      <w:rPr>
        <w:rFonts w:ascii="Courier New" w:hAnsi="Courier New" w:hint="default"/>
      </w:rPr>
    </w:lvl>
    <w:lvl w:ilvl="8" w:tplc="ED6CFA9A" w:tentative="1">
      <w:start w:val="1"/>
      <w:numFmt w:val="bullet"/>
      <w:lvlText w:val=""/>
      <w:lvlJc w:val="left"/>
      <w:pPr>
        <w:ind w:left="6971" w:hanging="360"/>
      </w:pPr>
      <w:rPr>
        <w:rFonts w:ascii="Wingdings" w:hAnsi="Wingdings" w:hint="default"/>
      </w:rPr>
    </w:lvl>
  </w:abstractNum>
  <w:abstractNum w:abstractNumId="12" w15:restartNumberingAfterBreak="0">
    <w:nsid w:val="062904F0"/>
    <w:multiLevelType w:val="hybridMultilevel"/>
    <w:tmpl w:val="170EF40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BB5467A"/>
    <w:multiLevelType w:val="hybridMultilevel"/>
    <w:tmpl w:val="FEFCC880"/>
    <w:lvl w:ilvl="0" w:tplc="1DC0CD90">
      <w:start w:val="1"/>
      <w:numFmt w:val="bullet"/>
      <w:lvlText w:val=""/>
      <w:lvlJc w:val="left"/>
      <w:pPr>
        <w:ind w:left="720" w:hanging="360"/>
      </w:pPr>
      <w:rPr>
        <w:rFonts w:ascii="Symbol" w:hAnsi="Symbol" w:hint="default"/>
      </w:rPr>
    </w:lvl>
    <w:lvl w:ilvl="1" w:tplc="B3623042" w:tentative="1">
      <w:start w:val="1"/>
      <w:numFmt w:val="bullet"/>
      <w:lvlText w:val="o"/>
      <w:lvlJc w:val="left"/>
      <w:pPr>
        <w:ind w:left="1440" w:hanging="360"/>
      </w:pPr>
      <w:rPr>
        <w:rFonts w:ascii="Courier New" w:hAnsi="Courier New" w:hint="default"/>
      </w:rPr>
    </w:lvl>
    <w:lvl w:ilvl="2" w:tplc="CD724DE6" w:tentative="1">
      <w:start w:val="1"/>
      <w:numFmt w:val="bullet"/>
      <w:lvlText w:val=""/>
      <w:lvlJc w:val="left"/>
      <w:pPr>
        <w:ind w:left="2160" w:hanging="360"/>
      </w:pPr>
      <w:rPr>
        <w:rFonts w:ascii="Wingdings" w:hAnsi="Wingdings" w:hint="default"/>
      </w:rPr>
    </w:lvl>
    <w:lvl w:ilvl="3" w:tplc="E1507988" w:tentative="1">
      <w:start w:val="1"/>
      <w:numFmt w:val="bullet"/>
      <w:lvlText w:val=""/>
      <w:lvlJc w:val="left"/>
      <w:pPr>
        <w:ind w:left="2880" w:hanging="360"/>
      </w:pPr>
      <w:rPr>
        <w:rFonts w:ascii="Symbol" w:hAnsi="Symbol" w:hint="default"/>
      </w:rPr>
    </w:lvl>
    <w:lvl w:ilvl="4" w:tplc="D9344FBA" w:tentative="1">
      <w:start w:val="1"/>
      <w:numFmt w:val="bullet"/>
      <w:lvlText w:val="o"/>
      <w:lvlJc w:val="left"/>
      <w:pPr>
        <w:ind w:left="3600" w:hanging="360"/>
      </w:pPr>
      <w:rPr>
        <w:rFonts w:ascii="Courier New" w:hAnsi="Courier New" w:hint="default"/>
      </w:rPr>
    </w:lvl>
    <w:lvl w:ilvl="5" w:tplc="04627B2A" w:tentative="1">
      <w:start w:val="1"/>
      <w:numFmt w:val="bullet"/>
      <w:lvlText w:val=""/>
      <w:lvlJc w:val="left"/>
      <w:pPr>
        <w:ind w:left="4320" w:hanging="360"/>
      </w:pPr>
      <w:rPr>
        <w:rFonts w:ascii="Wingdings" w:hAnsi="Wingdings" w:hint="default"/>
      </w:rPr>
    </w:lvl>
    <w:lvl w:ilvl="6" w:tplc="5CB065FA" w:tentative="1">
      <w:start w:val="1"/>
      <w:numFmt w:val="bullet"/>
      <w:lvlText w:val=""/>
      <w:lvlJc w:val="left"/>
      <w:pPr>
        <w:ind w:left="5040" w:hanging="360"/>
      </w:pPr>
      <w:rPr>
        <w:rFonts w:ascii="Symbol" w:hAnsi="Symbol" w:hint="default"/>
      </w:rPr>
    </w:lvl>
    <w:lvl w:ilvl="7" w:tplc="7D26C24E" w:tentative="1">
      <w:start w:val="1"/>
      <w:numFmt w:val="bullet"/>
      <w:lvlText w:val="o"/>
      <w:lvlJc w:val="left"/>
      <w:pPr>
        <w:ind w:left="5760" w:hanging="360"/>
      </w:pPr>
      <w:rPr>
        <w:rFonts w:ascii="Courier New" w:hAnsi="Courier New" w:hint="default"/>
      </w:rPr>
    </w:lvl>
    <w:lvl w:ilvl="8" w:tplc="CA92F7F8" w:tentative="1">
      <w:start w:val="1"/>
      <w:numFmt w:val="bullet"/>
      <w:lvlText w:val=""/>
      <w:lvlJc w:val="left"/>
      <w:pPr>
        <w:ind w:left="6480" w:hanging="360"/>
      </w:pPr>
      <w:rPr>
        <w:rFonts w:ascii="Wingdings" w:hAnsi="Wingdings" w:hint="default"/>
      </w:rPr>
    </w:lvl>
  </w:abstractNum>
  <w:abstractNum w:abstractNumId="14" w15:restartNumberingAfterBreak="0">
    <w:nsid w:val="153A144A"/>
    <w:multiLevelType w:val="hybridMultilevel"/>
    <w:tmpl w:val="3F726C16"/>
    <w:lvl w:ilvl="0" w:tplc="CBC6E6FE">
      <w:start w:val="1"/>
      <w:numFmt w:val="bullet"/>
      <w:lvlText w:val=""/>
      <w:lvlJc w:val="left"/>
      <w:pPr>
        <w:ind w:left="720" w:hanging="360"/>
      </w:pPr>
      <w:rPr>
        <w:rFonts w:ascii="Symbol" w:hAnsi="Symbol" w:hint="default"/>
      </w:rPr>
    </w:lvl>
    <w:lvl w:ilvl="1" w:tplc="6324CACE" w:tentative="1">
      <w:start w:val="1"/>
      <w:numFmt w:val="bullet"/>
      <w:lvlText w:val="o"/>
      <w:lvlJc w:val="left"/>
      <w:pPr>
        <w:ind w:left="1440" w:hanging="360"/>
      </w:pPr>
      <w:rPr>
        <w:rFonts w:ascii="Courier New" w:hAnsi="Courier New" w:hint="default"/>
      </w:rPr>
    </w:lvl>
    <w:lvl w:ilvl="2" w:tplc="D6E4A098" w:tentative="1">
      <w:start w:val="1"/>
      <w:numFmt w:val="bullet"/>
      <w:lvlText w:val=""/>
      <w:lvlJc w:val="left"/>
      <w:pPr>
        <w:ind w:left="2160" w:hanging="360"/>
      </w:pPr>
      <w:rPr>
        <w:rFonts w:ascii="Wingdings" w:hAnsi="Wingdings" w:hint="default"/>
      </w:rPr>
    </w:lvl>
    <w:lvl w:ilvl="3" w:tplc="6218A030" w:tentative="1">
      <w:start w:val="1"/>
      <w:numFmt w:val="bullet"/>
      <w:lvlText w:val=""/>
      <w:lvlJc w:val="left"/>
      <w:pPr>
        <w:ind w:left="2880" w:hanging="360"/>
      </w:pPr>
      <w:rPr>
        <w:rFonts w:ascii="Symbol" w:hAnsi="Symbol" w:hint="default"/>
      </w:rPr>
    </w:lvl>
    <w:lvl w:ilvl="4" w:tplc="CEECB6CA" w:tentative="1">
      <w:start w:val="1"/>
      <w:numFmt w:val="bullet"/>
      <w:lvlText w:val="o"/>
      <w:lvlJc w:val="left"/>
      <w:pPr>
        <w:ind w:left="3600" w:hanging="360"/>
      </w:pPr>
      <w:rPr>
        <w:rFonts w:ascii="Courier New" w:hAnsi="Courier New" w:hint="default"/>
      </w:rPr>
    </w:lvl>
    <w:lvl w:ilvl="5" w:tplc="1CDC7EBC" w:tentative="1">
      <w:start w:val="1"/>
      <w:numFmt w:val="bullet"/>
      <w:lvlText w:val=""/>
      <w:lvlJc w:val="left"/>
      <w:pPr>
        <w:ind w:left="4320" w:hanging="360"/>
      </w:pPr>
      <w:rPr>
        <w:rFonts w:ascii="Wingdings" w:hAnsi="Wingdings" w:hint="default"/>
      </w:rPr>
    </w:lvl>
    <w:lvl w:ilvl="6" w:tplc="979CD446" w:tentative="1">
      <w:start w:val="1"/>
      <w:numFmt w:val="bullet"/>
      <w:lvlText w:val=""/>
      <w:lvlJc w:val="left"/>
      <w:pPr>
        <w:ind w:left="5040" w:hanging="360"/>
      </w:pPr>
      <w:rPr>
        <w:rFonts w:ascii="Symbol" w:hAnsi="Symbol" w:hint="default"/>
      </w:rPr>
    </w:lvl>
    <w:lvl w:ilvl="7" w:tplc="328EEA88" w:tentative="1">
      <w:start w:val="1"/>
      <w:numFmt w:val="bullet"/>
      <w:lvlText w:val="o"/>
      <w:lvlJc w:val="left"/>
      <w:pPr>
        <w:ind w:left="5760" w:hanging="360"/>
      </w:pPr>
      <w:rPr>
        <w:rFonts w:ascii="Courier New" w:hAnsi="Courier New" w:hint="default"/>
      </w:rPr>
    </w:lvl>
    <w:lvl w:ilvl="8" w:tplc="01E892B6" w:tentative="1">
      <w:start w:val="1"/>
      <w:numFmt w:val="bullet"/>
      <w:lvlText w:val=""/>
      <w:lvlJc w:val="left"/>
      <w:pPr>
        <w:ind w:left="6480" w:hanging="360"/>
      </w:pPr>
      <w:rPr>
        <w:rFonts w:ascii="Wingdings" w:hAnsi="Wingdings" w:hint="default"/>
      </w:rPr>
    </w:lvl>
  </w:abstractNum>
  <w:abstractNum w:abstractNumId="15" w15:restartNumberingAfterBreak="0">
    <w:nsid w:val="1A600EBE"/>
    <w:multiLevelType w:val="hybridMultilevel"/>
    <w:tmpl w:val="DF5EA6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1D8C4A96"/>
    <w:multiLevelType w:val="hybridMultilevel"/>
    <w:tmpl w:val="FFFFFFFF"/>
    <w:lvl w:ilvl="0" w:tplc="8F32DC9C">
      <w:start w:val="1"/>
      <w:numFmt w:val="lowerRoman"/>
      <w:lvlText w:val="(%1)"/>
      <w:lvlJc w:val="left"/>
      <w:pPr>
        <w:ind w:left="720" w:hanging="360"/>
      </w:pPr>
    </w:lvl>
    <w:lvl w:ilvl="1" w:tplc="E9BE9D0A">
      <w:start w:val="1"/>
      <w:numFmt w:val="lowerLetter"/>
      <w:lvlText w:val="%2."/>
      <w:lvlJc w:val="left"/>
      <w:pPr>
        <w:ind w:left="1440" w:hanging="360"/>
      </w:pPr>
    </w:lvl>
    <w:lvl w:ilvl="2" w:tplc="F6AEFEC8">
      <w:start w:val="1"/>
      <w:numFmt w:val="lowerRoman"/>
      <w:lvlText w:val="%3."/>
      <w:lvlJc w:val="right"/>
      <w:pPr>
        <w:ind w:left="2160" w:hanging="180"/>
      </w:pPr>
    </w:lvl>
    <w:lvl w:ilvl="3" w:tplc="FE468B64">
      <w:start w:val="1"/>
      <w:numFmt w:val="decimal"/>
      <w:lvlText w:val="%4."/>
      <w:lvlJc w:val="left"/>
      <w:pPr>
        <w:ind w:left="2880" w:hanging="360"/>
      </w:pPr>
    </w:lvl>
    <w:lvl w:ilvl="4" w:tplc="F3943460">
      <w:start w:val="1"/>
      <w:numFmt w:val="lowerLetter"/>
      <w:lvlText w:val="%5."/>
      <w:lvlJc w:val="left"/>
      <w:pPr>
        <w:ind w:left="3600" w:hanging="360"/>
      </w:pPr>
    </w:lvl>
    <w:lvl w:ilvl="5" w:tplc="CB007A8E">
      <w:start w:val="1"/>
      <w:numFmt w:val="lowerRoman"/>
      <w:lvlText w:val="%6."/>
      <w:lvlJc w:val="right"/>
      <w:pPr>
        <w:ind w:left="4320" w:hanging="180"/>
      </w:pPr>
    </w:lvl>
    <w:lvl w:ilvl="6" w:tplc="23BA115C">
      <w:start w:val="1"/>
      <w:numFmt w:val="decimal"/>
      <w:lvlText w:val="%7."/>
      <w:lvlJc w:val="left"/>
      <w:pPr>
        <w:ind w:left="5040" w:hanging="360"/>
      </w:pPr>
    </w:lvl>
    <w:lvl w:ilvl="7" w:tplc="42785560">
      <w:start w:val="1"/>
      <w:numFmt w:val="lowerLetter"/>
      <w:lvlText w:val="%8."/>
      <w:lvlJc w:val="left"/>
      <w:pPr>
        <w:ind w:left="5760" w:hanging="360"/>
      </w:pPr>
    </w:lvl>
    <w:lvl w:ilvl="8" w:tplc="BB843FCA">
      <w:start w:val="1"/>
      <w:numFmt w:val="lowerRoman"/>
      <w:lvlText w:val="%9."/>
      <w:lvlJc w:val="right"/>
      <w:pPr>
        <w:ind w:left="6480" w:hanging="180"/>
      </w:pPr>
    </w:lvl>
  </w:abstractNum>
  <w:abstractNum w:abstractNumId="18" w15:restartNumberingAfterBreak="0">
    <w:nsid w:val="1F872CC4"/>
    <w:multiLevelType w:val="hybridMultilevel"/>
    <w:tmpl w:val="1312EA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F9103F4"/>
    <w:multiLevelType w:val="hybridMultilevel"/>
    <w:tmpl w:val="FFFFFFFF"/>
    <w:lvl w:ilvl="0" w:tplc="EEA23BEC">
      <w:start w:val="1"/>
      <w:numFmt w:val="bullet"/>
      <w:lvlText w:val="-"/>
      <w:lvlJc w:val="left"/>
      <w:pPr>
        <w:ind w:left="720" w:hanging="360"/>
      </w:pPr>
      <w:rPr>
        <w:rFonts w:ascii="Calibri" w:hAnsi="Calibri" w:hint="default"/>
      </w:rPr>
    </w:lvl>
    <w:lvl w:ilvl="1" w:tplc="3BAEE196">
      <w:start w:val="1"/>
      <w:numFmt w:val="bullet"/>
      <w:lvlText w:val="o"/>
      <w:lvlJc w:val="left"/>
      <w:pPr>
        <w:ind w:left="1440" w:hanging="360"/>
      </w:pPr>
      <w:rPr>
        <w:rFonts w:ascii="Courier New" w:hAnsi="Courier New" w:hint="default"/>
      </w:rPr>
    </w:lvl>
    <w:lvl w:ilvl="2" w:tplc="FAEE08E0">
      <w:start w:val="1"/>
      <w:numFmt w:val="bullet"/>
      <w:lvlText w:val=""/>
      <w:lvlJc w:val="left"/>
      <w:pPr>
        <w:ind w:left="2160" w:hanging="360"/>
      </w:pPr>
      <w:rPr>
        <w:rFonts w:ascii="Wingdings" w:hAnsi="Wingdings" w:hint="default"/>
      </w:rPr>
    </w:lvl>
    <w:lvl w:ilvl="3" w:tplc="F7984D7E">
      <w:start w:val="1"/>
      <w:numFmt w:val="bullet"/>
      <w:lvlText w:val=""/>
      <w:lvlJc w:val="left"/>
      <w:pPr>
        <w:ind w:left="2880" w:hanging="360"/>
      </w:pPr>
      <w:rPr>
        <w:rFonts w:ascii="Symbol" w:hAnsi="Symbol" w:hint="default"/>
      </w:rPr>
    </w:lvl>
    <w:lvl w:ilvl="4" w:tplc="51A6C69E">
      <w:start w:val="1"/>
      <w:numFmt w:val="bullet"/>
      <w:lvlText w:val="o"/>
      <w:lvlJc w:val="left"/>
      <w:pPr>
        <w:ind w:left="3600" w:hanging="360"/>
      </w:pPr>
      <w:rPr>
        <w:rFonts w:ascii="Courier New" w:hAnsi="Courier New" w:hint="default"/>
      </w:rPr>
    </w:lvl>
    <w:lvl w:ilvl="5" w:tplc="1486DAE8">
      <w:start w:val="1"/>
      <w:numFmt w:val="bullet"/>
      <w:lvlText w:val=""/>
      <w:lvlJc w:val="left"/>
      <w:pPr>
        <w:ind w:left="4320" w:hanging="360"/>
      </w:pPr>
      <w:rPr>
        <w:rFonts w:ascii="Wingdings" w:hAnsi="Wingdings" w:hint="default"/>
      </w:rPr>
    </w:lvl>
    <w:lvl w:ilvl="6" w:tplc="92EA7DD4">
      <w:start w:val="1"/>
      <w:numFmt w:val="bullet"/>
      <w:lvlText w:val=""/>
      <w:lvlJc w:val="left"/>
      <w:pPr>
        <w:ind w:left="5040" w:hanging="360"/>
      </w:pPr>
      <w:rPr>
        <w:rFonts w:ascii="Symbol" w:hAnsi="Symbol" w:hint="default"/>
      </w:rPr>
    </w:lvl>
    <w:lvl w:ilvl="7" w:tplc="BBECD2A6">
      <w:start w:val="1"/>
      <w:numFmt w:val="bullet"/>
      <w:lvlText w:val="o"/>
      <w:lvlJc w:val="left"/>
      <w:pPr>
        <w:ind w:left="5760" w:hanging="360"/>
      </w:pPr>
      <w:rPr>
        <w:rFonts w:ascii="Courier New" w:hAnsi="Courier New" w:hint="default"/>
      </w:rPr>
    </w:lvl>
    <w:lvl w:ilvl="8" w:tplc="ABAA1408">
      <w:start w:val="1"/>
      <w:numFmt w:val="bullet"/>
      <w:lvlText w:val=""/>
      <w:lvlJc w:val="left"/>
      <w:pPr>
        <w:ind w:left="6480" w:hanging="360"/>
      </w:pPr>
      <w:rPr>
        <w:rFonts w:ascii="Wingdings" w:hAnsi="Wingdings" w:hint="default"/>
      </w:rPr>
    </w:lvl>
  </w:abstractNum>
  <w:abstractNum w:abstractNumId="20" w15:restartNumberingAfterBreak="0">
    <w:nsid w:val="22E44180"/>
    <w:multiLevelType w:val="multilevel"/>
    <w:tmpl w:val="72C43302"/>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33F5575"/>
    <w:multiLevelType w:val="hybridMultilevel"/>
    <w:tmpl w:val="4F3C0CCC"/>
    <w:lvl w:ilvl="0" w:tplc="ED5C6F18">
      <w:start w:val="1"/>
      <w:numFmt w:val="decimal"/>
      <w:pStyle w:val="Titresection"/>
      <w:lvlText w:val="%1."/>
      <w:lvlJc w:val="left"/>
      <w:pPr>
        <w:ind w:left="720" w:hanging="360"/>
      </w:pPr>
      <w:rPr>
        <w:rFonts w:hint="default"/>
      </w:rPr>
    </w:lvl>
    <w:lvl w:ilvl="1" w:tplc="61D6B87C">
      <w:start w:val="1"/>
      <w:numFmt w:val="decimal"/>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243D67C3"/>
    <w:multiLevelType w:val="hybridMultilevel"/>
    <w:tmpl w:val="E17CF434"/>
    <w:lvl w:ilvl="0" w:tplc="767A9504">
      <w:start w:val="1"/>
      <w:numFmt w:val="bullet"/>
      <w:lvlText w:val=""/>
      <w:lvlJc w:val="left"/>
      <w:pPr>
        <w:ind w:left="720" w:hanging="360"/>
      </w:pPr>
      <w:rPr>
        <w:rFonts w:ascii="Symbol" w:hAnsi="Symbol" w:hint="default"/>
      </w:rPr>
    </w:lvl>
    <w:lvl w:ilvl="1" w:tplc="53A65BFC" w:tentative="1">
      <w:start w:val="1"/>
      <w:numFmt w:val="bullet"/>
      <w:lvlText w:val="o"/>
      <w:lvlJc w:val="left"/>
      <w:pPr>
        <w:ind w:left="1440" w:hanging="360"/>
      </w:pPr>
      <w:rPr>
        <w:rFonts w:ascii="Courier New" w:hAnsi="Courier New" w:hint="default"/>
      </w:rPr>
    </w:lvl>
    <w:lvl w:ilvl="2" w:tplc="3A8A3520" w:tentative="1">
      <w:start w:val="1"/>
      <w:numFmt w:val="bullet"/>
      <w:lvlText w:val=""/>
      <w:lvlJc w:val="left"/>
      <w:pPr>
        <w:ind w:left="2160" w:hanging="360"/>
      </w:pPr>
      <w:rPr>
        <w:rFonts w:ascii="Wingdings" w:hAnsi="Wingdings" w:hint="default"/>
      </w:rPr>
    </w:lvl>
    <w:lvl w:ilvl="3" w:tplc="8ED2A556" w:tentative="1">
      <w:start w:val="1"/>
      <w:numFmt w:val="bullet"/>
      <w:lvlText w:val=""/>
      <w:lvlJc w:val="left"/>
      <w:pPr>
        <w:ind w:left="2880" w:hanging="360"/>
      </w:pPr>
      <w:rPr>
        <w:rFonts w:ascii="Symbol" w:hAnsi="Symbol" w:hint="default"/>
      </w:rPr>
    </w:lvl>
    <w:lvl w:ilvl="4" w:tplc="561CC588" w:tentative="1">
      <w:start w:val="1"/>
      <w:numFmt w:val="bullet"/>
      <w:lvlText w:val="o"/>
      <w:lvlJc w:val="left"/>
      <w:pPr>
        <w:ind w:left="3600" w:hanging="360"/>
      </w:pPr>
      <w:rPr>
        <w:rFonts w:ascii="Courier New" w:hAnsi="Courier New" w:hint="default"/>
      </w:rPr>
    </w:lvl>
    <w:lvl w:ilvl="5" w:tplc="AB76572E" w:tentative="1">
      <w:start w:val="1"/>
      <w:numFmt w:val="bullet"/>
      <w:lvlText w:val=""/>
      <w:lvlJc w:val="left"/>
      <w:pPr>
        <w:ind w:left="4320" w:hanging="360"/>
      </w:pPr>
      <w:rPr>
        <w:rFonts w:ascii="Wingdings" w:hAnsi="Wingdings" w:hint="default"/>
      </w:rPr>
    </w:lvl>
    <w:lvl w:ilvl="6" w:tplc="F796D974" w:tentative="1">
      <w:start w:val="1"/>
      <w:numFmt w:val="bullet"/>
      <w:lvlText w:val=""/>
      <w:lvlJc w:val="left"/>
      <w:pPr>
        <w:ind w:left="5040" w:hanging="360"/>
      </w:pPr>
      <w:rPr>
        <w:rFonts w:ascii="Symbol" w:hAnsi="Symbol" w:hint="default"/>
      </w:rPr>
    </w:lvl>
    <w:lvl w:ilvl="7" w:tplc="B8F2CBEE" w:tentative="1">
      <w:start w:val="1"/>
      <w:numFmt w:val="bullet"/>
      <w:lvlText w:val="o"/>
      <w:lvlJc w:val="left"/>
      <w:pPr>
        <w:ind w:left="5760" w:hanging="360"/>
      </w:pPr>
      <w:rPr>
        <w:rFonts w:ascii="Courier New" w:hAnsi="Courier New" w:hint="default"/>
      </w:rPr>
    </w:lvl>
    <w:lvl w:ilvl="8" w:tplc="10CA9134" w:tentative="1">
      <w:start w:val="1"/>
      <w:numFmt w:val="bullet"/>
      <w:lvlText w:val=""/>
      <w:lvlJc w:val="left"/>
      <w:pPr>
        <w:ind w:left="6480" w:hanging="360"/>
      </w:pPr>
      <w:rPr>
        <w:rFonts w:ascii="Wingdings" w:hAnsi="Wingdings" w:hint="default"/>
      </w:rPr>
    </w:lvl>
  </w:abstractNum>
  <w:abstractNum w:abstractNumId="23" w15:restartNumberingAfterBreak="0">
    <w:nsid w:val="28353A97"/>
    <w:multiLevelType w:val="hybridMultilevel"/>
    <w:tmpl w:val="E46C8F96"/>
    <w:lvl w:ilvl="0" w:tplc="119AB400">
      <w:start w:val="1"/>
      <w:numFmt w:val="bullet"/>
      <w:lvlText w:val=""/>
      <w:lvlJc w:val="left"/>
      <w:pPr>
        <w:ind w:left="720" w:hanging="360"/>
      </w:pPr>
      <w:rPr>
        <w:rFonts w:ascii="Symbol" w:hAnsi="Symbol" w:hint="default"/>
      </w:rPr>
    </w:lvl>
    <w:lvl w:ilvl="1" w:tplc="019E75B8" w:tentative="1">
      <w:start w:val="1"/>
      <w:numFmt w:val="bullet"/>
      <w:lvlText w:val="o"/>
      <w:lvlJc w:val="left"/>
      <w:pPr>
        <w:ind w:left="1440" w:hanging="360"/>
      </w:pPr>
      <w:rPr>
        <w:rFonts w:ascii="Courier New" w:hAnsi="Courier New" w:hint="default"/>
      </w:rPr>
    </w:lvl>
    <w:lvl w:ilvl="2" w:tplc="81C4D258" w:tentative="1">
      <w:start w:val="1"/>
      <w:numFmt w:val="bullet"/>
      <w:lvlText w:val=""/>
      <w:lvlJc w:val="left"/>
      <w:pPr>
        <w:ind w:left="2160" w:hanging="360"/>
      </w:pPr>
      <w:rPr>
        <w:rFonts w:ascii="Wingdings" w:hAnsi="Wingdings" w:hint="default"/>
      </w:rPr>
    </w:lvl>
    <w:lvl w:ilvl="3" w:tplc="37228F94" w:tentative="1">
      <w:start w:val="1"/>
      <w:numFmt w:val="bullet"/>
      <w:lvlText w:val=""/>
      <w:lvlJc w:val="left"/>
      <w:pPr>
        <w:ind w:left="2880" w:hanging="360"/>
      </w:pPr>
      <w:rPr>
        <w:rFonts w:ascii="Symbol" w:hAnsi="Symbol" w:hint="default"/>
      </w:rPr>
    </w:lvl>
    <w:lvl w:ilvl="4" w:tplc="88FC9774" w:tentative="1">
      <w:start w:val="1"/>
      <w:numFmt w:val="bullet"/>
      <w:lvlText w:val="o"/>
      <w:lvlJc w:val="left"/>
      <w:pPr>
        <w:ind w:left="3600" w:hanging="360"/>
      </w:pPr>
      <w:rPr>
        <w:rFonts w:ascii="Courier New" w:hAnsi="Courier New" w:hint="default"/>
      </w:rPr>
    </w:lvl>
    <w:lvl w:ilvl="5" w:tplc="E7A6796C" w:tentative="1">
      <w:start w:val="1"/>
      <w:numFmt w:val="bullet"/>
      <w:lvlText w:val=""/>
      <w:lvlJc w:val="left"/>
      <w:pPr>
        <w:ind w:left="4320" w:hanging="360"/>
      </w:pPr>
      <w:rPr>
        <w:rFonts w:ascii="Wingdings" w:hAnsi="Wingdings" w:hint="default"/>
      </w:rPr>
    </w:lvl>
    <w:lvl w:ilvl="6" w:tplc="90A21220" w:tentative="1">
      <w:start w:val="1"/>
      <w:numFmt w:val="bullet"/>
      <w:lvlText w:val=""/>
      <w:lvlJc w:val="left"/>
      <w:pPr>
        <w:ind w:left="5040" w:hanging="360"/>
      </w:pPr>
      <w:rPr>
        <w:rFonts w:ascii="Symbol" w:hAnsi="Symbol" w:hint="default"/>
      </w:rPr>
    </w:lvl>
    <w:lvl w:ilvl="7" w:tplc="966AD2D0" w:tentative="1">
      <w:start w:val="1"/>
      <w:numFmt w:val="bullet"/>
      <w:lvlText w:val="o"/>
      <w:lvlJc w:val="left"/>
      <w:pPr>
        <w:ind w:left="5760" w:hanging="360"/>
      </w:pPr>
      <w:rPr>
        <w:rFonts w:ascii="Courier New" w:hAnsi="Courier New" w:hint="default"/>
      </w:rPr>
    </w:lvl>
    <w:lvl w:ilvl="8" w:tplc="262CBF86" w:tentative="1">
      <w:start w:val="1"/>
      <w:numFmt w:val="bullet"/>
      <w:lvlText w:val=""/>
      <w:lvlJc w:val="left"/>
      <w:pPr>
        <w:ind w:left="6480" w:hanging="360"/>
      </w:pPr>
      <w:rPr>
        <w:rFonts w:ascii="Wingdings" w:hAnsi="Wingdings" w:hint="default"/>
      </w:rPr>
    </w:lvl>
  </w:abstractNum>
  <w:abstractNum w:abstractNumId="24" w15:restartNumberingAfterBreak="0">
    <w:nsid w:val="29321018"/>
    <w:multiLevelType w:val="hybridMultilevel"/>
    <w:tmpl w:val="4446BD24"/>
    <w:lvl w:ilvl="0" w:tplc="77F8E12C">
      <w:start w:val="1"/>
      <w:numFmt w:val="bullet"/>
      <w:lvlText w:val=""/>
      <w:lvlJc w:val="left"/>
      <w:pPr>
        <w:ind w:left="360" w:hanging="360"/>
      </w:pPr>
      <w:rPr>
        <w:rFonts w:ascii="Symbol" w:hAnsi="Symbol" w:hint="default"/>
      </w:rPr>
    </w:lvl>
    <w:lvl w:ilvl="1" w:tplc="D67E4CE4" w:tentative="1">
      <w:start w:val="1"/>
      <w:numFmt w:val="bullet"/>
      <w:lvlText w:val="o"/>
      <w:lvlJc w:val="left"/>
      <w:pPr>
        <w:ind w:left="1080" w:hanging="360"/>
      </w:pPr>
      <w:rPr>
        <w:rFonts w:ascii="Courier New" w:hAnsi="Courier New" w:hint="default"/>
      </w:rPr>
    </w:lvl>
    <w:lvl w:ilvl="2" w:tplc="538A4C9A" w:tentative="1">
      <w:start w:val="1"/>
      <w:numFmt w:val="bullet"/>
      <w:lvlText w:val=""/>
      <w:lvlJc w:val="left"/>
      <w:pPr>
        <w:ind w:left="1800" w:hanging="360"/>
      </w:pPr>
      <w:rPr>
        <w:rFonts w:ascii="Wingdings" w:hAnsi="Wingdings" w:hint="default"/>
      </w:rPr>
    </w:lvl>
    <w:lvl w:ilvl="3" w:tplc="4692DE68" w:tentative="1">
      <w:start w:val="1"/>
      <w:numFmt w:val="bullet"/>
      <w:lvlText w:val=""/>
      <w:lvlJc w:val="left"/>
      <w:pPr>
        <w:ind w:left="2520" w:hanging="360"/>
      </w:pPr>
      <w:rPr>
        <w:rFonts w:ascii="Symbol" w:hAnsi="Symbol" w:hint="default"/>
      </w:rPr>
    </w:lvl>
    <w:lvl w:ilvl="4" w:tplc="CC9AC3FC" w:tentative="1">
      <w:start w:val="1"/>
      <w:numFmt w:val="bullet"/>
      <w:lvlText w:val="o"/>
      <w:lvlJc w:val="left"/>
      <w:pPr>
        <w:ind w:left="3240" w:hanging="360"/>
      </w:pPr>
      <w:rPr>
        <w:rFonts w:ascii="Courier New" w:hAnsi="Courier New" w:hint="default"/>
      </w:rPr>
    </w:lvl>
    <w:lvl w:ilvl="5" w:tplc="2FF407DE" w:tentative="1">
      <w:start w:val="1"/>
      <w:numFmt w:val="bullet"/>
      <w:lvlText w:val=""/>
      <w:lvlJc w:val="left"/>
      <w:pPr>
        <w:ind w:left="3960" w:hanging="360"/>
      </w:pPr>
      <w:rPr>
        <w:rFonts w:ascii="Wingdings" w:hAnsi="Wingdings" w:hint="default"/>
      </w:rPr>
    </w:lvl>
    <w:lvl w:ilvl="6" w:tplc="1B7CEE56" w:tentative="1">
      <w:start w:val="1"/>
      <w:numFmt w:val="bullet"/>
      <w:lvlText w:val=""/>
      <w:lvlJc w:val="left"/>
      <w:pPr>
        <w:ind w:left="4680" w:hanging="360"/>
      </w:pPr>
      <w:rPr>
        <w:rFonts w:ascii="Symbol" w:hAnsi="Symbol" w:hint="default"/>
      </w:rPr>
    </w:lvl>
    <w:lvl w:ilvl="7" w:tplc="1F2EAE7C" w:tentative="1">
      <w:start w:val="1"/>
      <w:numFmt w:val="bullet"/>
      <w:lvlText w:val="o"/>
      <w:lvlJc w:val="left"/>
      <w:pPr>
        <w:ind w:left="5400" w:hanging="360"/>
      </w:pPr>
      <w:rPr>
        <w:rFonts w:ascii="Courier New" w:hAnsi="Courier New" w:hint="default"/>
      </w:rPr>
    </w:lvl>
    <w:lvl w:ilvl="8" w:tplc="575E111C" w:tentative="1">
      <w:start w:val="1"/>
      <w:numFmt w:val="bullet"/>
      <w:lvlText w:val=""/>
      <w:lvlJc w:val="left"/>
      <w:pPr>
        <w:ind w:left="6120" w:hanging="360"/>
      </w:pPr>
      <w:rPr>
        <w:rFonts w:ascii="Wingdings" w:hAnsi="Wingdings" w:hint="default"/>
      </w:rPr>
    </w:lvl>
  </w:abstractNum>
  <w:abstractNum w:abstractNumId="25" w15:restartNumberingAfterBreak="0">
    <w:nsid w:val="2A4F4536"/>
    <w:multiLevelType w:val="multilevel"/>
    <w:tmpl w:val="CD70E7E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2B995597"/>
    <w:multiLevelType w:val="hybridMultilevel"/>
    <w:tmpl w:val="A11EA4C4"/>
    <w:lvl w:ilvl="0" w:tplc="A7B0AA22">
      <w:start w:val="1"/>
      <w:numFmt w:val="lowerRoman"/>
      <w:lvlText w:val="%1."/>
      <w:lvlJc w:val="right"/>
      <w:pPr>
        <w:ind w:left="397" w:hanging="57"/>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2FB02DCC"/>
    <w:multiLevelType w:val="hybridMultilevel"/>
    <w:tmpl w:val="736EABCC"/>
    <w:lvl w:ilvl="0" w:tplc="B0286EE2">
      <w:start w:val="1"/>
      <w:numFmt w:val="bullet"/>
      <w:lvlText w:val=""/>
      <w:lvlJc w:val="left"/>
      <w:pPr>
        <w:ind w:left="1210" w:hanging="360"/>
      </w:pPr>
      <w:rPr>
        <w:rFonts w:ascii="Symbol" w:hAnsi="Symbol" w:hint="default"/>
        <w:u w:val="none"/>
      </w:rPr>
    </w:lvl>
    <w:lvl w:ilvl="1" w:tplc="494C7B74" w:tentative="1">
      <w:start w:val="1"/>
      <w:numFmt w:val="bullet"/>
      <w:lvlText w:val="o"/>
      <w:lvlJc w:val="left"/>
      <w:pPr>
        <w:ind w:left="1440" w:hanging="360"/>
      </w:pPr>
      <w:rPr>
        <w:rFonts w:ascii="Courier New" w:hAnsi="Courier New" w:hint="default"/>
      </w:rPr>
    </w:lvl>
    <w:lvl w:ilvl="2" w:tplc="B1BE7328" w:tentative="1">
      <w:start w:val="1"/>
      <w:numFmt w:val="bullet"/>
      <w:lvlText w:val=""/>
      <w:lvlJc w:val="left"/>
      <w:pPr>
        <w:ind w:left="2160" w:hanging="360"/>
      </w:pPr>
      <w:rPr>
        <w:rFonts w:ascii="Wingdings" w:hAnsi="Wingdings" w:hint="default"/>
      </w:rPr>
    </w:lvl>
    <w:lvl w:ilvl="3" w:tplc="41FAA16E" w:tentative="1">
      <w:start w:val="1"/>
      <w:numFmt w:val="bullet"/>
      <w:lvlText w:val=""/>
      <w:lvlJc w:val="left"/>
      <w:pPr>
        <w:ind w:left="2880" w:hanging="360"/>
      </w:pPr>
      <w:rPr>
        <w:rFonts w:ascii="Symbol" w:hAnsi="Symbol" w:hint="default"/>
      </w:rPr>
    </w:lvl>
    <w:lvl w:ilvl="4" w:tplc="91722A78" w:tentative="1">
      <w:start w:val="1"/>
      <w:numFmt w:val="bullet"/>
      <w:lvlText w:val="o"/>
      <w:lvlJc w:val="left"/>
      <w:pPr>
        <w:ind w:left="3600" w:hanging="360"/>
      </w:pPr>
      <w:rPr>
        <w:rFonts w:ascii="Courier New" w:hAnsi="Courier New" w:hint="default"/>
      </w:rPr>
    </w:lvl>
    <w:lvl w:ilvl="5" w:tplc="892E2BCC" w:tentative="1">
      <w:start w:val="1"/>
      <w:numFmt w:val="bullet"/>
      <w:lvlText w:val=""/>
      <w:lvlJc w:val="left"/>
      <w:pPr>
        <w:ind w:left="4320" w:hanging="360"/>
      </w:pPr>
      <w:rPr>
        <w:rFonts w:ascii="Wingdings" w:hAnsi="Wingdings" w:hint="default"/>
      </w:rPr>
    </w:lvl>
    <w:lvl w:ilvl="6" w:tplc="87266520" w:tentative="1">
      <w:start w:val="1"/>
      <w:numFmt w:val="bullet"/>
      <w:lvlText w:val=""/>
      <w:lvlJc w:val="left"/>
      <w:pPr>
        <w:ind w:left="5040" w:hanging="360"/>
      </w:pPr>
      <w:rPr>
        <w:rFonts w:ascii="Symbol" w:hAnsi="Symbol" w:hint="default"/>
      </w:rPr>
    </w:lvl>
    <w:lvl w:ilvl="7" w:tplc="F9A6F244" w:tentative="1">
      <w:start w:val="1"/>
      <w:numFmt w:val="bullet"/>
      <w:lvlText w:val="o"/>
      <w:lvlJc w:val="left"/>
      <w:pPr>
        <w:ind w:left="5760" w:hanging="360"/>
      </w:pPr>
      <w:rPr>
        <w:rFonts w:ascii="Courier New" w:hAnsi="Courier New" w:hint="default"/>
      </w:rPr>
    </w:lvl>
    <w:lvl w:ilvl="8" w:tplc="ADE49538" w:tentative="1">
      <w:start w:val="1"/>
      <w:numFmt w:val="bullet"/>
      <w:lvlText w:val=""/>
      <w:lvlJc w:val="left"/>
      <w:pPr>
        <w:ind w:left="6480" w:hanging="360"/>
      </w:pPr>
      <w:rPr>
        <w:rFonts w:ascii="Wingdings" w:hAnsi="Wingdings" w:hint="default"/>
      </w:rPr>
    </w:lvl>
  </w:abstractNum>
  <w:abstractNum w:abstractNumId="31" w15:restartNumberingAfterBreak="0">
    <w:nsid w:val="3047B5BF"/>
    <w:multiLevelType w:val="hybridMultilevel"/>
    <w:tmpl w:val="01B48EB0"/>
    <w:lvl w:ilvl="0" w:tplc="5EC2D58A">
      <w:start w:val="1"/>
      <w:numFmt w:val="decimal"/>
      <w:lvlText w:val="%1."/>
      <w:lvlJc w:val="left"/>
      <w:pPr>
        <w:ind w:left="720" w:hanging="360"/>
      </w:pPr>
      <w:rPr>
        <w:rFonts w:ascii="Times New Roman" w:hAnsi="Times New Roman" w:hint="default"/>
      </w:rPr>
    </w:lvl>
    <w:lvl w:ilvl="1" w:tplc="9FBECCFE">
      <w:start w:val="1"/>
      <w:numFmt w:val="lowerLetter"/>
      <w:lvlText w:val="%2."/>
      <w:lvlJc w:val="left"/>
      <w:pPr>
        <w:ind w:left="1440" w:hanging="360"/>
      </w:pPr>
    </w:lvl>
    <w:lvl w:ilvl="2" w:tplc="B20CE774">
      <w:start w:val="1"/>
      <w:numFmt w:val="lowerRoman"/>
      <w:lvlText w:val="%3."/>
      <w:lvlJc w:val="right"/>
      <w:pPr>
        <w:ind w:left="2160" w:hanging="180"/>
      </w:pPr>
    </w:lvl>
    <w:lvl w:ilvl="3" w:tplc="E01ADDFC">
      <w:start w:val="1"/>
      <w:numFmt w:val="decimal"/>
      <w:lvlText w:val="%4."/>
      <w:lvlJc w:val="left"/>
      <w:pPr>
        <w:ind w:left="2880" w:hanging="360"/>
      </w:pPr>
    </w:lvl>
    <w:lvl w:ilvl="4" w:tplc="BCDCB926">
      <w:start w:val="1"/>
      <w:numFmt w:val="lowerLetter"/>
      <w:lvlText w:val="%5."/>
      <w:lvlJc w:val="left"/>
      <w:pPr>
        <w:ind w:left="3600" w:hanging="360"/>
      </w:pPr>
    </w:lvl>
    <w:lvl w:ilvl="5" w:tplc="8C04D75E">
      <w:start w:val="1"/>
      <w:numFmt w:val="lowerRoman"/>
      <w:lvlText w:val="%6."/>
      <w:lvlJc w:val="right"/>
      <w:pPr>
        <w:ind w:left="4320" w:hanging="180"/>
      </w:pPr>
    </w:lvl>
    <w:lvl w:ilvl="6" w:tplc="E59412A0">
      <w:start w:val="1"/>
      <w:numFmt w:val="decimal"/>
      <w:lvlText w:val="%7."/>
      <w:lvlJc w:val="left"/>
      <w:pPr>
        <w:ind w:left="5040" w:hanging="360"/>
      </w:pPr>
    </w:lvl>
    <w:lvl w:ilvl="7" w:tplc="D25A8108">
      <w:start w:val="1"/>
      <w:numFmt w:val="lowerLetter"/>
      <w:lvlText w:val="%8."/>
      <w:lvlJc w:val="left"/>
      <w:pPr>
        <w:ind w:left="5760" w:hanging="360"/>
      </w:pPr>
    </w:lvl>
    <w:lvl w:ilvl="8" w:tplc="A704E2CA">
      <w:start w:val="1"/>
      <w:numFmt w:val="lowerRoman"/>
      <w:lvlText w:val="%9."/>
      <w:lvlJc w:val="right"/>
      <w:pPr>
        <w:ind w:left="6480" w:hanging="180"/>
      </w:pPr>
    </w:lvl>
  </w:abstractNum>
  <w:abstractNum w:abstractNumId="32" w15:restartNumberingAfterBreak="0">
    <w:nsid w:val="319ED64C"/>
    <w:multiLevelType w:val="hybridMultilevel"/>
    <w:tmpl w:val="1706BAAA"/>
    <w:lvl w:ilvl="0" w:tplc="B62C3206">
      <w:start w:val="1"/>
      <w:numFmt w:val="bullet"/>
      <w:lvlText w:val="-"/>
      <w:lvlJc w:val="left"/>
      <w:pPr>
        <w:ind w:left="360" w:hanging="360"/>
      </w:pPr>
      <w:rPr>
        <w:rFonts w:ascii="Aptos" w:hAnsi="Aptos" w:hint="default"/>
      </w:rPr>
    </w:lvl>
    <w:lvl w:ilvl="1" w:tplc="A022B028">
      <w:start w:val="1"/>
      <w:numFmt w:val="bullet"/>
      <w:lvlText w:val="o"/>
      <w:lvlJc w:val="left"/>
      <w:pPr>
        <w:ind w:left="1440" w:hanging="360"/>
      </w:pPr>
      <w:rPr>
        <w:rFonts w:ascii="Courier New" w:hAnsi="Courier New" w:hint="default"/>
      </w:rPr>
    </w:lvl>
    <w:lvl w:ilvl="2" w:tplc="6E7CE41E">
      <w:start w:val="1"/>
      <w:numFmt w:val="bullet"/>
      <w:lvlText w:val=""/>
      <w:lvlJc w:val="left"/>
      <w:pPr>
        <w:ind w:left="2160" w:hanging="360"/>
      </w:pPr>
      <w:rPr>
        <w:rFonts w:ascii="Wingdings" w:hAnsi="Wingdings" w:hint="default"/>
      </w:rPr>
    </w:lvl>
    <w:lvl w:ilvl="3" w:tplc="E84EB7AA">
      <w:start w:val="1"/>
      <w:numFmt w:val="bullet"/>
      <w:lvlText w:val=""/>
      <w:lvlJc w:val="left"/>
      <w:pPr>
        <w:ind w:left="2880" w:hanging="360"/>
      </w:pPr>
      <w:rPr>
        <w:rFonts w:ascii="Symbol" w:hAnsi="Symbol" w:hint="default"/>
      </w:rPr>
    </w:lvl>
    <w:lvl w:ilvl="4" w:tplc="7FF43D72">
      <w:start w:val="1"/>
      <w:numFmt w:val="bullet"/>
      <w:lvlText w:val="o"/>
      <w:lvlJc w:val="left"/>
      <w:pPr>
        <w:ind w:left="3600" w:hanging="360"/>
      </w:pPr>
      <w:rPr>
        <w:rFonts w:ascii="Courier New" w:hAnsi="Courier New" w:hint="default"/>
      </w:rPr>
    </w:lvl>
    <w:lvl w:ilvl="5" w:tplc="CFB83EDE">
      <w:start w:val="1"/>
      <w:numFmt w:val="bullet"/>
      <w:lvlText w:val=""/>
      <w:lvlJc w:val="left"/>
      <w:pPr>
        <w:ind w:left="4320" w:hanging="360"/>
      </w:pPr>
      <w:rPr>
        <w:rFonts w:ascii="Wingdings" w:hAnsi="Wingdings" w:hint="default"/>
      </w:rPr>
    </w:lvl>
    <w:lvl w:ilvl="6" w:tplc="2DDCDB30">
      <w:start w:val="1"/>
      <w:numFmt w:val="bullet"/>
      <w:lvlText w:val=""/>
      <w:lvlJc w:val="left"/>
      <w:pPr>
        <w:ind w:left="5040" w:hanging="360"/>
      </w:pPr>
      <w:rPr>
        <w:rFonts w:ascii="Symbol" w:hAnsi="Symbol" w:hint="default"/>
      </w:rPr>
    </w:lvl>
    <w:lvl w:ilvl="7" w:tplc="5BFEB9B8">
      <w:start w:val="1"/>
      <w:numFmt w:val="bullet"/>
      <w:lvlText w:val="o"/>
      <w:lvlJc w:val="left"/>
      <w:pPr>
        <w:ind w:left="5760" w:hanging="360"/>
      </w:pPr>
      <w:rPr>
        <w:rFonts w:ascii="Courier New" w:hAnsi="Courier New" w:hint="default"/>
      </w:rPr>
    </w:lvl>
    <w:lvl w:ilvl="8" w:tplc="3DAC386A">
      <w:start w:val="1"/>
      <w:numFmt w:val="bullet"/>
      <w:lvlText w:val=""/>
      <w:lvlJc w:val="left"/>
      <w:pPr>
        <w:ind w:left="6480" w:hanging="360"/>
      </w:pPr>
      <w:rPr>
        <w:rFonts w:ascii="Wingdings" w:hAnsi="Wingdings" w:hint="default"/>
      </w:rPr>
    </w:lvl>
  </w:abstractNum>
  <w:abstractNum w:abstractNumId="33" w15:restartNumberingAfterBreak="0">
    <w:nsid w:val="325A9D70"/>
    <w:multiLevelType w:val="hybridMultilevel"/>
    <w:tmpl w:val="FFFFFFFF"/>
    <w:lvl w:ilvl="0" w:tplc="92F2B588">
      <w:start w:val="1"/>
      <w:numFmt w:val="decimal"/>
      <w:lvlText w:val="%1."/>
      <w:lvlJc w:val="left"/>
      <w:pPr>
        <w:ind w:left="720" w:hanging="360"/>
      </w:pPr>
      <w:rPr>
        <w:rFonts w:ascii="Aptos" w:hAnsi="Aptos" w:hint="default"/>
      </w:rPr>
    </w:lvl>
    <w:lvl w:ilvl="1" w:tplc="D3202518">
      <w:start w:val="1"/>
      <w:numFmt w:val="lowerLetter"/>
      <w:lvlText w:val="%2."/>
      <w:lvlJc w:val="left"/>
      <w:pPr>
        <w:ind w:left="1440" w:hanging="360"/>
      </w:pPr>
    </w:lvl>
    <w:lvl w:ilvl="2" w:tplc="6B704834">
      <w:start w:val="1"/>
      <w:numFmt w:val="lowerRoman"/>
      <w:lvlText w:val="%3."/>
      <w:lvlJc w:val="right"/>
      <w:pPr>
        <w:ind w:left="2160" w:hanging="180"/>
      </w:pPr>
    </w:lvl>
    <w:lvl w:ilvl="3" w:tplc="74B826A4">
      <w:start w:val="1"/>
      <w:numFmt w:val="decimal"/>
      <w:lvlText w:val="%4."/>
      <w:lvlJc w:val="left"/>
      <w:pPr>
        <w:ind w:left="2880" w:hanging="360"/>
      </w:pPr>
    </w:lvl>
    <w:lvl w:ilvl="4" w:tplc="E3CCC94C">
      <w:start w:val="1"/>
      <w:numFmt w:val="lowerLetter"/>
      <w:lvlText w:val="%5."/>
      <w:lvlJc w:val="left"/>
      <w:pPr>
        <w:ind w:left="3600" w:hanging="360"/>
      </w:pPr>
    </w:lvl>
    <w:lvl w:ilvl="5" w:tplc="1C125D9C">
      <w:start w:val="1"/>
      <w:numFmt w:val="lowerRoman"/>
      <w:lvlText w:val="%6."/>
      <w:lvlJc w:val="right"/>
      <w:pPr>
        <w:ind w:left="4320" w:hanging="180"/>
      </w:pPr>
    </w:lvl>
    <w:lvl w:ilvl="6" w:tplc="91AC0EC8">
      <w:start w:val="1"/>
      <w:numFmt w:val="decimal"/>
      <w:lvlText w:val="%7."/>
      <w:lvlJc w:val="left"/>
      <w:pPr>
        <w:ind w:left="5040" w:hanging="360"/>
      </w:pPr>
    </w:lvl>
    <w:lvl w:ilvl="7" w:tplc="509852B0">
      <w:start w:val="1"/>
      <w:numFmt w:val="lowerLetter"/>
      <w:lvlText w:val="%8."/>
      <w:lvlJc w:val="left"/>
      <w:pPr>
        <w:ind w:left="5760" w:hanging="360"/>
      </w:pPr>
    </w:lvl>
    <w:lvl w:ilvl="8" w:tplc="93640A38">
      <w:start w:val="1"/>
      <w:numFmt w:val="lowerRoman"/>
      <w:lvlText w:val="%9."/>
      <w:lvlJc w:val="right"/>
      <w:pPr>
        <w:ind w:left="6480" w:hanging="180"/>
      </w:pPr>
    </w:lvl>
  </w:abstractNum>
  <w:abstractNum w:abstractNumId="34" w15:restartNumberingAfterBreak="0">
    <w:nsid w:val="33772CE6"/>
    <w:multiLevelType w:val="hybridMultilevel"/>
    <w:tmpl w:val="E406802C"/>
    <w:lvl w:ilvl="0" w:tplc="FFFFFFFF">
      <w:start w:val="1"/>
      <w:numFmt w:val="lowerLetter"/>
      <w:pStyle w:val="Titresous-section"/>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3BC94B12"/>
    <w:multiLevelType w:val="hybridMultilevel"/>
    <w:tmpl w:val="7BFC1808"/>
    <w:lvl w:ilvl="0" w:tplc="8E34C2A8">
      <w:start w:val="1"/>
      <w:numFmt w:val="bullet"/>
      <w:lvlText w:val=""/>
      <w:lvlJc w:val="left"/>
      <w:pPr>
        <w:ind w:left="720" w:hanging="360"/>
      </w:pPr>
      <w:rPr>
        <w:rFonts w:ascii="Symbol" w:hAnsi="Symbol" w:hint="default"/>
      </w:rPr>
    </w:lvl>
    <w:lvl w:ilvl="1" w:tplc="28EE811A" w:tentative="1">
      <w:start w:val="1"/>
      <w:numFmt w:val="bullet"/>
      <w:lvlText w:val="o"/>
      <w:lvlJc w:val="left"/>
      <w:pPr>
        <w:ind w:left="1440" w:hanging="360"/>
      </w:pPr>
      <w:rPr>
        <w:rFonts w:ascii="Courier New" w:hAnsi="Courier New" w:hint="default"/>
      </w:rPr>
    </w:lvl>
    <w:lvl w:ilvl="2" w:tplc="4B56B07E" w:tentative="1">
      <w:start w:val="1"/>
      <w:numFmt w:val="bullet"/>
      <w:lvlText w:val=""/>
      <w:lvlJc w:val="left"/>
      <w:pPr>
        <w:ind w:left="2160" w:hanging="360"/>
      </w:pPr>
      <w:rPr>
        <w:rFonts w:ascii="Wingdings" w:hAnsi="Wingdings" w:hint="default"/>
      </w:rPr>
    </w:lvl>
    <w:lvl w:ilvl="3" w:tplc="851CFD94" w:tentative="1">
      <w:start w:val="1"/>
      <w:numFmt w:val="bullet"/>
      <w:lvlText w:val=""/>
      <w:lvlJc w:val="left"/>
      <w:pPr>
        <w:ind w:left="2880" w:hanging="360"/>
      </w:pPr>
      <w:rPr>
        <w:rFonts w:ascii="Symbol" w:hAnsi="Symbol" w:hint="default"/>
      </w:rPr>
    </w:lvl>
    <w:lvl w:ilvl="4" w:tplc="BFA80B72" w:tentative="1">
      <w:start w:val="1"/>
      <w:numFmt w:val="bullet"/>
      <w:lvlText w:val="o"/>
      <w:lvlJc w:val="left"/>
      <w:pPr>
        <w:ind w:left="3600" w:hanging="360"/>
      </w:pPr>
      <w:rPr>
        <w:rFonts w:ascii="Courier New" w:hAnsi="Courier New" w:hint="default"/>
      </w:rPr>
    </w:lvl>
    <w:lvl w:ilvl="5" w:tplc="8DFA379C" w:tentative="1">
      <w:start w:val="1"/>
      <w:numFmt w:val="bullet"/>
      <w:lvlText w:val=""/>
      <w:lvlJc w:val="left"/>
      <w:pPr>
        <w:ind w:left="4320" w:hanging="360"/>
      </w:pPr>
      <w:rPr>
        <w:rFonts w:ascii="Wingdings" w:hAnsi="Wingdings" w:hint="default"/>
      </w:rPr>
    </w:lvl>
    <w:lvl w:ilvl="6" w:tplc="B2CE3AA8" w:tentative="1">
      <w:start w:val="1"/>
      <w:numFmt w:val="bullet"/>
      <w:lvlText w:val=""/>
      <w:lvlJc w:val="left"/>
      <w:pPr>
        <w:ind w:left="5040" w:hanging="360"/>
      </w:pPr>
      <w:rPr>
        <w:rFonts w:ascii="Symbol" w:hAnsi="Symbol" w:hint="default"/>
      </w:rPr>
    </w:lvl>
    <w:lvl w:ilvl="7" w:tplc="AA90DCE2" w:tentative="1">
      <w:start w:val="1"/>
      <w:numFmt w:val="bullet"/>
      <w:lvlText w:val="o"/>
      <w:lvlJc w:val="left"/>
      <w:pPr>
        <w:ind w:left="5760" w:hanging="360"/>
      </w:pPr>
      <w:rPr>
        <w:rFonts w:ascii="Courier New" w:hAnsi="Courier New" w:hint="default"/>
      </w:rPr>
    </w:lvl>
    <w:lvl w:ilvl="8" w:tplc="8DCAFB84" w:tentative="1">
      <w:start w:val="1"/>
      <w:numFmt w:val="bullet"/>
      <w:lvlText w:val=""/>
      <w:lvlJc w:val="left"/>
      <w:pPr>
        <w:ind w:left="6480" w:hanging="360"/>
      </w:pPr>
      <w:rPr>
        <w:rFonts w:ascii="Wingdings" w:hAnsi="Wingdings" w:hint="default"/>
      </w:rPr>
    </w:lvl>
  </w:abstractNum>
  <w:abstractNum w:abstractNumId="36" w15:restartNumberingAfterBreak="0">
    <w:nsid w:val="3CE75901"/>
    <w:multiLevelType w:val="hybridMultilevel"/>
    <w:tmpl w:val="D8E20884"/>
    <w:lvl w:ilvl="0" w:tplc="2BEA032C">
      <w:start w:val="1"/>
      <w:numFmt w:val="decimal"/>
      <w:lvlText w:val="%1."/>
      <w:lvlJc w:val="left"/>
      <w:pPr>
        <w:ind w:left="360" w:hanging="360"/>
      </w:pPr>
    </w:lvl>
    <w:lvl w:ilvl="1" w:tplc="13CCFABA">
      <w:start w:val="1"/>
      <w:numFmt w:val="lowerLetter"/>
      <w:lvlText w:val="%2."/>
      <w:lvlJc w:val="left"/>
      <w:pPr>
        <w:ind w:left="1080" w:hanging="360"/>
      </w:pPr>
    </w:lvl>
    <w:lvl w:ilvl="2" w:tplc="55FE53E4">
      <w:start w:val="1"/>
      <w:numFmt w:val="lowerRoman"/>
      <w:lvlText w:val="%3."/>
      <w:lvlJc w:val="right"/>
      <w:pPr>
        <w:ind w:left="1800" w:hanging="180"/>
      </w:pPr>
    </w:lvl>
    <w:lvl w:ilvl="3" w:tplc="DFBA5EFA">
      <w:start w:val="1"/>
      <w:numFmt w:val="decimal"/>
      <w:lvlText w:val="%4."/>
      <w:lvlJc w:val="left"/>
      <w:pPr>
        <w:ind w:left="2520" w:hanging="360"/>
      </w:pPr>
    </w:lvl>
    <w:lvl w:ilvl="4" w:tplc="199255B8">
      <w:start w:val="1"/>
      <w:numFmt w:val="lowerLetter"/>
      <w:lvlText w:val="%5."/>
      <w:lvlJc w:val="left"/>
      <w:pPr>
        <w:ind w:left="3240" w:hanging="360"/>
      </w:pPr>
    </w:lvl>
    <w:lvl w:ilvl="5" w:tplc="E39EC93A">
      <w:start w:val="1"/>
      <w:numFmt w:val="lowerRoman"/>
      <w:lvlText w:val="%6."/>
      <w:lvlJc w:val="right"/>
      <w:pPr>
        <w:ind w:left="3960" w:hanging="180"/>
      </w:pPr>
    </w:lvl>
    <w:lvl w:ilvl="6" w:tplc="2B6E66D4">
      <w:start w:val="1"/>
      <w:numFmt w:val="decimal"/>
      <w:lvlText w:val="%7."/>
      <w:lvlJc w:val="left"/>
      <w:pPr>
        <w:ind w:left="4680" w:hanging="360"/>
      </w:pPr>
    </w:lvl>
    <w:lvl w:ilvl="7" w:tplc="682CE100">
      <w:start w:val="1"/>
      <w:numFmt w:val="lowerLetter"/>
      <w:lvlText w:val="%8."/>
      <w:lvlJc w:val="left"/>
      <w:pPr>
        <w:ind w:left="5400" w:hanging="360"/>
      </w:pPr>
    </w:lvl>
    <w:lvl w:ilvl="8" w:tplc="3F3EC022">
      <w:start w:val="1"/>
      <w:numFmt w:val="lowerRoman"/>
      <w:lvlText w:val="%9."/>
      <w:lvlJc w:val="right"/>
      <w:pPr>
        <w:ind w:left="6120" w:hanging="180"/>
      </w:pPr>
    </w:lvl>
  </w:abstractNum>
  <w:abstractNum w:abstractNumId="37" w15:restartNumberingAfterBreak="0">
    <w:nsid w:val="3D215F95"/>
    <w:multiLevelType w:val="hybridMultilevel"/>
    <w:tmpl w:val="340E816C"/>
    <w:lvl w:ilvl="0" w:tplc="ECCA81D2">
      <w:start w:val="8"/>
      <w:numFmt w:val="bullet"/>
      <w:lvlText w:val="-"/>
      <w:lvlJc w:val="left"/>
      <w:pPr>
        <w:ind w:left="1210" w:hanging="360"/>
      </w:pPr>
      <w:rPr>
        <w:rFonts w:ascii="Times New Roman" w:hAnsi="Times New Roman" w:hint="default"/>
        <w:u w:val="none"/>
      </w:rPr>
    </w:lvl>
    <w:lvl w:ilvl="1" w:tplc="D73A5D3A" w:tentative="1">
      <w:start w:val="1"/>
      <w:numFmt w:val="bullet"/>
      <w:lvlText w:val="o"/>
      <w:lvlJc w:val="left"/>
      <w:pPr>
        <w:ind w:left="1930" w:hanging="360"/>
      </w:pPr>
      <w:rPr>
        <w:rFonts w:ascii="Courier New" w:hAnsi="Courier New" w:hint="default"/>
      </w:rPr>
    </w:lvl>
    <w:lvl w:ilvl="2" w:tplc="160C249E" w:tentative="1">
      <w:start w:val="1"/>
      <w:numFmt w:val="bullet"/>
      <w:lvlText w:val=""/>
      <w:lvlJc w:val="left"/>
      <w:pPr>
        <w:ind w:left="2650" w:hanging="360"/>
      </w:pPr>
      <w:rPr>
        <w:rFonts w:ascii="Wingdings" w:hAnsi="Wingdings" w:hint="default"/>
      </w:rPr>
    </w:lvl>
    <w:lvl w:ilvl="3" w:tplc="1018B42A" w:tentative="1">
      <w:start w:val="1"/>
      <w:numFmt w:val="bullet"/>
      <w:lvlText w:val=""/>
      <w:lvlJc w:val="left"/>
      <w:pPr>
        <w:ind w:left="3370" w:hanging="360"/>
      </w:pPr>
      <w:rPr>
        <w:rFonts w:ascii="Symbol" w:hAnsi="Symbol" w:hint="default"/>
      </w:rPr>
    </w:lvl>
    <w:lvl w:ilvl="4" w:tplc="2E328B42" w:tentative="1">
      <w:start w:val="1"/>
      <w:numFmt w:val="bullet"/>
      <w:lvlText w:val="o"/>
      <w:lvlJc w:val="left"/>
      <w:pPr>
        <w:ind w:left="4090" w:hanging="360"/>
      </w:pPr>
      <w:rPr>
        <w:rFonts w:ascii="Courier New" w:hAnsi="Courier New" w:hint="default"/>
      </w:rPr>
    </w:lvl>
    <w:lvl w:ilvl="5" w:tplc="05BA2CE8" w:tentative="1">
      <w:start w:val="1"/>
      <w:numFmt w:val="bullet"/>
      <w:lvlText w:val=""/>
      <w:lvlJc w:val="left"/>
      <w:pPr>
        <w:ind w:left="4810" w:hanging="360"/>
      </w:pPr>
      <w:rPr>
        <w:rFonts w:ascii="Wingdings" w:hAnsi="Wingdings" w:hint="default"/>
      </w:rPr>
    </w:lvl>
    <w:lvl w:ilvl="6" w:tplc="1276A178" w:tentative="1">
      <w:start w:val="1"/>
      <w:numFmt w:val="bullet"/>
      <w:lvlText w:val=""/>
      <w:lvlJc w:val="left"/>
      <w:pPr>
        <w:ind w:left="5530" w:hanging="360"/>
      </w:pPr>
      <w:rPr>
        <w:rFonts w:ascii="Symbol" w:hAnsi="Symbol" w:hint="default"/>
      </w:rPr>
    </w:lvl>
    <w:lvl w:ilvl="7" w:tplc="EF18F4B2" w:tentative="1">
      <w:start w:val="1"/>
      <w:numFmt w:val="bullet"/>
      <w:lvlText w:val="o"/>
      <w:lvlJc w:val="left"/>
      <w:pPr>
        <w:ind w:left="6250" w:hanging="360"/>
      </w:pPr>
      <w:rPr>
        <w:rFonts w:ascii="Courier New" w:hAnsi="Courier New" w:hint="default"/>
      </w:rPr>
    </w:lvl>
    <w:lvl w:ilvl="8" w:tplc="0C905F90" w:tentative="1">
      <w:start w:val="1"/>
      <w:numFmt w:val="bullet"/>
      <w:lvlText w:val=""/>
      <w:lvlJc w:val="left"/>
      <w:pPr>
        <w:ind w:left="6970" w:hanging="360"/>
      </w:pPr>
      <w:rPr>
        <w:rFonts w:ascii="Wingdings" w:hAnsi="Wingdings" w:hint="default"/>
      </w:rPr>
    </w:lvl>
  </w:abstractNum>
  <w:abstractNum w:abstractNumId="38" w15:restartNumberingAfterBreak="0">
    <w:nsid w:val="3D86EFF0"/>
    <w:multiLevelType w:val="hybridMultilevel"/>
    <w:tmpl w:val="8FBA40D2"/>
    <w:lvl w:ilvl="0" w:tplc="3FD65ECE">
      <w:start w:val="1"/>
      <w:numFmt w:val="bullet"/>
      <w:lvlText w:val=""/>
      <w:lvlJc w:val="left"/>
      <w:pPr>
        <w:ind w:left="720" w:hanging="360"/>
      </w:pPr>
      <w:rPr>
        <w:rFonts w:ascii="Symbol" w:hAnsi="Symbol" w:hint="default"/>
      </w:rPr>
    </w:lvl>
    <w:lvl w:ilvl="1" w:tplc="7014413C">
      <w:start w:val="1"/>
      <w:numFmt w:val="bullet"/>
      <w:lvlText w:val="o"/>
      <w:lvlJc w:val="left"/>
      <w:pPr>
        <w:ind w:left="1440" w:hanging="360"/>
      </w:pPr>
      <w:rPr>
        <w:rFonts w:ascii="Courier New" w:hAnsi="Courier New" w:hint="default"/>
      </w:rPr>
    </w:lvl>
    <w:lvl w:ilvl="2" w:tplc="10469D18">
      <w:start w:val="1"/>
      <w:numFmt w:val="bullet"/>
      <w:lvlText w:val=""/>
      <w:lvlJc w:val="left"/>
      <w:pPr>
        <w:ind w:left="2160" w:hanging="360"/>
      </w:pPr>
      <w:rPr>
        <w:rFonts w:ascii="Wingdings" w:hAnsi="Wingdings" w:hint="default"/>
      </w:rPr>
    </w:lvl>
    <w:lvl w:ilvl="3" w:tplc="259883EC">
      <w:start w:val="1"/>
      <w:numFmt w:val="bullet"/>
      <w:lvlText w:val=""/>
      <w:lvlJc w:val="left"/>
      <w:pPr>
        <w:ind w:left="2880" w:hanging="360"/>
      </w:pPr>
      <w:rPr>
        <w:rFonts w:ascii="Symbol" w:hAnsi="Symbol" w:hint="default"/>
      </w:rPr>
    </w:lvl>
    <w:lvl w:ilvl="4" w:tplc="6B8A2F0A">
      <w:start w:val="1"/>
      <w:numFmt w:val="bullet"/>
      <w:lvlText w:val="o"/>
      <w:lvlJc w:val="left"/>
      <w:pPr>
        <w:ind w:left="3600" w:hanging="360"/>
      </w:pPr>
      <w:rPr>
        <w:rFonts w:ascii="Courier New" w:hAnsi="Courier New" w:hint="default"/>
      </w:rPr>
    </w:lvl>
    <w:lvl w:ilvl="5" w:tplc="DB7CD190">
      <w:start w:val="1"/>
      <w:numFmt w:val="bullet"/>
      <w:lvlText w:val=""/>
      <w:lvlJc w:val="left"/>
      <w:pPr>
        <w:ind w:left="4320" w:hanging="360"/>
      </w:pPr>
      <w:rPr>
        <w:rFonts w:ascii="Wingdings" w:hAnsi="Wingdings" w:hint="default"/>
      </w:rPr>
    </w:lvl>
    <w:lvl w:ilvl="6" w:tplc="0708FC5C">
      <w:start w:val="1"/>
      <w:numFmt w:val="bullet"/>
      <w:lvlText w:val=""/>
      <w:lvlJc w:val="left"/>
      <w:pPr>
        <w:ind w:left="5040" w:hanging="360"/>
      </w:pPr>
      <w:rPr>
        <w:rFonts w:ascii="Symbol" w:hAnsi="Symbol" w:hint="default"/>
      </w:rPr>
    </w:lvl>
    <w:lvl w:ilvl="7" w:tplc="161E021A">
      <w:start w:val="1"/>
      <w:numFmt w:val="bullet"/>
      <w:lvlText w:val="o"/>
      <w:lvlJc w:val="left"/>
      <w:pPr>
        <w:ind w:left="5760" w:hanging="360"/>
      </w:pPr>
      <w:rPr>
        <w:rFonts w:ascii="Courier New" w:hAnsi="Courier New" w:hint="default"/>
      </w:rPr>
    </w:lvl>
    <w:lvl w:ilvl="8" w:tplc="F648CB7C">
      <w:start w:val="1"/>
      <w:numFmt w:val="bullet"/>
      <w:lvlText w:val=""/>
      <w:lvlJc w:val="left"/>
      <w:pPr>
        <w:ind w:left="6480" w:hanging="360"/>
      </w:pPr>
      <w:rPr>
        <w:rFonts w:ascii="Wingdings" w:hAnsi="Wingdings" w:hint="default"/>
      </w:rPr>
    </w:lvl>
  </w:abstractNum>
  <w:abstractNum w:abstractNumId="39" w15:restartNumberingAfterBreak="0">
    <w:nsid w:val="3EDA7CD4"/>
    <w:multiLevelType w:val="hybridMultilevel"/>
    <w:tmpl w:val="46882628"/>
    <w:lvl w:ilvl="0" w:tplc="18E0CCA0">
      <w:start w:val="1"/>
      <w:numFmt w:val="bullet"/>
      <w:lvlText w:val=""/>
      <w:lvlJc w:val="left"/>
      <w:pPr>
        <w:ind w:left="720" w:hanging="360"/>
      </w:pPr>
      <w:rPr>
        <w:rFonts w:ascii="Symbol" w:hAnsi="Symbol" w:hint="default"/>
      </w:rPr>
    </w:lvl>
    <w:lvl w:ilvl="1" w:tplc="CBB694AE" w:tentative="1">
      <w:start w:val="1"/>
      <w:numFmt w:val="bullet"/>
      <w:lvlText w:val="o"/>
      <w:lvlJc w:val="left"/>
      <w:pPr>
        <w:ind w:left="1440" w:hanging="360"/>
      </w:pPr>
      <w:rPr>
        <w:rFonts w:ascii="Courier New" w:hAnsi="Courier New" w:hint="default"/>
      </w:rPr>
    </w:lvl>
    <w:lvl w:ilvl="2" w:tplc="84E49BEC" w:tentative="1">
      <w:start w:val="1"/>
      <w:numFmt w:val="bullet"/>
      <w:lvlText w:val=""/>
      <w:lvlJc w:val="left"/>
      <w:pPr>
        <w:ind w:left="2160" w:hanging="360"/>
      </w:pPr>
      <w:rPr>
        <w:rFonts w:ascii="Wingdings" w:hAnsi="Wingdings" w:hint="default"/>
      </w:rPr>
    </w:lvl>
    <w:lvl w:ilvl="3" w:tplc="50A67E7A" w:tentative="1">
      <w:start w:val="1"/>
      <w:numFmt w:val="bullet"/>
      <w:lvlText w:val=""/>
      <w:lvlJc w:val="left"/>
      <w:pPr>
        <w:ind w:left="2880" w:hanging="360"/>
      </w:pPr>
      <w:rPr>
        <w:rFonts w:ascii="Symbol" w:hAnsi="Symbol" w:hint="default"/>
      </w:rPr>
    </w:lvl>
    <w:lvl w:ilvl="4" w:tplc="A77E1856" w:tentative="1">
      <w:start w:val="1"/>
      <w:numFmt w:val="bullet"/>
      <w:lvlText w:val="o"/>
      <w:lvlJc w:val="left"/>
      <w:pPr>
        <w:ind w:left="3600" w:hanging="360"/>
      </w:pPr>
      <w:rPr>
        <w:rFonts w:ascii="Courier New" w:hAnsi="Courier New" w:hint="default"/>
      </w:rPr>
    </w:lvl>
    <w:lvl w:ilvl="5" w:tplc="EBB6268C" w:tentative="1">
      <w:start w:val="1"/>
      <w:numFmt w:val="bullet"/>
      <w:lvlText w:val=""/>
      <w:lvlJc w:val="left"/>
      <w:pPr>
        <w:ind w:left="4320" w:hanging="360"/>
      </w:pPr>
      <w:rPr>
        <w:rFonts w:ascii="Wingdings" w:hAnsi="Wingdings" w:hint="default"/>
      </w:rPr>
    </w:lvl>
    <w:lvl w:ilvl="6" w:tplc="20441584" w:tentative="1">
      <w:start w:val="1"/>
      <w:numFmt w:val="bullet"/>
      <w:lvlText w:val=""/>
      <w:lvlJc w:val="left"/>
      <w:pPr>
        <w:ind w:left="5040" w:hanging="360"/>
      </w:pPr>
      <w:rPr>
        <w:rFonts w:ascii="Symbol" w:hAnsi="Symbol" w:hint="default"/>
      </w:rPr>
    </w:lvl>
    <w:lvl w:ilvl="7" w:tplc="E15298CA" w:tentative="1">
      <w:start w:val="1"/>
      <w:numFmt w:val="bullet"/>
      <w:lvlText w:val="o"/>
      <w:lvlJc w:val="left"/>
      <w:pPr>
        <w:ind w:left="5760" w:hanging="360"/>
      </w:pPr>
      <w:rPr>
        <w:rFonts w:ascii="Courier New" w:hAnsi="Courier New" w:hint="default"/>
      </w:rPr>
    </w:lvl>
    <w:lvl w:ilvl="8" w:tplc="F8C64A4A" w:tentative="1">
      <w:start w:val="1"/>
      <w:numFmt w:val="bullet"/>
      <w:lvlText w:val=""/>
      <w:lvlJc w:val="left"/>
      <w:pPr>
        <w:ind w:left="6480" w:hanging="360"/>
      </w:pPr>
      <w:rPr>
        <w:rFonts w:ascii="Wingdings" w:hAnsi="Wingdings" w:hint="default"/>
      </w:rPr>
    </w:lvl>
  </w:abstractNum>
  <w:abstractNum w:abstractNumId="40" w15:restartNumberingAfterBreak="0">
    <w:nsid w:val="41883A10"/>
    <w:multiLevelType w:val="hybridMultilevel"/>
    <w:tmpl w:val="56DE056C"/>
    <w:lvl w:ilvl="0" w:tplc="8F2057EC">
      <w:start w:val="1"/>
      <w:numFmt w:val="bullet"/>
      <w:lvlText w:val=""/>
      <w:lvlJc w:val="left"/>
      <w:pPr>
        <w:ind w:left="720" w:hanging="360"/>
      </w:pPr>
      <w:rPr>
        <w:rFonts w:ascii="Symbol" w:hAnsi="Symbol" w:hint="default"/>
      </w:rPr>
    </w:lvl>
    <w:lvl w:ilvl="1" w:tplc="584E456C" w:tentative="1">
      <w:start w:val="1"/>
      <w:numFmt w:val="bullet"/>
      <w:lvlText w:val="o"/>
      <w:lvlJc w:val="left"/>
      <w:pPr>
        <w:ind w:left="1440" w:hanging="360"/>
      </w:pPr>
      <w:rPr>
        <w:rFonts w:ascii="Courier New" w:hAnsi="Courier New" w:hint="default"/>
      </w:rPr>
    </w:lvl>
    <w:lvl w:ilvl="2" w:tplc="99DACC1C" w:tentative="1">
      <w:start w:val="1"/>
      <w:numFmt w:val="bullet"/>
      <w:lvlText w:val=""/>
      <w:lvlJc w:val="left"/>
      <w:pPr>
        <w:ind w:left="2160" w:hanging="360"/>
      </w:pPr>
      <w:rPr>
        <w:rFonts w:ascii="Wingdings" w:hAnsi="Wingdings" w:hint="default"/>
      </w:rPr>
    </w:lvl>
    <w:lvl w:ilvl="3" w:tplc="C23CFB7C" w:tentative="1">
      <w:start w:val="1"/>
      <w:numFmt w:val="bullet"/>
      <w:lvlText w:val=""/>
      <w:lvlJc w:val="left"/>
      <w:pPr>
        <w:ind w:left="2880" w:hanging="360"/>
      </w:pPr>
      <w:rPr>
        <w:rFonts w:ascii="Symbol" w:hAnsi="Symbol" w:hint="default"/>
      </w:rPr>
    </w:lvl>
    <w:lvl w:ilvl="4" w:tplc="59F0A69C" w:tentative="1">
      <w:start w:val="1"/>
      <w:numFmt w:val="bullet"/>
      <w:lvlText w:val="o"/>
      <w:lvlJc w:val="left"/>
      <w:pPr>
        <w:ind w:left="3600" w:hanging="360"/>
      </w:pPr>
      <w:rPr>
        <w:rFonts w:ascii="Courier New" w:hAnsi="Courier New" w:hint="default"/>
      </w:rPr>
    </w:lvl>
    <w:lvl w:ilvl="5" w:tplc="4DAE7064" w:tentative="1">
      <w:start w:val="1"/>
      <w:numFmt w:val="bullet"/>
      <w:lvlText w:val=""/>
      <w:lvlJc w:val="left"/>
      <w:pPr>
        <w:ind w:left="4320" w:hanging="360"/>
      </w:pPr>
      <w:rPr>
        <w:rFonts w:ascii="Wingdings" w:hAnsi="Wingdings" w:hint="default"/>
      </w:rPr>
    </w:lvl>
    <w:lvl w:ilvl="6" w:tplc="31EA6CAA" w:tentative="1">
      <w:start w:val="1"/>
      <w:numFmt w:val="bullet"/>
      <w:lvlText w:val=""/>
      <w:lvlJc w:val="left"/>
      <w:pPr>
        <w:ind w:left="5040" w:hanging="360"/>
      </w:pPr>
      <w:rPr>
        <w:rFonts w:ascii="Symbol" w:hAnsi="Symbol" w:hint="default"/>
      </w:rPr>
    </w:lvl>
    <w:lvl w:ilvl="7" w:tplc="49686BDA" w:tentative="1">
      <w:start w:val="1"/>
      <w:numFmt w:val="bullet"/>
      <w:lvlText w:val="o"/>
      <w:lvlJc w:val="left"/>
      <w:pPr>
        <w:ind w:left="5760" w:hanging="360"/>
      </w:pPr>
      <w:rPr>
        <w:rFonts w:ascii="Courier New" w:hAnsi="Courier New" w:hint="default"/>
      </w:rPr>
    </w:lvl>
    <w:lvl w:ilvl="8" w:tplc="EB8023E2" w:tentative="1">
      <w:start w:val="1"/>
      <w:numFmt w:val="bullet"/>
      <w:lvlText w:val=""/>
      <w:lvlJc w:val="left"/>
      <w:pPr>
        <w:ind w:left="6480" w:hanging="360"/>
      </w:pPr>
      <w:rPr>
        <w:rFonts w:ascii="Wingdings" w:hAnsi="Wingdings" w:hint="default"/>
      </w:rPr>
    </w:lvl>
  </w:abstractNum>
  <w:abstractNum w:abstractNumId="4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3" w15:restartNumberingAfterBreak="0">
    <w:nsid w:val="432174BF"/>
    <w:multiLevelType w:val="hybridMultilevel"/>
    <w:tmpl w:val="FFFFFFFF"/>
    <w:lvl w:ilvl="0" w:tplc="3F480FB0">
      <w:start w:val="1"/>
      <w:numFmt w:val="bullet"/>
      <w:lvlText w:val=""/>
      <w:lvlJc w:val="left"/>
      <w:pPr>
        <w:ind w:left="720" w:hanging="360"/>
      </w:pPr>
      <w:rPr>
        <w:rFonts w:ascii="Symbol" w:hAnsi="Symbol" w:hint="default"/>
      </w:rPr>
    </w:lvl>
    <w:lvl w:ilvl="1" w:tplc="53C88B28">
      <w:start w:val="1"/>
      <w:numFmt w:val="bullet"/>
      <w:lvlText w:val="o"/>
      <w:lvlJc w:val="left"/>
      <w:pPr>
        <w:ind w:left="1440" w:hanging="360"/>
      </w:pPr>
      <w:rPr>
        <w:rFonts w:ascii="Courier New" w:hAnsi="Courier New" w:hint="default"/>
      </w:rPr>
    </w:lvl>
    <w:lvl w:ilvl="2" w:tplc="FBB2635E">
      <w:start w:val="1"/>
      <w:numFmt w:val="bullet"/>
      <w:lvlText w:val=""/>
      <w:lvlJc w:val="left"/>
      <w:pPr>
        <w:ind w:left="2160" w:hanging="360"/>
      </w:pPr>
      <w:rPr>
        <w:rFonts w:ascii="Wingdings" w:hAnsi="Wingdings" w:hint="default"/>
      </w:rPr>
    </w:lvl>
    <w:lvl w:ilvl="3" w:tplc="957058CE">
      <w:start w:val="1"/>
      <w:numFmt w:val="bullet"/>
      <w:lvlText w:val=""/>
      <w:lvlJc w:val="left"/>
      <w:pPr>
        <w:ind w:left="2880" w:hanging="360"/>
      </w:pPr>
      <w:rPr>
        <w:rFonts w:ascii="Symbol" w:hAnsi="Symbol" w:hint="default"/>
      </w:rPr>
    </w:lvl>
    <w:lvl w:ilvl="4" w:tplc="2884C3B2">
      <w:start w:val="1"/>
      <w:numFmt w:val="bullet"/>
      <w:lvlText w:val="o"/>
      <w:lvlJc w:val="left"/>
      <w:pPr>
        <w:ind w:left="3600" w:hanging="360"/>
      </w:pPr>
      <w:rPr>
        <w:rFonts w:ascii="Courier New" w:hAnsi="Courier New" w:hint="default"/>
      </w:rPr>
    </w:lvl>
    <w:lvl w:ilvl="5" w:tplc="3D287E8C">
      <w:start w:val="1"/>
      <w:numFmt w:val="bullet"/>
      <w:lvlText w:val=""/>
      <w:lvlJc w:val="left"/>
      <w:pPr>
        <w:ind w:left="4320" w:hanging="360"/>
      </w:pPr>
      <w:rPr>
        <w:rFonts w:ascii="Wingdings" w:hAnsi="Wingdings" w:hint="default"/>
      </w:rPr>
    </w:lvl>
    <w:lvl w:ilvl="6" w:tplc="4A0E6ABE">
      <w:start w:val="1"/>
      <w:numFmt w:val="bullet"/>
      <w:lvlText w:val=""/>
      <w:lvlJc w:val="left"/>
      <w:pPr>
        <w:ind w:left="5040" w:hanging="360"/>
      </w:pPr>
      <w:rPr>
        <w:rFonts w:ascii="Symbol" w:hAnsi="Symbol" w:hint="default"/>
      </w:rPr>
    </w:lvl>
    <w:lvl w:ilvl="7" w:tplc="9B22F92C">
      <w:start w:val="1"/>
      <w:numFmt w:val="bullet"/>
      <w:lvlText w:val="o"/>
      <w:lvlJc w:val="left"/>
      <w:pPr>
        <w:ind w:left="5760" w:hanging="360"/>
      </w:pPr>
      <w:rPr>
        <w:rFonts w:ascii="Courier New" w:hAnsi="Courier New" w:hint="default"/>
      </w:rPr>
    </w:lvl>
    <w:lvl w:ilvl="8" w:tplc="914450BA">
      <w:start w:val="1"/>
      <w:numFmt w:val="bullet"/>
      <w:lvlText w:val=""/>
      <w:lvlJc w:val="left"/>
      <w:pPr>
        <w:ind w:left="6480" w:hanging="360"/>
      </w:pPr>
      <w:rPr>
        <w:rFonts w:ascii="Wingdings" w:hAnsi="Wingdings" w:hint="default"/>
      </w:rPr>
    </w:lvl>
  </w:abstractNum>
  <w:abstractNum w:abstractNumId="44" w15:restartNumberingAfterBreak="0">
    <w:nsid w:val="43F43978"/>
    <w:multiLevelType w:val="hybridMultilevel"/>
    <w:tmpl w:val="D6ECB57C"/>
    <w:lvl w:ilvl="0" w:tplc="4FE80288">
      <w:start w:val="1"/>
      <w:numFmt w:val="bullet"/>
      <w:lvlText w:val=""/>
      <w:lvlJc w:val="left"/>
      <w:pPr>
        <w:ind w:left="720" w:hanging="360"/>
      </w:pPr>
      <w:rPr>
        <w:rFonts w:ascii="Symbol" w:hAnsi="Symbol" w:hint="default"/>
      </w:rPr>
    </w:lvl>
    <w:lvl w:ilvl="1" w:tplc="62107876" w:tentative="1">
      <w:start w:val="1"/>
      <w:numFmt w:val="bullet"/>
      <w:lvlText w:val="o"/>
      <w:lvlJc w:val="left"/>
      <w:pPr>
        <w:ind w:left="1440" w:hanging="360"/>
      </w:pPr>
      <w:rPr>
        <w:rFonts w:ascii="Courier New" w:hAnsi="Courier New" w:hint="default"/>
      </w:rPr>
    </w:lvl>
    <w:lvl w:ilvl="2" w:tplc="AB8249BE" w:tentative="1">
      <w:start w:val="1"/>
      <w:numFmt w:val="bullet"/>
      <w:lvlText w:val=""/>
      <w:lvlJc w:val="left"/>
      <w:pPr>
        <w:ind w:left="2160" w:hanging="360"/>
      </w:pPr>
      <w:rPr>
        <w:rFonts w:ascii="Wingdings" w:hAnsi="Wingdings" w:hint="default"/>
      </w:rPr>
    </w:lvl>
    <w:lvl w:ilvl="3" w:tplc="85CED5B8" w:tentative="1">
      <w:start w:val="1"/>
      <w:numFmt w:val="bullet"/>
      <w:lvlText w:val=""/>
      <w:lvlJc w:val="left"/>
      <w:pPr>
        <w:ind w:left="2880" w:hanging="360"/>
      </w:pPr>
      <w:rPr>
        <w:rFonts w:ascii="Symbol" w:hAnsi="Symbol" w:hint="default"/>
      </w:rPr>
    </w:lvl>
    <w:lvl w:ilvl="4" w:tplc="8EFE233E" w:tentative="1">
      <w:start w:val="1"/>
      <w:numFmt w:val="bullet"/>
      <w:lvlText w:val="o"/>
      <w:lvlJc w:val="left"/>
      <w:pPr>
        <w:ind w:left="3600" w:hanging="360"/>
      </w:pPr>
      <w:rPr>
        <w:rFonts w:ascii="Courier New" w:hAnsi="Courier New" w:hint="default"/>
      </w:rPr>
    </w:lvl>
    <w:lvl w:ilvl="5" w:tplc="4A76E860" w:tentative="1">
      <w:start w:val="1"/>
      <w:numFmt w:val="bullet"/>
      <w:lvlText w:val=""/>
      <w:lvlJc w:val="left"/>
      <w:pPr>
        <w:ind w:left="4320" w:hanging="360"/>
      </w:pPr>
      <w:rPr>
        <w:rFonts w:ascii="Wingdings" w:hAnsi="Wingdings" w:hint="default"/>
      </w:rPr>
    </w:lvl>
    <w:lvl w:ilvl="6" w:tplc="6FCAF83A" w:tentative="1">
      <w:start w:val="1"/>
      <w:numFmt w:val="bullet"/>
      <w:lvlText w:val=""/>
      <w:lvlJc w:val="left"/>
      <w:pPr>
        <w:ind w:left="5040" w:hanging="360"/>
      </w:pPr>
      <w:rPr>
        <w:rFonts w:ascii="Symbol" w:hAnsi="Symbol" w:hint="default"/>
      </w:rPr>
    </w:lvl>
    <w:lvl w:ilvl="7" w:tplc="7A4C2CEC" w:tentative="1">
      <w:start w:val="1"/>
      <w:numFmt w:val="bullet"/>
      <w:lvlText w:val="o"/>
      <w:lvlJc w:val="left"/>
      <w:pPr>
        <w:ind w:left="5760" w:hanging="360"/>
      </w:pPr>
      <w:rPr>
        <w:rFonts w:ascii="Courier New" w:hAnsi="Courier New" w:hint="default"/>
      </w:rPr>
    </w:lvl>
    <w:lvl w:ilvl="8" w:tplc="E3166134" w:tentative="1">
      <w:start w:val="1"/>
      <w:numFmt w:val="bullet"/>
      <w:lvlText w:val=""/>
      <w:lvlJc w:val="left"/>
      <w:pPr>
        <w:ind w:left="6480" w:hanging="360"/>
      </w:pPr>
      <w:rPr>
        <w:rFonts w:ascii="Wingdings" w:hAnsi="Wingdings" w:hint="default"/>
      </w:rPr>
    </w:lvl>
  </w:abstractNum>
  <w:abstractNum w:abstractNumId="4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6" w15:restartNumberingAfterBreak="0">
    <w:nsid w:val="462AD139"/>
    <w:multiLevelType w:val="hybridMultilevel"/>
    <w:tmpl w:val="FFFFFFFF"/>
    <w:lvl w:ilvl="0" w:tplc="91EC8204">
      <w:start w:val="1"/>
      <w:numFmt w:val="bullet"/>
      <w:lvlText w:val="-"/>
      <w:lvlJc w:val="left"/>
      <w:pPr>
        <w:ind w:left="360" w:hanging="360"/>
      </w:pPr>
      <w:rPr>
        <w:rFonts w:ascii="Aptos" w:hAnsi="Aptos" w:hint="default"/>
      </w:rPr>
    </w:lvl>
    <w:lvl w:ilvl="1" w:tplc="78921982">
      <w:start w:val="1"/>
      <w:numFmt w:val="bullet"/>
      <w:lvlText w:val="o"/>
      <w:lvlJc w:val="left"/>
      <w:pPr>
        <w:ind w:left="1080" w:hanging="360"/>
      </w:pPr>
      <w:rPr>
        <w:rFonts w:ascii="Courier New" w:hAnsi="Courier New" w:hint="default"/>
      </w:rPr>
    </w:lvl>
    <w:lvl w:ilvl="2" w:tplc="FC24BEC4">
      <w:start w:val="1"/>
      <w:numFmt w:val="bullet"/>
      <w:lvlText w:val=""/>
      <w:lvlJc w:val="left"/>
      <w:pPr>
        <w:ind w:left="1800" w:hanging="360"/>
      </w:pPr>
      <w:rPr>
        <w:rFonts w:ascii="Wingdings" w:hAnsi="Wingdings" w:hint="default"/>
      </w:rPr>
    </w:lvl>
    <w:lvl w:ilvl="3" w:tplc="F536DCE8">
      <w:start w:val="1"/>
      <w:numFmt w:val="bullet"/>
      <w:lvlText w:val=""/>
      <w:lvlJc w:val="left"/>
      <w:pPr>
        <w:ind w:left="2520" w:hanging="360"/>
      </w:pPr>
      <w:rPr>
        <w:rFonts w:ascii="Symbol" w:hAnsi="Symbol" w:hint="default"/>
      </w:rPr>
    </w:lvl>
    <w:lvl w:ilvl="4" w:tplc="2C343A8C">
      <w:start w:val="1"/>
      <w:numFmt w:val="bullet"/>
      <w:lvlText w:val="o"/>
      <w:lvlJc w:val="left"/>
      <w:pPr>
        <w:ind w:left="3240" w:hanging="360"/>
      </w:pPr>
      <w:rPr>
        <w:rFonts w:ascii="Courier New" w:hAnsi="Courier New" w:hint="default"/>
      </w:rPr>
    </w:lvl>
    <w:lvl w:ilvl="5" w:tplc="904E96C6">
      <w:start w:val="1"/>
      <w:numFmt w:val="bullet"/>
      <w:lvlText w:val=""/>
      <w:lvlJc w:val="left"/>
      <w:pPr>
        <w:ind w:left="3960" w:hanging="360"/>
      </w:pPr>
      <w:rPr>
        <w:rFonts w:ascii="Wingdings" w:hAnsi="Wingdings" w:hint="default"/>
      </w:rPr>
    </w:lvl>
    <w:lvl w:ilvl="6" w:tplc="BD644F9A">
      <w:start w:val="1"/>
      <w:numFmt w:val="bullet"/>
      <w:lvlText w:val=""/>
      <w:lvlJc w:val="left"/>
      <w:pPr>
        <w:ind w:left="4680" w:hanging="360"/>
      </w:pPr>
      <w:rPr>
        <w:rFonts w:ascii="Symbol" w:hAnsi="Symbol" w:hint="default"/>
      </w:rPr>
    </w:lvl>
    <w:lvl w:ilvl="7" w:tplc="5B7055D4">
      <w:start w:val="1"/>
      <w:numFmt w:val="bullet"/>
      <w:lvlText w:val="o"/>
      <w:lvlJc w:val="left"/>
      <w:pPr>
        <w:ind w:left="5400" w:hanging="360"/>
      </w:pPr>
      <w:rPr>
        <w:rFonts w:ascii="Courier New" w:hAnsi="Courier New" w:hint="default"/>
      </w:rPr>
    </w:lvl>
    <w:lvl w:ilvl="8" w:tplc="33B64F22">
      <w:start w:val="1"/>
      <w:numFmt w:val="bullet"/>
      <w:lvlText w:val=""/>
      <w:lvlJc w:val="left"/>
      <w:pPr>
        <w:ind w:left="6120" w:hanging="360"/>
      </w:pPr>
      <w:rPr>
        <w:rFonts w:ascii="Wingdings" w:hAnsi="Wingdings" w:hint="default"/>
      </w:rPr>
    </w:lvl>
  </w:abstractNum>
  <w:abstractNum w:abstractNumId="47" w15:restartNumberingAfterBreak="0">
    <w:nsid w:val="465698BD"/>
    <w:multiLevelType w:val="hybridMultilevel"/>
    <w:tmpl w:val="FFFFFFFF"/>
    <w:lvl w:ilvl="0" w:tplc="02DE3F2C">
      <w:start w:val="1"/>
      <w:numFmt w:val="lowerRoman"/>
      <w:lvlText w:val="(%1)"/>
      <w:lvlJc w:val="left"/>
      <w:pPr>
        <w:ind w:left="530" w:hanging="360"/>
      </w:pPr>
    </w:lvl>
    <w:lvl w:ilvl="1" w:tplc="C6AC6920">
      <w:start w:val="1"/>
      <w:numFmt w:val="lowerLetter"/>
      <w:lvlText w:val="%2."/>
      <w:lvlJc w:val="left"/>
      <w:pPr>
        <w:ind w:left="1250" w:hanging="360"/>
      </w:pPr>
    </w:lvl>
    <w:lvl w:ilvl="2" w:tplc="4DF06748">
      <w:start w:val="1"/>
      <w:numFmt w:val="lowerRoman"/>
      <w:lvlText w:val="%3."/>
      <w:lvlJc w:val="right"/>
      <w:pPr>
        <w:ind w:left="1970" w:hanging="180"/>
      </w:pPr>
    </w:lvl>
    <w:lvl w:ilvl="3" w:tplc="CB8E8114">
      <w:start w:val="1"/>
      <w:numFmt w:val="decimal"/>
      <w:lvlText w:val="%4."/>
      <w:lvlJc w:val="left"/>
      <w:pPr>
        <w:ind w:left="2690" w:hanging="360"/>
      </w:pPr>
    </w:lvl>
    <w:lvl w:ilvl="4" w:tplc="654CA1B8">
      <w:start w:val="1"/>
      <w:numFmt w:val="lowerLetter"/>
      <w:lvlText w:val="%5."/>
      <w:lvlJc w:val="left"/>
      <w:pPr>
        <w:ind w:left="3410" w:hanging="360"/>
      </w:pPr>
    </w:lvl>
    <w:lvl w:ilvl="5" w:tplc="BFF0D9D4">
      <w:start w:val="1"/>
      <w:numFmt w:val="lowerRoman"/>
      <w:lvlText w:val="%6."/>
      <w:lvlJc w:val="right"/>
      <w:pPr>
        <w:ind w:left="4130" w:hanging="180"/>
      </w:pPr>
    </w:lvl>
    <w:lvl w:ilvl="6" w:tplc="4FF86EB4">
      <w:start w:val="1"/>
      <w:numFmt w:val="decimal"/>
      <w:lvlText w:val="%7."/>
      <w:lvlJc w:val="left"/>
      <w:pPr>
        <w:ind w:left="4850" w:hanging="360"/>
      </w:pPr>
    </w:lvl>
    <w:lvl w:ilvl="7" w:tplc="4D12390C">
      <w:start w:val="1"/>
      <w:numFmt w:val="lowerLetter"/>
      <w:lvlText w:val="%8."/>
      <w:lvlJc w:val="left"/>
      <w:pPr>
        <w:ind w:left="5570" w:hanging="360"/>
      </w:pPr>
    </w:lvl>
    <w:lvl w:ilvl="8" w:tplc="D48EE352">
      <w:start w:val="1"/>
      <w:numFmt w:val="lowerRoman"/>
      <w:lvlText w:val="%9."/>
      <w:lvlJc w:val="right"/>
      <w:pPr>
        <w:ind w:left="6290" w:hanging="180"/>
      </w:pPr>
    </w:lvl>
  </w:abstractNum>
  <w:abstractNum w:abstractNumId="48" w15:restartNumberingAfterBreak="0">
    <w:nsid w:val="4A873EA3"/>
    <w:multiLevelType w:val="hybridMultilevel"/>
    <w:tmpl w:val="FFFFFFFF"/>
    <w:lvl w:ilvl="0" w:tplc="C596AFAC">
      <w:start w:val="1"/>
      <w:numFmt w:val="bullet"/>
      <w:lvlText w:val=""/>
      <w:lvlJc w:val="left"/>
      <w:pPr>
        <w:ind w:left="720" w:hanging="360"/>
      </w:pPr>
      <w:rPr>
        <w:rFonts w:ascii="Symbol" w:hAnsi="Symbol" w:hint="default"/>
      </w:rPr>
    </w:lvl>
    <w:lvl w:ilvl="1" w:tplc="DBB8DE48">
      <w:start w:val="1"/>
      <w:numFmt w:val="bullet"/>
      <w:lvlText w:val="o"/>
      <w:lvlJc w:val="left"/>
      <w:pPr>
        <w:ind w:left="1440" w:hanging="360"/>
      </w:pPr>
      <w:rPr>
        <w:rFonts w:ascii="Courier New" w:hAnsi="Courier New" w:hint="default"/>
      </w:rPr>
    </w:lvl>
    <w:lvl w:ilvl="2" w:tplc="F43C375A">
      <w:start w:val="1"/>
      <w:numFmt w:val="bullet"/>
      <w:lvlText w:val=""/>
      <w:lvlJc w:val="left"/>
      <w:pPr>
        <w:ind w:left="2160" w:hanging="360"/>
      </w:pPr>
      <w:rPr>
        <w:rFonts w:ascii="Wingdings" w:hAnsi="Wingdings" w:hint="default"/>
      </w:rPr>
    </w:lvl>
    <w:lvl w:ilvl="3" w:tplc="C5502D84">
      <w:start w:val="1"/>
      <w:numFmt w:val="bullet"/>
      <w:lvlText w:val=""/>
      <w:lvlJc w:val="left"/>
      <w:pPr>
        <w:ind w:left="2880" w:hanging="360"/>
      </w:pPr>
      <w:rPr>
        <w:rFonts w:ascii="Symbol" w:hAnsi="Symbol" w:hint="default"/>
      </w:rPr>
    </w:lvl>
    <w:lvl w:ilvl="4" w:tplc="A3883F52">
      <w:start w:val="1"/>
      <w:numFmt w:val="bullet"/>
      <w:lvlText w:val="o"/>
      <w:lvlJc w:val="left"/>
      <w:pPr>
        <w:ind w:left="3600" w:hanging="360"/>
      </w:pPr>
      <w:rPr>
        <w:rFonts w:ascii="Courier New" w:hAnsi="Courier New" w:hint="default"/>
      </w:rPr>
    </w:lvl>
    <w:lvl w:ilvl="5" w:tplc="B3F8A3EA">
      <w:start w:val="1"/>
      <w:numFmt w:val="bullet"/>
      <w:lvlText w:val=""/>
      <w:lvlJc w:val="left"/>
      <w:pPr>
        <w:ind w:left="4320" w:hanging="360"/>
      </w:pPr>
      <w:rPr>
        <w:rFonts w:ascii="Wingdings" w:hAnsi="Wingdings" w:hint="default"/>
      </w:rPr>
    </w:lvl>
    <w:lvl w:ilvl="6" w:tplc="E70402D8">
      <w:start w:val="1"/>
      <w:numFmt w:val="bullet"/>
      <w:lvlText w:val=""/>
      <w:lvlJc w:val="left"/>
      <w:pPr>
        <w:ind w:left="5040" w:hanging="360"/>
      </w:pPr>
      <w:rPr>
        <w:rFonts w:ascii="Symbol" w:hAnsi="Symbol" w:hint="default"/>
      </w:rPr>
    </w:lvl>
    <w:lvl w:ilvl="7" w:tplc="7A6AAD1C">
      <w:start w:val="1"/>
      <w:numFmt w:val="bullet"/>
      <w:lvlText w:val="o"/>
      <w:lvlJc w:val="left"/>
      <w:pPr>
        <w:ind w:left="5760" w:hanging="360"/>
      </w:pPr>
      <w:rPr>
        <w:rFonts w:ascii="Courier New" w:hAnsi="Courier New" w:hint="default"/>
      </w:rPr>
    </w:lvl>
    <w:lvl w:ilvl="8" w:tplc="8108A03C">
      <w:start w:val="1"/>
      <w:numFmt w:val="bullet"/>
      <w:lvlText w:val=""/>
      <w:lvlJc w:val="left"/>
      <w:pPr>
        <w:ind w:left="6480" w:hanging="360"/>
      </w:pPr>
      <w:rPr>
        <w:rFonts w:ascii="Wingdings" w:hAnsi="Wingdings" w:hint="default"/>
      </w:rPr>
    </w:lvl>
  </w:abstractNum>
  <w:abstractNum w:abstractNumId="49" w15:restartNumberingAfterBreak="0">
    <w:nsid w:val="4F98418F"/>
    <w:multiLevelType w:val="hybridMultilevel"/>
    <w:tmpl w:val="7E88BA98"/>
    <w:lvl w:ilvl="0" w:tplc="5186FD38">
      <w:start w:val="1"/>
      <w:numFmt w:val="bullet"/>
      <w:lvlText w:val=""/>
      <w:lvlJc w:val="left"/>
      <w:pPr>
        <w:ind w:left="360" w:hanging="360"/>
      </w:pPr>
      <w:rPr>
        <w:rFonts w:ascii="Symbol" w:hAnsi="Symbol" w:hint="default"/>
      </w:rPr>
    </w:lvl>
    <w:lvl w:ilvl="1" w:tplc="D194CA5C" w:tentative="1">
      <w:start w:val="1"/>
      <w:numFmt w:val="bullet"/>
      <w:lvlText w:val="o"/>
      <w:lvlJc w:val="left"/>
      <w:pPr>
        <w:ind w:left="1080" w:hanging="360"/>
      </w:pPr>
      <w:rPr>
        <w:rFonts w:ascii="Courier New" w:hAnsi="Courier New" w:hint="default"/>
      </w:rPr>
    </w:lvl>
    <w:lvl w:ilvl="2" w:tplc="E4008E64" w:tentative="1">
      <w:start w:val="1"/>
      <w:numFmt w:val="bullet"/>
      <w:lvlText w:val=""/>
      <w:lvlJc w:val="left"/>
      <w:pPr>
        <w:ind w:left="1800" w:hanging="360"/>
      </w:pPr>
      <w:rPr>
        <w:rFonts w:ascii="Wingdings" w:hAnsi="Wingdings" w:hint="default"/>
      </w:rPr>
    </w:lvl>
    <w:lvl w:ilvl="3" w:tplc="34EA5C84" w:tentative="1">
      <w:start w:val="1"/>
      <w:numFmt w:val="bullet"/>
      <w:lvlText w:val=""/>
      <w:lvlJc w:val="left"/>
      <w:pPr>
        <w:ind w:left="2520" w:hanging="360"/>
      </w:pPr>
      <w:rPr>
        <w:rFonts w:ascii="Symbol" w:hAnsi="Symbol" w:hint="default"/>
      </w:rPr>
    </w:lvl>
    <w:lvl w:ilvl="4" w:tplc="969444F8" w:tentative="1">
      <w:start w:val="1"/>
      <w:numFmt w:val="bullet"/>
      <w:lvlText w:val="o"/>
      <w:lvlJc w:val="left"/>
      <w:pPr>
        <w:ind w:left="3240" w:hanging="360"/>
      </w:pPr>
      <w:rPr>
        <w:rFonts w:ascii="Courier New" w:hAnsi="Courier New" w:hint="default"/>
      </w:rPr>
    </w:lvl>
    <w:lvl w:ilvl="5" w:tplc="5C045810" w:tentative="1">
      <w:start w:val="1"/>
      <w:numFmt w:val="bullet"/>
      <w:lvlText w:val=""/>
      <w:lvlJc w:val="left"/>
      <w:pPr>
        <w:ind w:left="3960" w:hanging="360"/>
      </w:pPr>
      <w:rPr>
        <w:rFonts w:ascii="Wingdings" w:hAnsi="Wingdings" w:hint="default"/>
      </w:rPr>
    </w:lvl>
    <w:lvl w:ilvl="6" w:tplc="C582C5E8" w:tentative="1">
      <w:start w:val="1"/>
      <w:numFmt w:val="bullet"/>
      <w:lvlText w:val=""/>
      <w:lvlJc w:val="left"/>
      <w:pPr>
        <w:ind w:left="4680" w:hanging="360"/>
      </w:pPr>
      <w:rPr>
        <w:rFonts w:ascii="Symbol" w:hAnsi="Symbol" w:hint="default"/>
      </w:rPr>
    </w:lvl>
    <w:lvl w:ilvl="7" w:tplc="011C0882" w:tentative="1">
      <w:start w:val="1"/>
      <w:numFmt w:val="bullet"/>
      <w:lvlText w:val="o"/>
      <w:lvlJc w:val="left"/>
      <w:pPr>
        <w:ind w:left="5400" w:hanging="360"/>
      </w:pPr>
      <w:rPr>
        <w:rFonts w:ascii="Courier New" w:hAnsi="Courier New" w:hint="default"/>
      </w:rPr>
    </w:lvl>
    <w:lvl w:ilvl="8" w:tplc="B268C334" w:tentative="1">
      <w:start w:val="1"/>
      <w:numFmt w:val="bullet"/>
      <w:lvlText w:val=""/>
      <w:lvlJc w:val="left"/>
      <w:pPr>
        <w:ind w:left="6120" w:hanging="360"/>
      </w:pPr>
      <w:rPr>
        <w:rFonts w:ascii="Wingdings" w:hAnsi="Wingdings" w:hint="default"/>
      </w:rPr>
    </w:lvl>
  </w:abstractNum>
  <w:abstractNum w:abstractNumId="50" w15:restartNumberingAfterBreak="0">
    <w:nsid w:val="55171206"/>
    <w:multiLevelType w:val="hybridMultilevel"/>
    <w:tmpl w:val="606C7AF0"/>
    <w:lvl w:ilvl="0" w:tplc="FFCA9FC4">
      <w:start w:val="1"/>
      <w:numFmt w:val="bullet"/>
      <w:lvlText w:val=""/>
      <w:lvlJc w:val="left"/>
      <w:pPr>
        <w:ind w:left="720" w:hanging="360"/>
      </w:pPr>
      <w:rPr>
        <w:rFonts w:ascii="Symbol" w:hAnsi="Symbol" w:hint="default"/>
      </w:rPr>
    </w:lvl>
    <w:lvl w:ilvl="1" w:tplc="CA944430" w:tentative="1">
      <w:start w:val="1"/>
      <w:numFmt w:val="bullet"/>
      <w:lvlText w:val="o"/>
      <w:lvlJc w:val="left"/>
      <w:pPr>
        <w:ind w:left="1440" w:hanging="360"/>
      </w:pPr>
      <w:rPr>
        <w:rFonts w:ascii="Courier New" w:hAnsi="Courier New" w:hint="default"/>
      </w:rPr>
    </w:lvl>
    <w:lvl w:ilvl="2" w:tplc="72D0245E" w:tentative="1">
      <w:start w:val="1"/>
      <w:numFmt w:val="bullet"/>
      <w:lvlText w:val=""/>
      <w:lvlJc w:val="left"/>
      <w:pPr>
        <w:ind w:left="2160" w:hanging="360"/>
      </w:pPr>
      <w:rPr>
        <w:rFonts w:ascii="Wingdings" w:hAnsi="Wingdings" w:hint="default"/>
      </w:rPr>
    </w:lvl>
    <w:lvl w:ilvl="3" w:tplc="9B9AF53E" w:tentative="1">
      <w:start w:val="1"/>
      <w:numFmt w:val="bullet"/>
      <w:lvlText w:val=""/>
      <w:lvlJc w:val="left"/>
      <w:pPr>
        <w:ind w:left="2880" w:hanging="360"/>
      </w:pPr>
      <w:rPr>
        <w:rFonts w:ascii="Symbol" w:hAnsi="Symbol" w:hint="default"/>
      </w:rPr>
    </w:lvl>
    <w:lvl w:ilvl="4" w:tplc="DA06D6B6" w:tentative="1">
      <w:start w:val="1"/>
      <w:numFmt w:val="bullet"/>
      <w:lvlText w:val="o"/>
      <w:lvlJc w:val="left"/>
      <w:pPr>
        <w:ind w:left="3600" w:hanging="360"/>
      </w:pPr>
      <w:rPr>
        <w:rFonts w:ascii="Courier New" w:hAnsi="Courier New" w:hint="default"/>
      </w:rPr>
    </w:lvl>
    <w:lvl w:ilvl="5" w:tplc="B9569704" w:tentative="1">
      <w:start w:val="1"/>
      <w:numFmt w:val="bullet"/>
      <w:lvlText w:val=""/>
      <w:lvlJc w:val="left"/>
      <w:pPr>
        <w:ind w:left="4320" w:hanging="360"/>
      </w:pPr>
      <w:rPr>
        <w:rFonts w:ascii="Wingdings" w:hAnsi="Wingdings" w:hint="default"/>
      </w:rPr>
    </w:lvl>
    <w:lvl w:ilvl="6" w:tplc="FBC0B712" w:tentative="1">
      <w:start w:val="1"/>
      <w:numFmt w:val="bullet"/>
      <w:lvlText w:val=""/>
      <w:lvlJc w:val="left"/>
      <w:pPr>
        <w:ind w:left="5040" w:hanging="360"/>
      </w:pPr>
      <w:rPr>
        <w:rFonts w:ascii="Symbol" w:hAnsi="Symbol" w:hint="default"/>
      </w:rPr>
    </w:lvl>
    <w:lvl w:ilvl="7" w:tplc="B546F040" w:tentative="1">
      <w:start w:val="1"/>
      <w:numFmt w:val="bullet"/>
      <w:lvlText w:val="o"/>
      <w:lvlJc w:val="left"/>
      <w:pPr>
        <w:ind w:left="5760" w:hanging="360"/>
      </w:pPr>
      <w:rPr>
        <w:rFonts w:ascii="Courier New" w:hAnsi="Courier New" w:hint="default"/>
      </w:rPr>
    </w:lvl>
    <w:lvl w:ilvl="8" w:tplc="691CAFF0" w:tentative="1">
      <w:start w:val="1"/>
      <w:numFmt w:val="bullet"/>
      <w:lvlText w:val=""/>
      <w:lvlJc w:val="left"/>
      <w:pPr>
        <w:ind w:left="6480" w:hanging="360"/>
      </w:pPr>
      <w:rPr>
        <w:rFonts w:ascii="Wingdings" w:hAnsi="Wingdings" w:hint="default"/>
      </w:rPr>
    </w:lvl>
  </w:abstractNum>
  <w:abstractNum w:abstractNumId="5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2" w15:restartNumberingAfterBreak="0">
    <w:nsid w:val="5A51A5EA"/>
    <w:multiLevelType w:val="hybridMultilevel"/>
    <w:tmpl w:val="FFFFFFFF"/>
    <w:lvl w:ilvl="0" w:tplc="E4C600CA">
      <w:start w:val="1"/>
      <w:numFmt w:val="bullet"/>
      <w:lvlText w:val=""/>
      <w:lvlJc w:val="left"/>
      <w:pPr>
        <w:ind w:left="720" w:hanging="360"/>
      </w:pPr>
      <w:rPr>
        <w:rFonts w:ascii="Symbol" w:hAnsi="Symbol" w:hint="default"/>
      </w:rPr>
    </w:lvl>
    <w:lvl w:ilvl="1" w:tplc="8EA829AA">
      <w:start w:val="1"/>
      <w:numFmt w:val="bullet"/>
      <w:lvlText w:val="o"/>
      <w:lvlJc w:val="left"/>
      <w:pPr>
        <w:ind w:left="1440" w:hanging="360"/>
      </w:pPr>
      <w:rPr>
        <w:rFonts w:ascii="Courier New" w:hAnsi="Courier New" w:hint="default"/>
      </w:rPr>
    </w:lvl>
    <w:lvl w:ilvl="2" w:tplc="DC16F8DA">
      <w:start w:val="1"/>
      <w:numFmt w:val="bullet"/>
      <w:lvlText w:val=""/>
      <w:lvlJc w:val="left"/>
      <w:pPr>
        <w:ind w:left="2160" w:hanging="360"/>
      </w:pPr>
      <w:rPr>
        <w:rFonts w:ascii="Wingdings" w:hAnsi="Wingdings" w:hint="default"/>
      </w:rPr>
    </w:lvl>
    <w:lvl w:ilvl="3" w:tplc="60400EB4">
      <w:start w:val="1"/>
      <w:numFmt w:val="bullet"/>
      <w:lvlText w:val=""/>
      <w:lvlJc w:val="left"/>
      <w:pPr>
        <w:ind w:left="2880" w:hanging="360"/>
      </w:pPr>
      <w:rPr>
        <w:rFonts w:ascii="Symbol" w:hAnsi="Symbol" w:hint="default"/>
      </w:rPr>
    </w:lvl>
    <w:lvl w:ilvl="4" w:tplc="7F8ED4C6">
      <w:start w:val="1"/>
      <w:numFmt w:val="bullet"/>
      <w:lvlText w:val="o"/>
      <w:lvlJc w:val="left"/>
      <w:pPr>
        <w:ind w:left="3600" w:hanging="360"/>
      </w:pPr>
      <w:rPr>
        <w:rFonts w:ascii="Courier New" w:hAnsi="Courier New" w:hint="default"/>
      </w:rPr>
    </w:lvl>
    <w:lvl w:ilvl="5" w:tplc="56B83648">
      <w:start w:val="1"/>
      <w:numFmt w:val="bullet"/>
      <w:lvlText w:val=""/>
      <w:lvlJc w:val="left"/>
      <w:pPr>
        <w:ind w:left="4320" w:hanging="360"/>
      </w:pPr>
      <w:rPr>
        <w:rFonts w:ascii="Wingdings" w:hAnsi="Wingdings" w:hint="default"/>
      </w:rPr>
    </w:lvl>
    <w:lvl w:ilvl="6" w:tplc="F7BECD68">
      <w:start w:val="1"/>
      <w:numFmt w:val="bullet"/>
      <w:lvlText w:val=""/>
      <w:lvlJc w:val="left"/>
      <w:pPr>
        <w:ind w:left="5040" w:hanging="360"/>
      </w:pPr>
      <w:rPr>
        <w:rFonts w:ascii="Symbol" w:hAnsi="Symbol" w:hint="default"/>
      </w:rPr>
    </w:lvl>
    <w:lvl w:ilvl="7" w:tplc="8E12DFEE">
      <w:start w:val="1"/>
      <w:numFmt w:val="bullet"/>
      <w:lvlText w:val="o"/>
      <w:lvlJc w:val="left"/>
      <w:pPr>
        <w:ind w:left="5760" w:hanging="360"/>
      </w:pPr>
      <w:rPr>
        <w:rFonts w:ascii="Courier New" w:hAnsi="Courier New" w:hint="default"/>
      </w:rPr>
    </w:lvl>
    <w:lvl w:ilvl="8" w:tplc="34200108">
      <w:start w:val="1"/>
      <w:numFmt w:val="bullet"/>
      <w:lvlText w:val=""/>
      <w:lvlJc w:val="left"/>
      <w:pPr>
        <w:ind w:left="6480" w:hanging="360"/>
      </w:pPr>
      <w:rPr>
        <w:rFonts w:ascii="Wingdings" w:hAnsi="Wingdings" w:hint="default"/>
      </w:rPr>
    </w:lvl>
  </w:abstractNum>
  <w:abstractNum w:abstractNumId="5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6" w15:restartNumberingAfterBreak="0">
    <w:nsid w:val="637129F8"/>
    <w:multiLevelType w:val="multilevel"/>
    <w:tmpl w:val="B4824BD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64A12FA4"/>
    <w:multiLevelType w:val="multilevel"/>
    <w:tmpl w:val="428ECF3E"/>
    <w:name w:val="Heading"/>
    <w:lvl w:ilvl="0">
      <w:start w:val="1"/>
      <w:numFmt w:val="decimal"/>
      <w:lvlRestart w:val="0"/>
      <w:lvlText w:val="%1."/>
      <w:lvlJc w:val="left"/>
      <w:pPr>
        <w:tabs>
          <w:tab w:val="num" w:pos="490"/>
        </w:tabs>
        <w:ind w:left="360" w:hanging="360"/>
      </w:pPr>
    </w:lvl>
    <w:lvl w:ilvl="1">
      <w:start w:val="1"/>
      <w:numFmt w:val="decimal"/>
      <w:lvlText w:val="%1.%2."/>
      <w:lvlJc w:val="left"/>
      <w:pPr>
        <w:tabs>
          <w:tab w:val="num" w:pos="490"/>
        </w:tabs>
        <w:ind w:left="490" w:hanging="850"/>
      </w:pPr>
    </w:lvl>
    <w:lvl w:ilvl="2">
      <w:start w:val="1"/>
      <w:numFmt w:val="decimal"/>
      <w:lvlText w:val="%1.%2.%3."/>
      <w:lvlJc w:val="left"/>
      <w:pPr>
        <w:tabs>
          <w:tab w:val="num" w:pos="490"/>
        </w:tabs>
        <w:ind w:left="490" w:hanging="850"/>
      </w:pPr>
    </w:lvl>
    <w:lvl w:ilvl="3">
      <w:start w:val="1"/>
      <w:numFmt w:val="decimal"/>
      <w:lvlText w:val="%1.%2.%3.%4."/>
      <w:lvlJc w:val="left"/>
      <w:pPr>
        <w:tabs>
          <w:tab w:val="num" w:pos="490"/>
        </w:tabs>
        <w:ind w:left="490" w:hanging="850"/>
      </w:pPr>
    </w:lvl>
    <w:lvl w:ilvl="4">
      <w:start w:val="1"/>
      <w:numFmt w:val="lowerLetter"/>
      <w:lvlText w:val="(%5)"/>
      <w:lvlJc w:val="left"/>
      <w:pPr>
        <w:ind w:left="1440" w:hanging="360"/>
      </w:pPr>
    </w:lvl>
    <w:lvl w:ilvl="5">
      <w:start w:val="1"/>
      <w:numFmt w:val="lowerRoman"/>
      <w:lvlText w:val="(%6)"/>
      <w:lvlJc w:val="left"/>
      <w:pPr>
        <w:ind w:left="1800" w:hanging="360"/>
      </w:pPr>
    </w:lvl>
    <w:lvl w:ilvl="6">
      <w:start w:val="1"/>
      <w:numFmt w:val="decimal"/>
      <w:lvlText w:val="%7."/>
      <w:lvlJc w:val="left"/>
      <w:pPr>
        <w:ind w:left="142"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58" w15:restartNumberingAfterBreak="0">
    <w:nsid w:val="672B02BD"/>
    <w:multiLevelType w:val="hybridMultilevel"/>
    <w:tmpl w:val="BDF2860C"/>
    <w:lvl w:ilvl="0" w:tplc="21A29E6A">
      <w:start w:val="1"/>
      <w:numFmt w:val="lowerRoman"/>
      <w:lvlText w:val="(%1)"/>
      <w:lvlJc w:val="left"/>
      <w:pPr>
        <w:ind w:left="530" w:hanging="360"/>
      </w:pPr>
      <w:rPr>
        <w:rFonts w:ascii="Times New Roman" w:hAnsi="Times New Roman" w:hint="default"/>
      </w:rPr>
    </w:lvl>
    <w:lvl w:ilvl="1" w:tplc="E0604AF0">
      <w:start w:val="1"/>
      <w:numFmt w:val="lowerLetter"/>
      <w:lvlText w:val="%2."/>
      <w:lvlJc w:val="left"/>
      <w:pPr>
        <w:ind w:left="1440" w:hanging="360"/>
      </w:pPr>
    </w:lvl>
    <w:lvl w:ilvl="2" w:tplc="42342EDE">
      <w:start w:val="1"/>
      <w:numFmt w:val="lowerRoman"/>
      <w:lvlText w:val="%3."/>
      <w:lvlJc w:val="right"/>
      <w:pPr>
        <w:ind w:left="2160" w:hanging="180"/>
      </w:pPr>
    </w:lvl>
    <w:lvl w:ilvl="3" w:tplc="616AA4F2">
      <w:start w:val="1"/>
      <w:numFmt w:val="decimal"/>
      <w:lvlText w:val="%4."/>
      <w:lvlJc w:val="left"/>
      <w:pPr>
        <w:ind w:left="2880" w:hanging="360"/>
      </w:pPr>
    </w:lvl>
    <w:lvl w:ilvl="4" w:tplc="4F7A5A4C">
      <w:start w:val="1"/>
      <w:numFmt w:val="lowerLetter"/>
      <w:lvlText w:val="%5."/>
      <w:lvlJc w:val="left"/>
      <w:pPr>
        <w:ind w:left="3600" w:hanging="360"/>
      </w:pPr>
    </w:lvl>
    <w:lvl w:ilvl="5" w:tplc="7818A6A2">
      <w:start w:val="1"/>
      <w:numFmt w:val="lowerRoman"/>
      <w:lvlText w:val="%6."/>
      <w:lvlJc w:val="right"/>
      <w:pPr>
        <w:ind w:left="4320" w:hanging="180"/>
      </w:pPr>
    </w:lvl>
    <w:lvl w:ilvl="6" w:tplc="41B4EA28">
      <w:start w:val="1"/>
      <w:numFmt w:val="decimal"/>
      <w:lvlText w:val="%7."/>
      <w:lvlJc w:val="left"/>
      <w:pPr>
        <w:ind w:left="5040" w:hanging="360"/>
      </w:pPr>
    </w:lvl>
    <w:lvl w:ilvl="7" w:tplc="9BA45AC2">
      <w:start w:val="1"/>
      <w:numFmt w:val="lowerLetter"/>
      <w:lvlText w:val="%8."/>
      <w:lvlJc w:val="left"/>
      <w:pPr>
        <w:ind w:left="5760" w:hanging="360"/>
      </w:pPr>
    </w:lvl>
    <w:lvl w:ilvl="8" w:tplc="4600FFFC">
      <w:start w:val="1"/>
      <w:numFmt w:val="lowerRoman"/>
      <w:lvlText w:val="%9."/>
      <w:lvlJc w:val="right"/>
      <w:pPr>
        <w:ind w:left="6480" w:hanging="180"/>
      </w:pPr>
    </w:lvl>
  </w:abstractNum>
  <w:abstractNum w:abstractNumId="59" w15:restartNumberingAfterBreak="0">
    <w:nsid w:val="67487442"/>
    <w:multiLevelType w:val="hybridMultilevel"/>
    <w:tmpl w:val="A0929654"/>
    <w:lvl w:ilvl="0" w:tplc="1F545754">
      <w:start w:val="1"/>
      <w:numFmt w:val="bullet"/>
      <w:lvlText w:val=""/>
      <w:lvlJc w:val="left"/>
      <w:pPr>
        <w:ind w:left="720" w:hanging="360"/>
      </w:pPr>
      <w:rPr>
        <w:rFonts w:ascii="Symbol" w:hAnsi="Symbol" w:hint="default"/>
      </w:rPr>
    </w:lvl>
    <w:lvl w:ilvl="1" w:tplc="B0484220" w:tentative="1">
      <w:start w:val="1"/>
      <w:numFmt w:val="bullet"/>
      <w:lvlText w:val="o"/>
      <w:lvlJc w:val="left"/>
      <w:pPr>
        <w:ind w:left="1440" w:hanging="360"/>
      </w:pPr>
      <w:rPr>
        <w:rFonts w:ascii="Courier New" w:hAnsi="Courier New" w:hint="default"/>
      </w:rPr>
    </w:lvl>
    <w:lvl w:ilvl="2" w:tplc="41D29E52" w:tentative="1">
      <w:start w:val="1"/>
      <w:numFmt w:val="bullet"/>
      <w:lvlText w:val=""/>
      <w:lvlJc w:val="left"/>
      <w:pPr>
        <w:ind w:left="2160" w:hanging="360"/>
      </w:pPr>
      <w:rPr>
        <w:rFonts w:ascii="Wingdings" w:hAnsi="Wingdings" w:hint="default"/>
      </w:rPr>
    </w:lvl>
    <w:lvl w:ilvl="3" w:tplc="585E986E" w:tentative="1">
      <w:start w:val="1"/>
      <w:numFmt w:val="bullet"/>
      <w:lvlText w:val=""/>
      <w:lvlJc w:val="left"/>
      <w:pPr>
        <w:ind w:left="2880" w:hanging="360"/>
      </w:pPr>
      <w:rPr>
        <w:rFonts w:ascii="Symbol" w:hAnsi="Symbol" w:hint="default"/>
      </w:rPr>
    </w:lvl>
    <w:lvl w:ilvl="4" w:tplc="2A1A9CA8" w:tentative="1">
      <w:start w:val="1"/>
      <w:numFmt w:val="bullet"/>
      <w:lvlText w:val="o"/>
      <w:lvlJc w:val="left"/>
      <w:pPr>
        <w:ind w:left="3600" w:hanging="360"/>
      </w:pPr>
      <w:rPr>
        <w:rFonts w:ascii="Courier New" w:hAnsi="Courier New" w:hint="default"/>
      </w:rPr>
    </w:lvl>
    <w:lvl w:ilvl="5" w:tplc="6254BEEC" w:tentative="1">
      <w:start w:val="1"/>
      <w:numFmt w:val="bullet"/>
      <w:lvlText w:val=""/>
      <w:lvlJc w:val="left"/>
      <w:pPr>
        <w:ind w:left="4320" w:hanging="360"/>
      </w:pPr>
      <w:rPr>
        <w:rFonts w:ascii="Wingdings" w:hAnsi="Wingdings" w:hint="default"/>
      </w:rPr>
    </w:lvl>
    <w:lvl w:ilvl="6" w:tplc="F04E88F0" w:tentative="1">
      <w:start w:val="1"/>
      <w:numFmt w:val="bullet"/>
      <w:lvlText w:val=""/>
      <w:lvlJc w:val="left"/>
      <w:pPr>
        <w:ind w:left="5040" w:hanging="360"/>
      </w:pPr>
      <w:rPr>
        <w:rFonts w:ascii="Symbol" w:hAnsi="Symbol" w:hint="default"/>
      </w:rPr>
    </w:lvl>
    <w:lvl w:ilvl="7" w:tplc="E95CF3E2" w:tentative="1">
      <w:start w:val="1"/>
      <w:numFmt w:val="bullet"/>
      <w:lvlText w:val="o"/>
      <w:lvlJc w:val="left"/>
      <w:pPr>
        <w:ind w:left="5760" w:hanging="360"/>
      </w:pPr>
      <w:rPr>
        <w:rFonts w:ascii="Courier New" w:hAnsi="Courier New" w:hint="default"/>
      </w:rPr>
    </w:lvl>
    <w:lvl w:ilvl="8" w:tplc="C5FCE4DA" w:tentative="1">
      <w:start w:val="1"/>
      <w:numFmt w:val="bullet"/>
      <w:lvlText w:val=""/>
      <w:lvlJc w:val="left"/>
      <w:pPr>
        <w:ind w:left="6480" w:hanging="360"/>
      </w:pPr>
      <w:rPr>
        <w:rFonts w:ascii="Wingdings" w:hAnsi="Wingdings" w:hint="default"/>
      </w:rPr>
    </w:lvl>
  </w:abstractNum>
  <w:abstractNum w:abstractNumId="6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1" w15:restartNumberingAfterBreak="0">
    <w:nsid w:val="6882BBEE"/>
    <w:multiLevelType w:val="hybridMultilevel"/>
    <w:tmpl w:val="FFFFFFFF"/>
    <w:lvl w:ilvl="0" w:tplc="BB924FB4">
      <w:start w:val="1"/>
      <w:numFmt w:val="bullet"/>
      <w:lvlText w:val=""/>
      <w:lvlJc w:val="left"/>
      <w:pPr>
        <w:ind w:left="720" w:hanging="360"/>
      </w:pPr>
      <w:rPr>
        <w:rFonts w:ascii="Symbol" w:hAnsi="Symbol" w:hint="default"/>
      </w:rPr>
    </w:lvl>
    <w:lvl w:ilvl="1" w:tplc="057E20C4">
      <w:start w:val="1"/>
      <w:numFmt w:val="bullet"/>
      <w:lvlText w:val="o"/>
      <w:lvlJc w:val="left"/>
      <w:pPr>
        <w:ind w:left="1440" w:hanging="360"/>
      </w:pPr>
      <w:rPr>
        <w:rFonts w:ascii="Courier New" w:hAnsi="Courier New" w:hint="default"/>
      </w:rPr>
    </w:lvl>
    <w:lvl w:ilvl="2" w:tplc="7A14CDF6">
      <w:start w:val="1"/>
      <w:numFmt w:val="bullet"/>
      <w:lvlText w:val=""/>
      <w:lvlJc w:val="left"/>
      <w:pPr>
        <w:ind w:left="2160" w:hanging="360"/>
      </w:pPr>
      <w:rPr>
        <w:rFonts w:ascii="Wingdings" w:hAnsi="Wingdings" w:hint="default"/>
      </w:rPr>
    </w:lvl>
    <w:lvl w:ilvl="3" w:tplc="D3A603D4">
      <w:start w:val="1"/>
      <w:numFmt w:val="bullet"/>
      <w:lvlText w:val=""/>
      <w:lvlJc w:val="left"/>
      <w:pPr>
        <w:ind w:left="2880" w:hanging="360"/>
      </w:pPr>
      <w:rPr>
        <w:rFonts w:ascii="Symbol" w:hAnsi="Symbol" w:hint="default"/>
      </w:rPr>
    </w:lvl>
    <w:lvl w:ilvl="4" w:tplc="1A942678">
      <w:start w:val="1"/>
      <w:numFmt w:val="bullet"/>
      <w:lvlText w:val="o"/>
      <w:lvlJc w:val="left"/>
      <w:pPr>
        <w:ind w:left="3600" w:hanging="360"/>
      </w:pPr>
      <w:rPr>
        <w:rFonts w:ascii="Courier New" w:hAnsi="Courier New" w:hint="default"/>
      </w:rPr>
    </w:lvl>
    <w:lvl w:ilvl="5" w:tplc="466861A4">
      <w:start w:val="1"/>
      <w:numFmt w:val="bullet"/>
      <w:lvlText w:val=""/>
      <w:lvlJc w:val="left"/>
      <w:pPr>
        <w:ind w:left="4320" w:hanging="360"/>
      </w:pPr>
      <w:rPr>
        <w:rFonts w:ascii="Wingdings" w:hAnsi="Wingdings" w:hint="default"/>
      </w:rPr>
    </w:lvl>
    <w:lvl w:ilvl="6" w:tplc="5D06036A">
      <w:start w:val="1"/>
      <w:numFmt w:val="bullet"/>
      <w:lvlText w:val=""/>
      <w:lvlJc w:val="left"/>
      <w:pPr>
        <w:ind w:left="5040" w:hanging="360"/>
      </w:pPr>
      <w:rPr>
        <w:rFonts w:ascii="Symbol" w:hAnsi="Symbol" w:hint="default"/>
      </w:rPr>
    </w:lvl>
    <w:lvl w:ilvl="7" w:tplc="765AFDBA">
      <w:start w:val="1"/>
      <w:numFmt w:val="bullet"/>
      <w:lvlText w:val="o"/>
      <w:lvlJc w:val="left"/>
      <w:pPr>
        <w:ind w:left="5760" w:hanging="360"/>
      </w:pPr>
      <w:rPr>
        <w:rFonts w:ascii="Courier New" w:hAnsi="Courier New" w:hint="default"/>
      </w:rPr>
    </w:lvl>
    <w:lvl w:ilvl="8" w:tplc="5BAC4E58">
      <w:start w:val="1"/>
      <w:numFmt w:val="bullet"/>
      <w:lvlText w:val=""/>
      <w:lvlJc w:val="left"/>
      <w:pPr>
        <w:ind w:left="6480" w:hanging="360"/>
      </w:pPr>
      <w:rPr>
        <w:rFonts w:ascii="Wingdings" w:hAnsi="Wingdings" w:hint="default"/>
      </w:rPr>
    </w:lvl>
  </w:abstractNum>
  <w:abstractNum w:abstractNumId="62" w15:restartNumberingAfterBreak="0">
    <w:nsid w:val="6A064933"/>
    <w:multiLevelType w:val="hybridMultilevel"/>
    <w:tmpl w:val="BCD4B7FA"/>
    <w:lvl w:ilvl="0" w:tplc="F33844AA">
      <w:start w:val="1"/>
      <w:numFmt w:val="upperRoman"/>
      <w:pStyle w:val="Gdtitrechapitre"/>
      <w:lvlText w:val="Partie %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3" w15:restartNumberingAfterBreak="0">
    <w:nsid w:val="6A4B114A"/>
    <w:multiLevelType w:val="hybridMultilevel"/>
    <w:tmpl w:val="835CFCDC"/>
    <w:name w:val="NumPar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4" w15:restartNumberingAfterBreak="0">
    <w:nsid w:val="6BA03074"/>
    <w:multiLevelType w:val="hybridMultilevel"/>
    <w:tmpl w:val="09E4D2D6"/>
    <w:lvl w:ilvl="0" w:tplc="072A3BF2">
      <w:start w:val="1"/>
      <w:numFmt w:val="bullet"/>
      <w:lvlText w:val=""/>
      <w:lvlJc w:val="left"/>
      <w:pPr>
        <w:ind w:left="720" w:hanging="360"/>
      </w:pPr>
      <w:rPr>
        <w:rFonts w:ascii="Symbol" w:hAnsi="Symbol" w:hint="default"/>
      </w:rPr>
    </w:lvl>
    <w:lvl w:ilvl="1" w:tplc="2CA07386" w:tentative="1">
      <w:start w:val="1"/>
      <w:numFmt w:val="bullet"/>
      <w:lvlText w:val="o"/>
      <w:lvlJc w:val="left"/>
      <w:pPr>
        <w:ind w:left="1440" w:hanging="360"/>
      </w:pPr>
      <w:rPr>
        <w:rFonts w:ascii="Courier New" w:hAnsi="Courier New" w:hint="default"/>
      </w:rPr>
    </w:lvl>
    <w:lvl w:ilvl="2" w:tplc="71540BE2" w:tentative="1">
      <w:start w:val="1"/>
      <w:numFmt w:val="bullet"/>
      <w:lvlText w:val=""/>
      <w:lvlJc w:val="left"/>
      <w:pPr>
        <w:ind w:left="2160" w:hanging="360"/>
      </w:pPr>
      <w:rPr>
        <w:rFonts w:ascii="Wingdings" w:hAnsi="Wingdings" w:hint="default"/>
      </w:rPr>
    </w:lvl>
    <w:lvl w:ilvl="3" w:tplc="2AF08DFA" w:tentative="1">
      <w:start w:val="1"/>
      <w:numFmt w:val="bullet"/>
      <w:lvlText w:val=""/>
      <w:lvlJc w:val="left"/>
      <w:pPr>
        <w:ind w:left="2880" w:hanging="360"/>
      </w:pPr>
      <w:rPr>
        <w:rFonts w:ascii="Symbol" w:hAnsi="Symbol" w:hint="default"/>
      </w:rPr>
    </w:lvl>
    <w:lvl w:ilvl="4" w:tplc="2708BF3C" w:tentative="1">
      <w:start w:val="1"/>
      <w:numFmt w:val="bullet"/>
      <w:lvlText w:val="o"/>
      <w:lvlJc w:val="left"/>
      <w:pPr>
        <w:ind w:left="3600" w:hanging="360"/>
      </w:pPr>
      <w:rPr>
        <w:rFonts w:ascii="Courier New" w:hAnsi="Courier New" w:hint="default"/>
      </w:rPr>
    </w:lvl>
    <w:lvl w:ilvl="5" w:tplc="05CA512E" w:tentative="1">
      <w:start w:val="1"/>
      <w:numFmt w:val="bullet"/>
      <w:lvlText w:val=""/>
      <w:lvlJc w:val="left"/>
      <w:pPr>
        <w:ind w:left="4320" w:hanging="360"/>
      </w:pPr>
      <w:rPr>
        <w:rFonts w:ascii="Wingdings" w:hAnsi="Wingdings" w:hint="default"/>
      </w:rPr>
    </w:lvl>
    <w:lvl w:ilvl="6" w:tplc="BFC810C4" w:tentative="1">
      <w:start w:val="1"/>
      <w:numFmt w:val="bullet"/>
      <w:lvlText w:val=""/>
      <w:lvlJc w:val="left"/>
      <w:pPr>
        <w:ind w:left="5040" w:hanging="360"/>
      </w:pPr>
      <w:rPr>
        <w:rFonts w:ascii="Symbol" w:hAnsi="Symbol" w:hint="default"/>
      </w:rPr>
    </w:lvl>
    <w:lvl w:ilvl="7" w:tplc="90A809F4" w:tentative="1">
      <w:start w:val="1"/>
      <w:numFmt w:val="bullet"/>
      <w:lvlText w:val="o"/>
      <w:lvlJc w:val="left"/>
      <w:pPr>
        <w:ind w:left="5760" w:hanging="360"/>
      </w:pPr>
      <w:rPr>
        <w:rFonts w:ascii="Courier New" w:hAnsi="Courier New" w:hint="default"/>
      </w:rPr>
    </w:lvl>
    <w:lvl w:ilvl="8" w:tplc="444222E4" w:tentative="1">
      <w:start w:val="1"/>
      <w:numFmt w:val="bullet"/>
      <w:lvlText w:val=""/>
      <w:lvlJc w:val="left"/>
      <w:pPr>
        <w:ind w:left="6480" w:hanging="360"/>
      </w:pPr>
      <w:rPr>
        <w:rFonts w:ascii="Wingdings" w:hAnsi="Wingdings" w:hint="default"/>
      </w:rPr>
    </w:lvl>
  </w:abstractNum>
  <w:abstractNum w:abstractNumId="65" w15:restartNumberingAfterBreak="0">
    <w:nsid w:val="6CB93D00"/>
    <w:multiLevelType w:val="hybridMultilevel"/>
    <w:tmpl w:val="C204A098"/>
    <w:lvl w:ilvl="0" w:tplc="C6CAE794">
      <w:start w:val="1"/>
      <w:numFmt w:val="bullet"/>
      <w:lvlText w:val=""/>
      <w:lvlJc w:val="left"/>
      <w:pPr>
        <w:ind w:left="720" w:hanging="360"/>
      </w:pPr>
      <w:rPr>
        <w:rFonts w:ascii="Symbol" w:hAnsi="Symbol" w:hint="default"/>
      </w:rPr>
    </w:lvl>
    <w:lvl w:ilvl="1" w:tplc="A6102A1E" w:tentative="1">
      <w:start w:val="1"/>
      <w:numFmt w:val="bullet"/>
      <w:lvlText w:val="o"/>
      <w:lvlJc w:val="left"/>
      <w:pPr>
        <w:ind w:left="1440" w:hanging="360"/>
      </w:pPr>
      <w:rPr>
        <w:rFonts w:ascii="Courier New" w:hAnsi="Courier New" w:hint="default"/>
      </w:rPr>
    </w:lvl>
    <w:lvl w:ilvl="2" w:tplc="2D7423C0" w:tentative="1">
      <w:start w:val="1"/>
      <w:numFmt w:val="bullet"/>
      <w:lvlText w:val=""/>
      <w:lvlJc w:val="left"/>
      <w:pPr>
        <w:ind w:left="2160" w:hanging="360"/>
      </w:pPr>
      <w:rPr>
        <w:rFonts w:ascii="Wingdings" w:hAnsi="Wingdings" w:hint="default"/>
      </w:rPr>
    </w:lvl>
    <w:lvl w:ilvl="3" w:tplc="D2A0F412" w:tentative="1">
      <w:start w:val="1"/>
      <w:numFmt w:val="bullet"/>
      <w:lvlText w:val=""/>
      <w:lvlJc w:val="left"/>
      <w:pPr>
        <w:ind w:left="2880" w:hanging="360"/>
      </w:pPr>
      <w:rPr>
        <w:rFonts w:ascii="Symbol" w:hAnsi="Symbol" w:hint="default"/>
      </w:rPr>
    </w:lvl>
    <w:lvl w:ilvl="4" w:tplc="E2DC9898" w:tentative="1">
      <w:start w:val="1"/>
      <w:numFmt w:val="bullet"/>
      <w:lvlText w:val="o"/>
      <w:lvlJc w:val="left"/>
      <w:pPr>
        <w:ind w:left="3600" w:hanging="360"/>
      </w:pPr>
      <w:rPr>
        <w:rFonts w:ascii="Courier New" w:hAnsi="Courier New" w:hint="default"/>
      </w:rPr>
    </w:lvl>
    <w:lvl w:ilvl="5" w:tplc="9C3C5B46" w:tentative="1">
      <w:start w:val="1"/>
      <w:numFmt w:val="bullet"/>
      <w:lvlText w:val=""/>
      <w:lvlJc w:val="left"/>
      <w:pPr>
        <w:ind w:left="4320" w:hanging="360"/>
      </w:pPr>
      <w:rPr>
        <w:rFonts w:ascii="Wingdings" w:hAnsi="Wingdings" w:hint="default"/>
      </w:rPr>
    </w:lvl>
    <w:lvl w:ilvl="6" w:tplc="2658867E" w:tentative="1">
      <w:start w:val="1"/>
      <w:numFmt w:val="bullet"/>
      <w:lvlText w:val=""/>
      <w:lvlJc w:val="left"/>
      <w:pPr>
        <w:ind w:left="5040" w:hanging="360"/>
      </w:pPr>
      <w:rPr>
        <w:rFonts w:ascii="Symbol" w:hAnsi="Symbol" w:hint="default"/>
      </w:rPr>
    </w:lvl>
    <w:lvl w:ilvl="7" w:tplc="215C30A2" w:tentative="1">
      <w:start w:val="1"/>
      <w:numFmt w:val="bullet"/>
      <w:lvlText w:val="o"/>
      <w:lvlJc w:val="left"/>
      <w:pPr>
        <w:ind w:left="5760" w:hanging="360"/>
      </w:pPr>
      <w:rPr>
        <w:rFonts w:ascii="Courier New" w:hAnsi="Courier New" w:hint="default"/>
      </w:rPr>
    </w:lvl>
    <w:lvl w:ilvl="8" w:tplc="1608879C" w:tentative="1">
      <w:start w:val="1"/>
      <w:numFmt w:val="bullet"/>
      <w:lvlText w:val=""/>
      <w:lvlJc w:val="left"/>
      <w:pPr>
        <w:ind w:left="6480" w:hanging="360"/>
      </w:pPr>
      <w:rPr>
        <w:rFonts w:ascii="Wingdings" w:hAnsi="Wingdings" w:hint="default"/>
      </w:rPr>
    </w:lvl>
  </w:abstractNum>
  <w:abstractNum w:abstractNumId="66" w15:restartNumberingAfterBreak="0">
    <w:nsid w:val="6DF4DC24"/>
    <w:multiLevelType w:val="hybridMultilevel"/>
    <w:tmpl w:val="029680C8"/>
    <w:lvl w:ilvl="0" w:tplc="F0F2FA58">
      <w:start w:val="1"/>
      <w:numFmt w:val="bullet"/>
      <w:lvlText w:val="-"/>
      <w:lvlJc w:val="left"/>
      <w:pPr>
        <w:ind w:left="720" w:hanging="360"/>
      </w:pPr>
      <w:rPr>
        <w:rFonts w:ascii="Calibri" w:hAnsi="Calibri" w:hint="default"/>
      </w:rPr>
    </w:lvl>
    <w:lvl w:ilvl="1" w:tplc="B24A6E3E">
      <w:start w:val="1"/>
      <w:numFmt w:val="bullet"/>
      <w:lvlText w:val="o"/>
      <w:lvlJc w:val="left"/>
      <w:pPr>
        <w:ind w:left="1440" w:hanging="360"/>
      </w:pPr>
      <w:rPr>
        <w:rFonts w:ascii="Courier New" w:hAnsi="Courier New" w:hint="default"/>
      </w:rPr>
    </w:lvl>
    <w:lvl w:ilvl="2" w:tplc="C03C7196">
      <w:start w:val="1"/>
      <w:numFmt w:val="bullet"/>
      <w:lvlText w:val=""/>
      <w:lvlJc w:val="left"/>
      <w:pPr>
        <w:ind w:left="2160" w:hanging="360"/>
      </w:pPr>
      <w:rPr>
        <w:rFonts w:ascii="Wingdings" w:hAnsi="Wingdings" w:hint="default"/>
      </w:rPr>
    </w:lvl>
    <w:lvl w:ilvl="3" w:tplc="10A4CDFE">
      <w:start w:val="1"/>
      <w:numFmt w:val="bullet"/>
      <w:lvlText w:val=""/>
      <w:lvlJc w:val="left"/>
      <w:pPr>
        <w:ind w:left="2880" w:hanging="360"/>
      </w:pPr>
      <w:rPr>
        <w:rFonts w:ascii="Symbol" w:hAnsi="Symbol" w:hint="default"/>
      </w:rPr>
    </w:lvl>
    <w:lvl w:ilvl="4" w:tplc="30FA3360">
      <w:start w:val="1"/>
      <w:numFmt w:val="bullet"/>
      <w:lvlText w:val="o"/>
      <w:lvlJc w:val="left"/>
      <w:pPr>
        <w:ind w:left="3600" w:hanging="360"/>
      </w:pPr>
      <w:rPr>
        <w:rFonts w:ascii="Courier New" w:hAnsi="Courier New" w:hint="default"/>
      </w:rPr>
    </w:lvl>
    <w:lvl w:ilvl="5" w:tplc="490228C2">
      <w:start w:val="1"/>
      <w:numFmt w:val="bullet"/>
      <w:lvlText w:val=""/>
      <w:lvlJc w:val="left"/>
      <w:pPr>
        <w:ind w:left="4320" w:hanging="360"/>
      </w:pPr>
      <w:rPr>
        <w:rFonts w:ascii="Wingdings" w:hAnsi="Wingdings" w:hint="default"/>
      </w:rPr>
    </w:lvl>
    <w:lvl w:ilvl="6" w:tplc="0F7661CA">
      <w:start w:val="1"/>
      <w:numFmt w:val="bullet"/>
      <w:lvlText w:val=""/>
      <w:lvlJc w:val="left"/>
      <w:pPr>
        <w:ind w:left="5040" w:hanging="360"/>
      </w:pPr>
      <w:rPr>
        <w:rFonts w:ascii="Symbol" w:hAnsi="Symbol" w:hint="default"/>
      </w:rPr>
    </w:lvl>
    <w:lvl w:ilvl="7" w:tplc="DD5A453E">
      <w:start w:val="1"/>
      <w:numFmt w:val="bullet"/>
      <w:lvlText w:val="o"/>
      <w:lvlJc w:val="left"/>
      <w:pPr>
        <w:ind w:left="5760" w:hanging="360"/>
      </w:pPr>
      <w:rPr>
        <w:rFonts w:ascii="Courier New" w:hAnsi="Courier New" w:hint="default"/>
      </w:rPr>
    </w:lvl>
    <w:lvl w:ilvl="8" w:tplc="AD868F74">
      <w:start w:val="1"/>
      <w:numFmt w:val="bullet"/>
      <w:lvlText w:val=""/>
      <w:lvlJc w:val="left"/>
      <w:pPr>
        <w:ind w:left="6480" w:hanging="360"/>
      </w:pPr>
      <w:rPr>
        <w:rFonts w:ascii="Wingdings" w:hAnsi="Wingdings" w:hint="default"/>
      </w:rPr>
    </w:lvl>
  </w:abstractNum>
  <w:abstractNum w:abstractNumId="67" w15:restartNumberingAfterBreak="0">
    <w:nsid w:val="7204D6D2"/>
    <w:multiLevelType w:val="hybridMultilevel"/>
    <w:tmpl w:val="FFFFFFFF"/>
    <w:lvl w:ilvl="0" w:tplc="20FE3B2C">
      <w:start w:val="1"/>
      <w:numFmt w:val="bullet"/>
      <w:lvlText w:val=""/>
      <w:lvlJc w:val="left"/>
      <w:pPr>
        <w:ind w:left="720" w:hanging="360"/>
      </w:pPr>
      <w:rPr>
        <w:rFonts w:ascii="Symbol" w:hAnsi="Symbol" w:hint="default"/>
      </w:rPr>
    </w:lvl>
    <w:lvl w:ilvl="1" w:tplc="81285E9A">
      <w:start w:val="1"/>
      <w:numFmt w:val="bullet"/>
      <w:lvlText w:val="o"/>
      <w:lvlJc w:val="left"/>
      <w:pPr>
        <w:ind w:left="1440" w:hanging="360"/>
      </w:pPr>
      <w:rPr>
        <w:rFonts w:ascii="Courier New" w:hAnsi="Courier New" w:hint="default"/>
      </w:rPr>
    </w:lvl>
    <w:lvl w:ilvl="2" w:tplc="D28E3BFC">
      <w:start w:val="1"/>
      <w:numFmt w:val="bullet"/>
      <w:lvlText w:val=""/>
      <w:lvlJc w:val="left"/>
      <w:pPr>
        <w:ind w:left="2160" w:hanging="360"/>
      </w:pPr>
      <w:rPr>
        <w:rFonts w:ascii="Wingdings" w:hAnsi="Wingdings" w:hint="default"/>
      </w:rPr>
    </w:lvl>
    <w:lvl w:ilvl="3" w:tplc="9C2EF99E">
      <w:start w:val="1"/>
      <w:numFmt w:val="bullet"/>
      <w:lvlText w:val=""/>
      <w:lvlJc w:val="left"/>
      <w:pPr>
        <w:ind w:left="2880" w:hanging="360"/>
      </w:pPr>
      <w:rPr>
        <w:rFonts w:ascii="Symbol" w:hAnsi="Symbol" w:hint="default"/>
      </w:rPr>
    </w:lvl>
    <w:lvl w:ilvl="4" w:tplc="BC98B002">
      <w:start w:val="1"/>
      <w:numFmt w:val="bullet"/>
      <w:lvlText w:val="o"/>
      <w:lvlJc w:val="left"/>
      <w:pPr>
        <w:ind w:left="3600" w:hanging="360"/>
      </w:pPr>
      <w:rPr>
        <w:rFonts w:ascii="Courier New" w:hAnsi="Courier New" w:hint="default"/>
      </w:rPr>
    </w:lvl>
    <w:lvl w:ilvl="5" w:tplc="C74C2FE8">
      <w:start w:val="1"/>
      <w:numFmt w:val="bullet"/>
      <w:lvlText w:val=""/>
      <w:lvlJc w:val="left"/>
      <w:pPr>
        <w:ind w:left="4320" w:hanging="360"/>
      </w:pPr>
      <w:rPr>
        <w:rFonts w:ascii="Wingdings" w:hAnsi="Wingdings" w:hint="default"/>
      </w:rPr>
    </w:lvl>
    <w:lvl w:ilvl="6" w:tplc="4D6EF540">
      <w:start w:val="1"/>
      <w:numFmt w:val="bullet"/>
      <w:lvlText w:val=""/>
      <w:lvlJc w:val="left"/>
      <w:pPr>
        <w:ind w:left="5040" w:hanging="360"/>
      </w:pPr>
      <w:rPr>
        <w:rFonts w:ascii="Symbol" w:hAnsi="Symbol" w:hint="default"/>
      </w:rPr>
    </w:lvl>
    <w:lvl w:ilvl="7" w:tplc="36A23EA8">
      <w:start w:val="1"/>
      <w:numFmt w:val="bullet"/>
      <w:lvlText w:val="o"/>
      <w:lvlJc w:val="left"/>
      <w:pPr>
        <w:ind w:left="5760" w:hanging="360"/>
      </w:pPr>
      <w:rPr>
        <w:rFonts w:ascii="Courier New" w:hAnsi="Courier New" w:hint="default"/>
      </w:rPr>
    </w:lvl>
    <w:lvl w:ilvl="8" w:tplc="3D74079E">
      <w:start w:val="1"/>
      <w:numFmt w:val="bullet"/>
      <w:lvlText w:val=""/>
      <w:lvlJc w:val="left"/>
      <w:pPr>
        <w:ind w:left="6480" w:hanging="360"/>
      </w:pPr>
      <w:rPr>
        <w:rFonts w:ascii="Wingdings" w:hAnsi="Wingdings" w:hint="default"/>
      </w:rPr>
    </w:lvl>
  </w:abstractNum>
  <w:abstractNum w:abstractNumId="68" w15:restartNumberingAfterBreak="0">
    <w:nsid w:val="75C72105"/>
    <w:multiLevelType w:val="hybridMultilevel"/>
    <w:tmpl w:val="0574B3E0"/>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9" w15:restartNumberingAfterBreak="0">
    <w:nsid w:val="7A653851"/>
    <w:multiLevelType w:val="hybridMultilevel"/>
    <w:tmpl w:val="FFFFFFFF"/>
    <w:lvl w:ilvl="0" w:tplc="948E8A2A">
      <w:start w:val="1"/>
      <w:numFmt w:val="bullet"/>
      <w:lvlText w:val="-"/>
      <w:lvlJc w:val="left"/>
      <w:pPr>
        <w:ind w:left="360" w:hanging="360"/>
      </w:pPr>
      <w:rPr>
        <w:rFonts w:ascii="Aptos" w:hAnsi="Aptos" w:hint="default"/>
      </w:rPr>
    </w:lvl>
    <w:lvl w:ilvl="1" w:tplc="F1EEE374">
      <w:start w:val="1"/>
      <w:numFmt w:val="bullet"/>
      <w:lvlText w:val="o"/>
      <w:lvlJc w:val="left"/>
      <w:pPr>
        <w:ind w:left="1080" w:hanging="360"/>
      </w:pPr>
      <w:rPr>
        <w:rFonts w:ascii="Courier New" w:hAnsi="Courier New" w:hint="default"/>
      </w:rPr>
    </w:lvl>
    <w:lvl w:ilvl="2" w:tplc="5C06DDEE">
      <w:start w:val="1"/>
      <w:numFmt w:val="bullet"/>
      <w:lvlText w:val=""/>
      <w:lvlJc w:val="left"/>
      <w:pPr>
        <w:ind w:left="1800" w:hanging="360"/>
      </w:pPr>
      <w:rPr>
        <w:rFonts w:ascii="Wingdings" w:hAnsi="Wingdings" w:hint="default"/>
      </w:rPr>
    </w:lvl>
    <w:lvl w:ilvl="3" w:tplc="A4A4BE24">
      <w:start w:val="1"/>
      <w:numFmt w:val="bullet"/>
      <w:lvlText w:val=""/>
      <w:lvlJc w:val="left"/>
      <w:pPr>
        <w:ind w:left="2520" w:hanging="360"/>
      </w:pPr>
      <w:rPr>
        <w:rFonts w:ascii="Symbol" w:hAnsi="Symbol" w:hint="default"/>
      </w:rPr>
    </w:lvl>
    <w:lvl w:ilvl="4" w:tplc="002CFD02">
      <w:start w:val="1"/>
      <w:numFmt w:val="bullet"/>
      <w:lvlText w:val="o"/>
      <w:lvlJc w:val="left"/>
      <w:pPr>
        <w:ind w:left="3240" w:hanging="360"/>
      </w:pPr>
      <w:rPr>
        <w:rFonts w:ascii="Courier New" w:hAnsi="Courier New" w:hint="default"/>
      </w:rPr>
    </w:lvl>
    <w:lvl w:ilvl="5" w:tplc="F64ED7B6">
      <w:start w:val="1"/>
      <w:numFmt w:val="bullet"/>
      <w:lvlText w:val=""/>
      <w:lvlJc w:val="left"/>
      <w:pPr>
        <w:ind w:left="3960" w:hanging="360"/>
      </w:pPr>
      <w:rPr>
        <w:rFonts w:ascii="Wingdings" w:hAnsi="Wingdings" w:hint="default"/>
      </w:rPr>
    </w:lvl>
    <w:lvl w:ilvl="6" w:tplc="075A7F3A">
      <w:start w:val="1"/>
      <w:numFmt w:val="bullet"/>
      <w:lvlText w:val=""/>
      <w:lvlJc w:val="left"/>
      <w:pPr>
        <w:ind w:left="4680" w:hanging="360"/>
      </w:pPr>
      <w:rPr>
        <w:rFonts w:ascii="Symbol" w:hAnsi="Symbol" w:hint="default"/>
      </w:rPr>
    </w:lvl>
    <w:lvl w:ilvl="7" w:tplc="518C016A">
      <w:start w:val="1"/>
      <w:numFmt w:val="bullet"/>
      <w:lvlText w:val="o"/>
      <w:lvlJc w:val="left"/>
      <w:pPr>
        <w:ind w:left="5400" w:hanging="360"/>
      </w:pPr>
      <w:rPr>
        <w:rFonts w:ascii="Courier New" w:hAnsi="Courier New" w:hint="default"/>
      </w:rPr>
    </w:lvl>
    <w:lvl w:ilvl="8" w:tplc="B38A6216">
      <w:start w:val="1"/>
      <w:numFmt w:val="bullet"/>
      <w:lvlText w:val=""/>
      <w:lvlJc w:val="left"/>
      <w:pPr>
        <w:ind w:left="6120" w:hanging="360"/>
      </w:pPr>
      <w:rPr>
        <w:rFonts w:ascii="Wingdings" w:hAnsi="Wingdings" w:hint="default"/>
      </w:rPr>
    </w:lvl>
  </w:abstractNum>
  <w:abstractNum w:abstractNumId="70" w15:restartNumberingAfterBreak="0">
    <w:nsid w:val="7C865580"/>
    <w:multiLevelType w:val="multilevel"/>
    <w:tmpl w:val="93A4973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2" w15:restartNumberingAfterBreak="0">
    <w:nsid w:val="7F651649"/>
    <w:multiLevelType w:val="hybridMultilevel"/>
    <w:tmpl w:val="32C632AE"/>
    <w:lvl w:ilvl="0" w:tplc="8B84C00A">
      <w:start w:val="18"/>
      <w:numFmt w:val="bullet"/>
      <w:lvlText w:val="-"/>
      <w:lvlJc w:val="left"/>
      <w:pPr>
        <w:ind w:left="720" w:hanging="360"/>
      </w:pPr>
      <w:rPr>
        <w:rFonts w:ascii="Times New Roman" w:hAnsi="Times New Roman" w:hint="default"/>
      </w:rPr>
    </w:lvl>
    <w:lvl w:ilvl="1" w:tplc="EC646BD6" w:tentative="1">
      <w:start w:val="1"/>
      <w:numFmt w:val="bullet"/>
      <w:lvlText w:val="o"/>
      <w:lvlJc w:val="left"/>
      <w:pPr>
        <w:ind w:left="1440" w:hanging="360"/>
      </w:pPr>
      <w:rPr>
        <w:rFonts w:ascii="Courier New" w:hAnsi="Courier New" w:hint="default"/>
      </w:rPr>
    </w:lvl>
    <w:lvl w:ilvl="2" w:tplc="69F662CC" w:tentative="1">
      <w:start w:val="1"/>
      <w:numFmt w:val="bullet"/>
      <w:lvlText w:val=""/>
      <w:lvlJc w:val="left"/>
      <w:pPr>
        <w:ind w:left="2160" w:hanging="360"/>
      </w:pPr>
      <w:rPr>
        <w:rFonts w:ascii="Wingdings" w:hAnsi="Wingdings" w:hint="default"/>
      </w:rPr>
    </w:lvl>
    <w:lvl w:ilvl="3" w:tplc="92EA86C6" w:tentative="1">
      <w:start w:val="1"/>
      <w:numFmt w:val="bullet"/>
      <w:lvlText w:val=""/>
      <w:lvlJc w:val="left"/>
      <w:pPr>
        <w:ind w:left="2880" w:hanging="360"/>
      </w:pPr>
      <w:rPr>
        <w:rFonts w:ascii="Symbol" w:hAnsi="Symbol" w:hint="default"/>
      </w:rPr>
    </w:lvl>
    <w:lvl w:ilvl="4" w:tplc="F3D038FE" w:tentative="1">
      <w:start w:val="1"/>
      <w:numFmt w:val="bullet"/>
      <w:lvlText w:val="o"/>
      <w:lvlJc w:val="left"/>
      <w:pPr>
        <w:ind w:left="3600" w:hanging="360"/>
      </w:pPr>
      <w:rPr>
        <w:rFonts w:ascii="Courier New" w:hAnsi="Courier New" w:hint="default"/>
      </w:rPr>
    </w:lvl>
    <w:lvl w:ilvl="5" w:tplc="C13217AA" w:tentative="1">
      <w:start w:val="1"/>
      <w:numFmt w:val="bullet"/>
      <w:lvlText w:val=""/>
      <w:lvlJc w:val="left"/>
      <w:pPr>
        <w:ind w:left="4320" w:hanging="360"/>
      </w:pPr>
      <w:rPr>
        <w:rFonts w:ascii="Wingdings" w:hAnsi="Wingdings" w:hint="default"/>
      </w:rPr>
    </w:lvl>
    <w:lvl w:ilvl="6" w:tplc="1F6CE81E" w:tentative="1">
      <w:start w:val="1"/>
      <w:numFmt w:val="bullet"/>
      <w:lvlText w:val=""/>
      <w:lvlJc w:val="left"/>
      <w:pPr>
        <w:ind w:left="5040" w:hanging="360"/>
      </w:pPr>
      <w:rPr>
        <w:rFonts w:ascii="Symbol" w:hAnsi="Symbol" w:hint="default"/>
      </w:rPr>
    </w:lvl>
    <w:lvl w:ilvl="7" w:tplc="520636CA" w:tentative="1">
      <w:start w:val="1"/>
      <w:numFmt w:val="bullet"/>
      <w:lvlText w:val="o"/>
      <w:lvlJc w:val="left"/>
      <w:pPr>
        <w:ind w:left="5760" w:hanging="360"/>
      </w:pPr>
      <w:rPr>
        <w:rFonts w:ascii="Courier New" w:hAnsi="Courier New" w:hint="default"/>
      </w:rPr>
    </w:lvl>
    <w:lvl w:ilvl="8" w:tplc="301E5C62"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3"/>
  </w:num>
  <w:num w:numId="5">
    <w:abstractNumId w:val="55"/>
  </w:num>
  <w:num w:numId="6">
    <w:abstractNumId w:val="41"/>
  </w:num>
  <w:num w:numId="7">
    <w:abstractNumId w:val="60"/>
  </w:num>
  <w:num w:numId="8">
    <w:abstractNumId w:val="28"/>
  </w:num>
  <w:num w:numId="9">
    <w:abstractNumId w:val="42"/>
  </w:num>
  <w:num w:numId="10">
    <w:abstractNumId w:val="20"/>
  </w:num>
  <w:num w:numId="11">
    <w:abstractNumId w:val="16"/>
  </w:num>
  <w:num w:numId="12">
    <w:abstractNumId w:val="45"/>
  </w:num>
  <w:num w:numId="13">
    <w:abstractNumId w:val="53"/>
  </w:num>
  <w:num w:numId="14">
    <w:abstractNumId w:val="54"/>
  </w:num>
  <w:num w:numId="15">
    <w:abstractNumId w:val="27"/>
  </w:num>
  <w:num w:numId="16">
    <w:abstractNumId w:val="51"/>
  </w:num>
  <w:num w:numId="17">
    <w:abstractNumId w:val="71"/>
  </w:num>
  <w:num w:numId="18">
    <w:abstractNumId w:val="6"/>
  </w:num>
  <w:num w:numId="19">
    <w:abstractNumId w:val="2"/>
  </w:num>
  <w:num w:numId="20">
    <w:abstractNumId w:val="1"/>
  </w:num>
  <w:num w:numId="21">
    <w:abstractNumId w:val="0"/>
  </w:num>
  <w:num w:numId="22">
    <w:abstractNumId w:val="62"/>
  </w:num>
  <w:num w:numId="23">
    <w:abstractNumId w:val="21"/>
  </w:num>
  <w:num w:numId="24">
    <w:abstractNumId w:val="34"/>
  </w:num>
  <w:num w:numId="25">
    <w:abstractNumId w:val="29"/>
  </w:num>
  <w:num w:numId="26">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2"/>
  </w:num>
  <w:num w:numId="28">
    <w:abstractNumId w:val="66"/>
  </w:num>
  <w:num w:numId="29">
    <w:abstractNumId w:val="43"/>
  </w:num>
  <w:num w:numId="30">
    <w:abstractNumId w:val="38"/>
  </w:num>
  <w:num w:numId="31">
    <w:abstractNumId w:val="36"/>
  </w:num>
  <w:num w:numId="32">
    <w:abstractNumId w:val="19"/>
  </w:num>
  <w:num w:numId="33">
    <w:abstractNumId w:val="46"/>
  </w:num>
  <w:num w:numId="34">
    <w:abstractNumId w:val="49"/>
  </w:num>
  <w:num w:numId="35">
    <w:abstractNumId w:val="69"/>
  </w:num>
  <w:num w:numId="36">
    <w:abstractNumId w:val="24"/>
  </w:num>
  <w:num w:numId="37">
    <w:abstractNumId w:val="8"/>
  </w:num>
  <w:num w:numId="38">
    <w:abstractNumId w:val="23"/>
  </w:num>
  <w:num w:numId="39">
    <w:abstractNumId w:val="50"/>
  </w:num>
  <w:num w:numId="40">
    <w:abstractNumId w:val="14"/>
  </w:num>
  <w:num w:numId="41">
    <w:abstractNumId w:val="22"/>
  </w:num>
  <w:num w:numId="42">
    <w:abstractNumId w:val="40"/>
  </w:num>
  <w:num w:numId="43">
    <w:abstractNumId w:val="35"/>
  </w:num>
  <w:num w:numId="44">
    <w:abstractNumId w:val="64"/>
  </w:num>
  <w:num w:numId="45">
    <w:abstractNumId w:val="37"/>
  </w:num>
  <w:num w:numId="46">
    <w:abstractNumId w:val="17"/>
  </w:num>
  <w:num w:numId="47">
    <w:abstractNumId w:val="39"/>
  </w:num>
  <w:num w:numId="48">
    <w:abstractNumId w:val="65"/>
  </w:num>
  <w:num w:numId="49">
    <w:abstractNumId w:val="47"/>
  </w:num>
  <w:num w:numId="50">
    <w:abstractNumId w:val="30"/>
  </w:num>
  <w:num w:numId="51">
    <w:abstractNumId w:val="11"/>
  </w:num>
  <w:num w:numId="52">
    <w:abstractNumId w:val="10"/>
  </w:num>
  <w:num w:numId="53">
    <w:abstractNumId w:val="9"/>
  </w:num>
  <w:num w:numId="54">
    <w:abstractNumId w:val="13"/>
  </w:num>
  <w:num w:numId="55">
    <w:abstractNumId w:val="70"/>
  </w:num>
  <w:num w:numId="56">
    <w:abstractNumId w:val="12"/>
  </w:num>
  <w:num w:numId="57">
    <w:abstractNumId w:val="15"/>
  </w:num>
  <w:num w:numId="58">
    <w:abstractNumId w:val="44"/>
  </w:num>
  <w:num w:numId="59">
    <w:abstractNumId w:val="48"/>
  </w:num>
  <w:num w:numId="60">
    <w:abstractNumId w:val="59"/>
  </w:num>
  <w:num w:numId="61">
    <w:abstractNumId w:val="56"/>
  </w:num>
  <w:num w:numId="62">
    <w:abstractNumId w:val="25"/>
  </w:num>
  <w:num w:numId="63">
    <w:abstractNumId w:val="67"/>
  </w:num>
  <w:num w:numId="64">
    <w:abstractNumId w:val="61"/>
  </w:num>
  <w:num w:numId="65">
    <w:abstractNumId w:val="52"/>
  </w:num>
  <w:num w:numId="66">
    <w:abstractNumId w:val="63"/>
  </w:num>
  <w:num w:numId="67">
    <w:abstractNumId w:val="20"/>
  </w:num>
  <w:num w:numId="68">
    <w:abstractNumId w:val="26"/>
  </w:num>
  <w:num w:numId="69">
    <w:abstractNumId w:val="58"/>
  </w:num>
  <w:num w:numId="70">
    <w:abstractNumId w:val="32"/>
  </w:num>
  <w:num w:numId="71">
    <w:abstractNumId w:val="31"/>
  </w:num>
  <w:num w:numId="72">
    <w:abstractNumId w:val="33"/>
  </w:num>
  <w:num w:numId="73">
    <w:abstractNumId w:val="68"/>
  </w:num>
  <w:num w:numId="74">
    <w:abstractNumId w:val="18"/>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02&lt;/text&gt;_x000d__x000a_  &lt;/metadata&gt;_x000d__x000a_  &lt;metadata key=&quot;md_Prefix&quot;&gt;_x000d__x000a_    &lt;text&gt;&lt;/text&gt;_x000d__x000a_  &lt;/metadata&gt;_x000d__x000a_  &lt;metadata key=&quot;md_DocumentNumber&quot;&gt;_x000d__x000a_    &lt;text&gt;9517&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40&lt;/text&gt;_x000d__x000a_      &lt;text&gt;UEM 175&lt;/text&gt;_x000d__x000a_      &lt;text&gt;FIN 719&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30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Belgium&quot;&gt;&amp;lt;FlowDocument xmlns=&quot;http://schemas.microsoft.com/winfx/2006/xaml/presentation&quot;&amp;gt;&amp;lt;Paragraph&amp;gt;ANNEX to the COUNCIL IMPLEMENTING DECISION amending the Implementing Decision of 13 July 2021 on the approval of the assessment of the recovery and resilience plan for Belgium&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618DB343-960E-43E0-8E50-EF8D64E29E08"/>
    <w:docVar w:name="LW_COVERPAGE_TYPE" w:val="1"/>
    <w:docVar w:name="LW_CROSSREFERENCE" w:val="{SWD(2026) 255 final}"/>
    <w:docVar w:name="LW_DocType" w:val="DW_COUNCIL"/>
    <w:docVar w:name="LW_EMISSION" w:val="30.7.2026"/>
    <w:docVar w:name="LW_EMISSION_ISODATE" w:val="2026-07-30"/>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13 juillet 2021 relative à l\u8217?approbation de l\u8217?évaluation du plan pour la reprise et la résilience pour la Belgique"/>
    <w:docVar w:name="LW_PART_NBR" w:val="1"/>
    <w:docVar w:name="LW_PART_NBR_TOTAL" w:val="1"/>
    <w:docVar w:name="LW_REF.INST.NEW" w:val="COM"/>
    <w:docVar w:name="LW_REF.INST.NEW_ADOPTED" w:val="final"/>
    <w:docVar w:name="LW_REF.INST.NEW_TEXT" w:val="(2026) 4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A86151"/>
    <w:rsid w:val="000001DD"/>
    <w:rsid w:val="00000602"/>
    <w:rsid w:val="00000B3F"/>
    <w:rsid w:val="0000128D"/>
    <w:rsid w:val="00001290"/>
    <w:rsid w:val="00001448"/>
    <w:rsid w:val="0000150F"/>
    <w:rsid w:val="0000231A"/>
    <w:rsid w:val="0000242A"/>
    <w:rsid w:val="00002841"/>
    <w:rsid w:val="00002A9A"/>
    <w:rsid w:val="00002B01"/>
    <w:rsid w:val="00002B38"/>
    <w:rsid w:val="000039A4"/>
    <w:rsid w:val="00003E73"/>
    <w:rsid w:val="00004262"/>
    <w:rsid w:val="00004A4C"/>
    <w:rsid w:val="00004F9B"/>
    <w:rsid w:val="00006C88"/>
    <w:rsid w:val="0000737E"/>
    <w:rsid w:val="00007A57"/>
    <w:rsid w:val="00010109"/>
    <w:rsid w:val="0001116C"/>
    <w:rsid w:val="00011AD8"/>
    <w:rsid w:val="00011E45"/>
    <w:rsid w:val="00012B96"/>
    <w:rsid w:val="00012CB7"/>
    <w:rsid w:val="00013D67"/>
    <w:rsid w:val="000144AF"/>
    <w:rsid w:val="0001466D"/>
    <w:rsid w:val="00014814"/>
    <w:rsid w:val="00014C5D"/>
    <w:rsid w:val="000153FD"/>
    <w:rsid w:val="00015CC8"/>
    <w:rsid w:val="00015D0B"/>
    <w:rsid w:val="00015F47"/>
    <w:rsid w:val="0001736A"/>
    <w:rsid w:val="000179CD"/>
    <w:rsid w:val="00017ACD"/>
    <w:rsid w:val="00020877"/>
    <w:rsid w:val="000208DC"/>
    <w:rsid w:val="00021CAA"/>
    <w:rsid w:val="00022190"/>
    <w:rsid w:val="00022D6A"/>
    <w:rsid w:val="00022E57"/>
    <w:rsid w:val="0002317A"/>
    <w:rsid w:val="00023A7C"/>
    <w:rsid w:val="00023BEF"/>
    <w:rsid w:val="00023C31"/>
    <w:rsid w:val="000244CE"/>
    <w:rsid w:val="00024692"/>
    <w:rsid w:val="00024CF7"/>
    <w:rsid w:val="00024F74"/>
    <w:rsid w:val="00024F7B"/>
    <w:rsid w:val="00025148"/>
    <w:rsid w:val="000255A2"/>
    <w:rsid w:val="0002572E"/>
    <w:rsid w:val="00025888"/>
    <w:rsid w:val="00025955"/>
    <w:rsid w:val="0002618C"/>
    <w:rsid w:val="00026760"/>
    <w:rsid w:val="000273BC"/>
    <w:rsid w:val="00027841"/>
    <w:rsid w:val="00027AA7"/>
    <w:rsid w:val="00030B7E"/>
    <w:rsid w:val="00030E7A"/>
    <w:rsid w:val="00031318"/>
    <w:rsid w:val="000314F3"/>
    <w:rsid w:val="0003288B"/>
    <w:rsid w:val="00032E4B"/>
    <w:rsid w:val="000339E1"/>
    <w:rsid w:val="00033A8A"/>
    <w:rsid w:val="00033F0D"/>
    <w:rsid w:val="000343B4"/>
    <w:rsid w:val="000345AF"/>
    <w:rsid w:val="000352F6"/>
    <w:rsid w:val="000355F5"/>
    <w:rsid w:val="00035DDF"/>
    <w:rsid w:val="000366C9"/>
    <w:rsid w:val="000367E1"/>
    <w:rsid w:val="00037A6B"/>
    <w:rsid w:val="00037B2B"/>
    <w:rsid w:val="0004008F"/>
    <w:rsid w:val="00040245"/>
    <w:rsid w:val="00040446"/>
    <w:rsid w:val="0004047E"/>
    <w:rsid w:val="0004088D"/>
    <w:rsid w:val="000408DE"/>
    <w:rsid w:val="00040BE6"/>
    <w:rsid w:val="00041873"/>
    <w:rsid w:val="00041F83"/>
    <w:rsid w:val="000424CB"/>
    <w:rsid w:val="000427D7"/>
    <w:rsid w:val="00042B88"/>
    <w:rsid w:val="000430F4"/>
    <w:rsid w:val="000459D3"/>
    <w:rsid w:val="0004671C"/>
    <w:rsid w:val="00047A62"/>
    <w:rsid w:val="00047A8C"/>
    <w:rsid w:val="00047BE4"/>
    <w:rsid w:val="000507E6"/>
    <w:rsid w:val="00051068"/>
    <w:rsid w:val="00051426"/>
    <w:rsid w:val="00051480"/>
    <w:rsid w:val="000516AE"/>
    <w:rsid w:val="00051E76"/>
    <w:rsid w:val="00051FDD"/>
    <w:rsid w:val="00052221"/>
    <w:rsid w:val="00052D7C"/>
    <w:rsid w:val="00053CAF"/>
    <w:rsid w:val="000554C0"/>
    <w:rsid w:val="00055809"/>
    <w:rsid w:val="0005589F"/>
    <w:rsid w:val="0005614F"/>
    <w:rsid w:val="0005652C"/>
    <w:rsid w:val="000568A4"/>
    <w:rsid w:val="00056E0E"/>
    <w:rsid w:val="00056EFE"/>
    <w:rsid w:val="00057321"/>
    <w:rsid w:val="00057958"/>
    <w:rsid w:val="000579FC"/>
    <w:rsid w:val="00057E8F"/>
    <w:rsid w:val="0006196A"/>
    <w:rsid w:val="00061998"/>
    <w:rsid w:val="00062527"/>
    <w:rsid w:val="000626B1"/>
    <w:rsid w:val="0006290E"/>
    <w:rsid w:val="00062960"/>
    <w:rsid w:val="000637BE"/>
    <w:rsid w:val="00063C9E"/>
    <w:rsid w:val="000644FE"/>
    <w:rsid w:val="00064BC0"/>
    <w:rsid w:val="00065586"/>
    <w:rsid w:val="0006585B"/>
    <w:rsid w:val="0006613D"/>
    <w:rsid w:val="000666E3"/>
    <w:rsid w:val="000667A8"/>
    <w:rsid w:val="00066BA8"/>
    <w:rsid w:val="00067083"/>
    <w:rsid w:val="00067297"/>
    <w:rsid w:val="000675B8"/>
    <w:rsid w:val="00067B7F"/>
    <w:rsid w:val="00067CD4"/>
    <w:rsid w:val="00067D65"/>
    <w:rsid w:val="0007020B"/>
    <w:rsid w:val="00070A35"/>
    <w:rsid w:val="00070AC4"/>
    <w:rsid w:val="00070D9E"/>
    <w:rsid w:val="00071B22"/>
    <w:rsid w:val="00071E02"/>
    <w:rsid w:val="000729BB"/>
    <w:rsid w:val="000729F1"/>
    <w:rsid w:val="00072E37"/>
    <w:rsid w:val="00073859"/>
    <w:rsid w:val="00073D23"/>
    <w:rsid w:val="00073F0A"/>
    <w:rsid w:val="0007460E"/>
    <w:rsid w:val="0007480B"/>
    <w:rsid w:val="0007481A"/>
    <w:rsid w:val="00074B7C"/>
    <w:rsid w:val="00074F73"/>
    <w:rsid w:val="0007556B"/>
    <w:rsid w:val="00075FB7"/>
    <w:rsid w:val="000765FF"/>
    <w:rsid w:val="00076B60"/>
    <w:rsid w:val="000776C7"/>
    <w:rsid w:val="00077833"/>
    <w:rsid w:val="000779B6"/>
    <w:rsid w:val="00080554"/>
    <w:rsid w:val="00080B45"/>
    <w:rsid w:val="000811A0"/>
    <w:rsid w:val="000812BD"/>
    <w:rsid w:val="00081BC7"/>
    <w:rsid w:val="00081D39"/>
    <w:rsid w:val="00081FBC"/>
    <w:rsid w:val="00082FDF"/>
    <w:rsid w:val="00083396"/>
    <w:rsid w:val="000837B7"/>
    <w:rsid w:val="00083A83"/>
    <w:rsid w:val="00084757"/>
    <w:rsid w:val="000849A0"/>
    <w:rsid w:val="00084D7C"/>
    <w:rsid w:val="00084E2E"/>
    <w:rsid w:val="00084ED7"/>
    <w:rsid w:val="0008549E"/>
    <w:rsid w:val="00085BED"/>
    <w:rsid w:val="00085CA1"/>
    <w:rsid w:val="00085EC9"/>
    <w:rsid w:val="00085ECC"/>
    <w:rsid w:val="000861DA"/>
    <w:rsid w:val="0008663D"/>
    <w:rsid w:val="00087465"/>
    <w:rsid w:val="00087AEB"/>
    <w:rsid w:val="000900D3"/>
    <w:rsid w:val="00090552"/>
    <w:rsid w:val="00090659"/>
    <w:rsid w:val="0009090F"/>
    <w:rsid w:val="00090A2D"/>
    <w:rsid w:val="00090AF3"/>
    <w:rsid w:val="00090B30"/>
    <w:rsid w:val="00091688"/>
    <w:rsid w:val="0009172D"/>
    <w:rsid w:val="00092458"/>
    <w:rsid w:val="00092976"/>
    <w:rsid w:val="00092B13"/>
    <w:rsid w:val="00093657"/>
    <w:rsid w:val="000937A5"/>
    <w:rsid w:val="00093B4D"/>
    <w:rsid w:val="00093CE1"/>
    <w:rsid w:val="000951C9"/>
    <w:rsid w:val="0009543F"/>
    <w:rsid w:val="00095C57"/>
    <w:rsid w:val="00095D05"/>
    <w:rsid w:val="00095FA9"/>
    <w:rsid w:val="00096D39"/>
    <w:rsid w:val="000A09C3"/>
    <w:rsid w:val="000A0BDB"/>
    <w:rsid w:val="000A1085"/>
    <w:rsid w:val="000A10FF"/>
    <w:rsid w:val="000A19BC"/>
    <w:rsid w:val="000A1FCA"/>
    <w:rsid w:val="000A22AD"/>
    <w:rsid w:val="000A3094"/>
    <w:rsid w:val="000A3693"/>
    <w:rsid w:val="000A3C88"/>
    <w:rsid w:val="000A3D1B"/>
    <w:rsid w:val="000A3E57"/>
    <w:rsid w:val="000A3F5A"/>
    <w:rsid w:val="000A41A4"/>
    <w:rsid w:val="000A5CF6"/>
    <w:rsid w:val="000A6149"/>
    <w:rsid w:val="000A6685"/>
    <w:rsid w:val="000B0852"/>
    <w:rsid w:val="000B08AA"/>
    <w:rsid w:val="000B16F1"/>
    <w:rsid w:val="000B1AE8"/>
    <w:rsid w:val="000B2019"/>
    <w:rsid w:val="000B2601"/>
    <w:rsid w:val="000B26BA"/>
    <w:rsid w:val="000B2DE8"/>
    <w:rsid w:val="000B37D1"/>
    <w:rsid w:val="000B3BE2"/>
    <w:rsid w:val="000B4719"/>
    <w:rsid w:val="000B5240"/>
    <w:rsid w:val="000B5B10"/>
    <w:rsid w:val="000B672B"/>
    <w:rsid w:val="000B68AF"/>
    <w:rsid w:val="000B6ECB"/>
    <w:rsid w:val="000B723C"/>
    <w:rsid w:val="000B7361"/>
    <w:rsid w:val="000B7EDA"/>
    <w:rsid w:val="000C089F"/>
    <w:rsid w:val="000C0C89"/>
    <w:rsid w:val="000C15F8"/>
    <w:rsid w:val="000C1668"/>
    <w:rsid w:val="000C1E4F"/>
    <w:rsid w:val="000C21B3"/>
    <w:rsid w:val="000C21F4"/>
    <w:rsid w:val="000C2FB9"/>
    <w:rsid w:val="000C351E"/>
    <w:rsid w:val="000C3744"/>
    <w:rsid w:val="000C4676"/>
    <w:rsid w:val="000C4FF3"/>
    <w:rsid w:val="000C58F0"/>
    <w:rsid w:val="000C6D28"/>
    <w:rsid w:val="000C7C45"/>
    <w:rsid w:val="000C7D3F"/>
    <w:rsid w:val="000C7D53"/>
    <w:rsid w:val="000D01B7"/>
    <w:rsid w:val="000D0B37"/>
    <w:rsid w:val="000D0FBF"/>
    <w:rsid w:val="000D116C"/>
    <w:rsid w:val="000D1324"/>
    <w:rsid w:val="000D1388"/>
    <w:rsid w:val="000D14F3"/>
    <w:rsid w:val="000D1AF9"/>
    <w:rsid w:val="000D2A62"/>
    <w:rsid w:val="000D338D"/>
    <w:rsid w:val="000D36F0"/>
    <w:rsid w:val="000D3C46"/>
    <w:rsid w:val="000D4169"/>
    <w:rsid w:val="000D4C66"/>
    <w:rsid w:val="000D5607"/>
    <w:rsid w:val="000D5BA5"/>
    <w:rsid w:val="000D62A8"/>
    <w:rsid w:val="000D62E1"/>
    <w:rsid w:val="000D64C3"/>
    <w:rsid w:val="000D655C"/>
    <w:rsid w:val="000D694D"/>
    <w:rsid w:val="000D7089"/>
    <w:rsid w:val="000E0852"/>
    <w:rsid w:val="000E08BA"/>
    <w:rsid w:val="000E19A5"/>
    <w:rsid w:val="000E1ECE"/>
    <w:rsid w:val="000E22E9"/>
    <w:rsid w:val="000E2CE4"/>
    <w:rsid w:val="000E350C"/>
    <w:rsid w:val="000E45B6"/>
    <w:rsid w:val="000E47A4"/>
    <w:rsid w:val="000E55BF"/>
    <w:rsid w:val="000E61EB"/>
    <w:rsid w:val="000E686E"/>
    <w:rsid w:val="000E7688"/>
    <w:rsid w:val="000F0E36"/>
    <w:rsid w:val="000F0E6C"/>
    <w:rsid w:val="000F1C25"/>
    <w:rsid w:val="000F2083"/>
    <w:rsid w:val="000F2989"/>
    <w:rsid w:val="000F29DE"/>
    <w:rsid w:val="000F2B97"/>
    <w:rsid w:val="000F3152"/>
    <w:rsid w:val="000F356D"/>
    <w:rsid w:val="000F386D"/>
    <w:rsid w:val="000F42AB"/>
    <w:rsid w:val="000F43A8"/>
    <w:rsid w:val="000F4B6B"/>
    <w:rsid w:val="000F4F10"/>
    <w:rsid w:val="000F64D0"/>
    <w:rsid w:val="000F6E27"/>
    <w:rsid w:val="000F7204"/>
    <w:rsid w:val="0010034D"/>
    <w:rsid w:val="001008F8"/>
    <w:rsid w:val="00100E96"/>
    <w:rsid w:val="00100FDD"/>
    <w:rsid w:val="001016BB"/>
    <w:rsid w:val="00101786"/>
    <w:rsid w:val="00102304"/>
    <w:rsid w:val="00102E7A"/>
    <w:rsid w:val="0010423B"/>
    <w:rsid w:val="00104DE7"/>
    <w:rsid w:val="00104F80"/>
    <w:rsid w:val="00104F99"/>
    <w:rsid w:val="001054AA"/>
    <w:rsid w:val="00105C24"/>
    <w:rsid w:val="00106852"/>
    <w:rsid w:val="00106896"/>
    <w:rsid w:val="00106CEC"/>
    <w:rsid w:val="00107342"/>
    <w:rsid w:val="00107B13"/>
    <w:rsid w:val="0011098B"/>
    <w:rsid w:val="001113F2"/>
    <w:rsid w:val="0011144B"/>
    <w:rsid w:val="0011146E"/>
    <w:rsid w:val="001119D5"/>
    <w:rsid w:val="00112E66"/>
    <w:rsid w:val="001135D5"/>
    <w:rsid w:val="001137D3"/>
    <w:rsid w:val="00113966"/>
    <w:rsid w:val="00113CD9"/>
    <w:rsid w:val="00114731"/>
    <w:rsid w:val="00114804"/>
    <w:rsid w:val="00114C25"/>
    <w:rsid w:val="00114CAF"/>
    <w:rsid w:val="00115837"/>
    <w:rsid w:val="00115CF8"/>
    <w:rsid w:val="0011640E"/>
    <w:rsid w:val="001166A0"/>
    <w:rsid w:val="00117179"/>
    <w:rsid w:val="00117240"/>
    <w:rsid w:val="00117395"/>
    <w:rsid w:val="001200FE"/>
    <w:rsid w:val="001215E6"/>
    <w:rsid w:val="001216F5"/>
    <w:rsid w:val="0012213B"/>
    <w:rsid w:val="001225CF"/>
    <w:rsid w:val="00122683"/>
    <w:rsid w:val="0012278B"/>
    <w:rsid w:val="00122A3D"/>
    <w:rsid w:val="001233D2"/>
    <w:rsid w:val="001234C0"/>
    <w:rsid w:val="001237FC"/>
    <w:rsid w:val="00123E5C"/>
    <w:rsid w:val="00124C2A"/>
    <w:rsid w:val="00125193"/>
    <w:rsid w:val="00125542"/>
    <w:rsid w:val="0012581F"/>
    <w:rsid w:val="001259E3"/>
    <w:rsid w:val="00125AD5"/>
    <w:rsid w:val="00125AE4"/>
    <w:rsid w:val="00126066"/>
    <w:rsid w:val="00126459"/>
    <w:rsid w:val="001275FC"/>
    <w:rsid w:val="00130D74"/>
    <w:rsid w:val="00131183"/>
    <w:rsid w:val="001321C6"/>
    <w:rsid w:val="00132D87"/>
    <w:rsid w:val="00132D9F"/>
    <w:rsid w:val="00132F7E"/>
    <w:rsid w:val="00133505"/>
    <w:rsid w:val="001338FF"/>
    <w:rsid w:val="00133BA2"/>
    <w:rsid w:val="00134532"/>
    <w:rsid w:val="00134C5C"/>
    <w:rsid w:val="00135016"/>
    <w:rsid w:val="001350A6"/>
    <w:rsid w:val="0013581C"/>
    <w:rsid w:val="001358BE"/>
    <w:rsid w:val="00135FEA"/>
    <w:rsid w:val="001372F8"/>
    <w:rsid w:val="00137F49"/>
    <w:rsid w:val="00140DEC"/>
    <w:rsid w:val="00141059"/>
    <w:rsid w:val="00141233"/>
    <w:rsid w:val="00141641"/>
    <w:rsid w:val="00141A74"/>
    <w:rsid w:val="00141DC6"/>
    <w:rsid w:val="00141DDF"/>
    <w:rsid w:val="00142B14"/>
    <w:rsid w:val="00142DC6"/>
    <w:rsid w:val="00143491"/>
    <w:rsid w:val="00143A8C"/>
    <w:rsid w:val="00143CB4"/>
    <w:rsid w:val="00144209"/>
    <w:rsid w:val="00144480"/>
    <w:rsid w:val="00144BF9"/>
    <w:rsid w:val="00144C87"/>
    <w:rsid w:val="00144E5A"/>
    <w:rsid w:val="00144FF1"/>
    <w:rsid w:val="001453F3"/>
    <w:rsid w:val="001458B1"/>
    <w:rsid w:val="00145F69"/>
    <w:rsid w:val="00146076"/>
    <w:rsid w:val="00146735"/>
    <w:rsid w:val="00146E06"/>
    <w:rsid w:val="00147108"/>
    <w:rsid w:val="00147222"/>
    <w:rsid w:val="00147A3D"/>
    <w:rsid w:val="00150311"/>
    <w:rsid w:val="00150606"/>
    <w:rsid w:val="00150D5D"/>
    <w:rsid w:val="00151160"/>
    <w:rsid w:val="00152714"/>
    <w:rsid w:val="001529B4"/>
    <w:rsid w:val="00152E10"/>
    <w:rsid w:val="00153BF7"/>
    <w:rsid w:val="0015440D"/>
    <w:rsid w:val="00154640"/>
    <w:rsid w:val="0015472A"/>
    <w:rsid w:val="0015485F"/>
    <w:rsid w:val="00154C9F"/>
    <w:rsid w:val="00154DE1"/>
    <w:rsid w:val="001551F2"/>
    <w:rsid w:val="00155E8B"/>
    <w:rsid w:val="0015662C"/>
    <w:rsid w:val="00156686"/>
    <w:rsid w:val="00156A6C"/>
    <w:rsid w:val="00156F59"/>
    <w:rsid w:val="00157C92"/>
    <w:rsid w:val="00157DC2"/>
    <w:rsid w:val="0016075A"/>
    <w:rsid w:val="00160979"/>
    <w:rsid w:val="001609D9"/>
    <w:rsid w:val="00160B6A"/>
    <w:rsid w:val="00160E7B"/>
    <w:rsid w:val="001617EF"/>
    <w:rsid w:val="00163002"/>
    <w:rsid w:val="0016445C"/>
    <w:rsid w:val="001647ED"/>
    <w:rsid w:val="00164C10"/>
    <w:rsid w:val="00165452"/>
    <w:rsid w:val="0016592B"/>
    <w:rsid w:val="00165D48"/>
    <w:rsid w:val="0016647E"/>
    <w:rsid w:val="00167F08"/>
    <w:rsid w:val="00170652"/>
    <w:rsid w:val="00171E0B"/>
    <w:rsid w:val="001723C4"/>
    <w:rsid w:val="00172DAD"/>
    <w:rsid w:val="00174277"/>
    <w:rsid w:val="00174992"/>
    <w:rsid w:val="001749D5"/>
    <w:rsid w:val="0017508F"/>
    <w:rsid w:val="001752D7"/>
    <w:rsid w:val="00175300"/>
    <w:rsid w:val="00175B10"/>
    <w:rsid w:val="00175C75"/>
    <w:rsid w:val="00175CA8"/>
    <w:rsid w:val="00175DEC"/>
    <w:rsid w:val="00176803"/>
    <w:rsid w:val="00177ECB"/>
    <w:rsid w:val="00180346"/>
    <w:rsid w:val="00180F31"/>
    <w:rsid w:val="001811F2"/>
    <w:rsid w:val="001817B8"/>
    <w:rsid w:val="00181AD5"/>
    <w:rsid w:val="00181E9D"/>
    <w:rsid w:val="001825B6"/>
    <w:rsid w:val="00183750"/>
    <w:rsid w:val="00183BE0"/>
    <w:rsid w:val="00183C9B"/>
    <w:rsid w:val="00183EE1"/>
    <w:rsid w:val="0018427A"/>
    <w:rsid w:val="001843CE"/>
    <w:rsid w:val="00184C47"/>
    <w:rsid w:val="001851F8"/>
    <w:rsid w:val="00185369"/>
    <w:rsid w:val="001855F8"/>
    <w:rsid w:val="00185F51"/>
    <w:rsid w:val="0018619D"/>
    <w:rsid w:val="0018634A"/>
    <w:rsid w:val="001870AD"/>
    <w:rsid w:val="0018753B"/>
    <w:rsid w:val="00187F90"/>
    <w:rsid w:val="0019095B"/>
    <w:rsid w:val="00190B50"/>
    <w:rsid w:val="0019102E"/>
    <w:rsid w:val="0019111A"/>
    <w:rsid w:val="00191376"/>
    <w:rsid w:val="00191627"/>
    <w:rsid w:val="0019163F"/>
    <w:rsid w:val="001920D2"/>
    <w:rsid w:val="0019244D"/>
    <w:rsid w:val="001939A1"/>
    <w:rsid w:val="00193A33"/>
    <w:rsid w:val="00193BDA"/>
    <w:rsid w:val="00194543"/>
    <w:rsid w:val="001945D6"/>
    <w:rsid w:val="00195810"/>
    <w:rsid w:val="00195A68"/>
    <w:rsid w:val="001965B1"/>
    <w:rsid w:val="00196655"/>
    <w:rsid w:val="00196C05"/>
    <w:rsid w:val="00197C26"/>
    <w:rsid w:val="00197DBC"/>
    <w:rsid w:val="001A1BC0"/>
    <w:rsid w:val="001A1D54"/>
    <w:rsid w:val="001A1EBF"/>
    <w:rsid w:val="001A1F3D"/>
    <w:rsid w:val="001A2082"/>
    <w:rsid w:val="001A2122"/>
    <w:rsid w:val="001A34AD"/>
    <w:rsid w:val="001A37D8"/>
    <w:rsid w:val="001A38A8"/>
    <w:rsid w:val="001A4084"/>
    <w:rsid w:val="001A4BA7"/>
    <w:rsid w:val="001A557F"/>
    <w:rsid w:val="001A5A2F"/>
    <w:rsid w:val="001A64F8"/>
    <w:rsid w:val="001A6DD1"/>
    <w:rsid w:val="001B078F"/>
    <w:rsid w:val="001B0B9B"/>
    <w:rsid w:val="001B0BA6"/>
    <w:rsid w:val="001B0CB9"/>
    <w:rsid w:val="001B2D19"/>
    <w:rsid w:val="001B2D60"/>
    <w:rsid w:val="001B39AF"/>
    <w:rsid w:val="001B5729"/>
    <w:rsid w:val="001B59AC"/>
    <w:rsid w:val="001B632B"/>
    <w:rsid w:val="001B6D4C"/>
    <w:rsid w:val="001B7825"/>
    <w:rsid w:val="001B7910"/>
    <w:rsid w:val="001C0AA5"/>
    <w:rsid w:val="001C0C37"/>
    <w:rsid w:val="001C0D1D"/>
    <w:rsid w:val="001C1385"/>
    <w:rsid w:val="001C14CE"/>
    <w:rsid w:val="001C16E9"/>
    <w:rsid w:val="001C19A1"/>
    <w:rsid w:val="001C1A45"/>
    <w:rsid w:val="001C1A83"/>
    <w:rsid w:val="001C31A9"/>
    <w:rsid w:val="001C3335"/>
    <w:rsid w:val="001C48CA"/>
    <w:rsid w:val="001C51A1"/>
    <w:rsid w:val="001C521A"/>
    <w:rsid w:val="001C6067"/>
    <w:rsid w:val="001C645B"/>
    <w:rsid w:val="001C6B7F"/>
    <w:rsid w:val="001C6B9A"/>
    <w:rsid w:val="001C6E80"/>
    <w:rsid w:val="001C7038"/>
    <w:rsid w:val="001C7245"/>
    <w:rsid w:val="001C7349"/>
    <w:rsid w:val="001C783A"/>
    <w:rsid w:val="001D021C"/>
    <w:rsid w:val="001D0708"/>
    <w:rsid w:val="001D09A8"/>
    <w:rsid w:val="001D0A88"/>
    <w:rsid w:val="001D1A3C"/>
    <w:rsid w:val="001D2063"/>
    <w:rsid w:val="001D24FA"/>
    <w:rsid w:val="001D29C5"/>
    <w:rsid w:val="001D2D83"/>
    <w:rsid w:val="001D30B8"/>
    <w:rsid w:val="001D357D"/>
    <w:rsid w:val="001D3D94"/>
    <w:rsid w:val="001D3FCA"/>
    <w:rsid w:val="001D422F"/>
    <w:rsid w:val="001D457F"/>
    <w:rsid w:val="001D4F56"/>
    <w:rsid w:val="001D529C"/>
    <w:rsid w:val="001D6064"/>
    <w:rsid w:val="001D60FF"/>
    <w:rsid w:val="001D635A"/>
    <w:rsid w:val="001D64D2"/>
    <w:rsid w:val="001D6860"/>
    <w:rsid w:val="001D695F"/>
    <w:rsid w:val="001D69C6"/>
    <w:rsid w:val="001D6B43"/>
    <w:rsid w:val="001D7FD5"/>
    <w:rsid w:val="001E1252"/>
    <w:rsid w:val="001E2CCB"/>
    <w:rsid w:val="001E2D1F"/>
    <w:rsid w:val="001E2DD7"/>
    <w:rsid w:val="001E37B1"/>
    <w:rsid w:val="001E3EE4"/>
    <w:rsid w:val="001E424B"/>
    <w:rsid w:val="001E48A9"/>
    <w:rsid w:val="001E518B"/>
    <w:rsid w:val="001E60CE"/>
    <w:rsid w:val="001E6A82"/>
    <w:rsid w:val="001E6F98"/>
    <w:rsid w:val="001E7410"/>
    <w:rsid w:val="001E7443"/>
    <w:rsid w:val="001E7499"/>
    <w:rsid w:val="001E75E1"/>
    <w:rsid w:val="001F0A92"/>
    <w:rsid w:val="001F0D07"/>
    <w:rsid w:val="001F11FA"/>
    <w:rsid w:val="001F1424"/>
    <w:rsid w:val="001F1DBA"/>
    <w:rsid w:val="001F212F"/>
    <w:rsid w:val="001F233C"/>
    <w:rsid w:val="001F3632"/>
    <w:rsid w:val="001F3C71"/>
    <w:rsid w:val="001F3C96"/>
    <w:rsid w:val="001F3D7B"/>
    <w:rsid w:val="001F4083"/>
    <w:rsid w:val="001F429B"/>
    <w:rsid w:val="001F4742"/>
    <w:rsid w:val="001F499E"/>
    <w:rsid w:val="001F4DA5"/>
    <w:rsid w:val="001F53B2"/>
    <w:rsid w:val="001F556C"/>
    <w:rsid w:val="001F59C7"/>
    <w:rsid w:val="001F5AA1"/>
    <w:rsid w:val="001F5AF2"/>
    <w:rsid w:val="001F5F24"/>
    <w:rsid w:val="001F636F"/>
    <w:rsid w:val="001F78F8"/>
    <w:rsid w:val="001F7F9E"/>
    <w:rsid w:val="00200205"/>
    <w:rsid w:val="002003AB"/>
    <w:rsid w:val="00200B31"/>
    <w:rsid w:val="00200C22"/>
    <w:rsid w:val="00200D83"/>
    <w:rsid w:val="00201A07"/>
    <w:rsid w:val="002026D7"/>
    <w:rsid w:val="00202B44"/>
    <w:rsid w:val="002031BE"/>
    <w:rsid w:val="00203D81"/>
    <w:rsid w:val="0020454A"/>
    <w:rsid w:val="0020476E"/>
    <w:rsid w:val="00204CC6"/>
    <w:rsid w:val="0020556F"/>
    <w:rsid w:val="00206271"/>
    <w:rsid w:val="00206475"/>
    <w:rsid w:val="0020647D"/>
    <w:rsid w:val="00206B62"/>
    <w:rsid w:val="00206EF8"/>
    <w:rsid w:val="00211008"/>
    <w:rsid w:val="00211073"/>
    <w:rsid w:val="002114F3"/>
    <w:rsid w:val="00212020"/>
    <w:rsid w:val="002122B9"/>
    <w:rsid w:val="00214818"/>
    <w:rsid w:val="00214B2D"/>
    <w:rsid w:val="00214DA3"/>
    <w:rsid w:val="00217278"/>
    <w:rsid w:val="002179B7"/>
    <w:rsid w:val="00217BCA"/>
    <w:rsid w:val="00217C28"/>
    <w:rsid w:val="00217E56"/>
    <w:rsid w:val="00220572"/>
    <w:rsid w:val="002205E2"/>
    <w:rsid w:val="00221183"/>
    <w:rsid w:val="0022136D"/>
    <w:rsid w:val="002225C9"/>
    <w:rsid w:val="00223248"/>
    <w:rsid w:val="002232DE"/>
    <w:rsid w:val="002237B4"/>
    <w:rsid w:val="002243A9"/>
    <w:rsid w:val="0022487E"/>
    <w:rsid w:val="00224AD4"/>
    <w:rsid w:val="00224D43"/>
    <w:rsid w:val="0022521E"/>
    <w:rsid w:val="00225523"/>
    <w:rsid w:val="0022597C"/>
    <w:rsid w:val="00225ADC"/>
    <w:rsid w:val="00225FD1"/>
    <w:rsid w:val="002260D4"/>
    <w:rsid w:val="00227DE2"/>
    <w:rsid w:val="00231E18"/>
    <w:rsid w:val="00232E90"/>
    <w:rsid w:val="00234479"/>
    <w:rsid w:val="00234D66"/>
    <w:rsid w:val="00234E18"/>
    <w:rsid w:val="0023509E"/>
    <w:rsid w:val="00235C0F"/>
    <w:rsid w:val="00236B9F"/>
    <w:rsid w:val="002374D9"/>
    <w:rsid w:val="00237E21"/>
    <w:rsid w:val="00240E05"/>
    <w:rsid w:val="00241006"/>
    <w:rsid w:val="00242366"/>
    <w:rsid w:val="0024298D"/>
    <w:rsid w:val="00242DBF"/>
    <w:rsid w:val="002438B7"/>
    <w:rsid w:val="00243AEA"/>
    <w:rsid w:val="0024426E"/>
    <w:rsid w:val="002451FB"/>
    <w:rsid w:val="00245C48"/>
    <w:rsid w:val="00245FF9"/>
    <w:rsid w:val="00246164"/>
    <w:rsid w:val="00246655"/>
    <w:rsid w:val="0024687E"/>
    <w:rsid w:val="00246F1D"/>
    <w:rsid w:val="00247333"/>
    <w:rsid w:val="00247CBF"/>
    <w:rsid w:val="00247DA6"/>
    <w:rsid w:val="00250823"/>
    <w:rsid w:val="00250E75"/>
    <w:rsid w:val="00251162"/>
    <w:rsid w:val="002513AA"/>
    <w:rsid w:val="00251C84"/>
    <w:rsid w:val="00251F62"/>
    <w:rsid w:val="00252483"/>
    <w:rsid w:val="00252A99"/>
    <w:rsid w:val="00253441"/>
    <w:rsid w:val="00254331"/>
    <w:rsid w:val="00254342"/>
    <w:rsid w:val="002543BB"/>
    <w:rsid w:val="00255281"/>
    <w:rsid w:val="00255C94"/>
    <w:rsid w:val="00256245"/>
    <w:rsid w:val="002573B1"/>
    <w:rsid w:val="00257536"/>
    <w:rsid w:val="0025777C"/>
    <w:rsid w:val="00257DC5"/>
    <w:rsid w:val="00257EAD"/>
    <w:rsid w:val="00260034"/>
    <w:rsid w:val="002601E6"/>
    <w:rsid w:val="00260EF6"/>
    <w:rsid w:val="00261817"/>
    <w:rsid w:val="0026195C"/>
    <w:rsid w:val="00261C7C"/>
    <w:rsid w:val="00261EA2"/>
    <w:rsid w:val="00261EC3"/>
    <w:rsid w:val="00262921"/>
    <w:rsid w:val="00262A2A"/>
    <w:rsid w:val="002635CE"/>
    <w:rsid w:val="002640C2"/>
    <w:rsid w:val="002644A2"/>
    <w:rsid w:val="00265005"/>
    <w:rsid w:val="00265024"/>
    <w:rsid w:val="00265B11"/>
    <w:rsid w:val="002670BF"/>
    <w:rsid w:val="00270577"/>
    <w:rsid w:val="00270E9F"/>
    <w:rsid w:val="0027162F"/>
    <w:rsid w:val="00271EC1"/>
    <w:rsid w:val="0027287F"/>
    <w:rsid w:val="002729DC"/>
    <w:rsid w:val="00273909"/>
    <w:rsid w:val="00274141"/>
    <w:rsid w:val="002747D7"/>
    <w:rsid w:val="0027560A"/>
    <w:rsid w:val="00275711"/>
    <w:rsid w:val="00275872"/>
    <w:rsid w:val="00275B6F"/>
    <w:rsid w:val="00276386"/>
    <w:rsid w:val="002774FD"/>
    <w:rsid w:val="0027784D"/>
    <w:rsid w:val="00277F1C"/>
    <w:rsid w:val="00277F55"/>
    <w:rsid w:val="00280E17"/>
    <w:rsid w:val="002811FE"/>
    <w:rsid w:val="002813E2"/>
    <w:rsid w:val="00281462"/>
    <w:rsid w:val="00281D52"/>
    <w:rsid w:val="002826B0"/>
    <w:rsid w:val="00283BC1"/>
    <w:rsid w:val="00284575"/>
    <w:rsid w:val="00284A79"/>
    <w:rsid w:val="00284FDE"/>
    <w:rsid w:val="00285066"/>
    <w:rsid w:val="002851A3"/>
    <w:rsid w:val="00285635"/>
    <w:rsid w:val="00285B88"/>
    <w:rsid w:val="00285F4E"/>
    <w:rsid w:val="002861FC"/>
    <w:rsid w:val="0028663E"/>
    <w:rsid w:val="00286BBE"/>
    <w:rsid w:val="00286F0B"/>
    <w:rsid w:val="002872E4"/>
    <w:rsid w:val="002876D8"/>
    <w:rsid w:val="00287CA6"/>
    <w:rsid w:val="00287F30"/>
    <w:rsid w:val="00290092"/>
    <w:rsid w:val="00290428"/>
    <w:rsid w:val="002909D7"/>
    <w:rsid w:val="00291660"/>
    <w:rsid w:val="00291712"/>
    <w:rsid w:val="0029194B"/>
    <w:rsid w:val="00291C9A"/>
    <w:rsid w:val="00292333"/>
    <w:rsid w:val="0029293D"/>
    <w:rsid w:val="00292981"/>
    <w:rsid w:val="00293307"/>
    <w:rsid w:val="00293334"/>
    <w:rsid w:val="00293568"/>
    <w:rsid w:val="00293571"/>
    <w:rsid w:val="00295718"/>
    <w:rsid w:val="0029662F"/>
    <w:rsid w:val="00296777"/>
    <w:rsid w:val="00297441"/>
    <w:rsid w:val="002A077F"/>
    <w:rsid w:val="002A0EA6"/>
    <w:rsid w:val="002A14BB"/>
    <w:rsid w:val="002A153E"/>
    <w:rsid w:val="002A17C3"/>
    <w:rsid w:val="002A1E58"/>
    <w:rsid w:val="002A20B9"/>
    <w:rsid w:val="002A2727"/>
    <w:rsid w:val="002A2ACF"/>
    <w:rsid w:val="002A2E8C"/>
    <w:rsid w:val="002A3750"/>
    <w:rsid w:val="002A3F37"/>
    <w:rsid w:val="002A4AAD"/>
    <w:rsid w:val="002A4BFD"/>
    <w:rsid w:val="002A516C"/>
    <w:rsid w:val="002A5223"/>
    <w:rsid w:val="002A6425"/>
    <w:rsid w:val="002A654B"/>
    <w:rsid w:val="002A6676"/>
    <w:rsid w:val="002A670C"/>
    <w:rsid w:val="002A692F"/>
    <w:rsid w:val="002A7608"/>
    <w:rsid w:val="002A7A51"/>
    <w:rsid w:val="002B0E42"/>
    <w:rsid w:val="002B0F34"/>
    <w:rsid w:val="002B109A"/>
    <w:rsid w:val="002B1179"/>
    <w:rsid w:val="002B18E4"/>
    <w:rsid w:val="002B2BC1"/>
    <w:rsid w:val="002B3291"/>
    <w:rsid w:val="002B32A2"/>
    <w:rsid w:val="002B3B39"/>
    <w:rsid w:val="002B3B7B"/>
    <w:rsid w:val="002B3DE6"/>
    <w:rsid w:val="002B45B2"/>
    <w:rsid w:val="002B4C0A"/>
    <w:rsid w:val="002B4F5A"/>
    <w:rsid w:val="002B4F5E"/>
    <w:rsid w:val="002B4F93"/>
    <w:rsid w:val="002B52E4"/>
    <w:rsid w:val="002B5998"/>
    <w:rsid w:val="002B6745"/>
    <w:rsid w:val="002B6FB4"/>
    <w:rsid w:val="002B72C5"/>
    <w:rsid w:val="002B73A2"/>
    <w:rsid w:val="002C061B"/>
    <w:rsid w:val="002C0E75"/>
    <w:rsid w:val="002C0FF3"/>
    <w:rsid w:val="002C10CA"/>
    <w:rsid w:val="002C192C"/>
    <w:rsid w:val="002C2421"/>
    <w:rsid w:val="002C28D0"/>
    <w:rsid w:val="002C319C"/>
    <w:rsid w:val="002C32B5"/>
    <w:rsid w:val="002C45ED"/>
    <w:rsid w:val="002C4A08"/>
    <w:rsid w:val="002C4AFE"/>
    <w:rsid w:val="002C56DB"/>
    <w:rsid w:val="002C575D"/>
    <w:rsid w:val="002C6914"/>
    <w:rsid w:val="002C6A41"/>
    <w:rsid w:val="002C6F07"/>
    <w:rsid w:val="002C7208"/>
    <w:rsid w:val="002C7502"/>
    <w:rsid w:val="002C77A2"/>
    <w:rsid w:val="002D014D"/>
    <w:rsid w:val="002D0231"/>
    <w:rsid w:val="002D046A"/>
    <w:rsid w:val="002D0C5A"/>
    <w:rsid w:val="002D0EE3"/>
    <w:rsid w:val="002D1A48"/>
    <w:rsid w:val="002D1F6E"/>
    <w:rsid w:val="002D20F1"/>
    <w:rsid w:val="002D304B"/>
    <w:rsid w:val="002D35E2"/>
    <w:rsid w:val="002D3934"/>
    <w:rsid w:val="002D3C1E"/>
    <w:rsid w:val="002D4380"/>
    <w:rsid w:val="002D4388"/>
    <w:rsid w:val="002D4611"/>
    <w:rsid w:val="002D4F6A"/>
    <w:rsid w:val="002D5093"/>
    <w:rsid w:val="002D539C"/>
    <w:rsid w:val="002D579B"/>
    <w:rsid w:val="002D5DC9"/>
    <w:rsid w:val="002D6EA1"/>
    <w:rsid w:val="002D75BF"/>
    <w:rsid w:val="002D77A2"/>
    <w:rsid w:val="002E0CB8"/>
    <w:rsid w:val="002E1F09"/>
    <w:rsid w:val="002E21DA"/>
    <w:rsid w:val="002E31AC"/>
    <w:rsid w:val="002E3A94"/>
    <w:rsid w:val="002E496F"/>
    <w:rsid w:val="002E61AD"/>
    <w:rsid w:val="002E6CF7"/>
    <w:rsid w:val="002E6E76"/>
    <w:rsid w:val="002F0000"/>
    <w:rsid w:val="002F051D"/>
    <w:rsid w:val="002F0621"/>
    <w:rsid w:val="002F109A"/>
    <w:rsid w:val="002F1AF8"/>
    <w:rsid w:val="002F1FD1"/>
    <w:rsid w:val="002F2B1C"/>
    <w:rsid w:val="002F314C"/>
    <w:rsid w:val="002F33B1"/>
    <w:rsid w:val="002F3469"/>
    <w:rsid w:val="002F3874"/>
    <w:rsid w:val="002F426B"/>
    <w:rsid w:val="002F4A24"/>
    <w:rsid w:val="002F4F99"/>
    <w:rsid w:val="002F5391"/>
    <w:rsid w:val="002F58ED"/>
    <w:rsid w:val="002F75CA"/>
    <w:rsid w:val="002F76B3"/>
    <w:rsid w:val="002F7B31"/>
    <w:rsid w:val="002F7E18"/>
    <w:rsid w:val="002F7FD4"/>
    <w:rsid w:val="00300369"/>
    <w:rsid w:val="0030080D"/>
    <w:rsid w:val="00301BE4"/>
    <w:rsid w:val="003026DA"/>
    <w:rsid w:val="00302725"/>
    <w:rsid w:val="003027B3"/>
    <w:rsid w:val="00302C65"/>
    <w:rsid w:val="0030300B"/>
    <w:rsid w:val="003031BD"/>
    <w:rsid w:val="00303581"/>
    <w:rsid w:val="003038D9"/>
    <w:rsid w:val="003047BA"/>
    <w:rsid w:val="003048EE"/>
    <w:rsid w:val="00304D99"/>
    <w:rsid w:val="00304E97"/>
    <w:rsid w:val="00305F56"/>
    <w:rsid w:val="00306572"/>
    <w:rsid w:val="003068B5"/>
    <w:rsid w:val="00306DA9"/>
    <w:rsid w:val="003105DF"/>
    <w:rsid w:val="00311EC8"/>
    <w:rsid w:val="00312215"/>
    <w:rsid w:val="00312BDE"/>
    <w:rsid w:val="00313072"/>
    <w:rsid w:val="0031322A"/>
    <w:rsid w:val="0031349A"/>
    <w:rsid w:val="00314276"/>
    <w:rsid w:val="00314696"/>
    <w:rsid w:val="003148F0"/>
    <w:rsid w:val="00314AC1"/>
    <w:rsid w:val="00314D89"/>
    <w:rsid w:val="00314EA6"/>
    <w:rsid w:val="00316CA1"/>
    <w:rsid w:val="00317220"/>
    <w:rsid w:val="00317834"/>
    <w:rsid w:val="00320488"/>
    <w:rsid w:val="00320764"/>
    <w:rsid w:val="003233A6"/>
    <w:rsid w:val="00323734"/>
    <w:rsid w:val="00324A84"/>
    <w:rsid w:val="003259A9"/>
    <w:rsid w:val="00326008"/>
    <w:rsid w:val="00326065"/>
    <w:rsid w:val="003303D9"/>
    <w:rsid w:val="00330AAC"/>
    <w:rsid w:val="00331552"/>
    <w:rsid w:val="0033181E"/>
    <w:rsid w:val="00333D60"/>
    <w:rsid w:val="00333FFA"/>
    <w:rsid w:val="0033400C"/>
    <w:rsid w:val="00334062"/>
    <w:rsid w:val="003340C8"/>
    <w:rsid w:val="00334963"/>
    <w:rsid w:val="00334E70"/>
    <w:rsid w:val="00334EB8"/>
    <w:rsid w:val="00334ED8"/>
    <w:rsid w:val="00335273"/>
    <w:rsid w:val="003354EC"/>
    <w:rsid w:val="0033583D"/>
    <w:rsid w:val="00335A6A"/>
    <w:rsid w:val="00336AAB"/>
    <w:rsid w:val="00336F9B"/>
    <w:rsid w:val="003375F6"/>
    <w:rsid w:val="00337A78"/>
    <w:rsid w:val="00340040"/>
    <w:rsid w:val="0034005C"/>
    <w:rsid w:val="003414FB"/>
    <w:rsid w:val="0034269E"/>
    <w:rsid w:val="00342963"/>
    <w:rsid w:val="00343E3B"/>
    <w:rsid w:val="00343E81"/>
    <w:rsid w:val="003440F3"/>
    <w:rsid w:val="0034437D"/>
    <w:rsid w:val="0034461B"/>
    <w:rsid w:val="00345CAD"/>
    <w:rsid w:val="003461A0"/>
    <w:rsid w:val="003469BE"/>
    <w:rsid w:val="00346C9B"/>
    <w:rsid w:val="003470CB"/>
    <w:rsid w:val="003473E5"/>
    <w:rsid w:val="0034745F"/>
    <w:rsid w:val="00347D4E"/>
    <w:rsid w:val="00350447"/>
    <w:rsid w:val="00350B8B"/>
    <w:rsid w:val="00350DBB"/>
    <w:rsid w:val="00350FF4"/>
    <w:rsid w:val="003519F2"/>
    <w:rsid w:val="003520B9"/>
    <w:rsid w:val="00352229"/>
    <w:rsid w:val="003522BA"/>
    <w:rsid w:val="0035258E"/>
    <w:rsid w:val="00352A9E"/>
    <w:rsid w:val="00353C72"/>
    <w:rsid w:val="00353E65"/>
    <w:rsid w:val="0035457A"/>
    <w:rsid w:val="0035484E"/>
    <w:rsid w:val="00354E7E"/>
    <w:rsid w:val="00354EB6"/>
    <w:rsid w:val="003552C9"/>
    <w:rsid w:val="003557A9"/>
    <w:rsid w:val="003558E4"/>
    <w:rsid w:val="003563E7"/>
    <w:rsid w:val="00356439"/>
    <w:rsid w:val="00356ADE"/>
    <w:rsid w:val="00356C15"/>
    <w:rsid w:val="00356C59"/>
    <w:rsid w:val="00356D08"/>
    <w:rsid w:val="00356FFF"/>
    <w:rsid w:val="0035741F"/>
    <w:rsid w:val="00357420"/>
    <w:rsid w:val="00357D9F"/>
    <w:rsid w:val="00360561"/>
    <w:rsid w:val="003605B6"/>
    <w:rsid w:val="003608F3"/>
    <w:rsid w:val="003610D8"/>
    <w:rsid w:val="0036348D"/>
    <w:rsid w:val="00363F11"/>
    <w:rsid w:val="003641A9"/>
    <w:rsid w:val="0036461B"/>
    <w:rsid w:val="003651E7"/>
    <w:rsid w:val="003655C5"/>
    <w:rsid w:val="00365692"/>
    <w:rsid w:val="0036621C"/>
    <w:rsid w:val="00366D4D"/>
    <w:rsid w:val="003672B5"/>
    <w:rsid w:val="003678FD"/>
    <w:rsid w:val="00367A19"/>
    <w:rsid w:val="003704F6"/>
    <w:rsid w:val="00370923"/>
    <w:rsid w:val="00370B56"/>
    <w:rsid w:val="00371C48"/>
    <w:rsid w:val="00371EEF"/>
    <w:rsid w:val="00372259"/>
    <w:rsid w:val="00372CD9"/>
    <w:rsid w:val="003731C1"/>
    <w:rsid w:val="003735BB"/>
    <w:rsid w:val="0037371F"/>
    <w:rsid w:val="00373A9F"/>
    <w:rsid w:val="00376B5E"/>
    <w:rsid w:val="00376EC2"/>
    <w:rsid w:val="003773AC"/>
    <w:rsid w:val="003779E5"/>
    <w:rsid w:val="00377B63"/>
    <w:rsid w:val="00377BF3"/>
    <w:rsid w:val="00377C5D"/>
    <w:rsid w:val="00380092"/>
    <w:rsid w:val="003809D2"/>
    <w:rsid w:val="00380AD3"/>
    <w:rsid w:val="00380D7D"/>
    <w:rsid w:val="00380FD0"/>
    <w:rsid w:val="00381A62"/>
    <w:rsid w:val="00381A66"/>
    <w:rsid w:val="00381A9D"/>
    <w:rsid w:val="00381C92"/>
    <w:rsid w:val="00381FC9"/>
    <w:rsid w:val="00381FCC"/>
    <w:rsid w:val="00382CC9"/>
    <w:rsid w:val="00382CF1"/>
    <w:rsid w:val="00382E29"/>
    <w:rsid w:val="00383184"/>
    <w:rsid w:val="0038331A"/>
    <w:rsid w:val="003838D0"/>
    <w:rsid w:val="0038440B"/>
    <w:rsid w:val="0038521D"/>
    <w:rsid w:val="00385CB2"/>
    <w:rsid w:val="00386302"/>
    <w:rsid w:val="003874E2"/>
    <w:rsid w:val="0038788A"/>
    <w:rsid w:val="003900CD"/>
    <w:rsid w:val="003901C0"/>
    <w:rsid w:val="00390A19"/>
    <w:rsid w:val="003910BE"/>
    <w:rsid w:val="003912AD"/>
    <w:rsid w:val="00392130"/>
    <w:rsid w:val="00392905"/>
    <w:rsid w:val="00392D5E"/>
    <w:rsid w:val="00393562"/>
    <w:rsid w:val="00393B7E"/>
    <w:rsid w:val="00394162"/>
    <w:rsid w:val="003943C2"/>
    <w:rsid w:val="00394983"/>
    <w:rsid w:val="003959D2"/>
    <w:rsid w:val="00395A16"/>
    <w:rsid w:val="00397827"/>
    <w:rsid w:val="003A01B9"/>
    <w:rsid w:val="003A1927"/>
    <w:rsid w:val="003A1CC3"/>
    <w:rsid w:val="003A2168"/>
    <w:rsid w:val="003A21F9"/>
    <w:rsid w:val="003A251B"/>
    <w:rsid w:val="003A31FF"/>
    <w:rsid w:val="003A33A0"/>
    <w:rsid w:val="003A36C4"/>
    <w:rsid w:val="003A3B2B"/>
    <w:rsid w:val="003A430E"/>
    <w:rsid w:val="003A444D"/>
    <w:rsid w:val="003A5942"/>
    <w:rsid w:val="003A658F"/>
    <w:rsid w:val="003A65A7"/>
    <w:rsid w:val="003A677D"/>
    <w:rsid w:val="003A6BFC"/>
    <w:rsid w:val="003A6E57"/>
    <w:rsid w:val="003A7A1F"/>
    <w:rsid w:val="003B02B5"/>
    <w:rsid w:val="003B1F95"/>
    <w:rsid w:val="003B3627"/>
    <w:rsid w:val="003B446A"/>
    <w:rsid w:val="003B45D7"/>
    <w:rsid w:val="003B4AB8"/>
    <w:rsid w:val="003B4DDC"/>
    <w:rsid w:val="003B5434"/>
    <w:rsid w:val="003B5992"/>
    <w:rsid w:val="003B6A3B"/>
    <w:rsid w:val="003B6CCE"/>
    <w:rsid w:val="003B729A"/>
    <w:rsid w:val="003B732A"/>
    <w:rsid w:val="003B77F0"/>
    <w:rsid w:val="003C011B"/>
    <w:rsid w:val="003C184A"/>
    <w:rsid w:val="003C1981"/>
    <w:rsid w:val="003C1DF9"/>
    <w:rsid w:val="003C1FB8"/>
    <w:rsid w:val="003C286E"/>
    <w:rsid w:val="003C398B"/>
    <w:rsid w:val="003C3CB1"/>
    <w:rsid w:val="003C3E3E"/>
    <w:rsid w:val="003C5227"/>
    <w:rsid w:val="003C5292"/>
    <w:rsid w:val="003C53FC"/>
    <w:rsid w:val="003C5BDD"/>
    <w:rsid w:val="003C6579"/>
    <w:rsid w:val="003C7352"/>
    <w:rsid w:val="003C755A"/>
    <w:rsid w:val="003C7708"/>
    <w:rsid w:val="003C7818"/>
    <w:rsid w:val="003D0963"/>
    <w:rsid w:val="003D09EE"/>
    <w:rsid w:val="003D0F26"/>
    <w:rsid w:val="003D13E3"/>
    <w:rsid w:val="003D1411"/>
    <w:rsid w:val="003D1F6F"/>
    <w:rsid w:val="003D26FD"/>
    <w:rsid w:val="003D285F"/>
    <w:rsid w:val="003D2D45"/>
    <w:rsid w:val="003D3823"/>
    <w:rsid w:val="003D472C"/>
    <w:rsid w:val="003D5A37"/>
    <w:rsid w:val="003D5C84"/>
    <w:rsid w:val="003D5C89"/>
    <w:rsid w:val="003D6360"/>
    <w:rsid w:val="003D7C8B"/>
    <w:rsid w:val="003E0032"/>
    <w:rsid w:val="003E07C1"/>
    <w:rsid w:val="003E0A99"/>
    <w:rsid w:val="003E0BB5"/>
    <w:rsid w:val="003E0FCD"/>
    <w:rsid w:val="003E19C2"/>
    <w:rsid w:val="003E1EDB"/>
    <w:rsid w:val="003E269A"/>
    <w:rsid w:val="003E27F5"/>
    <w:rsid w:val="003E2867"/>
    <w:rsid w:val="003E2AA3"/>
    <w:rsid w:val="003E2DAE"/>
    <w:rsid w:val="003E318F"/>
    <w:rsid w:val="003E329D"/>
    <w:rsid w:val="003E368E"/>
    <w:rsid w:val="003E36E7"/>
    <w:rsid w:val="003E3E71"/>
    <w:rsid w:val="003E4898"/>
    <w:rsid w:val="003E4AC7"/>
    <w:rsid w:val="003E51D3"/>
    <w:rsid w:val="003E538F"/>
    <w:rsid w:val="003E54B3"/>
    <w:rsid w:val="003E5E23"/>
    <w:rsid w:val="003E5E5C"/>
    <w:rsid w:val="003E762E"/>
    <w:rsid w:val="003E779F"/>
    <w:rsid w:val="003E7B99"/>
    <w:rsid w:val="003E7D95"/>
    <w:rsid w:val="003F00DA"/>
    <w:rsid w:val="003F0ABB"/>
    <w:rsid w:val="003F0C73"/>
    <w:rsid w:val="003F1016"/>
    <w:rsid w:val="003F1970"/>
    <w:rsid w:val="003F1AE4"/>
    <w:rsid w:val="003F1D7B"/>
    <w:rsid w:val="003F1D96"/>
    <w:rsid w:val="003F2B2D"/>
    <w:rsid w:val="003F33E8"/>
    <w:rsid w:val="003F3B4B"/>
    <w:rsid w:val="003F43FB"/>
    <w:rsid w:val="003F49D9"/>
    <w:rsid w:val="003F4BA5"/>
    <w:rsid w:val="003F4ED1"/>
    <w:rsid w:val="003F524E"/>
    <w:rsid w:val="003F5711"/>
    <w:rsid w:val="003F6133"/>
    <w:rsid w:val="003F66BF"/>
    <w:rsid w:val="003F6C14"/>
    <w:rsid w:val="003F6CEC"/>
    <w:rsid w:val="003F6DE9"/>
    <w:rsid w:val="004003DB"/>
    <w:rsid w:val="00400B2E"/>
    <w:rsid w:val="00400D35"/>
    <w:rsid w:val="00401888"/>
    <w:rsid w:val="00401A3E"/>
    <w:rsid w:val="00401A3F"/>
    <w:rsid w:val="00403111"/>
    <w:rsid w:val="00403332"/>
    <w:rsid w:val="00403431"/>
    <w:rsid w:val="0040367D"/>
    <w:rsid w:val="00403682"/>
    <w:rsid w:val="00403889"/>
    <w:rsid w:val="00404059"/>
    <w:rsid w:val="00404064"/>
    <w:rsid w:val="00404ED2"/>
    <w:rsid w:val="00405258"/>
    <w:rsid w:val="00406008"/>
    <w:rsid w:val="0040622B"/>
    <w:rsid w:val="00406478"/>
    <w:rsid w:val="00407D27"/>
    <w:rsid w:val="00410ACF"/>
    <w:rsid w:val="00410C2C"/>
    <w:rsid w:val="00411B76"/>
    <w:rsid w:val="00412352"/>
    <w:rsid w:val="00412521"/>
    <w:rsid w:val="004142AC"/>
    <w:rsid w:val="00414A9B"/>
    <w:rsid w:val="00414C22"/>
    <w:rsid w:val="00414EE9"/>
    <w:rsid w:val="00415088"/>
    <w:rsid w:val="00415584"/>
    <w:rsid w:val="00416116"/>
    <w:rsid w:val="00416A09"/>
    <w:rsid w:val="00416A48"/>
    <w:rsid w:val="0041729D"/>
    <w:rsid w:val="004206FE"/>
    <w:rsid w:val="00420BFD"/>
    <w:rsid w:val="004213D8"/>
    <w:rsid w:val="0042289D"/>
    <w:rsid w:val="00422D42"/>
    <w:rsid w:val="00422E76"/>
    <w:rsid w:val="00422F4B"/>
    <w:rsid w:val="00423794"/>
    <w:rsid w:val="0042451F"/>
    <w:rsid w:val="00424675"/>
    <w:rsid w:val="00424E53"/>
    <w:rsid w:val="004250D0"/>
    <w:rsid w:val="0042608E"/>
    <w:rsid w:val="004265A8"/>
    <w:rsid w:val="00426D16"/>
    <w:rsid w:val="00426EBE"/>
    <w:rsid w:val="004276CC"/>
    <w:rsid w:val="00427DA3"/>
    <w:rsid w:val="0043006E"/>
    <w:rsid w:val="00430335"/>
    <w:rsid w:val="0043071A"/>
    <w:rsid w:val="00431949"/>
    <w:rsid w:val="00432FC1"/>
    <w:rsid w:val="0043379B"/>
    <w:rsid w:val="00433860"/>
    <w:rsid w:val="00433FFE"/>
    <w:rsid w:val="0043463C"/>
    <w:rsid w:val="0043625C"/>
    <w:rsid w:val="0043698B"/>
    <w:rsid w:val="00436B33"/>
    <w:rsid w:val="00436C43"/>
    <w:rsid w:val="00436F25"/>
    <w:rsid w:val="004379D5"/>
    <w:rsid w:val="00437A01"/>
    <w:rsid w:val="004400EA"/>
    <w:rsid w:val="00440596"/>
    <w:rsid w:val="004407E2"/>
    <w:rsid w:val="004418DA"/>
    <w:rsid w:val="00441BBF"/>
    <w:rsid w:val="00441FC7"/>
    <w:rsid w:val="004422CB"/>
    <w:rsid w:val="004427A6"/>
    <w:rsid w:val="00442D8F"/>
    <w:rsid w:val="004430F7"/>
    <w:rsid w:val="00443906"/>
    <w:rsid w:val="00443A64"/>
    <w:rsid w:val="00444170"/>
    <w:rsid w:val="00444C13"/>
    <w:rsid w:val="00445529"/>
    <w:rsid w:val="00445C7B"/>
    <w:rsid w:val="00445D8F"/>
    <w:rsid w:val="00445E28"/>
    <w:rsid w:val="00445EEA"/>
    <w:rsid w:val="00446066"/>
    <w:rsid w:val="00446125"/>
    <w:rsid w:val="004462AF"/>
    <w:rsid w:val="004465C4"/>
    <w:rsid w:val="00446673"/>
    <w:rsid w:val="0044729C"/>
    <w:rsid w:val="00447351"/>
    <w:rsid w:val="00447771"/>
    <w:rsid w:val="00447A04"/>
    <w:rsid w:val="004500F2"/>
    <w:rsid w:val="00451FD3"/>
    <w:rsid w:val="0045232B"/>
    <w:rsid w:val="00452380"/>
    <w:rsid w:val="0045352A"/>
    <w:rsid w:val="0045375E"/>
    <w:rsid w:val="004537A7"/>
    <w:rsid w:val="00453E6B"/>
    <w:rsid w:val="004541D7"/>
    <w:rsid w:val="004546D4"/>
    <w:rsid w:val="00454B77"/>
    <w:rsid w:val="00455D46"/>
    <w:rsid w:val="00456262"/>
    <w:rsid w:val="00456B3A"/>
    <w:rsid w:val="00456D3D"/>
    <w:rsid w:val="00456FA0"/>
    <w:rsid w:val="00457029"/>
    <w:rsid w:val="004604C6"/>
    <w:rsid w:val="00460950"/>
    <w:rsid w:val="00460EEB"/>
    <w:rsid w:val="00461565"/>
    <w:rsid w:val="004615B1"/>
    <w:rsid w:val="00461C7E"/>
    <w:rsid w:val="004621F1"/>
    <w:rsid w:val="0046320A"/>
    <w:rsid w:val="00463EDF"/>
    <w:rsid w:val="00464B95"/>
    <w:rsid w:val="00464F3E"/>
    <w:rsid w:val="00465769"/>
    <w:rsid w:val="004659CA"/>
    <w:rsid w:val="0046656F"/>
    <w:rsid w:val="004665CC"/>
    <w:rsid w:val="00466E5B"/>
    <w:rsid w:val="00467135"/>
    <w:rsid w:val="004673BB"/>
    <w:rsid w:val="004676BC"/>
    <w:rsid w:val="00470367"/>
    <w:rsid w:val="0047157A"/>
    <w:rsid w:val="004716F8"/>
    <w:rsid w:val="0047269E"/>
    <w:rsid w:val="00472A1F"/>
    <w:rsid w:val="00473458"/>
    <w:rsid w:val="00473D9D"/>
    <w:rsid w:val="0047450D"/>
    <w:rsid w:val="0047453B"/>
    <w:rsid w:val="00474602"/>
    <w:rsid w:val="0047505A"/>
    <w:rsid w:val="00475531"/>
    <w:rsid w:val="0047576F"/>
    <w:rsid w:val="00475A0C"/>
    <w:rsid w:val="00475EC3"/>
    <w:rsid w:val="00476004"/>
    <w:rsid w:val="00477339"/>
    <w:rsid w:val="00477B74"/>
    <w:rsid w:val="0048019A"/>
    <w:rsid w:val="00480240"/>
    <w:rsid w:val="004805F3"/>
    <w:rsid w:val="00480A78"/>
    <w:rsid w:val="00480D6C"/>
    <w:rsid w:val="00480E9A"/>
    <w:rsid w:val="004814C6"/>
    <w:rsid w:val="004817BA"/>
    <w:rsid w:val="00481D44"/>
    <w:rsid w:val="00481E86"/>
    <w:rsid w:val="00482286"/>
    <w:rsid w:val="0048330D"/>
    <w:rsid w:val="0048335E"/>
    <w:rsid w:val="00483714"/>
    <w:rsid w:val="00483D23"/>
    <w:rsid w:val="00483E51"/>
    <w:rsid w:val="004841AF"/>
    <w:rsid w:val="00484261"/>
    <w:rsid w:val="00484CB5"/>
    <w:rsid w:val="00485310"/>
    <w:rsid w:val="00485933"/>
    <w:rsid w:val="00486710"/>
    <w:rsid w:val="00486B37"/>
    <w:rsid w:val="00486F68"/>
    <w:rsid w:val="004872A8"/>
    <w:rsid w:val="004873F2"/>
    <w:rsid w:val="0048786A"/>
    <w:rsid w:val="00487A82"/>
    <w:rsid w:val="0049026E"/>
    <w:rsid w:val="00490C8B"/>
    <w:rsid w:val="004913B8"/>
    <w:rsid w:val="00491414"/>
    <w:rsid w:val="00492550"/>
    <w:rsid w:val="0049327B"/>
    <w:rsid w:val="00493DBC"/>
    <w:rsid w:val="0049424C"/>
    <w:rsid w:val="004942BF"/>
    <w:rsid w:val="004950C3"/>
    <w:rsid w:val="00495142"/>
    <w:rsid w:val="004953AB"/>
    <w:rsid w:val="00495BD6"/>
    <w:rsid w:val="00496C2B"/>
    <w:rsid w:val="00497C14"/>
    <w:rsid w:val="004A02F6"/>
    <w:rsid w:val="004A0B5A"/>
    <w:rsid w:val="004A115B"/>
    <w:rsid w:val="004A176B"/>
    <w:rsid w:val="004A1C41"/>
    <w:rsid w:val="004A28BA"/>
    <w:rsid w:val="004A2AE5"/>
    <w:rsid w:val="004A2FF5"/>
    <w:rsid w:val="004A32D4"/>
    <w:rsid w:val="004A36D9"/>
    <w:rsid w:val="004A382C"/>
    <w:rsid w:val="004A48EF"/>
    <w:rsid w:val="004A6077"/>
    <w:rsid w:val="004A68CE"/>
    <w:rsid w:val="004A71DF"/>
    <w:rsid w:val="004A792E"/>
    <w:rsid w:val="004B0000"/>
    <w:rsid w:val="004B0587"/>
    <w:rsid w:val="004B0709"/>
    <w:rsid w:val="004B0721"/>
    <w:rsid w:val="004B089B"/>
    <w:rsid w:val="004B09F0"/>
    <w:rsid w:val="004B1665"/>
    <w:rsid w:val="004B207D"/>
    <w:rsid w:val="004B2E1A"/>
    <w:rsid w:val="004B3098"/>
    <w:rsid w:val="004B3C9D"/>
    <w:rsid w:val="004B3E24"/>
    <w:rsid w:val="004B408C"/>
    <w:rsid w:val="004B40D2"/>
    <w:rsid w:val="004B423D"/>
    <w:rsid w:val="004B49E0"/>
    <w:rsid w:val="004B5853"/>
    <w:rsid w:val="004B5ED4"/>
    <w:rsid w:val="004B7131"/>
    <w:rsid w:val="004B7AED"/>
    <w:rsid w:val="004B7FE1"/>
    <w:rsid w:val="004C007D"/>
    <w:rsid w:val="004C017F"/>
    <w:rsid w:val="004C0343"/>
    <w:rsid w:val="004C166E"/>
    <w:rsid w:val="004C172A"/>
    <w:rsid w:val="004C21D4"/>
    <w:rsid w:val="004C2420"/>
    <w:rsid w:val="004C252B"/>
    <w:rsid w:val="004C26F0"/>
    <w:rsid w:val="004C27EE"/>
    <w:rsid w:val="004C34D2"/>
    <w:rsid w:val="004C383D"/>
    <w:rsid w:val="004C3F9A"/>
    <w:rsid w:val="004C4438"/>
    <w:rsid w:val="004C543E"/>
    <w:rsid w:val="004C5C54"/>
    <w:rsid w:val="004C5E15"/>
    <w:rsid w:val="004C5EAB"/>
    <w:rsid w:val="004C6D03"/>
    <w:rsid w:val="004C7378"/>
    <w:rsid w:val="004C73EE"/>
    <w:rsid w:val="004C74F3"/>
    <w:rsid w:val="004C780A"/>
    <w:rsid w:val="004C7C91"/>
    <w:rsid w:val="004D1383"/>
    <w:rsid w:val="004D150B"/>
    <w:rsid w:val="004D1790"/>
    <w:rsid w:val="004D2B1C"/>
    <w:rsid w:val="004D30A9"/>
    <w:rsid w:val="004D3E91"/>
    <w:rsid w:val="004D49E2"/>
    <w:rsid w:val="004D6281"/>
    <w:rsid w:val="004D6439"/>
    <w:rsid w:val="004D6B30"/>
    <w:rsid w:val="004D71EE"/>
    <w:rsid w:val="004D726D"/>
    <w:rsid w:val="004D753D"/>
    <w:rsid w:val="004E0851"/>
    <w:rsid w:val="004E0D2A"/>
    <w:rsid w:val="004E0FC8"/>
    <w:rsid w:val="004E13D7"/>
    <w:rsid w:val="004E1B89"/>
    <w:rsid w:val="004E2EAB"/>
    <w:rsid w:val="004E3834"/>
    <w:rsid w:val="004E3D16"/>
    <w:rsid w:val="004E4062"/>
    <w:rsid w:val="004E456C"/>
    <w:rsid w:val="004E4B8E"/>
    <w:rsid w:val="004E4C6A"/>
    <w:rsid w:val="004E4D14"/>
    <w:rsid w:val="004E5054"/>
    <w:rsid w:val="004E56D2"/>
    <w:rsid w:val="004E5975"/>
    <w:rsid w:val="004E6F16"/>
    <w:rsid w:val="004E7C2D"/>
    <w:rsid w:val="004E7DE8"/>
    <w:rsid w:val="004E7FA8"/>
    <w:rsid w:val="004F0066"/>
    <w:rsid w:val="004F0E17"/>
    <w:rsid w:val="004F139B"/>
    <w:rsid w:val="004F16FE"/>
    <w:rsid w:val="004F19E2"/>
    <w:rsid w:val="004F30CC"/>
    <w:rsid w:val="004F38E0"/>
    <w:rsid w:val="004F3D52"/>
    <w:rsid w:val="004F4C84"/>
    <w:rsid w:val="004F4E2D"/>
    <w:rsid w:val="004F5113"/>
    <w:rsid w:val="004F54FC"/>
    <w:rsid w:val="004F563F"/>
    <w:rsid w:val="004F57A7"/>
    <w:rsid w:val="004F5A34"/>
    <w:rsid w:val="004F6D88"/>
    <w:rsid w:val="004F6F7D"/>
    <w:rsid w:val="004F7005"/>
    <w:rsid w:val="004F7BE8"/>
    <w:rsid w:val="0050022E"/>
    <w:rsid w:val="005003AB"/>
    <w:rsid w:val="005018AF"/>
    <w:rsid w:val="00501EA5"/>
    <w:rsid w:val="00502014"/>
    <w:rsid w:val="0050344C"/>
    <w:rsid w:val="005039FA"/>
    <w:rsid w:val="00503CB2"/>
    <w:rsid w:val="00503F2B"/>
    <w:rsid w:val="00503FCD"/>
    <w:rsid w:val="005041ED"/>
    <w:rsid w:val="0050464D"/>
    <w:rsid w:val="005047E3"/>
    <w:rsid w:val="00504B51"/>
    <w:rsid w:val="00504BA8"/>
    <w:rsid w:val="00505A48"/>
    <w:rsid w:val="00505E09"/>
    <w:rsid w:val="00506D4F"/>
    <w:rsid w:val="0050775C"/>
    <w:rsid w:val="00507DDD"/>
    <w:rsid w:val="00507DE0"/>
    <w:rsid w:val="005109B5"/>
    <w:rsid w:val="00510A12"/>
    <w:rsid w:val="00510EA4"/>
    <w:rsid w:val="00511318"/>
    <w:rsid w:val="005120EB"/>
    <w:rsid w:val="00512FCC"/>
    <w:rsid w:val="00513C19"/>
    <w:rsid w:val="00513E9D"/>
    <w:rsid w:val="00514974"/>
    <w:rsid w:val="00514B14"/>
    <w:rsid w:val="0051561A"/>
    <w:rsid w:val="005161CE"/>
    <w:rsid w:val="00516674"/>
    <w:rsid w:val="00516E35"/>
    <w:rsid w:val="00516E40"/>
    <w:rsid w:val="00517498"/>
    <w:rsid w:val="005204EF"/>
    <w:rsid w:val="00520B94"/>
    <w:rsid w:val="00520ED3"/>
    <w:rsid w:val="005215CB"/>
    <w:rsid w:val="0052163B"/>
    <w:rsid w:val="00521884"/>
    <w:rsid w:val="005224C0"/>
    <w:rsid w:val="00522AC4"/>
    <w:rsid w:val="00522D7C"/>
    <w:rsid w:val="00522E50"/>
    <w:rsid w:val="00522FC0"/>
    <w:rsid w:val="0052309F"/>
    <w:rsid w:val="005244D2"/>
    <w:rsid w:val="005249E0"/>
    <w:rsid w:val="00524BF9"/>
    <w:rsid w:val="00525733"/>
    <w:rsid w:val="00525AC2"/>
    <w:rsid w:val="00526502"/>
    <w:rsid w:val="005271D0"/>
    <w:rsid w:val="005272DC"/>
    <w:rsid w:val="0052734C"/>
    <w:rsid w:val="005273A9"/>
    <w:rsid w:val="00527485"/>
    <w:rsid w:val="005276F2"/>
    <w:rsid w:val="00527E65"/>
    <w:rsid w:val="00530D61"/>
    <w:rsid w:val="00531520"/>
    <w:rsid w:val="00532052"/>
    <w:rsid w:val="0053252A"/>
    <w:rsid w:val="00534093"/>
    <w:rsid w:val="005347A6"/>
    <w:rsid w:val="005347B0"/>
    <w:rsid w:val="00534AD9"/>
    <w:rsid w:val="00534B96"/>
    <w:rsid w:val="00534E1D"/>
    <w:rsid w:val="0053647A"/>
    <w:rsid w:val="0053665F"/>
    <w:rsid w:val="00537037"/>
    <w:rsid w:val="00537206"/>
    <w:rsid w:val="005373B5"/>
    <w:rsid w:val="0054012B"/>
    <w:rsid w:val="005405C3"/>
    <w:rsid w:val="005406D2"/>
    <w:rsid w:val="00540B50"/>
    <w:rsid w:val="00540D0E"/>
    <w:rsid w:val="00540F78"/>
    <w:rsid w:val="00540FA2"/>
    <w:rsid w:val="0054146C"/>
    <w:rsid w:val="00541596"/>
    <w:rsid w:val="005417C0"/>
    <w:rsid w:val="00541D78"/>
    <w:rsid w:val="00542875"/>
    <w:rsid w:val="0054327A"/>
    <w:rsid w:val="00543437"/>
    <w:rsid w:val="00543B4D"/>
    <w:rsid w:val="005444A2"/>
    <w:rsid w:val="005444C6"/>
    <w:rsid w:val="00544936"/>
    <w:rsid w:val="00544F07"/>
    <w:rsid w:val="0054534F"/>
    <w:rsid w:val="005461D5"/>
    <w:rsid w:val="005463A3"/>
    <w:rsid w:val="005465E5"/>
    <w:rsid w:val="00546728"/>
    <w:rsid w:val="00546796"/>
    <w:rsid w:val="00546985"/>
    <w:rsid w:val="00546E3D"/>
    <w:rsid w:val="0054B564"/>
    <w:rsid w:val="00553716"/>
    <w:rsid w:val="00555A9F"/>
    <w:rsid w:val="0055601B"/>
    <w:rsid w:val="0055610F"/>
    <w:rsid w:val="00556E5D"/>
    <w:rsid w:val="00557239"/>
    <w:rsid w:val="005573D3"/>
    <w:rsid w:val="005576D4"/>
    <w:rsid w:val="00557A3B"/>
    <w:rsid w:val="00557C96"/>
    <w:rsid w:val="0056037D"/>
    <w:rsid w:val="00560E5F"/>
    <w:rsid w:val="00561723"/>
    <w:rsid w:val="00561D21"/>
    <w:rsid w:val="00562F6A"/>
    <w:rsid w:val="0056353F"/>
    <w:rsid w:val="0056369D"/>
    <w:rsid w:val="005637BC"/>
    <w:rsid w:val="00563C69"/>
    <w:rsid w:val="00563D9E"/>
    <w:rsid w:val="0056409A"/>
    <w:rsid w:val="00564EF7"/>
    <w:rsid w:val="00564F6B"/>
    <w:rsid w:val="005658B9"/>
    <w:rsid w:val="00566447"/>
    <w:rsid w:val="00566471"/>
    <w:rsid w:val="00566F2B"/>
    <w:rsid w:val="005672F1"/>
    <w:rsid w:val="00567897"/>
    <w:rsid w:val="005678A1"/>
    <w:rsid w:val="00567920"/>
    <w:rsid w:val="00567CF9"/>
    <w:rsid w:val="00570625"/>
    <w:rsid w:val="00570A40"/>
    <w:rsid w:val="00570EA6"/>
    <w:rsid w:val="005718F3"/>
    <w:rsid w:val="00571D22"/>
    <w:rsid w:val="005720FB"/>
    <w:rsid w:val="005722DB"/>
    <w:rsid w:val="005723C8"/>
    <w:rsid w:val="005724CC"/>
    <w:rsid w:val="00572A4D"/>
    <w:rsid w:val="00572CAF"/>
    <w:rsid w:val="005732F3"/>
    <w:rsid w:val="00573FE3"/>
    <w:rsid w:val="005748D7"/>
    <w:rsid w:val="00574AFA"/>
    <w:rsid w:val="00574EDE"/>
    <w:rsid w:val="00575008"/>
    <w:rsid w:val="005754F2"/>
    <w:rsid w:val="00575911"/>
    <w:rsid w:val="005768F7"/>
    <w:rsid w:val="00576C81"/>
    <w:rsid w:val="00576FC7"/>
    <w:rsid w:val="00577776"/>
    <w:rsid w:val="00580E7A"/>
    <w:rsid w:val="00580F07"/>
    <w:rsid w:val="005813A9"/>
    <w:rsid w:val="00581614"/>
    <w:rsid w:val="005821BA"/>
    <w:rsid w:val="00582498"/>
    <w:rsid w:val="00582DF3"/>
    <w:rsid w:val="00583C42"/>
    <w:rsid w:val="00584845"/>
    <w:rsid w:val="00584A24"/>
    <w:rsid w:val="00584B60"/>
    <w:rsid w:val="00585A3A"/>
    <w:rsid w:val="00585B47"/>
    <w:rsid w:val="00585DB7"/>
    <w:rsid w:val="00586036"/>
    <w:rsid w:val="00586CD7"/>
    <w:rsid w:val="0058743B"/>
    <w:rsid w:val="00587448"/>
    <w:rsid w:val="00590744"/>
    <w:rsid w:val="0059102A"/>
    <w:rsid w:val="005911C7"/>
    <w:rsid w:val="005912F9"/>
    <w:rsid w:val="00591317"/>
    <w:rsid w:val="00592838"/>
    <w:rsid w:val="00594339"/>
    <w:rsid w:val="00594836"/>
    <w:rsid w:val="00595C9B"/>
    <w:rsid w:val="0059604B"/>
    <w:rsid w:val="005963A4"/>
    <w:rsid w:val="00596703"/>
    <w:rsid w:val="00596978"/>
    <w:rsid w:val="00596D89"/>
    <w:rsid w:val="0059761F"/>
    <w:rsid w:val="005A006E"/>
    <w:rsid w:val="005A0532"/>
    <w:rsid w:val="005A08CC"/>
    <w:rsid w:val="005A1A11"/>
    <w:rsid w:val="005A1F3F"/>
    <w:rsid w:val="005A247C"/>
    <w:rsid w:val="005A2FFA"/>
    <w:rsid w:val="005A34E4"/>
    <w:rsid w:val="005A3ADB"/>
    <w:rsid w:val="005A4040"/>
    <w:rsid w:val="005A4A28"/>
    <w:rsid w:val="005A4EA1"/>
    <w:rsid w:val="005A586E"/>
    <w:rsid w:val="005A61FA"/>
    <w:rsid w:val="005A6806"/>
    <w:rsid w:val="005A79D7"/>
    <w:rsid w:val="005B00ED"/>
    <w:rsid w:val="005B01F8"/>
    <w:rsid w:val="005B038A"/>
    <w:rsid w:val="005B1A30"/>
    <w:rsid w:val="005B23C3"/>
    <w:rsid w:val="005B339A"/>
    <w:rsid w:val="005B41AF"/>
    <w:rsid w:val="005B4C26"/>
    <w:rsid w:val="005B4F7A"/>
    <w:rsid w:val="005B5E6E"/>
    <w:rsid w:val="005B62A8"/>
    <w:rsid w:val="005B6317"/>
    <w:rsid w:val="005B6776"/>
    <w:rsid w:val="005B7820"/>
    <w:rsid w:val="005B7C29"/>
    <w:rsid w:val="005B7DF2"/>
    <w:rsid w:val="005C0963"/>
    <w:rsid w:val="005C096D"/>
    <w:rsid w:val="005C0DB4"/>
    <w:rsid w:val="005C0DD3"/>
    <w:rsid w:val="005C0E5A"/>
    <w:rsid w:val="005C0E9B"/>
    <w:rsid w:val="005C15CD"/>
    <w:rsid w:val="005C15FD"/>
    <w:rsid w:val="005C27F2"/>
    <w:rsid w:val="005C288C"/>
    <w:rsid w:val="005C3251"/>
    <w:rsid w:val="005C335E"/>
    <w:rsid w:val="005C354F"/>
    <w:rsid w:val="005C37B3"/>
    <w:rsid w:val="005C3C37"/>
    <w:rsid w:val="005C4C4E"/>
    <w:rsid w:val="005C5F65"/>
    <w:rsid w:val="005C638F"/>
    <w:rsid w:val="005C6AD4"/>
    <w:rsid w:val="005C6F26"/>
    <w:rsid w:val="005C7362"/>
    <w:rsid w:val="005C74B6"/>
    <w:rsid w:val="005C7901"/>
    <w:rsid w:val="005D0B12"/>
    <w:rsid w:val="005D0B99"/>
    <w:rsid w:val="005D15E3"/>
    <w:rsid w:val="005D1EB8"/>
    <w:rsid w:val="005D26BA"/>
    <w:rsid w:val="005D2AD8"/>
    <w:rsid w:val="005D2DA4"/>
    <w:rsid w:val="005D320D"/>
    <w:rsid w:val="005D35CB"/>
    <w:rsid w:val="005D3614"/>
    <w:rsid w:val="005D3910"/>
    <w:rsid w:val="005D3A7A"/>
    <w:rsid w:val="005D41A9"/>
    <w:rsid w:val="005D4C8E"/>
    <w:rsid w:val="005D559D"/>
    <w:rsid w:val="005D5C7D"/>
    <w:rsid w:val="005D5D65"/>
    <w:rsid w:val="005D613D"/>
    <w:rsid w:val="005D67B1"/>
    <w:rsid w:val="005D6EFE"/>
    <w:rsid w:val="005D797B"/>
    <w:rsid w:val="005E01D0"/>
    <w:rsid w:val="005E06E2"/>
    <w:rsid w:val="005E1518"/>
    <w:rsid w:val="005E15DB"/>
    <w:rsid w:val="005E1D18"/>
    <w:rsid w:val="005E2933"/>
    <w:rsid w:val="005E29E3"/>
    <w:rsid w:val="005E2FED"/>
    <w:rsid w:val="005E32E0"/>
    <w:rsid w:val="005E4316"/>
    <w:rsid w:val="005E5C72"/>
    <w:rsid w:val="005E5F33"/>
    <w:rsid w:val="005E6173"/>
    <w:rsid w:val="005E64B3"/>
    <w:rsid w:val="005E7930"/>
    <w:rsid w:val="005E79EB"/>
    <w:rsid w:val="005E7BB6"/>
    <w:rsid w:val="005F0430"/>
    <w:rsid w:val="005F0CBE"/>
    <w:rsid w:val="005F14C0"/>
    <w:rsid w:val="005F2B9A"/>
    <w:rsid w:val="005F2CAB"/>
    <w:rsid w:val="005F343C"/>
    <w:rsid w:val="005F34E6"/>
    <w:rsid w:val="005F3846"/>
    <w:rsid w:val="005F3BF5"/>
    <w:rsid w:val="005F41BA"/>
    <w:rsid w:val="005F472F"/>
    <w:rsid w:val="005F4F12"/>
    <w:rsid w:val="005F5665"/>
    <w:rsid w:val="005F59DC"/>
    <w:rsid w:val="005F61FC"/>
    <w:rsid w:val="005F64B3"/>
    <w:rsid w:val="005F6AA8"/>
    <w:rsid w:val="005F6B66"/>
    <w:rsid w:val="005F6FCB"/>
    <w:rsid w:val="005F77A2"/>
    <w:rsid w:val="005F7AC8"/>
    <w:rsid w:val="00600071"/>
    <w:rsid w:val="0060054B"/>
    <w:rsid w:val="006005B6"/>
    <w:rsid w:val="00600B0A"/>
    <w:rsid w:val="006019D8"/>
    <w:rsid w:val="006022EF"/>
    <w:rsid w:val="0060244B"/>
    <w:rsid w:val="006024CD"/>
    <w:rsid w:val="006024FB"/>
    <w:rsid w:val="00603130"/>
    <w:rsid w:val="006036A0"/>
    <w:rsid w:val="00604DEB"/>
    <w:rsid w:val="00604F2B"/>
    <w:rsid w:val="006053D8"/>
    <w:rsid w:val="00606771"/>
    <w:rsid w:val="00606FDF"/>
    <w:rsid w:val="006071B0"/>
    <w:rsid w:val="00607B24"/>
    <w:rsid w:val="00607D67"/>
    <w:rsid w:val="0061216C"/>
    <w:rsid w:val="00612725"/>
    <w:rsid w:val="006127A1"/>
    <w:rsid w:val="00613545"/>
    <w:rsid w:val="00614B4D"/>
    <w:rsid w:val="006153EB"/>
    <w:rsid w:val="006154DB"/>
    <w:rsid w:val="006156CA"/>
    <w:rsid w:val="00615DB3"/>
    <w:rsid w:val="0061607B"/>
    <w:rsid w:val="00616894"/>
    <w:rsid w:val="00616B05"/>
    <w:rsid w:val="00616C64"/>
    <w:rsid w:val="00616D14"/>
    <w:rsid w:val="006174D8"/>
    <w:rsid w:val="00620602"/>
    <w:rsid w:val="00620760"/>
    <w:rsid w:val="006215FD"/>
    <w:rsid w:val="00621C41"/>
    <w:rsid w:val="00621CE5"/>
    <w:rsid w:val="006225EA"/>
    <w:rsid w:val="00622D83"/>
    <w:rsid w:val="00624301"/>
    <w:rsid w:val="00624DAD"/>
    <w:rsid w:val="00625022"/>
    <w:rsid w:val="0062525E"/>
    <w:rsid w:val="00625512"/>
    <w:rsid w:val="006260C8"/>
    <w:rsid w:val="006260DD"/>
    <w:rsid w:val="00626402"/>
    <w:rsid w:val="00626E96"/>
    <w:rsid w:val="00627D52"/>
    <w:rsid w:val="00627FD1"/>
    <w:rsid w:val="00630098"/>
    <w:rsid w:val="00630A1B"/>
    <w:rsid w:val="00630F46"/>
    <w:rsid w:val="006319A7"/>
    <w:rsid w:val="00631BCA"/>
    <w:rsid w:val="00631C85"/>
    <w:rsid w:val="00631FAB"/>
    <w:rsid w:val="006329BC"/>
    <w:rsid w:val="00632BD8"/>
    <w:rsid w:val="00633BBF"/>
    <w:rsid w:val="00633F6E"/>
    <w:rsid w:val="00634EB6"/>
    <w:rsid w:val="0063505A"/>
    <w:rsid w:val="0063525D"/>
    <w:rsid w:val="00635D3B"/>
    <w:rsid w:val="006360BB"/>
    <w:rsid w:val="00636861"/>
    <w:rsid w:val="006378B8"/>
    <w:rsid w:val="00637ADD"/>
    <w:rsid w:val="00640C4E"/>
    <w:rsid w:val="00640FDF"/>
    <w:rsid w:val="00641085"/>
    <w:rsid w:val="00641275"/>
    <w:rsid w:val="00642378"/>
    <w:rsid w:val="00642BF3"/>
    <w:rsid w:val="00642D12"/>
    <w:rsid w:val="00643113"/>
    <w:rsid w:val="00643A7E"/>
    <w:rsid w:val="006452C8"/>
    <w:rsid w:val="00646230"/>
    <w:rsid w:val="00646774"/>
    <w:rsid w:val="006467C4"/>
    <w:rsid w:val="006469F9"/>
    <w:rsid w:val="00646D43"/>
    <w:rsid w:val="006475B3"/>
    <w:rsid w:val="00647A52"/>
    <w:rsid w:val="00647D19"/>
    <w:rsid w:val="00650952"/>
    <w:rsid w:val="006509B9"/>
    <w:rsid w:val="00650C8F"/>
    <w:rsid w:val="006515F1"/>
    <w:rsid w:val="00652168"/>
    <w:rsid w:val="00652678"/>
    <w:rsid w:val="00652A6A"/>
    <w:rsid w:val="0065359F"/>
    <w:rsid w:val="006536F2"/>
    <w:rsid w:val="006538D5"/>
    <w:rsid w:val="006539FD"/>
    <w:rsid w:val="00654746"/>
    <w:rsid w:val="00654784"/>
    <w:rsid w:val="0065481C"/>
    <w:rsid w:val="00655090"/>
    <w:rsid w:val="00655440"/>
    <w:rsid w:val="00655974"/>
    <w:rsid w:val="00655A8B"/>
    <w:rsid w:val="00655BA8"/>
    <w:rsid w:val="006565A3"/>
    <w:rsid w:val="00656639"/>
    <w:rsid w:val="00657AF9"/>
    <w:rsid w:val="0065E3FF"/>
    <w:rsid w:val="00660028"/>
    <w:rsid w:val="00660137"/>
    <w:rsid w:val="006606F7"/>
    <w:rsid w:val="00660AB2"/>
    <w:rsid w:val="00660AB4"/>
    <w:rsid w:val="00661847"/>
    <w:rsid w:val="00661A19"/>
    <w:rsid w:val="0066238D"/>
    <w:rsid w:val="006637F9"/>
    <w:rsid w:val="00663E9C"/>
    <w:rsid w:val="0066405C"/>
    <w:rsid w:val="0066439B"/>
    <w:rsid w:val="00664AB7"/>
    <w:rsid w:val="00664B58"/>
    <w:rsid w:val="00665255"/>
    <w:rsid w:val="006655DC"/>
    <w:rsid w:val="00665611"/>
    <w:rsid w:val="00666822"/>
    <w:rsid w:val="00667740"/>
    <w:rsid w:val="00667B28"/>
    <w:rsid w:val="00667D69"/>
    <w:rsid w:val="00671686"/>
    <w:rsid w:val="00671884"/>
    <w:rsid w:val="00671A12"/>
    <w:rsid w:val="00672468"/>
    <w:rsid w:val="006730AF"/>
    <w:rsid w:val="006746C2"/>
    <w:rsid w:val="006747DE"/>
    <w:rsid w:val="00674CBF"/>
    <w:rsid w:val="00675657"/>
    <w:rsid w:val="00675CE2"/>
    <w:rsid w:val="00675DE3"/>
    <w:rsid w:val="006760EB"/>
    <w:rsid w:val="00676305"/>
    <w:rsid w:val="0067648C"/>
    <w:rsid w:val="006770B8"/>
    <w:rsid w:val="0067714D"/>
    <w:rsid w:val="00677696"/>
    <w:rsid w:val="0067773C"/>
    <w:rsid w:val="00680159"/>
    <w:rsid w:val="00680258"/>
    <w:rsid w:val="00680947"/>
    <w:rsid w:val="00680B79"/>
    <w:rsid w:val="006818C5"/>
    <w:rsid w:val="00681E00"/>
    <w:rsid w:val="00682758"/>
    <w:rsid w:val="00683BCC"/>
    <w:rsid w:val="00685615"/>
    <w:rsid w:val="00685B60"/>
    <w:rsid w:val="00686688"/>
    <w:rsid w:val="00686730"/>
    <w:rsid w:val="00686878"/>
    <w:rsid w:val="00687025"/>
    <w:rsid w:val="006876E6"/>
    <w:rsid w:val="0069035B"/>
    <w:rsid w:val="00690E48"/>
    <w:rsid w:val="00690F8E"/>
    <w:rsid w:val="006911C0"/>
    <w:rsid w:val="0069284E"/>
    <w:rsid w:val="00692B51"/>
    <w:rsid w:val="00693744"/>
    <w:rsid w:val="00693E11"/>
    <w:rsid w:val="00694865"/>
    <w:rsid w:val="0069509D"/>
    <w:rsid w:val="00695236"/>
    <w:rsid w:val="00696272"/>
    <w:rsid w:val="0069661A"/>
    <w:rsid w:val="0069666B"/>
    <w:rsid w:val="00696849"/>
    <w:rsid w:val="006973D5"/>
    <w:rsid w:val="0069778E"/>
    <w:rsid w:val="00697F48"/>
    <w:rsid w:val="006A034D"/>
    <w:rsid w:val="006A0365"/>
    <w:rsid w:val="006A08DB"/>
    <w:rsid w:val="006A156C"/>
    <w:rsid w:val="006A20A6"/>
    <w:rsid w:val="006A2129"/>
    <w:rsid w:val="006A267C"/>
    <w:rsid w:val="006A2B16"/>
    <w:rsid w:val="006A2D94"/>
    <w:rsid w:val="006A30B7"/>
    <w:rsid w:val="006A3571"/>
    <w:rsid w:val="006A3EAF"/>
    <w:rsid w:val="006A42E8"/>
    <w:rsid w:val="006A4798"/>
    <w:rsid w:val="006A5446"/>
    <w:rsid w:val="006A554E"/>
    <w:rsid w:val="006A562A"/>
    <w:rsid w:val="006A5649"/>
    <w:rsid w:val="006A5D63"/>
    <w:rsid w:val="006A6154"/>
    <w:rsid w:val="006A681C"/>
    <w:rsid w:val="006A6B9D"/>
    <w:rsid w:val="006A6C06"/>
    <w:rsid w:val="006A6C89"/>
    <w:rsid w:val="006A769E"/>
    <w:rsid w:val="006B0B95"/>
    <w:rsid w:val="006B1171"/>
    <w:rsid w:val="006B255D"/>
    <w:rsid w:val="006B2ABC"/>
    <w:rsid w:val="006B2C3F"/>
    <w:rsid w:val="006B2D40"/>
    <w:rsid w:val="006B3AB2"/>
    <w:rsid w:val="006B3AF0"/>
    <w:rsid w:val="006B56DF"/>
    <w:rsid w:val="006B58DA"/>
    <w:rsid w:val="006B5E57"/>
    <w:rsid w:val="006B616C"/>
    <w:rsid w:val="006B7163"/>
    <w:rsid w:val="006B7970"/>
    <w:rsid w:val="006B7E0A"/>
    <w:rsid w:val="006C0526"/>
    <w:rsid w:val="006C0A4B"/>
    <w:rsid w:val="006C0ADE"/>
    <w:rsid w:val="006C1821"/>
    <w:rsid w:val="006C1966"/>
    <w:rsid w:val="006C1AD7"/>
    <w:rsid w:val="006C1B64"/>
    <w:rsid w:val="006C21B1"/>
    <w:rsid w:val="006C2F7C"/>
    <w:rsid w:val="006C3001"/>
    <w:rsid w:val="006C3144"/>
    <w:rsid w:val="006C3A07"/>
    <w:rsid w:val="006C3D6B"/>
    <w:rsid w:val="006C3EB9"/>
    <w:rsid w:val="006C45CA"/>
    <w:rsid w:val="006C4E41"/>
    <w:rsid w:val="006C61B8"/>
    <w:rsid w:val="006C625C"/>
    <w:rsid w:val="006C6544"/>
    <w:rsid w:val="006C6A43"/>
    <w:rsid w:val="006C7294"/>
    <w:rsid w:val="006C734E"/>
    <w:rsid w:val="006C7B22"/>
    <w:rsid w:val="006C7B41"/>
    <w:rsid w:val="006C7D40"/>
    <w:rsid w:val="006C7F25"/>
    <w:rsid w:val="006D0E39"/>
    <w:rsid w:val="006D1388"/>
    <w:rsid w:val="006D201F"/>
    <w:rsid w:val="006D20A1"/>
    <w:rsid w:val="006D220A"/>
    <w:rsid w:val="006D2E71"/>
    <w:rsid w:val="006D38D2"/>
    <w:rsid w:val="006D3ADA"/>
    <w:rsid w:val="006D42F4"/>
    <w:rsid w:val="006D4524"/>
    <w:rsid w:val="006D4E44"/>
    <w:rsid w:val="006D545F"/>
    <w:rsid w:val="006D56BF"/>
    <w:rsid w:val="006D63EE"/>
    <w:rsid w:val="006D64A6"/>
    <w:rsid w:val="006D68AA"/>
    <w:rsid w:val="006D69D2"/>
    <w:rsid w:val="006D6CFF"/>
    <w:rsid w:val="006D729C"/>
    <w:rsid w:val="006D72CE"/>
    <w:rsid w:val="006D7B09"/>
    <w:rsid w:val="006D7F21"/>
    <w:rsid w:val="006E11CF"/>
    <w:rsid w:val="006E1530"/>
    <w:rsid w:val="006E1596"/>
    <w:rsid w:val="006E1CEC"/>
    <w:rsid w:val="006E1E5A"/>
    <w:rsid w:val="006E1E6B"/>
    <w:rsid w:val="006E2157"/>
    <w:rsid w:val="006E2CBB"/>
    <w:rsid w:val="006E2EE5"/>
    <w:rsid w:val="006E3523"/>
    <w:rsid w:val="006E3CE1"/>
    <w:rsid w:val="006E4161"/>
    <w:rsid w:val="006E51C0"/>
    <w:rsid w:val="006E580D"/>
    <w:rsid w:val="006E5BC0"/>
    <w:rsid w:val="006E6459"/>
    <w:rsid w:val="006E66D9"/>
    <w:rsid w:val="006E71D2"/>
    <w:rsid w:val="006E775A"/>
    <w:rsid w:val="006E79BC"/>
    <w:rsid w:val="006F07C5"/>
    <w:rsid w:val="006F0D1B"/>
    <w:rsid w:val="006F108C"/>
    <w:rsid w:val="006F113F"/>
    <w:rsid w:val="006F274F"/>
    <w:rsid w:val="006F3483"/>
    <w:rsid w:val="006F37F5"/>
    <w:rsid w:val="006F45B1"/>
    <w:rsid w:val="006F46DD"/>
    <w:rsid w:val="006F574A"/>
    <w:rsid w:val="006F5F51"/>
    <w:rsid w:val="006F665F"/>
    <w:rsid w:val="006F6A84"/>
    <w:rsid w:val="006F6D42"/>
    <w:rsid w:val="006F7225"/>
    <w:rsid w:val="006F7850"/>
    <w:rsid w:val="006F7EB1"/>
    <w:rsid w:val="00700237"/>
    <w:rsid w:val="00700349"/>
    <w:rsid w:val="0070121D"/>
    <w:rsid w:val="00701285"/>
    <w:rsid w:val="0070171B"/>
    <w:rsid w:val="00701A01"/>
    <w:rsid w:val="00701D3B"/>
    <w:rsid w:val="00703056"/>
    <w:rsid w:val="00704181"/>
    <w:rsid w:val="007044BC"/>
    <w:rsid w:val="00704C55"/>
    <w:rsid w:val="00704C6C"/>
    <w:rsid w:val="00705656"/>
    <w:rsid w:val="007059E4"/>
    <w:rsid w:val="00706C38"/>
    <w:rsid w:val="00707328"/>
    <w:rsid w:val="00707CEE"/>
    <w:rsid w:val="00707FA4"/>
    <w:rsid w:val="007136EC"/>
    <w:rsid w:val="00713706"/>
    <w:rsid w:val="0071396E"/>
    <w:rsid w:val="00713CFF"/>
    <w:rsid w:val="00713D54"/>
    <w:rsid w:val="00714FA2"/>
    <w:rsid w:val="00715130"/>
    <w:rsid w:val="00715D8A"/>
    <w:rsid w:val="00716537"/>
    <w:rsid w:val="007208B3"/>
    <w:rsid w:val="007209DE"/>
    <w:rsid w:val="00720FEF"/>
    <w:rsid w:val="007210EC"/>
    <w:rsid w:val="0072132F"/>
    <w:rsid w:val="00722552"/>
    <w:rsid w:val="0072268E"/>
    <w:rsid w:val="00722AD6"/>
    <w:rsid w:val="00722D19"/>
    <w:rsid w:val="00722DC8"/>
    <w:rsid w:val="0072333D"/>
    <w:rsid w:val="0072347E"/>
    <w:rsid w:val="0072398A"/>
    <w:rsid w:val="00724839"/>
    <w:rsid w:val="00724DA1"/>
    <w:rsid w:val="00724E03"/>
    <w:rsid w:val="0072504F"/>
    <w:rsid w:val="0072509C"/>
    <w:rsid w:val="00725330"/>
    <w:rsid w:val="007255CE"/>
    <w:rsid w:val="00725719"/>
    <w:rsid w:val="007258C9"/>
    <w:rsid w:val="00725B13"/>
    <w:rsid w:val="00725C38"/>
    <w:rsid w:val="00725E82"/>
    <w:rsid w:val="00726450"/>
    <w:rsid w:val="00726A5C"/>
    <w:rsid w:val="00727288"/>
    <w:rsid w:val="007272AC"/>
    <w:rsid w:val="00727CD0"/>
    <w:rsid w:val="00730060"/>
    <w:rsid w:val="00730603"/>
    <w:rsid w:val="007318BF"/>
    <w:rsid w:val="007321E2"/>
    <w:rsid w:val="0073231D"/>
    <w:rsid w:val="00732664"/>
    <w:rsid w:val="00732AE7"/>
    <w:rsid w:val="00732DF8"/>
    <w:rsid w:val="00732F5E"/>
    <w:rsid w:val="00733116"/>
    <w:rsid w:val="00733565"/>
    <w:rsid w:val="007335EA"/>
    <w:rsid w:val="00733C34"/>
    <w:rsid w:val="00733EAE"/>
    <w:rsid w:val="0073406B"/>
    <w:rsid w:val="0073472E"/>
    <w:rsid w:val="00734E27"/>
    <w:rsid w:val="0073542F"/>
    <w:rsid w:val="00735558"/>
    <w:rsid w:val="007355C0"/>
    <w:rsid w:val="00735882"/>
    <w:rsid w:val="0073591B"/>
    <w:rsid w:val="00735BF1"/>
    <w:rsid w:val="007366A5"/>
    <w:rsid w:val="007372E7"/>
    <w:rsid w:val="0073734A"/>
    <w:rsid w:val="00737735"/>
    <w:rsid w:val="00737832"/>
    <w:rsid w:val="00737CD8"/>
    <w:rsid w:val="007402C4"/>
    <w:rsid w:val="00741187"/>
    <w:rsid w:val="00741266"/>
    <w:rsid w:val="00741D58"/>
    <w:rsid w:val="007426BF"/>
    <w:rsid w:val="00742831"/>
    <w:rsid w:val="00743403"/>
    <w:rsid w:val="007439C7"/>
    <w:rsid w:val="00744256"/>
    <w:rsid w:val="0074469C"/>
    <w:rsid w:val="00745418"/>
    <w:rsid w:val="00745FB4"/>
    <w:rsid w:val="00746A1A"/>
    <w:rsid w:val="00747473"/>
    <w:rsid w:val="0074771D"/>
    <w:rsid w:val="00747A9E"/>
    <w:rsid w:val="007508E1"/>
    <w:rsid w:val="00750D0E"/>
    <w:rsid w:val="00750D81"/>
    <w:rsid w:val="00751D42"/>
    <w:rsid w:val="00751DBA"/>
    <w:rsid w:val="00751E4D"/>
    <w:rsid w:val="0075247F"/>
    <w:rsid w:val="00752595"/>
    <w:rsid w:val="0075290C"/>
    <w:rsid w:val="00752939"/>
    <w:rsid w:val="00752F68"/>
    <w:rsid w:val="00753030"/>
    <w:rsid w:val="00753455"/>
    <w:rsid w:val="00753F48"/>
    <w:rsid w:val="00754206"/>
    <w:rsid w:val="00754529"/>
    <w:rsid w:val="00755065"/>
    <w:rsid w:val="007555AD"/>
    <w:rsid w:val="007559C5"/>
    <w:rsid w:val="00755E61"/>
    <w:rsid w:val="0075715F"/>
    <w:rsid w:val="007573E1"/>
    <w:rsid w:val="007576D9"/>
    <w:rsid w:val="0076145C"/>
    <w:rsid w:val="00761704"/>
    <w:rsid w:val="0076184F"/>
    <w:rsid w:val="007619A7"/>
    <w:rsid w:val="00761BDF"/>
    <w:rsid w:val="00761FB4"/>
    <w:rsid w:val="007622F4"/>
    <w:rsid w:val="00762731"/>
    <w:rsid w:val="00762AA4"/>
    <w:rsid w:val="00762AD7"/>
    <w:rsid w:val="00763767"/>
    <w:rsid w:val="007643D8"/>
    <w:rsid w:val="00764707"/>
    <w:rsid w:val="007649D7"/>
    <w:rsid w:val="00764A60"/>
    <w:rsid w:val="00764D20"/>
    <w:rsid w:val="00765650"/>
    <w:rsid w:val="00765DD7"/>
    <w:rsid w:val="007663D3"/>
    <w:rsid w:val="0076658B"/>
    <w:rsid w:val="00766746"/>
    <w:rsid w:val="007703AD"/>
    <w:rsid w:val="00770426"/>
    <w:rsid w:val="00770C0F"/>
    <w:rsid w:val="0077138C"/>
    <w:rsid w:val="00771488"/>
    <w:rsid w:val="00771987"/>
    <w:rsid w:val="00771CCB"/>
    <w:rsid w:val="00772439"/>
    <w:rsid w:val="007724E1"/>
    <w:rsid w:val="00773508"/>
    <w:rsid w:val="0077357D"/>
    <w:rsid w:val="007739B1"/>
    <w:rsid w:val="00773D74"/>
    <w:rsid w:val="007746DA"/>
    <w:rsid w:val="00774983"/>
    <w:rsid w:val="00774D7A"/>
    <w:rsid w:val="00775565"/>
    <w:rsid w:val="00776636"/>
    <w:rsid w:val="00777A97"/>
    <w:rsid w:val="00777CE4"/>
    <w:rsid w:val="00777D48"/>
    <w:rsid w:val="00777DC1"/>
    <w:rsid w:val="00782386"/>
    <w:rsid w:val="0078239E"/>
    <w:rsid w:val="00782804"/>
    <w:rsid w:val="0078312A"/>
    <w:rsid w:val="00783241"/>
    <w:rsid w:val="00783981"/>
    <w:rsid w:val="007840F3"/>
    <w:rsid w:val="007844B8"/>
    <w:rsid w:val="00784757"/>
    <w:rsid w:val="007847F4"/>
    <w:rsid w:val="00784E7E"/>
    <w:rsid w:val="007850AE"/>
    <w:rsid w:val="00785B70"/>
    <w:rsid w:val="00786DD9"/>
    <w:rsid w:val="00786FD9"/>
    <w:rsid w:val="007873A5"/>
    <w:rsid w:val="007879F5"/>
    <w:rsid w:val="007908A5"/>
    <w:rsid w:val="00790E89"/>
    <w:rsid w:val="007910E2"/>
    <w:rsid w:val="0079177A"/>
    <w:rsid w:val="00791951"/>
    <w:rsid w:val="00794395"/>
    <w:rsid w:val="0079458A"/>
    <w:rsid w:val="007946DC"/>
    <w:rsid w:val="00794B55"/>
    <w:rsid w:val="00795BA5"/>
    <w:rsid w:val="00796471"/>
    <w:rsid w:val="0079680E"/>
    <w:rsid w:val="007968CE"/>
    <w:rsid w:val="00796C4F"/>
    <w:rsid w:val="00796E40"/>
    <w:rsid w:val="00797420"/>
    <w:rsid w:val="007975AA"/>
    <w:rsid w:val="00797D31"/>
    <w:rsid w:val="00797F03"/>
    <w:rsid w:val="007A06FF"/>
    <w:rsid w:val="007A0A9F"/>
    <w:rsid w:val="007A188E"/>
    <w:rsid w:val="007A2808"/>
    <w:rsid w:val="007A3F21"/>
    <w:rsid w:val="007A41CF"/>
    <w:rsid w:val="007A4337"/>
    <w:rsid w:val="007A4366"/>
    <w:rsid w:val="007A48BF"/>
    <w:rsid w:val="007A4C25"/>
    <w:rsid w:val="007A4E79"/>
    <w:rsid w:val="007A576F"/>
    <w:rsid w:val="007A58E3"/>
    <w:rsid w:val="007A5E94"/>
    <w:rsid w:val="007A6531"/>
    <w:rsid w:val="007A690E"/>
    <w:rsid w:val="007A76A3"/>
    <w:rsid w:val="007A77C7"/>
    <w:rsid w:val="007B0291"/>
    <w:rsid w:val="007B06F5"/>
    <w:rsid w:val="007B089A"/>
    <w:rsid w:val="007B1053"/>
    <w:rsid w:val="007B1456"/>
    <w:rsid w:val="007B25B3"/>
    <w:rsid w:val="007B2E28"/>
    <w:rsid w:val="007B35F4"/>
    <w:rsid w:val="007B3794"/>
    <w:rsid w:val="007B3947"/>
    <w:rsid w:val="007B3C06"/>
    <w:rsid w:val="007B3E0E"/>
    <w:rsid w:val="007B53DE"/>
    <w:rsid w:val="007B5415"/>
    <w:rsid w:val="007B60FF"/>
    <w:rsid w:val="007B6D12"/>
    <w:rsid w:val="007B7317"/>
    <w:rsid w:val="007B7565"/>
    <w:rsid w:val="007B765A"/>
    <w:rsid w:val="007B7C97"/>
    <w:rsid w:val="007B7EFB"/>
    <w:rsid w:val="007C0FAC"/>
    <w:rsid w:val="007C10E2"/>
    <w:rsid w:val="007C171E"/>
    <w:rsid w:val="007C25EC"/>
    <w:rsid w:val="007C274E"/>
    <w:rsid w:val="007C3D65"/>
    <w:rsid w:val="007C3E7E"/>
    <w:rsid w:val="007C3EC3"/>
    <w:rsid w:val="007C418E"/>
    <w:rsid w:val="007C4366"/>
    <w:rsid w:val="007C45F5"/>
    <w:rsid w:val="007C54BB"/>
    <w:rsid w:val="007C5536"/>
    <w:rsid w:val="007C5722"/>
    <w:rsid w:val="007C5726"/>
    <w:rsid w:val="007C57D3"/>
    <w:rsid w:val="007C57F1"/>
    <w:rsid w:val="007C6BAE"/>
    <w:rsid w:val="007C7FA6"/>
    <w:rsid w:val="007D01AD"/>
    <w:rsid w:val="007D0755"/>
    <w:rsid w:val="007D2664"/>
    <w:rsid w:val="007D3AC7"/>
    <w:rsid w:val="007D3DDC"/>
    <w:rsid w:val="007D41FE"/>
    <w:rsid w:val="007D4A78"/>
    <w:rsid w:val="007D5EDC"/>
    <w:rsid w:val="007D6583"/>
    <w:rsid w:val="007D6EBB"/>
    <w:rsid w:val="007D74ED"/>
    <w:rsid w:val="007E0291"/>
    <w:rsid w:val="007E0948"/>
    <w:rsid w:val="007E0AD4"/>
    <w:rsid w:val="007E10DC"/>
    <w:rsid w:val="007E1643"/>
    <w:rsid w:val="007E1F8C"/>
    <w:rsid w:val="007E220F"/>
    <w:rsid w:val="007E309C"/>
    <w:rsid w:val="007E3A2A"/>
    <w:rsid w:val="007E42A7"/>
    <w:rsid w:val="007E461B"/>
    <w:rsid w:val="007E4BE3"/>
    <w:rsid w:val="007E505F"/>
    <w:rsid w:val="007E62A2"/>
    <w:rsid w:val="007E6437"/>
    <w:rsid w:val="007E6544"/>
    <w:rsid w:val="007E7237"/>
    <w:rsid w:val="007E7848"/>
    <w:rsid w:val="007E7A59"/>
    <w:rsid w:val="007F019E"/>
    <w:rsid w:val="007F1828"/>
    <w:rsid w:val="007F1957"/>
    <w:rsid w:val="007F1D0F"/>
    <w:rsid w:val="007F20DB"/>
    <w:rsid w:val="007F2533"/>
    <w:rsid w:val="007F279E"/>
    <w:rsid w:val="007F3EA8"/>
    <w:rsid w:val="007F499B"/>
    <w:rsid w:val="007F53B6"/>
    <w:rsid w:val="007F5B1C"/>
    <w:rsid w:val="007F625C"/>
    <w:rsid w:val="007F6289"/>
    <w:rsid w:val="007F6458"/>
    <w:rsid w:val="007F7309"/>
    <w:rsid w:val="00800F06"/>
    <w:rsid w:val="0080109B"/>
    <w:rsid w:val="00801857"/>
    <w:rsid w:val="00801A6D"/>
    <w:rsid w:val="008022C2"/>
    <w:rsid w:val="00802510"/>
    <w:rsid w:val="00802752"/>
    <w:rsid w:val="00802851"/>
    <w:rsid w:val="008039FA"/>
    <w:rsid w:val="00803C4C"/>
    <w:rsid w:val="00804053"/>
    <w:rsid w:val="0080414E"/>
    <w:rsid w:val="0080484F"/>
    <w:rsid w:val="00804983"/>
    <w:rsid w:val="00804B84"/>
    <w:rsid w:val="00804C42"/>
    <w:rsid w:val="00804DA6"/>
    <w:rsid w:val="0080650C"/>
    <w:rsid w:val="00806793"/>
    <w:rsid w:val="00807233"/>
    <w:rsid w:val="00807662"/>
    <w:rsid w:val="008107C2"/>
    <w:rsid w:val="00810952"/>
    <w:rsid w:val="00810BCA"/>
    <w:rsid w:val="00810D16"/>
    <w:rsid w:val="00811A6A"/>
    <w:rsid w:val="00811CB2"/>
    <w:rsid w:val="008121FE"/>
    <w:rsid w:val="008128C2"/>
    <w:rsid w:val="0081397E"/>
    <w:rsid w:val="00813FDB"/>
    <w:rsid w:val="008145AE"/>
    <w:rsid w:val="008148AE"/>
    <w:rsid w:val="00814952"/>
    <w:rsid w:val="00814DE5"/>
    <w:rsid w:val="008155A1"/>
    <w:rsid w:val="008155B0"/>
    <w:rsid w:val="00815C05"/>
    <w:rsid w:val="00815F62"/>
    <w:rsid w:val="008164DB"/>
    <w:rsid w:val="008172D8"/>
    <w:rsid w:val="008177D4"/>
    <w:rsid w:val="008206BF"/>
    <w:rsid w:val="008215DC"/>
    <w:rsid w:val="0082202B"/>
    <w:rsid w:val="00822335"/>
    <w:rsid w:val="008231B1"/>
    <w:rsid w:val="00823831"/>
    <w:rsid w:val="00823C7F"/>
    <w:rsid w:val="008240B0"/>
    <w:rsid w:val="00825565"/>
    <w:rsid w:val="008261D9"/>
    <w:rsid w:val="008271EC"/>
    <w:rsid w:val="00827308"/>
    <w:rsid w:val="00827AF5"/>
    <w:rsid w:val="00827D2B"/>
    <w:rsid w:val="00827EA0"/>
    <w:rsid w:val="00830087"/>
    <w:rsid w:val="008301EA"/>
    <w:rsid w:val="008303D6"/>
    <w:rsid w:val="00830A41"/>
    <w:rsid w:val="00830E5D"/>
    <w:rsid w:val="008317E3"/>
    <w:rsid w:val="008329F2"/>
    <w:rsid w:val="00832ECB"/>
    <w:rsid w:val="00833246"/>
    <w:rsid w:val="00833588"/>
    <w:rsid w:val="00833DD6"/>
    <w:rsid w:val="00834065"/>
    <w:rsid w:val="00835024"/>
    <w:rsid w:val="00835A70"/>
    <w:rsid w:val="00835FAA"/>
    <w:rsid w:val="00835FFC"/>
    <w:rsid w:val="00836345"/>
    <w:rsid w:val="00836924"/>
    <w:rsid w:val="00836AAB"/>
    <w:rsid w:val="008372F2"/>
    <w:rsid w:val="00837390"/>
    <w:rsid w:val="008373AE"/>
    <w:rsid w:val="00837716"/>
    <w:rsid w:val="008377A8"/>
    <w:rsid w:val="00837FB8"/>
    <w:rsid w:val="00841E62"/>
    <w:rsid w:val="0084205C"/>
    <w:rsid w:val="008423A1"/>
    <w:rsid w:val="008428BD"/>
    <w:rsid w:val="00842C3F"/>
    <w:rsid w:val="00844083"/>
    <w:rsid w:val="008447D9"/>
    <w:rsid w:val="00844E39"/>
    <w:rsid w:val="00845BAE"/>
    <w:rsid w:val="0084646A"/>
    <w:rsid w:val="00846A30"/>
    <w:rsid w:val="00850707"/>
    <w:rsid w:val="00850822"/>
    <w:rsid w:val="008509A1"/>
    <w:rsid w:val="00850BB3"/>
    <w:rsid w:val="0085108A"/>
    <w:rsid w:val="008510C2"/>
    <w:rsid w:val="008513E8"/>
    <w:rsid w:val="008520C6"/>
    <w:rsid w:val="00852336"/>
    <w:rsid w:val="0085243C"/>
    <w:rsid w:val="008532D4"/>
    <w:rsid w:val="008532ED"/>
    <w:rsid w:val="008537EF"/>
    <w:rsid w:val="00853F07"/>
    <w:rsid w:val="00854E58"/>
    <w:rsid w:val="00855BD5"/>
    <w:rsid w:val="00855E7F"/>
    <w:rsid w:val="00855F8F"/>
    <w:rsid w:val="00855F9E"/>
    <w:rsid w:val="00856487"/>
    <w:rsid w:val="008569B2"/>
    <w:rsid w:val="00856AA0"/>
    <w:rsid w:val="00856C8B"/>
    <w:rsid w:val="00856FA9"/>
    <w:rsid w:val="00857386"/>
    <w:rsid w:val="0085743C"/>
    <w:rsid w:val="008576FC"/>
    <w:rsid w:val="00860078"/>
    <w:rsid w:val="00860565"/>
    <w:rsid w:val="00861576"/>
    <w:rsid w:val="00861C79"/>
    <w:rsid w:val="00862120"/>
    <w:rsid w:val="0086250C"/>
    <w:rsid w:val="00862696"/>
    <w:rsid w:val="00862842"/>
    <w:rsid w:val="00862B19"/>
    <w:rsid w:val="00862B70"/>
    <w:rsid w:val="00862D86"/>
    <w:rsid w:val="00862FCC"/>
    <w:rsid w:val="0086457F"/>
    <w:rsid w:val="00864A5F"/>
    <w:rsid w:val="008651F0"/>
    <w:rsid w:val="0086578D"/>
    <w:rsid w:val="008658FD"/>
    <w:rsid w:val="00866579"/>
    <w:rsid w:val="00866990"/>
    <w:rsid w:val="0086762B"/>
    <w:rsid w:val="00870374"/>
    <w:rsid w:val="0087061B"/>
    <w:rsid w:val="008706C2"/>
    <w:rsid w:val="00870722"/>
    <w:rsid w:val="00870BB6"/>
    <w:rsid w:val="008711F8"/>
    <w:rsid w:val="00871AEB"/>
    <w:rsid w:val="00871C9B"/>
    <w:rsid w:val="0087210C"/>
    <w:rsid w:val="00874A6C"/>
    <w:rsid w:val="008753A8"/>
    <w:rsid w:val="00875822"/>
    <w:rsid w:val="00875E99"/>
    <w:rsid w:val="00876A53"/>
    <w:rsid w:val="00876CAF"/>
    <w:rsid w:val="00880162"/>
    <w:rsid w:val="008803D2"/>
    <w:rsid w:val="00880716"/>
    <w:rsid w:val="00880A10"/>
    <w:rsid w:val="00880C33"/>
    <w:rsid w:val="00881755"/>
    <w:rsid w:val="00881D22"/>
    <w:rsid w:val="0088270E"/>
    <w:rsid w:val="008828B6"/>
    <w:rsid w:val="008828CD"/>
    <w:rsid w:val="0088304F"/>
    <w:rsid w:val="00883466"/>
    <w:rsid w:val="00883561"/>
    <w:rsid w:val="00883D28"/>
    <w:rsid w:val="00884752"/>
    <w:rsid w:val="008848CA"/>
    <w:rsid w:val="00884E78"/>
    <w:rsid w:val="00885441"/>
    <w:rsid w:val="0088577C"/>
    <w:rsid w:val="00885887"/>
    <w:rsid w:val="00885B95"/>
    <w:rsid w:val="00886247"/>
    <w:rsid w:val="0088744E"/>
    <w:rsid w:val="008874BD"/>
    <w:rsid w:val="00887AA8"/>
    <w:rsid w:val="00887EFE"/>
    <w:rsid w:val="00890E43"/>
    <w:rsid w:val="00890FB1"/>
    <w:rsid w:val="008912C2"/>
    <w:rsid w:val="00892A13"/>
    <w:rsid w:val="00892A24"/>
    <w:rsid w:val="0089320A"/>
    <w:rsid w:val="0089371D"/>
    <w:rsid w:val="00893F76"/>
    <w:rsid w:val="00894139"/>
    <w:rsid w:val="0089463B"/>
    <w:rsid w:val="00894FC5"/>
    <w:rsid w:val="00895087"/>
    <w:rsid w:val="008955F5"/>
    <w:rsid w:val="00896056"/>
    <w:rsid w:val="008966CC"/>
    <w:rsid w:val="00896DDF"/>
    <w:rsid w:val="008971ED"/>
    <w:rsid w:val="00897270"/>
    <w:rsid w:val="00897C69"/>
    <w:rsid w:val="00897FA6"/>
    <w:rsid w:val="00897FD6"/>
    <w:rsid w:val="008A0433"/>
    <w:rsid w:val="008A1143"/>
    <w:rsid w:val="008A1367"/>
    <w:rsid w:val="008A1B68"/>
    <w:rsid w:val="008A23AF"/>
    <w:rsid w:val="008A374A"/>
    <w:rsid w:val="008A38D7"/>
    <w:rsid w:val="008A3E73"/>
    <w:rsid w:val="008A41F5"/>
    <w:rsid w:val="008A4625"/>
    <w:rsid w:val="008A462B"/>
    <w:rsid w:val="008A50B0"/>
    <w:rsid w:val="008A5166"/>
    <w:rsid w:val="008A5314"/>
    <w:rsid w:val="008A5A1D"/>
    <w:rsid w:val="008A5F4A"/>
    <w:rsid w:val="008A63A6"/>
    <w:rsid w:val="008A63D6"/>
    <w:rsid w:val="008A65FF"/>
    <w:rsid w:val="008A692A"/>
    <w:rsid w:val="008A6AD0"/>
    <w:rsid w:val="008A76F9"/>
    <w:rsid w:val="008A7E95"/>
    <w:rsid w:val="008B0286"/>
    <w:rsid w:val="008B0656"/>
    <w:rsid w:val="008B0BFA"/>
    <w:rsid w:val="008B156B"/>
    <w:rsid w:val="008B1A56"/>
    <w:rsid w:val="008B1ECC"/>
    <w:rsid w:val="008B1F5D"/>
    <w:rsid w:val="008B219C"/>
    <w:rsid w:val="008B2D69"/>
    <w:rsid w:val="008B2E56"/>
    <w:rsid w:val="008B3274"/>
    <w:rsid w:val="008B39F5"/>
    <w:rsid w:val="008B3C44"/>
    <w:rsid w:val="008B416B"/>
    <w:rsid w:val="008B4489"/>
    <w:rsid w:val="008B4CFC"/>
    <w:rsid w:val="008B5590"/>
    <w:rsid w:val="008B55D8"/>
    <w:rsid w:val="008B5653"/>
    <w:rsid w:val="008B5E49"/>
    <w:rsid w:val="008B5F74"/>
    <w:rsid w:val="008B5F85"/>
    <w:rsid w:val="008B60B8"/>
    <w:rsid w:val="008B6271"/>
    <w:rsid w:val="008B6535"/>
    <w:rsid w:val="008B6800"/>
    <w:rsid w:val="008B7650"/>
    <w:rsid w:val="008B7F6D"/>
    <w:rsid w:val="008C00CA"/>
    <w:rsid w:val="008C1C25"/>
    <w:rsid w:val="008C1C7B"/>
    <w:rsid w:val="008C245E"/>
    <w:rsid w:val="008C2BF8"/>
    <w:rsid w:val="008C30F6"/>
    <w:rsid w:val="008C3EEB"/>
    <w:rsid w:val="008C4239"/>
    <w:rsid w:val="008C4526"/>
    <w:rsid w:val="008C492A"/>
    <w:rsid w:val="008C4BA1"/>
    <w:rsid w:val="008C631B"/>
    <w:rsid w:val="008C655A"/>
    <w:rsid w:val="008C693F"/>
    <w:rsid w:val="008D0CE8"/>
    <w:rsid w:val="008D116A"/>
    <w:rsid w:val="008D1679"/>
    <w:rsid w:val="008D23B9"/>
    <w:rsid w:val="008D2B4D"/>
    <w:rsid w:val="008D2D7B"/>
    <w:rsid w:val="008D3235"/>
    <w:rsid w:val="008D3256"/>
    <w:rsid w:val="008D33BC"/>
    <w:rsid w:val="008D42EA"/>
    <w:rsid w:val="008D4300"/>
    <w:rsid w:val="008D4575"/>
    <w:rsid w:val="008D5B71"/>
    <w:rsid w:val="008D63BF"/>
    <w:rsid w:val="008D655F"/>
    <w:rsid w:val="008D66CE"/>
    <w:rsid w:val="008D6E34"/>
    <w:rsid w:val="008D7770"/>
    <w:rsid w:val="008D7B42"/>
    <w:rsid w:val="008E0D7E"/>
    <w:rsid w:val="008E1F6E"/>
    <w:rsid w:val="008E20F8"/>
    <w:rsid w:val="008E24BC"/>
    <w:rsid w:val="008E3E78"/>
    <w:rsid w:val="008E428C"/>
    <w:rsid w:val="008E4933"/>
    <w:rsid w:val="008E50D0"/>
    <w:rsid w:val="008E54CF"/>
    <w:rsid w:val="008E72F2"/>
    <w:rsid w:val="008E7739"/>
    <w:rsid w:val="008E77E9"/>
    <w:rsid w:val="008E7919"/>
    <w:rsid w:val="008E7CBE"/>
    <w:rsid w:val="008F0029"/>
    <w:rsid w:val="008F0066"/>
    <w:rsid w:val="008F0B80"/>
    <w:rsid w:val="008F1750"/>
    <w:rsid w:val="008F2371"/>
    <w:rsid w:val="008F2CF8"/>
    <w:rsid w:val="008F3C16"/>
    <w:rsid w:val="008F3DB1"/>
    <w:rsid w:val="008F42CC"/>
    <w:rsid w:val="008F43A6"/>
    <w:rsid w:val="008F4BA4"/>
    <w:rsid w:val="008F4CB7"/>
    <w:rsid w:val="008F503C"/>
    <w:rsid w:val="008F5084"/>
    <w:rsid w:val="008F6877"/>
    <w:rsid w:val="008F70F1"/>
    <w:rsid w:val="008F769E"/>
    <w:rsid w:val="008F7819"/>
    <w:rsid w:val="008F7D29"/>
    <w:rsid w:val="00900318"/>
    <w:rsid w:val="00900BA2"/>
    <w:rsid w:val="0090139B"/>
    <w:rsid w:val="009028CE"/>
    <w:rsid w:val="0090476D"/>
    <w:rsid w:val="00904FA1"/>
    <w:rsid w:val="00905495"/>
    <w:rsid w:val="009055E2"/>
    <w:rsid w:val="0090568B"/>
    <w:rsid w:val="00905721"/>
    <w:rsid w:val="00905A85"/>
    <w:rsid w:val="00905C51"/>
    <w:rsid w:val="00906204"/>
    <w:rsid w:val="00906CB6"/>
    <w:rsid w:val="00906CBC"/>
    <w:rsid w:val="00906F53"/>
    <w:rsid w:val="00907633"/>
    <w:rsid w:val="00907ACC"/>
    <w:rsid w:val="00907F3A"/>
    <w:rsid w:val="0091005E"/>
    <w:rsid w:val="00910226"/>
    <w:rsid w:val="00910B5A"/>
    <w:rsid w:val="00912C54"/>
    <w:rsid w:val="00912EAE"/>
    <w:rsid w:val="009131E3"/>
    <w:rsid w:val="009132D3"/>
    <w:rsid w:val="00913851"/>
    <w:rsid w:val="009139D7"/>
    <w:rsid w:val="00913A25"/>
    <w:rsid w:val="00913BF9"/>
    <w:rsid w:val="00913C3C"/>
    <w:rsid w:val="00914037"/>
    <w:rsid w:val="009147E3"/>
    <w:rsid w:val="00916055"/>
    <w:rsid w:val="0091640C"/>
    <w:rsid w:val="009167A7"/>
    <w:rsid w:val="00916D7E"/>
    <w:rsid w:val="00917983"/>
    <w:rsid w:val="009205CA"/>
    <w:rsid w:val="009205EB"/>
    <w:rsid w:val="00920D30"/>
    <w:rsid w:val="00921009"/>
    <w:rsid w:val="0092100A"/>
    <w:rsid w:val="009220FC"/>
    <w:rsid w:val="00922402"/>
    <w:rsid w:val="009225BF"/>
    <w:rsid w:val="009228EE"/>
    <w:rsid w:val="00922B5A"/>
    <w:rsid w:val="00923306"/>
    <w:rsid w:val="009234C6"/>
    <w:rsid w:val="00923D33"/>
    <w:rsid w:val="009241E9"/>
    <w:rsid w:val="00924282"/>
    <w:rsid w:val="0092488C"/>
    <w:rsid w:val="00924E08"/>
    <w:rsid w:val="0092592E"/>
    <w:rsid w:val="00925A3B"/>
    <w:rsid w:val="0092609A"/>
    <w:rsid w:val="009268FF"/>
    <w:rsid w:val="00926C84"/>
    <w:rsid w:val="00926E4E"/>
    <w:rsid w:val="00927665"/>
    <w:rsid w:val="009309F7"/>
    <w:rsid w:val="00930C27"/>
    <w:rsid w:val="00930EB9"/>
    <w:rsid w:val="009313A1"/>
    <w:rsid w:val="00931BCC"/>
    <w:rsid w:val="009324A2"/>
    <w:rsid w:val="009325AB"/>
    <w:rsid w:val="0093261B"/>
    <w:rsid w:val="00932DFD"/>
    <w:rsid w:val="009335F5"/>
    <w:rsid w:val="00933C64"/>
    <w:rsid w:val="00933E82"/>
    <w:rsid w:val="00933EC4"/>
    <w:rsid w:val="00933F0E"/>
    <w:rsid w:val="0093436C"/>
    <w:rsid w:val="00934E80"/>
    <w:rsid w:val="00934F34"/>
    <w:rsid w:val="009354FD"/>
    <w:rsid w:val="00935728"/>
    <w:rsid w:val="00935CE8"/>
    <w:rsid w:val="00935DC9"/>
    <w:rsid w:val="00935E59"/>
    <w:rsid w:val="0093615F"/>
    <w:rsid w:val="00936A9C"/>
    <w:rsid w:val="009371DF"/>
    <w:rsid w:val="009371E5"/>
    <w:rsid w:val="00937AA5"/>
    <w:rsid w:val="00937C26"/>
    <w:rsid w:val="009404B2"/>
    <w:rsid w:val="00940A05"/>
    <w:rsid w:val="00940A3A"/>
    <w:rsid w:val="00942093"/>
    <w:rsid w:val="00942815"/>
    <w:rsid w:val="009428B0"/>
    <w:rsid w:val="00942F87"/>
    <w:rsid w:val="0094303C"/>
    <w:rsid w:val="009431D2"/>
    <w:rsid w:val="0094334C"/>
    <w:rsid w:val="00943A19"/>
    <w:rsid w:val="00943A23"/>
    <w:rsid w:val="00943B7B"/>
    <w:rsid w:val="009440D8"/>
    <w:rsid w:val="009441A8"/>
    <w:rsid w:val="009443C8"/>
    <w:rsid w:val="00944D77"/>
    <w:rsid w:val="009456D9"/>
    <w:rsid w:val="00945C10"/>
    <w:rsid w:val="00945E1B"/>
    <w:rsid w:val="0094634D"/>
    <w:rsid w:val="00946663"/>
    <w:rsid w:val="0094672C"/>
    <w:rsid w:val="00947B1B"/>
    <w:rsid w:val="00947FCE"/>
    <w:rsid w:val="00950C84"/>
    <w:rsid w:val="009518F6"/>
    <w:rsid w:val="00951BCA"/>
    <w:rsid w:val="00951BDA"/>
    <w:rsid w:val="00951EE4"/>
    <w:rsid w:val="00951FE7"/>
    <w:rsid w:val="00952313"/>
    <w:rsid w:val="009523C0"/>
    <w:rsid w:val="009525DE"/>
    <w:rsid w:val="00952CDA"/>
    <w:rsid w:val="00952F08"/>
    <w:rsid w:val="009536C3"/>
    <w:rsid w:val="00953CFD"/>
    <w:rsid w:val="009543C1"/>
    <w:rsid w:val="009545A5"/>
    <w:rsid w:val="0095476B"/>
    <w:rsid w:val="00955138"/>
    <w:rsid w:val="009551DA"/>
    <w:rsid w:val="0095545B"/>
    <w:rsid w:val="00955F7E"/>
    <w:rsid w:val="009577C3"/>
    <w:rsid w:val="00957831"/>
    <w:rsid w:val="00957CD8"/>
    <w:rsid w:val="00957E1E"/>
    <w:rsid w:val="0096069B"/>
    <w:rsid w:val="00960A62"/>
    <w:rsid w:val="00961080"/>
    <w:rsid w:val="00961190"/>
    <w:rsid w:val="00961300"/>
    <w:rsid w:val="009613BF"/>
    <w:rsid w:val="0096167F"/>
    <w:rsid w:val="00961EA3"/>
    <w:rsid w:val="009631D5"/>
    <w:rsid w:val="009644E8"/>
    <w:rsid w:val="00964D1D"/>
    <w:rsid w:val="00964D23"/>
    <w:rsid w:val="00964E3E"/>
    <w:rsid w:val="009657F7"/>
    <w:rsid w:val="00965BAB"/>
    <w:rsid w:val="009669D0"/>
    <w:rsid w:val="00967867"/>
    <w:rsid w:val="00967870"/>
    <w:rsid w:val="00967BD8"/>
    <w:rsid w:val="00970145"/>
    <w:rsid w:val="00970A61"/>
    <w:rsid w:val="00970EF4"/>
    <w:rsid w:val="00970FEF"/>
    <w:rsid w:val="00971511"/>
    <w:rsid w:val="009716B2"/>
    <w:rsid w:val="009717B5"/>
    <w:rsid w:val="00972437"/>
    <w:rsid w:val="00972635"/>
    <w:rsid w:val="00972652"/>
    <w:rsid w:val="009728C2"/>
    <w:rsid w:val="00973216"/>
    <w:rsid w:val="00973474"/>
    <w:rsid w:val="009735E2"/>
    <w:rsid w:val="0097381C"/>
    <w:rsid w:val="00974233"/>
    <w:rsid w:val="009748CE"/>
    <w:rsid w:val="00974973"/>
    <w:rsid w:val="00974D78"/>
    <w:rsid w:val="00975AE2"/>
    <w:rsid w:val="00975EF8"/>
    <w:rsid w:val="0097643E"/>
    <w:rsid w:val="00976615"/>
    <w:rsid w:val="00976AAD"/>
    <w:rsid w:val="00976CCE"/>
    <w:rsid w:val="00977A0A"/>
    <w:rsid w:val="00977F08"/>
    <w:rsid w:val="00980459"/>
    <w:rsid w:val="00980747"/>
    <w:rsid w:val="00980C36"/>
    <w:rsid w:val="00980F99"/>
    <w:rsid w:val="00982258"/>
    <w:rsid w:val="00982366"/>
    <w:rsid w:val="009829A0"/>
    <w:rsid w:val="00983505"/>
    <w:rsid w:val="0098393C"/>
    <w:rsid w:val="00984463"/>
    <w:rsid w:val="00984DAE"/>
    <w:rsid w:val="0098507B"/>
    <w:rsid w:val="00985578"/>
    <w:rsid w:val="00985B89"/>
    <w:rsid w:val="009860F0"/>
    <w:rsid w:val="00986BD7"/>
    <w:rsid w:val="009874F2"/>
    <w:rsid w:val="009902AC"/>
    <w:rsid w:val="009902F2"/>
    <w:rsid w:val="00990C00"/>
    <w:rsid w:val="00992279"/>
    <w:rsid w:val="00992297"/>
    <w:rsid w:val="00993A1F"/>
    <w:rsid w:val="00994442"/>
    <w:rsid w:val="00994570"/>
    <w:rsid w:val="009947BA"/>
    <w:rsid w:val="00994923"/>
    <w:rsid w:val="009951EF"/>
    <w:rsid w:val="00995748"/>
    <w:rsid w:val="009959CC"/>
    <w:rsid w:val="00995A9B"/>
    <w:rsid w:val="00995FAB"/>
    <w:rsid w:val="00996298"/>
    <w:rsid w:val="00997394"/>
    <w:rsid w:val="00997D10"/>
    <w:rsid w:val="00997ED5"/>
    <w:rsid w:val="009A0A83"/>
    <w:rsid w:val="009A18D1"/>
    <w:rsid w:val="009A27D0"/>
    <w:rsid w:val="009A2BC0"/>
    <w:rsid w:val="009A2C53"/>
    <w:rsid w:val="009A2D82"/>
    <w:rsid w:val="009A2DD9"/>
    <w:rsid w:val="009A306D"/>
    <w:rsid w:val="009A4B12"/>
    <w:rsid w:val="009A4DF7"/>
    <w:rsid w:val="009A512E"/>
    <w:rsid w:val="009A5290"/>
    <w:rsid w:val="009A5C8C"/>
    <w:rsid w:val="009A5CBF"/>
    <w:rsid w:val="009A5FDF"/>
    <w:rsid w:val="009A604A"/>
    <w:rsid w:val="009A6AD9"/>
    <w:rsid w:val="009A6C35"/>
    <w:rsid w:val="009A6DD8"/>
    <w:rsid w:val="009A769E"/>
    <w:rsid w:val="009A77AF"/>
    <w:rsid w:val="009A7A59"/>
    <w:rsid w:val="009B04D5"/>
    <w:rsid w:val="009B061D"/>
    <w:rsid w:val="009B0B78"/>
    <w:rsid w:val="009B1181"/>
    <w:rsid w:val="009B1406"/>
    <w:rsid w:val="009B14BD"/>
    <w:rsid w:val="009B1A45"/>
    <w:rsid w:val="009B216B"/>
    <w:rsid w:val="009B274C"/>
    <w:rsid w:val="009B3482"/>
    <w:rsid w:val="009B477C"/>
    <w:rsid w:val="009B4C87"/>
    <w:rsid w:val="009B4CEE"/>
    <w:rsid w:val="009B532B"/>
    <w:rsid w:val="009B5C75"/>
    <w:rsid w:val="009B5D56"/>
    <w:rsid w:val="009B63CD"/>
    <w:rsid w:val="009B686E"/>
    <w:rsid w:val="009B76DD"/>
    <w:rsid w:val="009B7967"/>
    <w:rsid w:val="009B7C5E"/>
    <w:rsid w:val="009B7CC0"/>
    <w:rsid w:val="009C0991"/>
    <w:rsid w:val="009C09C8"/>
    <w:rsid w:val="009C0B33"/>
    <w:rsid w:val="009C0F13"/>
    <w:rsid w:val="009C1647"/>
    <w:rsid w:val="009C1A56"/>
    <w:rsid w:val="009C1B92"/>
    <w:rsid w:val="009C1E95"/>
    <w:rsid w:val="009C380B"/>
    <w:rsid w:val="009C40B7"/>
    <w:rsid w:val="009C4110"/>
    <w:rsid w:val="009C474A"/>
    <w:rsid w:val="009C4963"/>
    <w:rsid w:val="009C56CD"/>
    <w:rsid w:val="009C5D1C"/>
    <w:rsid w:val="009C68F1"/>
    <w:rsid w:val="009C6958"/>
    <w:rsid w:val="009C6D0D"/>
    <w:rsid w:val="009C6EBF"/>
    <w:rsid w:val="009D09D8"/>
    <w:rsid w:val="009D0E43"/>
    <w:rsid w:val="009D19CF"/>
    <w:rsid w:val="009D19D4"/>
    <w:rsid w:val="009D2F06"/>
    <w:rsid w:val="009D3009"/>
    <w:rsid w:val="009D36F5"/>
    <w:rsid w:val="009D3732"/>
    <w:rsid w:val="009D4A50"/>
    <w:rsid w:val="009D5267"/>
    <w:rsid w:val="009D58AF"/>
    <w:rsid w:val="009D5C05"/>
    <w:rsid w:val="009D5C23"/>
    <w:rsid w:val="009D6093"/>
    <w:rsid w:val="009D62D5"/>
    <w:rsid w:val="009D6454"/>
    <w:rsid w:val="009D674F"/>
    <w:rsid w:val="009D692C"/>
    <w:rsid w:val="009D7D3A"/>
    <w:rsid w:val="009D7E2A"/>
    <w:rsid w:val="009E1CE4"/>
    <w:rsid w:val="009E1D0B"/>
    <w:rsid w:val="009E1DCD"/>
    <w:rsid w:val="009E1EBC"/>
    <w:rsid w:val="009E202C"/>
    <w:rsid w:val="009E2A85"/>
    <w:rsid w:val="009E2B7A"/>
    <w:rsid w:val="009E3B74"/>
    <w:rsid w:val="009E4257"/>
    <w:rsid w:val="009E4AAF"/>
    <w:rsid w:val="009E5756"/>
    <w:rsid w:val="009E5939"/>
    <w:rsid w:val="009E7388"/>
    <w:rsid w:val="009E73F6"/>
    <w:rsid w:val="009E7D50"/>
    <w:rsid w:val="009E7E2E"/>
    <w:rsid w:val="009E7FC9"/>
    <w:rsid w:val="009F05D9"/>
    <w:rsid w:val="009F0998"/>
    <w:rsid w:val="009F0B22"/>
    <w:rsid w:val="009F0E32"/>
    <w:rsid w:val="009F10DC"/>
    <w:rsid w:val="009F1F05"/>
    <w:rsid w:val="009F20A3"/>
    <w:rsid w:val="009F2740"/>
    <w:rsid w:val="009F2986"/>
    <w:rsid w:val="009F37B1"/>
    <w:rsid w:val="009F3E26"/>
    <w:rsid w:val="009F4D95"/>
    <w:rsid w:val="009F5973"/>
    <w:rsid w:val="009F5A04"/>
    <w:rsid w:val="009F5D98"/>
    <w:rsid w:val="00A004C3"/>
    <w:rsid w:val="00A0116E"/>
    <w:rsid w:val="00A01356"/>
    <w:rsid w:val="00A01588"/>
    <w:rsid w:val="00A0190D"/>
    <w:rsid w:val="00A0195C"/>
    <w:rsid w:val="00A01F93"/>
    <w:rsid w:val="00A02069"/>
    <w:rsid w:val="00A02369"/>
    <w:rsid w:val="00A02395"/>
    <w:rsid w:val="00A02E86"/>
    <w:rsid w:val="00A037A4"/>
    <w:rsid w:val="00A0399D"/>
    <w:rsid w:val="00A03E96"/>
    <w:rsid w:val="00A0462A"/>
    <w:rsid w:val="00A04896"/>
    <w:rsid w:val="00A04F58"/>
    <w:rsid w:val="00A05533"/>
    <w:rsid w:val="00A05F26"/>
    <w:rsid w:val="00A0658B"/>
    <w:rsid w:val="00A067A2"/>
    <w:rsid w:val="00A06F1F"/>
    <w:rsid w:val="00A0729D"/>
    <w:rsid w:val="00A07F34"/>
    <w:rsid w:val="00A10145"/>
    <w:rsid w:val="00A10717"/>
    <w:rsid w:val="00A10D61"/>
    <w:rsid w:val="00A11C1B"/>
    <w:rsid w:val="00A1204D"/>
    <w:rsid w:val="00A12185"/>
    <w:rsid w:val="00A12E4A"/>
    <w:rsid w:val="00A1312C"/>
    <w:rsid w:val="00A13391"/>
    <w:rsid w:val="00A14099"/>
    <w:rsid w:val="00A14A1B"/>
    <w:rsid w:val="00A15128"/>
    <w:rsid w:val="00A154DD"/>
    <w:rsid w:val="00A15621"/>
    <w:rsid w:val="00A15DDC"/>
    <w:rsid w:val="00A15FC1"/>
    <w:rsid w:val="00A16E61"/>
    <w:rsid w:val="00A16E6C"/>
    <w:rsid w:val="00A179BA"/>
    <w:rsid w:val="00A17BA2"/>
    <w:rsid w:val="00A17D34"/>
    <w:rsid w:val="00A17D95"/>
    <w:rsid w:val="00A20543"/>
    <w:rsid w:val="00A20835"/>
    <w:rsid w:val="00A20D4E"/>
    <w:rsid w:val="00A215BC"/>
    <w:rsid w:val="00A21DA4"/>
    <w:rsid w:val="00A2211B"/>
    <w:rsid w:val="00A224B7"/>
    <w:rsid w:val="00A22A95"/>
    <w:rsid w:val="00A238CB"/>
    <w:rsid w:val="00A23A8B"/>
    <w:rsid w:val="00A23C49"/>
    <w:rsid w:val="00A23D5D"/>
    <w:rsid w:val="00A23FEF"/>
    <w:rsid w:val="00A2486B"/>
    <w:rsid w:val="00A250B2"/>
    <w:rsid w:val="00A25FFF"/>
    <w:rsid w:val="00A26222"/>
    <w:rsid w:val="00A273F1"/>
    <w:rsid w:val="00A2798B"/>
    <w:rsid w:val="00A27FC5"/>
    <w:rsid w:val="00A30325"/>
    <w:rsid w:val="00A31010"/>
    <w:rsid w:val="00A31448"/>
    <w:rsid w:val="00A32327"/>
    <w:rsid w:val="00A325CE"/>
    <w:rsid w:val="00A3336D"/>
    <w:rsid w:val="00A33797"/>
    <w:rsid w:val="00A34D33"/>
    <w:rsid w:val="00A352AA"/>
    <w:rsid w:val="00A35F82"/>
    <w:rsid w:val="00A37185"/>
    <w:rsid w:val="00A37326"/>
    <w:rsid w:val="00A3781F"/>
    <w:rsid w:val="00A40D98"/>
    <w:rsid w:val="00A4112B"/>
    <w:rsid w:val="00A414ED"/>
    <w:rsid w:val="00A41714"/>
    <w:rsid w:val="00A4184B"/>
    <w:rsid w:val="00A42A58"/>
    <w:rsid w:val="00A4348D"/>
    <w:rsid w:val="00A43C50"/>
    <w:rsid w:val="00A44864"/>
    <w:rsid w:val="00A45577"/>
    <w:rsid w:val="00A45821"/>
    <w:rsid w:val="00A45AB7"/>
    <w:rsid w:val="00A45B9E"/>
    <w:rsid w:val="00A46914"/>
    <w:rsid w:val="00A47776"/>
    <w:rsid w:val="00A5071B"/>
    <w:rsid w:val="00A50AB3"/>
    <w:rsid w:val="00A50D51"/>
    <w:rsid w:val="00A5120B"/>
    <w:rsid w:val="00A514B3"/>
    <w:rsid w:val="00A51D54"/>
    <w:rsid w:val="00A52349"/>
    <w:rsid w:val="00A52559"/>
    <w:rsid w:val="00A5292C"/>
    <w:rsid w:val="00A52C31"/>
    <w:rsid w:val="00A5334B"/>
    <w:rsid w:val="00A53354"/>
    <w:rsid w:val="00A539A8"/>
    <w:rsid w:val="00A539B1"/>
    <w:rsid w:val="00A547B8"/>
    <w:rsid w:val="00A54ADF"/>
    <w:rsid w:val="00A55D2A"/>
    <w:rsid w:val="00A55E87"/>
    <w:rsid w:val="00A56877"/>
    <w:rsid w:val="00A56C76"/>
    <w:rsid w:val="00A616C0"/>
    <w:rsid w:val="00A61B62"/>
    <w:rsid w:val="00A62719"/>
    <w:rsid w:val="00A62A85"/>
    <w:rsid w:val="00A62BA6"/>
    <w:rsid w:val="00A62E15"/>
    <w:rsid w:val="00A633B2"/>
    <w:rsid w:val="00A63823"/>
    <w:rsid w:val="00A63B13"/>
    <w:rsid w:val="00A65970"/>
    <w:rsid w:val="00A65DE6"/>
    <w:rsid w:val="00A66338"/>
    <w:rsid w:val="00A665B2"/>
    <w:rsid w:val="00A674AA"/>
    <w:rsid w:val="00A67CEB"/>
    <w:rsid w:val="00A67E34"/>
    <w:rsid w:val="00A707E8"/>
    <w:rsid w:val="00A70894"/>
    <w:rsid w:val="00A70AD2"/>
    <w:rsid w:val="00A715FE"/>
    <w:rsid w:val="00A718FE"/>
    <w:rsid w:val="00A72206"/>
    <w:rsid w:val="00A72B4F"/>
    <w:rsid w:val="00A74CDA"/>
    <w:rsid w:val="00A7588A"/>
    <w:rsid w:val="00A75EC6"/>
    <w:rsid w:val="00A76390"/>
    <w:rsid w:val="00A769C2"/>
    <w:rsid w:val="00A76C99"/>
    <w:rsid w:val="00A771D3"/>
    <w:rsid w:val="00A77957"/>
    <w:rsid w:val="00A8065A"/>
    <w:rsid w:val="00A80C4F"/>
    <w:rsid w:val="00A8154A"/>
    <w:rsid w:val="00A8176C"/>
    <w:rsid w:val="00A81E44"/>
    <w:rsid w:val="00A8208B"/>
    <w:rsid w:val="00A83326"/>
    <w:rsid w:val="00A84916"/>
    <w:rsid w:val="00A85521"/>
    <w:rsid w:val="00A86151"/>
    <w:rsid w:val="00A8632D"/>
    <w:rsid w:val="00A86899"/>
    <w:rsid w:val="00A868B5"/>
    <w:rsid w:val="00A86F30"/>
    <w:rsid w:val="00A8725E"/>
    <w:rsid w:val="00A87585"/>
    <w:rsid w:val="00A87761"/>
    <w:rsid w:val="00A87874"/>
    <w:rsid w:val="00A879D3"/>
    <w:rsid w:val="00A87AD3"/>
    <w:rsid w:val="00A90465"/>
    <w:rsid w:val="00A909E4"/>
    <w:rsid w:val="00A9144B"/>
    <w:rsid w:val="00A9194B"/>
    <w:rsid w:val="00A91C7C"/>
    <w:rsid w:val="00A923D9"/>
    <w:rsid w:val="00A92938"/>
    <w:rsid w:val="00A92CDB"/>
    <w:rsid w:val="00A93950"/>
    <w:rsid w:val="00A93D5B"/>
    <w:rsid w:val="00A93F94"/>
    <w:rsid w:val="00A94451"/>
    <w:rsid w:val="00A94619"/>
    <w:rsid w:val="00A955B0"/>
    <w:rsid w:val="00A95C07"/>
    <w:rsid w:val="00A96646"/>
    <w:rsid w:val="00A97867"/>
    <w:rsid w:val="00A97FB4"/>
    <w:rsid w:val="00AA00A5"/>
    <w:rsid w:val="00AA0B23"/>
    <w:rsid w:val="00AA12CE"/>
    <w:rsid w:val="00AA1816"/>
    <w:rsid w:val="00AA20C4"/>
    <w:rsid w:val="00AA23B3"/>
    <w:rsid w:val="00AA268D"/>
    <w:rsid w:val="00AA273B"/>
    <w:rsid w:val="00AA2A92"/>
    <w:rsid w:val="00AA2DC9"/>
    <w:rsid w:val="00AA340B"/>
    <w:rsid w:val="00AA42F8"/>
    <w:rsid w:val="00AA4902"/>
    <w:rsid w:val="00AA561D"/>
    <w:rsid w:val="00AA591E"/>
    <w:rsid w:val="00AA686D"/>
    <w:rsid w:val="00AA68C7"/>
    <w:rsid w:val="00AA76F1"/>
    <w:rsid w:val="00AB072C"/>
    <w:rsid w:val="00AB089F"/>
    <w:rsid w:val="00AB0C47"/>
    <w:rsid w:val="00AB17E2"/>
    <w:rsid w:val="00AB2AF2"/>
    <w:rsid w:val="00AB313D"/>
    <w:rsid w:val="00AB3255"/>
    <w:rsid w:val="00AB34B2"/>
    <w:rsid w:val="00AB37CF"/>
    <w:rsid w:val="00AB3C25"/>
    <w:rsid w:val="00AB3C4A"/>
    <w:rsid w:val="00AB461C"/>
    <w:rsid w:val="00AB51D3"/>
    <w:rsid w:val="00AB5B8C"/>
    <w:rsid w:val="00AB6CE6"/>
    <w:rsid w:val="00AB6D17"/>
    <w:rsid w:val="00AB7095"/>
    <w:rsid w:val="00AB70E6"/>
    <w:rsid w:val="00AB756D"/>
    <w:rsid w:val="00AB7D2D"/>
    <w:rsid w:val="00AB7DBD"/>
    <w:rsid w:val="00AC016A"/>
    <w:rsid w:val="00AC0208"/>
    <w:rsid w:val="00AC0356"/>
    <w:rsid w:val="00AC058D"/>
    <w:rsid w:val="00AC0DEB"/>
    <w:rsid w:val="00AC0EF1"/>
    <w:rsid w:val="00AC15FC"/>
    <w:rsid w:val="00AC1CF0"/>
    <w:rsid w:val="00AC2057"/>
    <w:rsid w:val="00AC246E"/>
    <w:rsid w:val="00AC3BFF"/>
    <w:rsid w:val="00AC518E"/>
    <w:rsid w:val="00AC5432"/>
    <w:rsid w:val="00AC563A"/>
    <w:rsid w:val="00AC6360"/>
    <w:rsid w:val="00AC7314"/>
    <w:rsid w:val="00AC73A8"/>
    <w:rsid w:val="00AC7F03"/>
    <w:rsid w:val="00AD0447"/>
    <w:rsid w:val="00AD07B4"/>
    <w:rsid w:val="00AD17FF"/>
    <w:rsid w:val="00AD1A8E"/>
    <w:rsid w:val="00AD1B5E"/>
    <w:rsid w:val="00AD1F35"/>
    <w:rsid w:val="00AD2496"/>
    <w:rsid w:val="00AD298B"/>
    <w:rsid w:val="00AD310B"/>
    <w:rsid w:val="00AD4652"/>
    <w:rsid w:val="00AD4B7E"/>
    <w:rsid w:val="00AD4CCA"/>
    <w:rsid w:val="00AD4D1B"/>
    <w:rsid w:val="00AD4E26"/>
    <w:rsid w:val="00AD56D5"/>
    <w:rsid w:val="00AD5E84"/>
    <w:rsid w:val="00AD6B53"/>
    <w:rsid w:val="00AD6D3F"/>
    <w:rsid w:val="00AD75C5"/>
    <w:rsid w:val="00AE00D9"/>
    <w:rsid w:val="00AE037E"/>
    <w:rsid w:val="00AE1087"/>
    <w:rsid w:val="00AE1412"/>
    <w:rsid w:val="00AE1917"/>
    <w:rsid w:val="00AE1F3C"/>
    <w:rsid w:val="00AE27ED"/>
    <w:rsid w:val="00AE2D67"/>
    <w:rsid w:val="00AE32F0"/>
    <w:rsid w:val="00AE3E21"/>
    <w:rsid w:val="00AE4241"/>
    <w:rsid w:val="00AE56B8"/>
    <w:rsid w:val="00AE614C"/>
    <w:rsid w:val="00AE6215"/>
    <w:rsid w:val="00AE65A7"/>
    <w:rsid w:val="00AE68D7"/>
    <w:rsid w:val="00AE6A4E"/>
    <w:rsid w:val="00AE6EC0"/>
    <w:rsid w:val="00AE7141"/>
    <w:rsid w:val="00AE79E7"/>
    <w:rsid w:val="00AE7F18"/>
    <w:rsid w:val="00AF0348"/>
    <w:rsid w:val="00AF0EC1"/>
    <w:rsid w:val="00AF13B9"/>
    <w:rsid w:val="00AF1798"/>
    <w:rsid w:val="00AF18BB"/>
    <w:rsid w:val="00AF21DB"/>
    <w:rsid w:val="00AF25E0"/>
    <w:rsid w:val="00AF2970"/>
    <w:rsid w:val="00AF2A08"/>
    <w:rsid w:val="00AF2C27"/>
    <w:rsid w:val="00AF2EC7"/>
    <w:rsid w:val="00AF35C5"/>
    <w:rsid w:val="00AF399C"/>
    <w:rsid w:val="00AF4641"/>
    <w:rsid w:val="00AF55A6"/>
    <w:rsid w:val="00AF5971"/>
    <w:rsid w:val="00AF59E4"/>
    <w:rsid w:val="00AF5AC1"/>
    <w:rsid w:val="00AF5B70"/>
    <w:rsid w:val="00AF5DFD"/>
    <w:rsid w:val="00AF5F79"/>
    <w:rsid w:val="00AF61DC"/>
    <w:rsid w:val="00AF6374"/>
    <w:rsid w:val="00AF6D52"/>
    <w:rsid w:val="00AF70F8"/>
    <w:rsid w:val="00AF7232"/>
    <w:rsid w:val="00AF778C"/>
    <w:rsid w:val="00AF7BBD"/>
    <w:rsid w:val="00AF7D79"/>
    <w:rsid w:val="00B00936"/>
    <w:rsid w:val="00B02644"/>
    <w:rsid w:val="00B04975"/>
    <w:rsid w:val="00B05282"/>
    <w:rsid w:val="00B06005"/>
    <w:rsid w:val="00B06344"/>
    <w:rsid w:val="00B06A9E"/>
    <w:rsid w:val="00B06F14"/>
    <w:rsid w:val="00B06F9D"/>
    <w:rsid w:val="00B11013"/>
    <w:rsid w:val="00B11741"/>
    <w:rsid w:val="00B11A3B"/>
    <w:rsid w:val="00B12135"/>
    <w:rsid w:val="00B12309"/>
    <w:rsid w:val="00B12583"/>
    <w:rsid w:val="00B12A0C"/>
    <w:rsid w:val="00B12A84"/>
    <w:rsid w:val="00B13FEE"/>
    <w:rsid w:val="00B150B6"/>
    <w:rsid w:val="00B15FF6"/>
    <w:rsid w:val="00B16039"/>
    <w:rsid w:val="00B1743B"/>
    <w:rsid w:val="00B17A06"/>
    <w:rsid w:val="00B17BE7"/>
    <w:rsid w:val="00B206E8"/>
    <w:rsid w:val="00B20E88"/>
    <w:rsid w:val="00B2157B"/>
    <w:rsid w:val="00B21AA3"/>
    <w:rsid w:val="00B22518"/>
    <w:rsid w:val="00B22D79"/>
    <w:rsid w:val="00B23098"/>
    <w:rsid w:val="00B23E60"/>
    <w:rsid w:val="00B2414C"/>
    <w:rsid w:val="00B2476A"/>
    <w:rsid w:val="00B25C8E"/>
    <w:rsid w:val="00B27D85"/>
    <w:rsid w:val="00B30048"/>
    <w:rsid w:val="00B30496"/>
    <w:rsid w:val="00B307B9"/>
    <w:rsid w:val="00B3093B"/>
    <w:rsid w:val="00B30AFF"/>
    <w:rsid w:val="00B311F5"/>
    <w:rsid w:val="00B324A8"/>
    <w:rsid w:val="00B330D8"/>
    <w:rsid w:val="00B3326B"/>
    <w:rsid w:val="00B33356"/>
    <w:rsid w:val="00B33CA4"/>
    <w:rsid w:val="00B345B2"/>
    <w:rsid w:val="00B34610"/>
    <w:rsid w:val="00B34849"/>
    <w:rsid w:val="00B35D1D"/>
    <w:rsid w:val="00B35DB0"/>
    <w:rsid w:val="00B3642C"/>
    <w:rsid w:val="00B364CA"/>
    <w:rsid w:val="00B36B7C"/>
    <w:rsid w:val="00B36C0F"/>
    <w:rsid w:val="00B36CAC"/>
    <w:rsid w:val="00B375BD"/>
    <w:rsid w:val="00B377EE"/>
    <w:rsid w:val="00B37D78"/>
    <w:rsid w:val="00B37FD5"/>
    <w:rsid w:val="00B40D65"/>
    <w:rsid w:val="00B413FF"/>
    <w:rsid w:val="00B4179C"/>
    <w:rsid w:val="00B42309"/>
    <w:rsid w:val="00B42509"/>
    <w:rsid w:val="00B4294D"/>
    <w:rsid w:val="00B42BEE"/>
    <w:rsid w:val="00B42C53"/>
    <w:rsid w:val="00B42F15"/>
    <w:rsid w:val="00B43373"/>
    <w:rsid w:val="00B43661"/>
    <w:rsid w:val="00B43699"/>
    <w:rsid w:val="00B44525"/>
    <w:rsid w:val="00B44A49"/>
    <w:rsid w:val="00B454A3"/>
    <w:rsid w:val="00B458EA"/>
    <w:rsid w:val="00B46187"/>
    <w:rsid w:val="00B50480"/>
    <w:rsid w:val="00B504EC"/>
    <w:rsid w:val="00B508BD"/>
    <w:rsid w:val="00B50B49"/>
    <w:rsid w:val="00B51099"/>
    <w:rsid w:val="00B516D1"/>
    <w:rsid w:val="00B51B8C"/>
    <w:rsid w:val="00B52292"/>
    <w:rsid w:val="00B52A4E"/>
    <w:rsid w:val="00B52B77"/>
    <w:rsid w:val="00B52E46"/>
    <w:rsid w:val="00B52FD2"/>
    <w:rsid w:val="00B53AA9"/>
    <w:rsid w:val="00B53CA5"/>
    <w:rsid w:val="00B53D1F"/>
    <w:rsid w:val="00B53D2F"/>
    <w:rsid w:val="00B5472D"/>
    <w:rsid w:val="00B54792"/>
    <w:rsid w:val="00B54D65"/>
    <w:rsid w:val="00B54EFC"/>
    <w:rsid w:val="00B554F0"/>
    <w:rsid w:val="00B55711"/>
    <w:rsid w:val="00B55D9A"/>
    <w:rsid w:val="00B566BE"/>
    <w:rsid w:val="00B56714"/>
    <w:rsid w:val="00B567E5"/>
    <w:rsid w:val="00B56A65"/>
    <w:rsid w:val="00B56EE4"/>
    <w:rsid w:val="00B57104"/>
    <w:rsid w:val="00B575BE"/>
    <w:rsid w:val="00B57B85"/>
    <w:rsid w:val="00B57FC4"/>
    <w:rsid w:val="00B610CC"/>
    <w:rsid w:val="00B61204"/>
    <w:rsid w:val="00B61330"/>
    <w:rsid w:val="00B61EB5"/>
    <w:rsid w:val="00B61EB9"/>
    <w:rsid w:val="00B62649"/>
    <w:rsid w:val="00B6267E"/>
    <w:rsid w:val="00B62868"/>
    <w:rsid w:val="00B62AC3"/>
    <w:rsid w:val="00B62E01"/>
    <w:rsid w:val="00B631B1"/>
    <w:rsid w:val="00B63506"/>
    <w:rsid w:val="00B6435E"/>
    <w:rsid w:val="00B64DDB"/>
    <w:rsid w:val="00B65547"/>
    <w:rsid w:val="00B6557D"/>
    <w:rsid w:val="00B65610"/>
    <w:rsid w:val="00B65B93"/>
    <w:rsid w:val="00B65BA8"/>
    <w:rsid w:val="00B661BE"/>
    <w:rsid w:val="00B66559"/>
    <w:rsid w:val="00B6666C"/>
    <w:rsid w:val="00B6692E"/>
    <w:rsid w:val="00B672FA"/>
    <w:rsid w:val="00B702B2"/>
    <w:rsid w:val="00B7031E"/>
    <w:rsid w:val="00B711D9"/>
    <w:rsid w:val="00B71362"/>
    <w:rsid w:val="00B718B2"/>
    <w:rsid w:val="00B71D7E"/>
    <w:rsid w:val="00B71F81"/>
    <w:rsid w:val="00B72101"/>
    <w:rsid w:val="00B726D4"/>
    <w:rsid w:val="00B72C2F"/>
    <w:rsid w:val="00B73117"/>
    <w:rsid w:val="00B7379B"/>
    <w:rsid w:val="00B73A01"/>
    <w:rsid w:val="00B73DB1"/>
    <w:rsid w:val="00B749F7"/>
    <w:rsid w:val="00B74D45"/>
    <w:rsid w:val="00B75B13"/>
    <w:rsid w:val="00B762D3"/>
    <w:rsid w:val="00B76462"/>
    <w:rsid w:val="00B76D40"/>
    <w:rsid w:val="00B76D9F"/>
    <w:rsid w:val="00B76FC0"/>
    <w:rsid w:val="00B77959"/>
    <w:rsid w:val="00B77B9F"/>
    <w:rsid w:val="00B77F06"/>
    <w:rsid w:val="00B80A60"/>
    <w:rsid w:val="00B80A76"/>
    <w:rsid w:val="00B812E0"/>
    <w:rsid w:val="00B81BF8"/>
    <w:rsid w:val="00B81C67"/>
    <w:rsid w:val="00B820AC"/>
    <w:rsid w:val="00B822CF"/>
    <w:rsid w:val="00B8250E"/>
    <w:rsid w:val="00B83169"/>
    <w:rsid w:val="00B835CF"/>
    <w:rsid w:val="00B83A00"/>
    <w:rsid w:val="00B83E52"/>
    <w:rsid w:val="00B840F7"/>
    <w:rsid w:val="00B85070"/>
    <w:rsid w:val="00B8542E"/>
    <w:rsid w:val="00B8568A"/>
    <w:rsid w:val="00B858E0"/>
    <w:rsid w:val="00B85B59"/>
    <w:rsid w:val="00B85C57"/>
    <w:rsid w:val="00B864BB"/>
    <w:rsid w:val="00B86AE8"/>
    <w:rsid w:val="00B87C73"/>
    <w:rsid w:val="00B90057"/>
    <w:rsid w:val="00B90076"/>
    <w:rsid w:val="00B9007B"/>
    <w:rsid w:val="00B90153"/>
    <w:rsid w:val="00B90DE1"/>
    <w:rsid w:val="00B91075"/>
    <w:rsid w:val="00B91782"/>
    <w:rsid w:val="00B9188B"/>
    <w:rsid w:val="00B9190F"/>
    <w:rsid w:val="00B91EEE"/>
    <w:rsid w:val="00B91F66"/>
    <w:rsid w:val="00B93A93"/>
    <w:rsid w:val="00B9404F"/>
    <w:rsid w:val="00B952CF"/>
    <w:rsid w:val="00B95491"/>
    <w:rsid w:val="00B95599"/>
    <w:rsid w:val="00B958DB"/>
    <w:rsid w:val="00B95BA5"/>
    <w:rsid w:val="00B9D7CF"/>
    <w:rsid w:val="00BA0359"/>
    <w:rsid w:val="00BA0743"/>
    <w:rsid w:val="00BA1310"/>
    <w:rsid w:val="00BA1399"/>
    <w:rsid w:val="00BA16CB"/>
    <w:rsid w:val="00BA25B9"/>
    <w:rsid w:val="00BA2F83"/>
    <w:rsid w:val="00BA3215"/>
    <w:rsid w:val="00BA326A"/>
    <w:rsid w:val="00BA43A6"/>
    <w:rsid w:val="00BA5275"/>
    <w:rsid w:val="00BA5459"/>
    <w:rsid w:val="00BA562D"/>
    <w:rsid w:val="00BA5F7C"/>
    <w:rsid w:val="00BA5F9D"/>
    <w:rsid w:val="00BA61AD"/>
    <w:rsid w:val="00BA68D1"/>
    <w:rsid w:val="00BB0052"/>
    <w:rsid w:val="00BB0488"/>
    <w:rsid w:val="00BB04C2"/>
    <w:rsid w:val="00BB0662"/>
    <w:rsid w:val="00BB0FBF"/>
    <w:rsid w:val="00BB18A5"/>
    <w:rsid w:val="00BB22A6"/>
    <w:rsid w:val="00BB3218"/>
    <w:rsid w:val="00BB34C6"/>
    <w:rsid w:val="00BB4852"/>
    <w:rsid w:val="00BB4AC5"/>
    <w:rsid w:val="00BB4C10"/>
    <w:rsid w:val="00BB4DA2"/>
    <w:rsid w:val="00BB5457"/>
    <w:rsid w:val="00BB5D89"/>
    <w:rsid w:val="00BB5F08"/>
    <w:rsid w:val="00BB5F9D"/>
    <w:rsid w:val="00BB61E2"/>
    <w:rsid w:val="00BB6A6E"/>
    <w:rsid w:val="00BB735A"/>
    <w:rsid w:val="00BB7E26"/>
    <w:rsid w:val="00BC12CA"/>
    <w:rsid w:val="00BC204A"/>
    <w:rsid w:val="00BC2DE6"/>
    <w:rsid w:val="00BC3165"/>
    <w:rsid w:val="00BC335A"/>
    <w:rsid w:val="00BC4DE8"/>
    <w:rsid w:val="00BC5434"/>
    <w:rsid w:val="00BC6232"/>
    <w:rsid w:val="00BC64DB"/>
    <w:rsid w:val="00BC660A"/>
    <w:rsid w:val="00BC69C2"/>
    <w:rsid w:val="00BC6DAE"/>
    <w:rsid w:val="00BC7438"/>
    <w:rsid w:val="00BC79B1"/>
    <w:rsid w:val="00BC7B17"/>
    <w:rsid w:val="00BD0030"/>
    <w:rsid w:val="00BD00FC"/>
    <w:rsid w:val="00BD06C9"/>
    <w:rsid w:val="00BD0BA1"/>
    <w:rsid w:val="00BD0BB6"/>
    <w:rsid w:val="00BD20E9"/>
    <w:rsid w:val="00BD2CF1"/>
    <w:rsid w:val="00BD2E5D"/>
    <w:rsid w:val="00BD382A"/>
    <w:rsid w:val="00BD38BF"/>
    <w:rsid w:val="00BD42B1"/>
    <w:rsid w:val="00BD4393"/>
    <w:rsid w:val="00BD4702"/>
    <w:rsid w:val="00BD4A23"/>
    <w:rsid w:val="00BD4D51"/>
    <w:rsid w:val="00BD59A2"/>
    <w:rsid w:val="00BD5A52"/>
    <w:rsid w:val="00BD5B1F"/>
    <w:rsid w:val="00BD61D7"/>
    <w:rsid w:val="00BD69F6"/>
    <w:rsid w:val="00BD70F7"/>
    <w:rsid w:val="00BD7527"/>
    <w:rsid w:val="00BD7EA3"/>
    <w:rsid w:val="00BDA261"/>
    <w:rsid w:val="00BE05EB"/>
    <w:rsid w:val="00BE0A98"/>
    <w:rsid w:val="00BE0B4E"/>
    <w:rsid w:val="00BE0C36"/>
    <w:rsid w:val="00BE1800"/>
    <w:rsid w:val="00BE2180"/>
    <w:rsid w:val="00BE28E7"/>
    <w:rsid w:val="00BE2DE4"/>
    <w:rsid w:val="00BE34E4"/>
    <w:rsid w:val="00BE371B"/>
    <w:rsid w:val="00BE3C74"/>
    <w:rsid w:val="00BE3E3E"/>
    <w:rsid w:val="00BE451D"/>
    <w:rsid w:val="00BE4894"/>
    <w:rsid w:val="00BE4CE0"/>
    <w:rsid w:val="00BE5707"/>
    <w:rsid w:val="00BE5A37"/>
    <w:rsid w:val="00BE5D23"/>
    <w:rsid w:val="00BE6C91"/>
    <w:rsid w:val="00BE7076"/>
    <w:rsid w:val="00BE72DF"/>
    <w:rsid w:val="00BE74B9"/>
    <w:rsid w:val="00BE7D67"/>
    <w:rsid w:val="00BF01CB"/>
    <w:rsid w:val="00BF0388"/>
    <w:rsid w:val="00BF0905"/>
    <w:rsid w:val="00BF116B"/>
    <w:rsid w:val="00BF14F7"/>
    <w:rsid w:val="00BF1565"/>
    <w:rsid w:val="00BF1D6F"/>
    <w:rsid w:val="00BF2609"/>
    <w:rsid w:val="00BF2935"/>
    <w:rsid w:val="00BF29F3"/>
    <w:rsid w:val="00BF2F77"/>
    <w:rsid w:val="00BF36C2"/>
    <w:rsid w:val="00BF3E54"/>
    <w:rsid w:val="00BF406D"/>
    <w:rsid w:val="00BF44A9"/>
    <w:rsid w:val="00BF4529"/>
    <w:rsid w:val="00BF4C5C"/>
    <w:rsid w:val="00BF571F"/>
    <w:rsid w:val="00BF59E1"/>
    <w:rsid w:val="00BF64B7"/>
    <w:rsid w:val="00BF7C33"/>
    <w:rsid w:val="00C00868"/>
    <w:rsid w:val="00C008A5"/>
    <w:rsid w:val="00C01166"/>
    <w:rsid w:val="00C02704"/>
    <w:rsid w:val="00C02A97"/>
    <w:rsid w:val="00C02C5B"/>
    <w:rsid w:val="00C02C8D"/>
    <w:rsid w:val="00C0315C"/>
    <w:rsid w:val="00C03626"/>
    <w:rsid w:val="00C0364A"/>
    <w:rsid w:val="00C04DE0"/>
    <w:rsid w:val="00C0510D"/>
    <w:rsid w:val="00C056CA"/>
    <w:rsid w:val="00C06063"/>
    <w:rsid w:val="00C07048"/>
    <w:rsid w:val="00C100AC"/>
    <w:rsid w:val="00C10726"/>
    <w:rsid w:val="00C10C20"/>
    <w:rsid w:val="00C111CA"/>
    <w:rsid w:val="00C113F2"/>
    <w:rsid w:val="00C11500"/>
    <w:rsid w:val="00C117A3"/>
    <w:rsid w:val="00C12056"/>
    <w:rsid w:val="00C12152"/>
    <w:rsid w:val="00C122FA"/>
    <w:rsid w:val="00C129A1"/>
    <w:rsid w:val="00C12CBE"/>
    <w:rsid w:val="00C14064"/>
    <w:rsid w:val="00C1434E"/>
    <w:rsid w:val="00C15071"/>
    <w:rsid w:val="00C151CA"/>
    <w:rsid w:val="00C1568C"/>
    <w:rsid w:val="00C163F6"/>
    <w:rsid w:val="00C1640E"/>
    <w:rsid w:val="00C16E1B"/>
    <w:rsid w:val="00C17C5A"/>
    <w:rsid w:val="00C20380"/>
    <w:rsid w:val="00C2048F"/>
    <w:rsid w:val="00C20EE5"/>
    <w:rsid w:val="00C2180F"/>
    <w:rsid w:val="00C220F2"/>
    <w:rsid w:val="00C22DD1"/>
    <w:rsid w:val="00C236A6"/>
    <w:rsid w:val="00C23B1E"/>
    <w:rsid w:val="00C23DC1"/>
    <w:rsid w:val="00C245F5"/>
    <w:rsid w:val="00C24642"/>
    <w:rsid w:val="00C24E66"/>
    <w:rsid w:val="00C24E96"/>
    <w:rsid w:val="00C24F0C"/>
    <w:rsid w:val="00C25312"/>
    <w:rsid w:val="00C27122"/>
    <w:rsid w:val="00C30210"/>
    <w:rsid w:val="00C30785"/>
    <w:rsid w:val="00C3080F"/>
    <w:rsid w:val="00C31415"/>
    <w:rsid w:val="00C337CB"/>
    <w:rsid w:val="00C33EC1"/>
    <w:rsid w:val="00C34830"/>
    <w:rsid w:val="00C34C28"/>
    <w:rsid w:val="00C34F98"/>
    <w:rsid w:val="00C351E7"/>
    <w:rsid w:val="00C353BB"/>
    <w:rsid w:val="00C355B4"/>
    <w:rsid w:val="00C358DF"/>
    <w:rsid w:val="00C359B3"/>
    <w:rsid w:val="00C36241"/>
    <w:rsid w:val="00C36E12"/>
    <w:rsid w:val="00C4011A"/>
    <w:rsid w:val="00C4077A"/>
    <w:rsid w:val="00C40F28"/>
    <w:rsid w:val="00C410C7"/>
    <w:rsid w:val="00C413DD"/>
    <w:rsid w:val="00C417FB"/>
    <w:rsid w:val="00C418F6"/>
    <w:rsid w:val="00C42879"/>
    <w:rsid w:val="00C428F7"/>
    <w:rsid w:val="00C42D1B"/>
    <w:rsid w:val="00C438FC"/>
    <w:rsid w:val="00C43AB5"/>
    <w:rsid w:val="00C44546"/>
    <w:rsid w:val="00C44C38"/>
    <w:rsid w:val="00C44C51"/>
    <w:rsid w:val="00C44FE7"/>
    <w:rsid w:val="00C45078"/>
    <w:rsid w:val="00C45690"/>
    <w:rsid w:val="00C45A04"/>
    <w:rsid w:val="00C45AF4"/>
    <w:rsid w:val="00C4612C"/>
    <w:rsid w:val="00C46AB0"/>
    <w:rsid w:val="00C47133"/>
    <w:rsid w:val="00C472D8"/>
    <w:rsid w:val="00C4740E"/>
    <w:rsid w:val="00C47CC9"/>
    <w:rsid w:val="00C500D5"/>
    <w:rsid w:val="00C507A2"/>
    <w:rsid w:val="00C507E5"/>
    <w:rsid w:val="00C50962"/>
    <w:rsid w:val="00C51454"/>
    <w:rsid w:val="00C51662"/>
    <w:rsid w:val="00C5199E"/>
    <w:rsid w:val="00C51B17"/>
    <w:rsid w:val="00C52455"/>
    <w:rsid w:val="00C525B5"/>
    <w:rsid w:val="00C52F99"/>
    <w:rsid w:val="00C53197"/>
    <w:rsid w:val="00C532B3"/>
    <w:rsid w:val="00C53555"/>
    <w:rsid w:val="00C53921"/>
    <w:rsid w:val="00C54CA3"/>
    <w:rsid w:val="00C54CFE"/>
    <w:rsid w:val="00C55959"/>
    <w:rsid w:val="00C56091"/>
    <w:rsid w:val="00C56454"/>
    <w:rsid w:val="00C57CDF"/>
    <w:rsid w:val="00C6006A"/>
    <w:rsid w:val="00C601F6"/>
    <w:rsid w:val="00C60391"/>
    <w:rsid w:val="00C608D9"/>
    <w:rsid w:val="00C60EFF"/>
    <w:rsid w:val="00C61096"/>
    <w:rsid w:val="00C61201"/>
    <w:rsid w:val="00C61C31"/>
    <w:rsid w:val="00C6214A"/>
    <w:rsid w:val="00C621D4"/>
    <w:rsid w:val="00C62F9A"/>
    <w:rsid w:val="00C63488"/>
    <w:rsid w:val="00C639C8"/>
    <w:rsid w:val="00C63C63"/>
    <w:rsid w:val="00C64536"/>
    <w:rsid w:val="00C64B77"/>
    <w:rsid w:val="00C64E45"/>
    <w:rsid w:val="00C668D4"/>
    <w:rsid w:val="00C66BE7"/>
    <w:rsid w:val="00C6703D"/>
    <w:rsid w:val="00C670EF"/>
    <w:rsid w:val="00C676FD"/>
    <w:rsid w:val="00C67B31"/>
    <w:rsid w:val="00C701EB"/>
    <w:rsid w:val="00C7076D"/>
    <w:rsid w:val="00C7196C"/>
    <w:rsid w:val="00C720D3"/>
    <w:rsid w:val="00C726A8"/>
    <w:rsid w:val="00C72A75"/>
    <w:rsid w:val="00C72AFD"/>
    <w:rsid w:val="00C72B07"/>
    <w:rsid w:val="00C735B5"/>
    <w:rsid w:val="00C73665"/>
    <w:rsid w:val="00C73C15"/>
    <w:rsid w:val="00C743C0"/>
    <w:rsid w:val="00C743EE"/>
    <w:rsid w:val="00C744C3"/>
    <w:rsid w:val="00C74E38"/>
    <w:rsid w:val="00C75D1B"/>
    <w:rsid w:val="00C76378"/>
    <w:rsid w:val="00C76A53"/>
    <w:rsid w:val="00C771DA"/>
    <w:rsid w:val="00C77BBC"/>
    <w:rsid w:val="00C77CA1"/>
    <w:rsid w:val="00C80389"/>
    <w:rsid w:val="00C80B97"/>
    <w:rsid w:val="00C815B8"/>
    <w:rsid w:val="00C81F33"/>
    <w:rsid w:val="00C82B82"/>
    <w:rsid w:val="00C82DC0"/>
    <w:rsid w:val="00C830DA"/>
    <w:rsid w:val="00C830E5"/>
    <w:rsid w:val="00C8314E"/>
    <w:rsid w:val="00C83764"/>
    <w:rsid w:val="00C850D0"/>
    <w:rsid w:val="00C8578C"/>
    <w:rsid w:val="00C85B92"/>
    <w:rsid w:val="00C86087"/>
    <w:rsid w:val="00C86948"/>
    <w:rsid w:val="00C8700D"/>
    <w:rsid w:val="00C87E81"/>
    <w:rsid w:val="00C901FE"/>
    <w:rsid w:val="00C90320"/>
    <w:rsid w:val="00C903A4"/>
    <w:rsid w:val="00C91209"/>
    <w:rsid w:val="00C922A1"/>
    <w:rsid w:val="00C93224"/>
    <w:rsid w:val="00C93993"/>
    <w:rsid w:val="00C939D7"/>
    <w:rsid w:val="00C93BFE"/>
    <w:rsid w:val="00C9480C"/>
    <w:rsid w:val="00C953A3"/>
    <w:rsid w:val="00C958AA"/>
    <w:rsid w:val="00C95AFD"/>
    <w:rsid w:val="00C95E52"/>
    <w:rsid w:val="00C973C1"/>
    <w:rsid w:val="00CA024B"/>
    <w:rsid w:val="00CA0A19"/>
    <w:rsid w:val="00CA12E4"/>
    <w:rsid w:val="00CA2473"/>
    <w:rsid w:val="00CA27DE"/>
    <w:rsid w:val="00CA2DF2"/>
    <w:rsid w:val="00CA3366"/>
    <w:rsid w:val="00CA38CD"/>
    <w:rsid w:val="00CA3E81"/>
    <w:rsid w:val="00CA40C5"/>
    <w:rsid w:val="00CA4340"/>
    <w:rsid w:val="00CA4728"/>
    <w:rsid w:val="00CA47AF"/>
    <w:rsid w:val="00CA48AB"/>
    <w:rsid w:val="00CA4BF4"/>
    <w:rsid w:val="00CA588D"/>
    <w:rsid w:val="00CA5ECE"/>
    <w:rsid w:val="00CA6850"/>
    <w:rsid w:val="00CA7351"/>
    <w:rsid w:val="00CB0B3C"/>
    <w:rsid w:val="00CB12F1"/>
    <w:rsid w:val="00CB1F4A"/>
    <w:rsid w:val="00CB2C16"/>
    <w:rsid w:val="00CB34C6"/>
    <w:rsid w:val="00CB3897"/>
    <w:rsid w:val="00CB42E4"/>
    <w:rsid w:val="00CB4C5E"/>
    <w:rsid w:val="00CB5262"/>
    <w:rsid w:val="00CB583C"/>
    <w:rsid w:val="00CB59AC"/>
    <w:rsid w:val="00CB5D1E"/>
    <w:rsid w:val="00CB5E3D"/>
    <w:rsid w:val="00CB67AA"/>
    <w:rsid w:val="00CB6894"/>
    <w:rsid w:val="00CB6AA9"/>
    <w:rsid w:val="00CB7610"/>
    <w:rsid w:val="00CC0971"/>
    <w:rsid w:val="00CC0AAF"/>
    <w:rsid w:val="00CC0EA6"/>
    <w:rsid w:val="00CC0F96"/>
    <w:rsid w:val="00CC1346"/>
    <w:rsid w:val="00CC1819"/>
    <w:rsid w:val="00CC19F9"/>
    <w:rsid w:val="00CC20CE"/>
    <w:rsid w:val="00CC299D"/>
    <w:rsid w:val="00CC33A0"/>
    <w:rsid w:val="00CC3872"/>
    <w:rsid w:val="00CC3BA9"/>
    <w:rsid w:val="00CC45BA"/>
    <w:rsid w:val="00CC45D0"/>
    <w:rsid w:val="00CC480D"/>
    <w:rsid w:val="00CC545D"/>
    <w:rsid w:val="00CC62EC"/>
    <w:rsid w:val="00CC6549"/>
    <w:rsid w:val="00CC67E9"/>
    <w:rsid w:val="00CC7551"/>
    <w:rsid w:val="00CC77BD"/>
    <w:rsid w:val="00CC7BC6"/>
    <w:rsid w:val="00CC7E18"/>
    <w:rsid w:val="00CC7EC8"/>
    <w:rsid w:val="00CD0E20"/>
    <w:rsid w:val="00CD155E"/>
    <w:rsid w:val="00CD1BCF"/>
    <w:rsid w:val="00CD1F20"/>
    <w:rsid w:val="00CD21F4"/>
    <w:rsid w:val="00CD391E"/>
    <w:rsid w:val="00CD393B"/>
    <w:rsid w:val="00CD3B4F"/>
    <w:rsid w:val="00CD4AA1"/>
    <w:rsid w:val="00CD54B7"/>
    <w:rsid w:val="00CD5683"/>
    <w:rsid w:val="00CD6F6C"/>
    <w:rsid w:val="00CD73E7"/>
    <w:rsid w:val="00CE01EE"/>
    <w:rsid w:val="00CE05FC"/>
    <w:rsid w:val="00CE1106"/>
    <w:rsid w:val="00CE148D"/>
    <w:rsid w:val="00CE1609"/>
    <w:rsid w:val="00CE1D1F"/>
    <w:rsid w:val="00CE26A5"/>
    <w:rsid w:val="00CE2882"/>
    <w:rsid w:val="00CE298A"/>
    <w:rsid w:val="00CE367C"/>
    <w:rsid w:val="00CE3BF5"/>
    <w:rsid w:val="00CE48B1"/>
    <w:rsid w:val="00CE4F27"/>
    <w:rsid w:val="00CE518B"/>
    <w:rsid w:val="00CE608A"/>
    <w:rsid w:val="00CE6507"/>
    <w:rsid w:val="00CE6608"/>
    <w:rsid w:val="00CE745C"/>
    <w:rsid w:val="00CE7BBB"/>
    <w:rsid w:val="00CF0270"/>
    <w:rsid w:val="00CF0768"/>
    <w:rsid w:val="00CF0E34"/>
    <w:rsid w:val="00CF10CF"/>
    <w:rsid w:val="00CF1122"/>
    <w:rsid w:val="00CF1C6D"/>
    <w:rsid w:val="00CF2A98"/>
    <w:rsid w:val="00CF2AED"/>
    <w:rsid w:val="00CF2C1B"/>
    <w:rsid w:val="00CF2F6E"/>
    <w:rsid w:val="00CF3A84"/>
    <w:rsid w:val="00CF4838"/>
    <w:rsid w:val="00CF6B10"/>
    <w:rsid w:val="00CF746C"/>
    <w:rsid w:val="00CF76B0"/>
    <w:rsid w:val="00CF76DA"/>
    <w:rsid w:val="00D000D3"/>
    <w:rsid w:val="00D00B62"/>
    <w:rsid w:val="00D015D3"/>
    <w:rsid w:val="00D01F85"/>
    <w:rsid w:val="00D02EA4"/>
    <w:rsid w:val="00D03091"/>
    <w:rsid w:val="00D032E0"/>
    <w:rsid w:val="00D03438"/>
    <w:rsid w:val="00D036B8"/>
    <w:rsid w:val="00D03870"/>
    <w:rsid w:val="00D03ACE"/>
    <w:rsid w:val="00D03EAB"/>
    <w:rsid w:val="00D03F6B"/>
    <w:rsid w:val="00D04810"/>
    <w:rsid w:val="00D04B23"/>
    <w:rsid w:val="00D05899"/>
    <w:rsid w:val="00D059E0"/>
    <w:rsid w:val="00D063CF"/>
    <w:rsid w:val="00D06632"/>
    <w:rsid w:val="00D06725"/>
    <w:rsid w:val="00D10304"/>
    <w:rsid w:val="00D1162A"/>
    <w:rsid w:val="00D11A32"/>
    <w:rsid w:val="00D12779"/>
    <w:rsid w:val="00D12990"/>
    <w:rsid w:val="00D12DC5"/>
    <w:rsid w:val="00D13CEB"/>
    <w:rsid w:val="00D140BC"/>
    <w:rsid w:val="00D14A54"/>
    <w:rsid w:val="00D14AB2"/>
    <w:rsid w:val="00D14D9B"/>
    <w:rsid w:val="00D157B7"/>
    <w:rsid w:val="00D157DA"/>
    <w:rsid w:val="00D15D8E"/>
    <w:rsid w:val="00D16CB6"/>
    <w:rsid w:val="00D16D59"/>
    <w:rsid w:val="00D17E78"/>
    <w:rsid w:val="00D20148"/>
    <w:rsid w:val="00D201E3"/>
    <w:rsid w:val="00D2045F"/>
    <w:rsid w:val="00D20474"/>
    <w:rsid w:val="00D20D79"/>
    <w:rsid w:val="00D210C7"/>
    <w:rsid w:val="00D214C5"/>
    <w:rsid w:val="00D22580"/>
    <w:rsid w:val="00D22D6A"/>
    <w:rsid w:val="00D2328E"/>
    <w:rsid w:val="00D232CE"/>
    <w:rsid w:val="00D232EE"/>
    <w:rsid w:val="00D236DC"/>
    <w:rsid w:val="00D23D15"/>
    <w:rsid w:val="00D23D2A"/>
    <w:rsid w:val="00D23DDB"/>
    <w:rsid w:val="00D24C87"/>
    <w:rsid w:val="00D25008"/>
    <w:rsid w:val="00D25B52"/>
    <w:rsid w:val="00D25FC2"/>
    <w:rsid w:val="00D26B86"/>
    <w:rsid w:val="00D2748C"/>
    <w:rsid w:val="00D279CA"/>
    <w:rsid w:val="00D27EB5"/>
    <w:rsid w:val="00D3037D"/>
    <w:rsid w:val="00D3039B"/>
    <w:rsid w:val="00D30B36"/>
    <w:rsid w:val="00D3167F"/>
    <w:rsid w:val="00D316D8"/>
    <w:rsid w:val="00D31726"/>
    <w:rsid w:val="00D32192"/>
    <w:rsid w:val="00D32A6D"/>
    <w:rsid w:val="00D33226"/>
    <w:rsid w:val="00D3379A"/>
    <w:rsid w:val="00D3549E"/>
    <w:rsid w:val="00D35F3A"/>
    <w:rsid w:val="00D35F9E"/>
    <w:rsid w:val="00D362DE"/>
    <w:rsid w:val="00D40227"/>
    <w:rsid w:val="00D40319"/>
    <w:rsid w:val="00D41524"/>
    <w:rsid w:val="00D417E7"/>
    <w:rsid w:val="00D41A62"/>
    <w:rsid w:val="00D41C11"/>
    <w:rsid w:val="00D42241"/>
    <w:rsid w:val="00D4365A"/>
    <w:rsid w:val="00D4372D"/>
    <w:rsid w:val="00D43774"/>
    <w:rsid w:val="00D4421C"/>
    <w:rsid w:val="00D44763"/>
    <w:rsid w:val="00D448A7"/>
    <w:rsid w:val="00D45371"/>
    <w:rsid w:val="00D45A74"/>
    <w:rsid w:val="00D45B78"/>
    <w:rsid w:val="00D46704"/>
    <w:rsid w:val="00D46AAE"/>
    <w:rsid w:val="00D46CE6"/>
    <w:rsid w:val="00D470FD"/>
    <w:rsid w:val="00D471F7"/>
    <w:rsid w:val="00D5044A"/>
    <w:rsid w:val="00D50FE0"/>
    <w:rsid w:val="00D51B7D"/>
    <w:rsid w:val="00D51DB1"/>
    <w:rsid w:val="00D5240D"/>
    <w:rsid w:val="00D52E29"/>
    <w:rsid w:val="00D531F7"/>
    <w:rsid w:val="00D532B0"/>
    <w:rsid w:val="00D534FC"/>
    <w:rsid w:val="00D53696"/>
    <w:rsid w:val="00D53A9A"/>
    <w:rsid w:val="00D540BE"/>
    <w:rsid w:val="00D54317"/>
    <w:rsid w:val="00D54EE3"/>
    <w:rsid w:val="00D552A3"/>
    <w:rsid w:val="00D5546C"/>
    <w:rsid w:val="00D5553B"/>
    <w:rsid w:val="00D5573A"/>
    <w:rsid w:val="00D5587C"/>
    <w:rsid w:val="00D56893"/>
    <w:rsid w:val="00D5696C"/>
    <w:rsid w:val="00D575BE"/>
    <w:rsid w:val="00D60B35"/>
    <w:rsid w:val="00D61CE7"/>
    <w:rsid w:val="00D62C3E"/>
    <w:rsid w:val="00D631DF"/>
    <w:rsid w:val="00D63613"/>
    <w:rsid w:val="00D63645"/>
    <w:rsid w:val="00D63DEC"/>
    <w:rsid w:val="00D63EF3"/>
    <w:rsid w:val="00D64499"/>
    <w:rsid w:val="00D644C5"/>
    <w:rsid w:val="00D6503A"/>
    <w:rsid w:val="00D66B36"/>
    <w:rsid w:val="00D701CE"/>
    <w:rsid w:val="00D70326"/>
    <w:rsid w:val="00D70750"/>
    <w:rsid w:val="00D70B98"/>
    <w:rsid w:val="00D70BE8"/>
    <w:rsid w:val="00D70F1E"/>
    <w:rsid w:val="00D710D4"/>
    <w:rsid w:val="00D71E43"/>
    <w:rsid w:val="00D7294B"/>
    <w:rsid w:val="00D72BEA"/>
    <w:rsid w:val="00D73552"/>
    <w:rsid w:val="00D73D56"/>
    <w:rsid w:val="00D7404B"/>
    <w:rsid w:val="00D7567A"/>
    <w:rsid w:val="00D7648F"/>
    <w:rsid w:val="00D76B0C"/>
    <w:rsid w:val="00D76CA8"/>
    <w:rsid w:val="00D7716B"/>
    <w:rsid w:val="00D80057"/>
    <w:rsid w:val="00D8059C"/>
    <w:rsid w:val="00D808F4"/>
    <w:rsid w:val="00D80B08"/>
    <w:rsid w:val="00D813CA"/>
    <w:rsid w:val="00D82279"/>
    <w:rsid w:val="00D826C6"/>
    <w:rsid w:val="00D83F19"/>
    <w:rsid w:val="00D8519D"/>
    <w:rsid w:val="00D85941"/>
    <w:rsid w:val="00D85DF0"/>
    <w:rsid w:val="00D86A5F"/>
    <w:rsid w:val="00D86BF9"/>
    <w:rsid w:val="00D87C04"/>
    <w:rsid w:val="00D901DA"/>
    <w:rsid w:val="00D904BC"/>
    <w:rsid w:val="00D905B1"/>
    <w:rsid w:val="00D90A19"/>
    <w:rsid w:val="00D9256D"/>
    <w:rsid w:val="00D929DE"/>
    <w:rsid w:val="00D92B64"/>
    <w:rsid w:val="00D92C8F"/>
    <w:rsid w:val="00D92D6E"/>
    <w:rsid w:val="00D932C1"/>
    <w:rsid w:val="00D933EC"/>
    <w:rsid w:val="00D93585"/>
    <w:rsid w:val="00D93D5A"/>
    <w:rsid w:val="00D93DFA"/>
    <w:rsid w:val="00D949AA"/>
    <w:rsid w:val="00D95D40"/>
    <w:rsid w:val="00D95EBB"/>
    <w:rsid w:val="00D964B8"/>
    <w:rsid w:val="00DA0979"/>
    <w:rsid w:val="00DA09C7"/>
    <w:rsid w:val="00DA0B62"/>
    <w:rsid w:val="00DA1101"/>
    <w:rsid w:val="00DA1A86"/>
    <w:rsid w:val="00DA1E4E"/>
    <w:rsid w:val="00DA32A9"/>
    <w:rsid w:val="00DA37B9"/>
    <w:rsid w:val="00DA41FF"/>
    <w:rsid w:val="00DA54B9"/>
    <w:rsid w:val="00DA5803"/>
    <w:rsid w:val="00DA5B88"/>
    <w:rsid w:val="00DA5F27"/>
    <w:rsid w:val="00DA6282"/>
    <w:rsid w:val="00DA6451"/>
    <w:rsid w:val="00DA7AF7"/>
    <w:rsid w:val="00DA7E3C"/>
    <w:rsid w:val="00DB0434"/>
    <w:rsid w:val="00DB1349"/>
    <w:rsid w:val="00DB1DD1"/>
    <w:rsid w:val="00DB1EAA"/>
    <w:rsid w:val="00DB248B"/>
    <w:rsid w:val="00DB26D7"/>
    <w:rsid w:val="00DB2DDE"/>
    <w:rsid w:val="00DB40A2"/>
    <w:rsid w:val="00DB4E5F"/>
    <w:rsid w:val="00DB513A"/>
    <w:rsid w:val="00DB567D"/>
    <w:rsid w:val="00DB5AAC"/>
    <w:rsid w:val="00DB5C5C"/>
    <w:rsid w:val="00DB6019"/>
    <w:rsid w:val="00DB6248"/>
    <w:rsid w:val="00DB70DC"/>
    <w:rsid w:val="00DB76B4"/>
    <w:rsid w:val="00DB7B47"/>
    <w:rsid w:val="00DC02E7"/>
    <w:rsid w:val="00DC0AAC"/>
    <w:rsid w:val="00DC11E4"/>
    <w:rsid w:val="00DC2636"/>
    <w:rsid w:val="00DC3A48"/>
    <w:rsid w:val="00DC3DF9"/>
    <w:rsid w:val="00DC4747"/>
    <w:rsid w:val="00DC573B"/>
    <w:rsid w:val="00DC62BF"/>
    <w:rsid w:val="00DC6532"/>
    <w:rsid w:val="00DC65E5"/>
    <w:rsid w:val="00DC78B3"/>
    <w:rsid w:val="00DD009F"/>
    <w:rsid w:val="00DD028F"/>
    <w:rsid w:val="00DD0DBD"/>
    <w:rsid w:val="00DD1C19"/>
    <w:rsid w:val="00DD2265"/>
    <w:rsid w:val="00DD2922"/>
    <w:rsid w:val="00DD2926"/>
    <w:rsid w:val="00DD2CD7"/>
    <w:rsid w:val="00DD39EB"/>
    <w:rsid w:val="00DD431E"/>
    <w:rsid w:val="00DD493D"/>
    <w:rsid w:val="00DD4BA1"/>
    <w:rsid w:val="00DD5033"/>
    <w:rsid w:val="00DD603C"/>
    <w:rsid w:val="00DD7277"/>
    <w:rsid w:val="00DD7960"/>
    <w:rsid w:val="00DD7E44"/>
    <w:rsid w:val="00DE004B"/>
    <w:rsid w:val="00DE17D7"/>
    <w:rsid w:val="00DE17D9"/>
    <w:rsid w:val="00DE1828"/>
    <w:rsid w:val="00DE21E7"/>
    <w:rsid w:val="00DE24AC"/>
    <w:rsid w:val="00DE25D6"/>
    <w:rsid w:val="00DE2AD1"/>
    <w:rsid w:val="00DE3756"/>
    <w:rsid w:val="00DE37B6"/>
    <w:rsid w:val="00DE3F31"/>
    <w:rsid w:val="00DE4B42"/>
    <w:rsid w:val="00DE4FC3"/>
    <w:rsid w:val="00DE51F8"/>
    <w:rsid w:val="00DE598B"/>
    <w:rsid w:val="00DE5E28"/>
    <w:rsid w:val="00DE657F"/>
    <w:rsid w:val="00DE6858"/>
    <w:rsid w:val="00DE6E2B"/>
    <w:rsid w:val="00DE72C4"/>
    <w:rsid w:val="00DE7BF5"/>
    <w:rsid w:val="00DE7CF2"/>
    <w:rsid w:val="00DF05D2"/>
    <w:rsid w:val="00DF161D"/>
    <w:rsid w:val="00DF2483"/>
    <w:rsid w:val="00DF3AF4"/>
    <w:rsid w:val="00DF3C25"/>
    <w:rsid w:val="00DF3E38"/>
    <w:rsid w:val="00DF423D"/>
    <w:rsid w:val="00DF46D8"/>
    <w:rsid w:val="00DF539D"/>
    <w:rsid w:val="00DF5D54"/>
    <w:rsid w:val="00DF60B7"/>
    <w:rsid w:val="00DF756C"/>
    <w:rsid w:val="00DF7FA0"/>
    <w:rsid w:val="00E0008C"/>
    <w:rsid w:val="00E0105B"/>
    <w:rsid w:val="00E0109C"/>
    <w:rsid w:val="00E01EF6"/>
    <w:rsid w:val="00E01F86"/>
    <w:rsid w:val="00E027F2"/>
    <w:rsid w:val="00E028F6"/>
    <w:rsid w:val="00E02E39"/>
    <w:rsid w:val="00E0347A"/>
    <w:rsid w:val="00E0348D"/>
    <w:rsid w:val="00E039CF"/>
    <w:rsid w:val="00E03D9F"/>
    <w:rsid w:val="00E0418F"/>
    <w:rsid w:val="00E049F6"/>
    <w:rsid w:val="00E0559F"/>
    <w:rsid w:val="00E056DB"/>
    <w:rsid w:val="00E061B5"/>
    <w:rsid w:val="00E06BB4"/>
    <w:rsid w:val="00E06BCA"/>
    <w:rsid w:val="00E06C76"/>
    <w:rsid w:val="00E06E9B"/>
    <w:rsid w:val="00E06FD4"/>
    <w:rsid w:val="00E1000A"/>
    <w:rsid w:val="00E10D67"/>
    <w:rsid w:val="00E1195B"/>
    <w:rsid w:val="00E11C51"/>
    <w:rsid w:val="00E11F07"/>
    <w:rsid w:val="00E1200E"/>
    <w:rsid w:val="00E1205B"/>
    <w:rsid w:val="00E126C5"/>
    <w:rsid w:val="00E12770"/>
    <w:rsid w:val="00E128EB"/>
    <w:rsid w:val="00E12977"/>
    <w:rsid w:val="00E12BEA"/>
    <w:rsid w:val="00E13610"/>
    <w:rsid w:val="00E13A48"/>
    <w:rsid w:val="00E1410D"/>
    <w:rsid w:val="00E14970"/>
    <w:rsid w:val="00E149B1"/>
    <w:rsid w:val="00E15A5E"/>
    <w:rsid w:val="00E15C81"/>
    <w:rsid w:val="00E16326"/>
    <w:rsid w:val="00E16623"/>
    <w:rsid w:val="00E16B5B"/>
    <w:rsid w:val="00E212C8"/>
    <w:rsid w:val="00E21500"/>
    <w:rsid w:val="00E217EA"/>
    <w:rsid w:val="00E21B10"/>
    <w:rsid w:val="00E21FE4"/>
    <w:rsid w:val="00E221DD"/>
    <w:rsid w:val="00E2248F"/>
    <w:rsid w:val="00E22AC1"/>
    <w:rsid w:val="00E23909"/>
    <w:rsid w:val="00E23CB6"/>
    <w:rsid w:val="00E23D1F"/>
    <w:rsid w:val="00E241CD"/>
    <w:rsid w:val="00E24839"/>
    <w:rsid w:val="00E251E9"/>
    <w:rsid w:val="00E25A4A"/>
    <w:rsid w:val="00E25AC2"/>
    <w:rsid w:val="00E25F03"/>
    <w:rsid w:val="00E26AAD"/>
    <w:rsid w:val="00E26CD3"/>
    <w:rsid w:val="00E26FF5"/>
    <w:rsid w:val="00E27DD5"/>
    <w:rsid w:val="00E304D3"/>
    <w:rsid w:val="00E305C1"/>
    <w:rsid w:val="00E31802"/>
    <w:rsid w:val="00E31CA3"/>
    <w:rsid w:val="00E31D85"/>
    <w:rsid w:val="00E32166"/>
    <w:rsid w:val="00E32FF9"/>
    <w:rsid w:val="00E33677"/>
    <w:rsid w:val="00E34AAC"/>
    <w:rsid w:val="00E34D59"/>
    <w:rsid w:val="00E35D60"/>
    <w:rsid w:val="00E36541"/>
    <w:rsid w:val="00E36626"/>
    <w:rsid w:val="00E368AA"/>
    <w:rsid w:val="00E37023"/>
    <w:rsid w:val="00E37D1D"/>
    <w:rsid w:val="00E409A0"/>
    <w:rsid w:val="00E410AB"/>
    <w:rsid w:val="00E411A6"/>
    <w:rsid w:val="00E41B86"/>
    <w:rsid w:val="00E41ED1"/>
    <w:rsid w:val="00E42761"/>
    <w:rsid w:val="00E433F2"/>
    <w:rsid w:val="00E43C8C"/>
    <w:rsid w:val="00E43CF4"/>
    <w:rsid w:val="00E4511B"/>
    <w:rsid w:val="00E45421"/>
    <w:rsid w:val="00E455C7"/>
    <w:rsid w:val="00E45A33"/>
    <w:rsid w:val="00E45ED5"/>
    <w:rsid w:val="00E45FA3"/>
    <w:rsid w:val="00E46865"/>
    <w:rsid w:val="00E469C7"/>
    <w:rsid w:val="00E474F1"/>
    <w:rsid w:val="00E50E37"/>
    <w:rsid w:val="00E50ED9"/>
    <w:rsid w:val="00E511FF"/>
    <w:rsid w:val="00E5179D"/>
    <w:rsid w:val="00E518FE"/>
    <w:rsid w:val="00E51C19"/>
    <w:rsid w:val="00E525AA"/>
    <w:rsid w:val="00E52703"/>
    <w:rsid w:val="00E52C40"/>
    <w:rsid w:val="00E53168"/>
    <w:rsid w:val="00E534C7"/>
    <w:rsid w:val="00E54307"/>
    <w:rsid w:val="00E547B3"/>
    <w:rsid w:val="00E552D2"/>
    <w:rsid w:val="00E55D4D"/>
    <w:rsid w:val="00E5698E"/>
    <w:rsid w:val="00E56A13"/>
    <w:rsid w:val="00E56D75"/>
    <w:rsid w:val="00E56DF5"/>
    <w:rsid w:val="00E56E2B"/>
    <w:rsid w:val="00E57B96"/>
    <w:rsid w:val="00E60293"/>
    <w:rsid w:val="00E60C0B"/>
    <w:rsid w:val="00E6193D"/>
    <w:rsid w:val="00E61A52"/>
    <w:rsid w:val="00E61C62"/>
    <w:rsid w:val="00E62507"/>
    <w:rsid w:val="00E62A28"/>
    <w:rsid w:val="00E635B0"/>
    <w:rsid w:val="00E6369C"/>
    <w:rsid w:val="00E63BB2"/>
    <w:rsid w:val="00E650EF"/>
    <w:rsid w:val="00E65FF9"/>
    <w:rsid w:val="00E6613B"/>
    <w:rsid w:val="00E676B8"/>
    <w:rsid w:val="00E70265"/>
    <w:rsid w:val="00E704E0"/>
    <w:rsid w:val="00E70B4B"/>
    <w:rsid w:val="00E70BC7"/>
    <w:rsid w:val="00E71057"/>
    <w:rsid w:val="00E73168"/>
    <w:rsid w:val="00E7340A"/>
    <w:rsid w:val="00E74000"/>
    <w:rsid w:val="00E740A8"/>
    <w:rsid w:val="00E74A73"/>
    <w:rsid w:val="00E75108"/>
    <w:rsid w:val="00E75237"/>
    <w:rsid w:val="00E753A1"/>
    <w:rsid w:val="00E75DEA"/>
    <w:rsid w:val="00E75EF9"/>
    <w:rsid w:val="00E7713D"/>
    <w:rsid w:val="00E7737F"/>
    <w:rsid w:val="00E7770D"/>
    <w:rsid w:val="00E80282"/>
    <w:rsid w:val="00E802EC"/>
    <w:rsid w:val="00E8085A"/>
    <w:rsid w:val="00E80B76"/>
    <w:rsid w:val="00E810B4"/>
    <w:rsid w:val="00E812A1"/>
    <w:rsid w:val="00E816AB"/>
    <w:rsid w:val="00E81824"/>
    <w:rsid w:val="00E8224C"/>
    <w:rsid w:val="00E82774"/>
    <w:rsid w:val="00E83C26"/>
    <w:rsid w:val="00E84C59"/>
    <w:rsid w:val="00E84D78"/>
    <w:rsid w:val="00E8520A"/>
    <w:rsid w:val="00E85E6C"/>
    <w:rsid w:val="00E85EEF"/>
    <w:rsid w:val="00E865BF"/>
    <w:rsid w:val="00E86799"/>
    <w:rsid w:val="00E86C23"/>
    <w:rsid w:val="00E86C32"/>
    <w:rsid w:val="00E870D7"/>
    <w:rsid w:val="00E87494"/>
    <w:rsid w:val="00E8749D"/>
    <w:rsid w:val="00E87A90"/>
    <w:rsid w:val="00E87AD6"/>
    <w:rsid w:val="00E91635"/>
    <w:rsid w:val="00E91EF4"/>
    <w:rsid w:val="00E91FC8"/>
    <w:rsid w:val="00E9220F"/>
    <w:rsid w:val="00E92741"/>
    <w:rsid w:val="00E9295D"/>
    <w:rsid w:val="00E930B7"/>
    <w:rsid w:val="00E9412E"/>
    <w:rsid w:val="00E948BD"/>
    <w:rsid w:val="00E95022"/>
    <w:rsid w:val="00E9502A"/>
    <w:rsid w:val="00E95049"/>
    <w:rsid w:val="00E952F2"/>
    <w:rsid w:val="00E95433"/>
    <w:rsid w:val="00E95636"/>
    <w:rsid w:val="00E95A26"/>
    <w:rsid w:val="00E95D36"/>
    <w:rsid w:val="00E96432"/>
    <w:rsid w:val="00E96DF7"/>
    <w:rsid w:val="00EA0DA1"/>
    <w:rsid w:val="00EA12D5"/>
    <w:rsid w:val="00EA18D6"/>
    <w:rsid w:val="00EA2377"/>
    <w:rsid w:val="00EA2438"/>
    <w:rsid w:val="00EA2535"/>
    <w:rsid w:val="00EA2A7B"/>
    <w:rsid w:val="00EA2C02"/>
    <w:rsid w:val="00EA3583"/>
    <w:rsid w:val="00EA3C57"/>
    <w:rsid w:val="00EA3D37"/>
    <w:rsid w:val="00EA409C"/>
    <w:rsid w:val="00EA40F0"/>
    <w:rsid w:val="00EA424A"/>
    <w:rsid w:val="00EA58C0"/>
    <w:rsid w:val="00EA5B62"/>
    <w:rsid w:val="00EA5C3E"/>
    <w:rsid w:val="00EA5CFC"/>
    <w:rsid w:val="00EA5E01"/>
    <w:rsid w:val="00EA6037"/>
    <w:rsid w:val="00EA60ED"/>
    <w:rsid w:val="00EA651F"/>
    <w:rsid w:val="00EA6E89"/>
    <w:rsid w:val="00EA7680"/>
    <w:rsid w:val="00EA7D59"/>
    <w:rsid w:val="00EA7FD8"/>
    <w:rsid w:val="00EB01CF"/>
    <w:rsid w:val="00EB0B95"/>
    <w:rsid w:val="00EB0D7B"/>
    <w:rsid w:val="00EB14BA"/>
    <w:rsid w:val="00EB15B6"/>
    <w:rsid w:val="00EB171A"/>
    <w:rsid w:val="00EB185C"/>
    <w:rsid w:val="00EB1B92"/>
    <w:rsid w:val="00EB1BD7"/>
    <w:rsid w:val="00EB24BF"/>
    <w:rsid w:val="00EB2C9D"/>
    <w:rsid w:val="00EB38C8"/>
    <w:rsid w:val="00EB44BB"/>
    <w:rsid w:val="00EB4E07"/>
    <w:rsid w:val="00EB519C"/>
    <w:rsid w:val="00EB6291"/>
    <w:rsid w:val="00EB640F"/>
    <w:rsid w:val="00EB6B36"/>
    <w:rsid w:val="00EB7703"/>
    <w:rsid w:val="00EB7B3E"/>
    <w:rsid w:val="00EC0268"/>
    <w:rsid w:val="00EC14C1"/>
    <w:rsid w:val="00EC17E8"/>
    <w:rsid w:val="00EC1FA1"/>
    <w:rsid w:val="00EC253B"/>
    <w:rsid w:val="00EC2BAB"/>
    <w:rsid w:val="00EC2ED4"/>
    <w:rsid w:val="00EC2EF8"/>
    <w:rsid w:val="00EC3117"/>
    <w:rsid w:val="00EC3232"/>
    <w:rsid w:val="00EC32A8"/>
    <w:rsid w:val="00EC350E"/>
    <w:rsid w:val="00EC4064"/>
    <w:rsid w:val="00EC4719"/>
    <w:rsid w:val="00EC4A0B"/>
    <w:rsid w:val="00EC4CE4"/>
    <w:rsid w:val="00EC534E"/>
    <w:rsid w:val="00EC5561"/>
    <w:rsid w:val="00EC65FE"/>
    <w:rsid w:val="00EC6AC3"/>
    <w:rsid w:val="00EC6DF8"/>
    <w:rsid w:val="00EC7122"/>
    <w:rsid w:val="00EC7141"/>
    <w:rsid w:val="00EC7907"/>
    <w:rsid w:val="00EC7933"/>
    <w:rsid w:val="00ED0120"/>
    <w:rsid w:val="00ED0A0F"/>
    <w:rsid w:val="00ED0F0F"/>
    <w:rsid w:val="00ED108D"/>
    <w:rsid w:val="00ED10A5"/>
    <w:rsid w:val="00ED1738"/>
    <w:rsid w:val="00ED1F06"/>
    <w:rsid w:val="00ED2841"/>
    <w:rsid w:val="00ED3AB9"/>
    <w:rsid w:val="00ED3BFE"/>
    <w:rsid w:val="00ED4294"/>
    <w:rsid w:val="00ED4E72"/>
    <w:rsid w:val="00ED4FB3"/>
    <w:rsid w:val="00ED519C"/>
    <w:rsid w:val="00ED56FE"/>
    <w:rsid w:val="00ED5947"/>
    <w:rsid w:val="00ED6B0F"/>
    <w:rsid w:val="00ED6B35"/>
    <w:rsid w:val="00ED6C28"/>
    <w:rsid w:val="00ED6C96"/>
    <w:rsid w:val="00ED72BE"/>
    <w:rsid w:val="00ED7F3D"/>
    <w:rsid w:val="00EE0122"/>
    <w:rsid w:val="00EE0836"/>
    <w:rsid w:val="00EE0860"/>
    <w:rsid w:val="00EE0BC4"/>
    <w:rsid w:val="00EE14F2"/>
    <w:rsid w:val="00EE1AF6"/>
    <w:rsid w:val="00EE1B7C"/>
    <w:rsid w:val="00EE1EEB"/>
    <w:rsid w:val="00EE216B"/>
    <w:rsid w:val="00EE2673"/>
    <w:rsid w:val="00EE278D"/>
    <w:rsid w:val="00EE2F6A"/>
    <w:rsid w:val="00EE3944"/>
    <w:rsid w:val="00EE3F0C"/>
    <w:rsid w:val="00EE3FFF"/>
    <w:rsid w:val="00EE42A0"/>
    <w:rsid w:val="00EE44F1"/>
    <w:rsid w:val="00EE4834"/>
    <w:rsid w:val="00EE4845"/>
    <w:rsid w:val="00EE5090"/>
    <w:rsid w:val="00EE514C"/>
    <w:rsid w:val="00EE56A3"/>
    <w:rsid w:val="00EE5A9C"/>
    <w:rsid w:val="00EE60E9"/>
    <w:rsid w:val="00EE6430"/>
    <w:rsid w:val="00EE6E75"/>
    <w:rsid w:val="00EE700C"/>
    <w:rsid w:val="00EE739B"/>
    <w:rsid w:val="00EF00BB"/>
    <w:rsid w:val="00EF066B"/>
    <w:rsid w:val="00EF0C95"/>
    <w:rsid w:val="00EF0E0E"/>
    <w:rsid w:val="00EF0FD3"/>
    <w:rsid w:val="00EF157F"/>
    <w:rsid w:val="00EF15AB"/>
    <w:rsid w:val="00EF175F"/>
    <w:rsid w:val="00EF184D"/>
    <w:rsid w:val="00EF2206"/>
    <w:rsid w:val="00EF253F"/>
    <w:rsid w:val="00EF29C1"/>
    <w:rsid w:val="00EF3731"/>
    <w:rsid w:val="00EF3D3E"/>
    <w:rsid w:val="00EF45D3"/>
    <w:rsid w:val="00EF47AD"/>
    <w:rsid w:val="00EF5BC7"/>
    <w:rsid w:val="00EF6080"/>
    <w:rsid w:val="00EF60C2"/>
    <w:rsid w:val="00EF60EB"/>
    <w:rsid w:val="00EF6FA7"/>
    <w:rsid w:val="00EF7094"/>
    <w:rsid w:val="00EF7225"/>
    <w:rsid w:val="00EF76B9"/>
    <w:rsid w:val="00EF76DA"/>
    <w:rsid w:val="00EF7936"/>
    <w:rsid w:val="00EF7D09"/>
    <w:rsid w:val="00F006BD"/>
    <w:rsid w:val="00F01263"/>
    <w:rsid w:val="00F0193E"/>
    <w:rsid w:val="00F02442"/>
    <w:rsid w:val="00F02D64"/>
    <w:rsid w:val="00F034C9"/>
    <w:rsid w:val="00F03F22"/>
    <w:rsid w:val="00F040A6"/>
    <w:rsid w:val="00F04831"/>
    <w:rsid w:val="00F0502B"/>
    <w:rsid w:val="00F05C0F"/>
    <w:rsid w:val="00F05D8F"/>
    <w:rsid w:val="00F06F49"/>
    <w:rsid w:val="00F10B86"/>
    <w:rsid w:val="00F10C7B"/>
    <w:rsid w:val="00F1123F"/>
    <w:rsid w:val="00F11EC3"/>
    <w:rsid w:val="00F1214E"/>
    <w:rsid w:val="00F12263"/>
    <w:rsid w:val="00F122B1"/>
    <w:rsid w:val="00F12C55"/>
    <w:rsid w:val="00F13A7F"/>
    <w:rsid w:val="00F1431E"/>
    <w:rsid w:val="00F1484C"/>
    <w:rsid w:val="00F14895"/>
    <w:rsid w:val="00F14D39"/>
    <w:rsid w:val="00F16E41"/>
    <w:rsid w:val="00F16EB7"/>
    <w:rsid w:val="00F175B8"/>
    <w:rsid w:val="00F200B7"/>
    <w:rsid w:val="00F20438"/>
    <w:rsid w:val="00F204AA"/>
    <w:rsid w:val="00F216C3"/>
    <w:rsid w:val="00F21E37"/>
    <w:rsid w:val="00F22F48"/>
    <w:rsid w:val="00F23142"/>
    <w:rsid w:val="00F231CA"/>
    <w:rsid w:val="00F23310"/>
    <w:rsid w:val="00F234D6"/>
    <w:rsid w:val="00F23916"/>
    <w:rsid w:val="00F24109"/>
    <w:rsid w:val="00F241F9"/>
    <w:rsid w:val="00F2420D"/>
    <w:rsid w:val="00F24827"/>
    <w:rsid w:val="00F24BF0"/>
    <w:rsid w:val="00F24CA7"/>
    <w:rsid w:val="00F24D0A"/>
    <w:rsid w:val="00F259BC"/>
    <w:rsid w:val="00F259E1"/>
    <w:rsid w:val="00F26365"/>
    <w:rsid w:val="00F26925"/>
    <w:rsid w:val="00F304C8"/>
    <w:rsid w:val="00F3054F"/>
    <w:rsid w:val="00F308AC"/>
    <w:rsid w:val="00F30D60"/>
    <w:rsid w:val="00F31255"/>
    <w:rsid w:val="00F31A59"/>
    <w:rsid w:val="00F32A8E"/>
    <w:rsid w:val="00F32DF9"/>
    <w:rsid w:val="00F32ED4"/>
    <w:rsid w:val="00F33412"/>
    <w:rsid w:val="00F339DF"/>
    <w:rsid w:val="00F33E28"/>
    <w:rsid w:val="00F33E77"/>
    <w:rsid w:val="00F350CE"/>
    <w:rsid w:val="00F35117"/>
    <w:rsid w:val="00F35ABE"/>
    <w:rsid w:val="00F35BAE"/>
    <w:rsid w:val="00F36504"/>
    <w:rsid w:val="00F370D8"/>
    <w:rsid w:val="00F378A7"/>
    <w:rsid w:val="00F37DC5"/>
    <w:rsid w:val="00F402E1"/>
    <w:rsid w:val="00F40B78"/>
    <w:rsid w:val="00F411A8"/>
    <w:rsid w:val="00F41336"/>
    <w:rsid w:val="00F41A37"/>
    <w:rsid w:val="00F42855"/>
    <w:rsid w:val="00F42900"/>
    <w:rsid w:val="00F4378D"/>
    <w:rsid w:val="00F43EC8"/>
    <w:rsid w:val="00F4612B"/>
    <w:rsid w:val="00F465D0"/>
    <w:rsid w:val="00F47005"/>
    <w:rsid w:val="00F472A5"/>
    <w:rsid w:val="00F4756B"/>
    <w:rsid w:val="00F50260"/>
    <w:rsid w:val="00F5026D"/>
    <w:rsid w:val="00F50958"/>
    <w:rsid w:val="00F50BE8"/>
    <w:rsid w:val="00F50E6F"/>
    <w:rsid w:val="00F525E1"/>
    <w:rsid w:val="00F526A2"/>
    <w:rsid w:val="00F52DC1"/>
    <w:rsid w:val="00F52E57"/>
    <w:rsid w:val="00F53C35"/>
    <w:rsid w:val="00F55249"/>
    <w:rsid w:val="00F5533F"/>
    <w:rsid w:val="00F559A6"/>
    <w:rsid w:val="00F55ACA"/>
    <w:rsid w:val="00F55B20"/>
    <w:rsid w:val="00F55BE0"/>
    <w:rsid w:val="00F55D27"/>
    <w:rsid w:val="00F56371"/>
    <w:rsid w:val="00F56713"/>
    <w:rsid w:val="00F5683E"/>
    <w:rsid w:val="00F60678"/>
    <w:rsid w:val="00F60F30"/>
    <w:rsid w:val="00F61258"/>
    <w:rsid w:val="00F6135B"/>
    <w:rsid w:val="00F62241"/>
    <w:rsid w:val="00F6305F"/>
    <w:rsid w:val="00F630C9"/>
    <w:rsid w:val="00F638F3"/>
    <w:rsid w:val="00F63FC5"/>
    <w:rsid w:val="00F6485D"/>
    <w:rsid w:val="00F65866"/>
    <w:rsid w:val="00F66020"/>
    <w:rsid w:val="00F66122"/>
    <w:rsid w:val="00F66945"/>
    <w:rsid w:val="00F6699C"/>
    <w:rsid w:val="00F700EA"/>
    <w:rsid w:val="00F7024C"/>
    <w:rsid w:val="00F70F65"/>
    <w:rsid w:val="00F7114E"/>
    <w:rsid w:val="00F71710"/>
    <w:rsid w:val="00F7185D"/>
    <w:rsid w:val="00F727CA"/>
    <w:rsid w:val="00F72C2E"/>
    <w:rsid w:val="00F730E9"/>
    <w:rsid w:val="00F7368C"/>
    <w:rsid w:val="00F74802"/>
    <w:rsid w:val="00F74E06"/>
    <w:rsid w:val="00F75366"/>
    <w:rsid w:val="00F75660"/>
    <w:rsid w:val="00F75EA5"/>
    <w:rsid w:val="00F76C04"/>
    <w:rsid w:val="00F77A15"/>
    <w:rsid w:val="00F77BF3"/>
    <w:rsid w:val="00F77D42"/>
    <w:rsid w:val="00F77E6A"/>
    <w:rsid w:val="00F80521"/>
    <w:rsid w:val="00F80727"/>
    <w:rsid w:val="00F81472"/>
    <w:rsid w:val="00F8159E"/>
    <w:rsid w:val="00F818B9"/>
    <w:rsid w:val="00F8198A"/>
    <w:rsid w:val="00F81D19"/>
    <w:rsid w:val="00F81D3E"/>
    <w:rsid w:val="00F81F0B"/>
    <w:rsid w:val="00F8224B"/>
    <w:rsid w:val="00F825DA"/>
    <w:rsid w:val="00F833B5"/>
    <w:rsid w:val="00F8430F"/>
    <w:rsid w:val="00F84E0D"/>
    <w:rsid w:val="00F84E27"/>
    <w:rsid w:val="00F85593"/>
    <w:rsid w:val="00F8584A"/>
    <w:rsid w:val="00F85A3C"/>
    <w:rsid w:val="00F85B0D"/>
    <w:rsid w:val="00F86335"/>
    <w:rsid w:val="00F86633"/>
    <w:rsid w:val="00F86D46"/>
    <w:rsid w:val="00F86FE1"/>
    <w:rsid w:val="00F875E0"/>
    <w:rsid w:val="00F87709"/>
    <w:rsid w:val="00F901F3"/>
    <w:rsid w:val="00F90505"/>
    <w:rsid w:val="00F90ACD"/>
    <w:rsid w:val="00F91108"/>
    <w:rsid w:val="00F91819"/>
    <w:rsid w:val="00F91919"/>
    <w:rsid w:val="00F91E35"/>
    <w:rsid w:val="00F92589"/>
    <w:rsid w:val="00F92C48"/>
    <w:rsid w:val="00F92CB5"/>
    <w:rsid w:val="00F93240"/>
    <w:rsid w:val="00F9375E"/>
    <w:rsid w:val="00F937AF"/>
    <w:rsid w:val="00F94038"/>
    <w:rsid w:val="00F944F1"/>
    <w:rsid w:val="00F946BE"/>
    <w:rsid w:val="00F94E07"/>
    <w:rsid w:val="00F94EB9"/>
    <w:rsid w:val="00F95460"/>
    <w:rsid w:val="00F954FC"/>
    <w:rsid w:val="00F96397"/>
    <w:rsid w:val="00F977ED"/>
    <w:rsid w:val="00F97DC7"/>
    <w:rsid w:val="00FA047B"/>
    <w:rsid w:val="00FA054B"/>
    <w:rsid w:val="00FA0F66"/>
    <w:rsid w:val="00FA2595"/>
    <w:rsid w:val="00FA2F68"/>
    <w:rsid w:val="00FA43A1"/>
    <w:rsid w:val="00FA4453"/>
    <w:rsid w:val="00FA4A3E"/>
    <w:rsid w:val="00FA4BEF"/>
    <w:rsid w:val="00FA4D49"/>
    <w:rsid w:val="00FA4EFE"/>
    <w:rsid w:val="00FA4F8E"/>
    <w:rsid w:val="00FA50C6"/>
    <w:rsid w:val="00FA5850"/>
    <w:rsid w:val="00FA5A6E"/>
    <w:rsid w:val="00FA5D87"/>
    <w:rsid w:val="00FA5E19"/>
    <w:rsid w:val="00FA5FFE"/>
    <w:rsid w:val="00FA691E"/>
    <w:rsid w:val="00FA7110"/>
    <w:rsid w:val="00FA7C84"/>
    <w:rsid w:val="00FB0A46"/>
    <w:rsid w:val="00FB0FDB"/>
    <w:rsid w:val="00FB134B"/>
    <w:rsid w:val="00FB1A9A"/>
    <w:rsid w:val="00FB2292"/>
    <w:rsid w:val="00FB234C"/>
    <w:rsid w:val="00FB26DC"/>
    <w:rsid w:val="00FB2960"/>
    <w:rsid w:val="00FB29BE"/>
    <w:rsid w:val="00FB2C51"/>
    <w:rsid w:val="00FB33A9"/>
    <w:rsid w:val="00FB3426"/>
    <w:rsid w:val="00FB3981"/>
    <w:rsid w:val="00FB48EB"/>
    <w:rsid w:val="00FB4AB8"/>
    <w:rsid w:val="00FB5157"/>
    <w:rsid w:val="00FB563E"/>
    <w:rsid w:val="00FB5B14"/>
    <w:rsid w:val="00FB6C77"/>
    <w:rsid w:val="00FB765A"/>
    <w:rsid w:val="00FB7E2F"/>
    <w:rsid w:val="00FC07B5"/>
    <w:rsid w:val="00FC189A"/>
    <w:rsid w:val="00FC2142"/>
    <w:rsid w:val="00FC2E52"/>
    <w:rsid w:val="00FC3A6B"/>
    <w:rsid w:val="00FC3AE0"/>
    <w:rsid w:val="00FC4066"/>
    <w:rsid w:val="00FC40B4"/>
    <w:rsid w:val="00FC437D"/>
    <w:rsid w:val="00FC47CB"/>
    <w:rsid w:val="00FC4A56"/>
    <w:rsid w:val="00FC4B60"/>
    <w:rsid w:val="00FC4BEB"/>
    <w:rsid w:val="00FC57CC"/>
    <w:rsid w:val="00FC5A09"/>
    <w:rsid w:val="00FC5F58"/>
    <w:rsid w:val="00FC632C"/>
    <w:rsid w:val="00FC6413"/>
    <w:rsid w:val="00FC66E9"/>
    <w:rsid w:val="00FC73CC"/>
    <w:rsid w:val="00FC74A0"/>
    <w:rsid w:val="00FC74B6"/>
    <w:rsid w:val="00FD0AC9"/>
    <w:rsid w:val="00FD178A"/>
    <w:rsid w:val="00FD1C37"/>
    <w:rsid w:val="00FD26BE"/>
    <w:rsid w:val="00FD2827"/>
    <w:rsid w:val="00FD2AA5"/>
    <w:rsid w:val="00FD30D0"/>
    <w:rsid w:val="00FD360C"/>
    <w:rsid w:val="00FD36A1"/>
    <w:rsid w:val="00FD3D72"/>
    <w:rsid w:val="00FD3E44"/>
    <w:rsid w:val="00FD6065"/>
    <w:rsid w:val="00FD6FFB"/>
    <w:rsid w:val="00FD71DA"/>
    <w:rsid w:val="00FD72AD"/>
    <w:rsid w:val="00FD7F79"/>
    <w:rsid w:val="00FE0693"/>
    <w:rsid w:val="00FE0A81"/>
    <w:rsid w:val="00FE0FAB"/>
    <w:rsid w:val="00FE16A6"/>
    <w:rsid w:val="00FE1912"/>
    <w:rsid w:val="00FE1D34"/>
    <w:rsid w:val="00FE1F43"/>
    <w:rsid w:val="00FE240F"/>
    <w:rsid w:val="00FE282E"/>
    <w:rsid w:val="00FE2E37"/>
    <w:rsid w:val="00FE2EAA"/>
    <w:rsid w:val="00FE3597"/>
    <w:rsid w:val="00FE380B"/>
    <w:rsid w:val="00FE3C24"/>
    <w:rsid w:val="00FE3C62"/>
    <w:rsid w:val="00FE40B3"/>
    <w:rsid w:val="00FE423C"/>
    <w:rsid w:val="00FE4251"/>
    <w:rsid w:val="00FE4519"/>
    <w:rsid w:val="00FE45D9"/>
    <w:rsid w:val="00FE4967"/>
    <w:rsid w:val="00FE4CF1"/>
    <w:rsid w:val="00FE4DAD"/>
    <w:rsid w:val="00FE4EB4"/>
    <w:rsid w:val="00FE5241"/>
    <w:rsid w:val="00FE5567"/>
    <w:rsid w:val="00FE5842"/>
    <w:rsid w:val="00FE67C2"/>
    <w:rsid w:val="00FE6AD1"/>
    <w:rsid w:val="00FE6F56"/>
    <w:rsid w:val="00FE72EE"/>
    <w:rsid w:val="00FE7BB5"/>
    <w:rsid w:val="00FF10A3"/>
    <w:rsid w:val="00FF1347"/>
    <w:rsid w:val="00FF28CF"/>
    <w:rsid w:val="00FF2C7E"/>
    <w:rsid w:val="00FF3038"/>
    <w:rsid w:val="00FF306D"/>
    <w:rsid w:val="00FF3265"/>
    <w:rsid w:val="00FF3446"/>
    <w:rsid w:val="00FF3B32"/>
    <w:rsid w:val="00FF3B4C"/>
    <w:rsid w:val="00FF5507"/>
    <w:rsid w:val="00FF5583"/>
    <w:rsid w:val="00FF6C76"/>
    <w:rsid w:val="00FF6CE9"/>
    <w:rsid w:val="00FF7168"/>
    <w:rsid w:val="00FF72E7"/>
    <w:rsid w:val="016CC814"/>
    <w:rsid w:val="01D02319"/>
    <w:rsid w:val="01E47D14"/>
    <w:rsid w:val="022006A7"/>
    <w:rsid w:val="02549270"/>
    <w:rsid w:val="026C359C"/>
    <w:rsid w:val="030A86F7"/>
    <w:rsid w:val="03122B3D"/>
    <w:rsid w:val="0317EFB3"/>
    <w:rsid w:val="0329354F"/>
    <w:rsid w:val="03426C91"/>
    <w:rsid w:val="037B88C4"/>
    <w:rsid w:val="0381EF48"/>
    <w:rsid w:val="039CA4F1"/>
    <w:rsid w:val="03C35EC5"/>
    <w:rsid w:val="03C8CFC5"/>
    <w:rsid w:val="03D1CFB3"/>
    <w:rsid w:val="03F940E9"/>
    <w:rsid w:val="0411EB87"/>
    <w:rsid w:val="0438C953"/>
    <w:rsid w:val="0444DCE5"/>
    <w:rsid w:val="04487691"/>
    <w:rsid w:val="046C1111"/>
    <w:rsid w:val="04A5FC13"/>
    <w:rsid w:val="04AC61A0"/>
    <w:rsid w:val="04E470B3"/>
    <w:rsid w:val="051297C6"/>
    <w:rsid w:val="05143CE0"/>
    <w:rsid w:val="0535554F"/>
    <w:rsid w:val="05451DD9"/>
    <w:rsid w:val="05477F9A"/>
    <w:rsid w:val="055A0D81"/>
    <w:rsid w:val="055DCD09"/>
    <w:rsid w:val="05E30825"/>
    <w:rsid w:val="05FD3418"/>
    <w:rsid w:val="0613077A"/>
    <w:rsid w:val="061AEC42"/>
    <w:rsid w:val="06A5E6B2"/>
    <w:rsid w:val="06B73B38"/>
    <w:rsid w:val="06D38ACD"/>
    <w:rsid w:val="06DF8D2A"/>
    <w:rsid w:val="06E9462C"/>
    <w:rsid w:val="0700A84E"/>
    <w:rsid w:val="0721DA21"/>
    <w:rsid w:val="0796F893"/>
    <w:rsid w:val="0799EDD7"/>
    <w:rsid w:val="07A27982"/>
    <w:rsid w:val="07A594C9"/>
    <w:rsid w:val="07F70BA7"/>
    <w:rsid w:val="0807124D"/>
    <w:rsid w:val="081159D7"/>
    <w:rsid w:val="083AC854"/>
    <w:rsid w:val="0859984A"/>
    <w:rsid w:val="08AF26C8"/>
    <w:rsid w:val="0980478C"/>
    <w:rsid w:val="09F4ADC4"/>
    <w:rsid w:val="0A19D305"/>
    <w:rsid w:val="0A272A6B"/>
    <w:rsid w:val="0A591249"/>
    <w:rsid w:val="0A747D51"/>
    <w:rsid w:val="0B042D3B"/>
    <w:rsid w:val="0B1205C9"/>
    <w:rsid w:val="0CA0A4A0"/>
    <w:rsid w:val="0CADBFE4"/>
    <w:rsid w:val="0CCE7F44"/>
    <w:rsid w:val="0CE38894"/>
    <w:rsid w:val="0CE5AFD9"/>
    <w:rsid w:val="0D304B91"/>
    <w:rsid w:val="0D695C90"/>
    <w:rsid w:val="0D7EC80A"/>
    <w:rsid w:val="0DA6B363"/>
    <w:rsid w:val="0DA6EEC5"/>
    <w:rsid w:val="0DD6AA9F"/>
    <w:rsid w:val="0E137D68"/>
    <w:rsid w:val="0E862FD5"/>
    <w:rsid w:val="0EC70CA0"/>
    <w:rsid w:val="0EE6A400"/>
    <w:rsid w:val="0EF953D5"/>
    <w:rsid w:val="0F5ABC44"/>
    <w:rsid w:val="0FD15B8A"/>
    <w:rsid w:val="0FEA0A63"/>
    <w:rsid w:val="10344EFA"/>
    <w:rsid w:val="104A31AA"/>
    <w:rsid w:val="1098075F"/>
    <w:rsid w:val="109E92FC"/>
    <w:rsid w:val="10DC883E"/>
    <w:rsid w:val="11254B27"/>
    <w:rsid w:val="11701EF3"/>
    <w:rsid w:val="118AEB6B"/>
    <w:rsid w:val="12037764"/>
    <w:rsid w:val="12513F29"/>
    <w:rsid w:val="1268AD73"/>
    <w:rsid w:val="1284AD2B"/>
    <w:rsid w:val="12E95D19"/>
    <w:rsid w:val="12F4A025"/>
    <w:rsid w:val="13037EC2"/>
    <w:rsid w:val="1309E42E"/>
    <w:rsid w:val="13225316"/>
    <w:rsid w:val="132A019F"/>
    <w:rsid w:val="134584BA"/>
    <w:rsid w:val="135F36B5"/>
    <w:rsid w:val="13D8FF54"/>
    <w:rsid w:val="141B9AFF"/>
    <w:rsid w:val="142A1441"/>
    <w:rsid w:val="145E881F"/>
    <w:rsid w:val="149364F1"/>
    <w:rsid w:val="14CA8E45"/>
    <w:rsid w:val="14FF46E6"/>
    <w:rsid w:val="1500B660"/>
    <w:rsid w:val="154554CA"/>
    <w:rsid w:val="154BD595"/>
    <w:rsid w:val="15AD0B91"/>
    <w:rsid w:val="16071778"/>
    <w:rsid w:val="1633B6EF"/>
    <w:rsid w:val="1665C705"/>
    <w:rsid w:val="166B1775"/>
    <w:rsid w:val="166FAA5B"/>
    <w:rsid w:val="16AF2809"/>
    <w:rsid w:val="16BE9484"/>
    <w:rsid w:val="16EF925C"/>
    <w:rsid w:val="16F75FD5"/>
    <w:rsid w:val="172B3EDF"/>
    <w:rsid w:val="177EE52E"/>
    <w:rsid w:val="1798DB38"/>
    <w:rsid w:val="17DEDAC7"/>
    <w:rsid w:val="1815D898"/>
    <w:rsid w:val="181E165D"/>
    <w:rsid w:val="183ED937"/>
    <w:rsid w:val="185485F6"/>
    <w:rsid w:val="187E94DC"/>
    <w:rsid w:val="18B18188"/>
    <w:rsid w:val="18CA7394"/>
    <w:rsid w:val="18FA54E4"/>
    <w:rsid w:val="19210FBE"/>
    <w:rsid w:val="19350A5B"/>
    <w:rsid w:val="197A9E87"/>
    <w:rsid w:val="198C32CA"/>
    <w:rsid w:val="19980BA5"/>
    <w:rsid w:val="19AEA93F"/>
    <w:rsid w:val="19D15B4D"/>
    <w:rsid w:val="19E38593"/>
    <w:rsid w:val="1A056BED"/>
    <w:rsid w:val="1A288DB1"/>
    <w:rsid w:val="1A2CC8FA"/>
    <w:rsid w:val="1A4F196F"/>
    <w:rsid w:val="1A5DE718"/>
    <w:rsid w:val="1A61F82A"/>
    <w:rsid w:val="1A78332A"/>
    <w:rsid w:val="1A827083"/>
    <w:rsid w:val="1A89D091"/>
    <w:rsid w:val="1AE3A66B"/>
    <w:rsid w:val="1B365021"/>
    <w:rsid w:val="1B40D016"/>
    <w:rsid w:val="1B426423"/>
    <w:rsid w:val="1B5B8D5C"/>
    <w:rsid w:val="1B62914A"/>
    <w:rsid w:val="1B667C53"/>
    <w:rsid w:val="1B6BD714"/>
    <w:rsid w:val="1C1483EB"/>
    <w:rsid w:val="1C42DB51"/>
    <w:rsid w:val="1C4531E9"/>
    <w:rsid w:val="1C6CDBDD"/>
    <w:rsid w:val="1C6E1470"/>
    <w:rsid w:val="1C77D2CD"/>
    <w:rsid w:val="1C79AA40"/>
    <w:rsid w:val="1C84F75F"/>
    <w:rsid w:val="1CFD3282"/>
    <w:rsid w:val="1D1AA665"/>
    <w:rsid w:val="1D565022"/>
    <w:rsid w:val="1DD63D49"/>
    <w:rsid w:val="1E38B199"/>
    <w:rsid w:val="1E56152B"/>
    <w:rsid w:val="1E707FA2"/>
    <w:rsid w:val="1EA19908"/>
    <w:rsid w:val="1EA5E964"/>
    <w:rsid w:val="1EAB1968"/>
    <w:rsid w:val="1F10C0D3"/>
    <w:rsid w:val="1F4A3523"/>
    <w:rsid w:val="1F7EC113"/>
    <w:rsid w:val="1FACD227"/>
    <w:rsid w:val="1FB5B256"/>
    <w:rsid w:val="1FE1318A"/>
    <w:rsid w:val="2017EBD9"/>
    <w:rsid w:val="203884C1"/>
    <w:rsid w:val="20736046"/>
    <w:rsid w:val="20D32CBE"/>
    <w:rsid w:val="20F354B7"/>
    <w:rsid w:val="211EB1E2"/>
    <w:rsid w:val="214BB852"/>
    <w:rsid w:val="2162E87B"/>
    <w:rsid w:val="216990CA"/>
    <w:rsid w:val="21800AB1"/>
    <w:rsid w:val="21B477AC"/>
    <w:rsid w:val="21CE7B28"/>
    <w:rsid w:val="22003181"/>
    <w:rsid w:val="22220659"/>
    <w:rsid w:val="224ED182"/>
    <w:rsid w:val="22501621"/>
    <w:rsid w:val="2255F0FA"/>
    <w:rsid w:val="2263DFE2"/>
    <w:rsid w:val="226F734A"/>
    <w:rsid w:val="2282012C"/>
    <w:rsid w:val="228446A4"/>
    <w:rsid w:val="22A77F1C"/>
    <w:rsid w:val="22D00743"/>
    <w:rsid w:val="22D7A745"/>
    <w:rsid w:val="22E4F03F"/>
    <w:rsid w:val="22F1B145"/>
    <w:rsid w:val="22FA34E8"/>
    <w:rsid w:val="2301A32A"/>
    <w:rsid w:val="236186E3"/>
    <w:rsid w:val="238CAB01"/>
    <w:rsid w:val="2406B22D"/>
    <w:rsid w:val="242B4C07"/>
    <w:rsid w:val="2470A4CC"/>
    <w:rsid w:val="24FC362F"/>
    <w:rsid w:val="25389FF5"/>
    <w:rsid w:val="25869297"/>
    <w:rsid w:val="258D7CA2"/>
    <w:rsid w:val="259C74F6"/>
    <w:rsid w:val="25C27CB7"/>
    <w:rsid w:val="25C542AF"/>
    <w:rsid w:val="2637A3EB"/>
    <w:rsid w:val="265F8499"/>
    <w:rsid w:val="26A94E3C"/>
    <w:rsid w:val="26E4AC5A"/>
    <w:rsid w:val="26FCDECC"/>
    <w:rsid w:val="2713CE12"/>
    <w:rsid w:val="276788F3"/>
    <w:rsid w:val="27C95152"/>
    <w:rsid w:val="27D3B861"/>
    <w:rsid w:val="27E22DA3"/>
    <w:rsid w:val="27F20B59"/>
    <w:rsid w:val="27FA3AB5"/>
    <w:rsid w:val="281A5C47"/>
    <w:rsid w:val="284F99B1"/>
    <w:rsid w:val="28986CB3"/>
    <w:rsid w:val="289D85AC"/>
    <w:rsid w:val="2916F71D"/>
    <w:rsid w:val="292E073C"/>
    <w:rsid w:val="29757248"/>
    <w:rsid w:val="299FBFB8"/>
    <w:rsid w:val="29D6A8C4"/>
    <w:rsid w:val="29FB23E5"/>
    <w:rsid w:val="29FF247A"/>
    <w:rsid w:val="2A17D2A1"/>
    <w:rsid w:val="2A23427B"/>
    <w:rsid w:val="2A31CC7C"/>
    <w:rsid w:val="2A502A9D"/>
    <w:rsid w:val="2A55E3E1"/>
    <w:rsid w:val="2A93837B"/>
    <w:rsid w:val="2ABD952B"/>
    <w:rsid w:val="2B0D659C"/>
    <w:rsid w:val="2B41454B"/>
    <w:rsid w:val="2B596BF8"/>
    <w:rsid w:val="2B831899"/>
    <w:rsid w:val="2B8B3F5F"/>
    <w:rsid w:val="2B986EEE"/>
    <w:rsid w:val="2BBCB0D7"/>
    <w:rsid w:val="2C18B51F"/>
    <w:rsid w:val="2C2B125F"/>
    <w:rsid w:val="2C4C6DAB"/>
    <w:rsid w:val="2C4CB321"/>
    <w:rsid w:val="2C657820"/>
    <w:rsid w:val="2C92B444"/>
    <w:rsid w:val="2C9BA8C9"/>
    <w:rsid w:val="2CB7EB21"/>
    <w:rsid w:val="2CBC56C7"/>
    <w:rsid w:val="2CEE7BCA"/>
    <w:rsid w:val="2CF95802"/>
    <w:rsid w:val="2D236CC8"/>
    <w:rsid w:val="2D25A962"/>
    <w:rsid w:val="2D705BE5"/>
    <w:rsid w:val="2DA901A4"/>
    <w:rsid w:val="2DCB2BE9"/>
    <w:rsid w:val="2DD2A893"/>
    <w:rsid w:val="2DE4210C"/>
    <w:rsid w:val="2E00F64F"/>
    <w:rsid w:val="2E207D6D"/>
    <w:rsid w:val="2E2FDFE1"/>
    <w:rsid w:val="2E3AA9B3"/>
    <w:rsid w:val="2E4BF802"/>
    <w:rsid w:val="2E618618"/>
    <w:rsid w:val="2E9105C8"/>
    <w:rsid w:val="2EACC362"/>
    <w:rsid w:val="2EB8FB70"/>
    <w:rsid w:val="2EF98F4C"/>
    <w:rsid w:val="2F1061CF"/>
    <w:rsid w:val="2F5AFC33"/>
    <w:rsid w:val="2F6C4FB5"/>
    <w:rsid w:val="2F772DB9"/>
    <w:rsid w:val="2F90CC29"/>
    <w:rsid w:val="2FC2006D"/>
    <w:rsid w:val="2FC937B1"/>
    <w:rsid w:val="2FC952C3"/>
    <w:rsid w:val="2FD05D36"/>
    <w:rsid w:val="2FD4E412"/>
    <w:rsid w:val="3017EE65"/>
    <w:rsid w:val="3022E1A4"/>
    <w:rsid w:val="30618799"/>
    <w:rsid w:val="3068F781"/>
    <w:rsid w:val="308F946A"/>
    <w:rsid w:val="30D1167D"/>
    <w:rsid w:val="30D392D5"/>
    <w:rsid w:val="3109B9A8"/>
    <w:rsid w:val="311D10FA"/>
    <w:rsid w:val="3168F905"/>
    <w:rsid w:val="31CBAEA8"/>
    <w:rsid w:val="3202B0E6"/>
    <w:rsid w:val="3263D1E7"/>
    <w:rsid w:val="32A11BD7"/>
    <w:rsid w:val="332C2290"/>
    <w:rsid w:val="334D000D"/>
    <w:rsid w:val="336D6A8D"/>
    <w:rsid w:val="33876C92"/>
    <w:rsid w:val="33A7DA2E"/>
    <w:rsid w:val="33B50CC2"/>
    <w:rsid w:val="34221AFC"/>
    <w:rsid w:val="34376117"/>
    <w:rsid w:val="3445D273"/>
    <w:rsid w:val="344BD781"/>
    <w:rsid w:val="3463A41D"/>
    <w:rsid w:val="3498CB62"/>
    <w:rsid w:val="34AAC603"/>
    <w:rsid w:val="34D279F1"/>
    <w:rsid w:val="34D808C1"/>
    <w:rsid w:val="353A57E0"/>
    <w:rsid w:val="353AF81C"/>
    <w:rsid w:val="35718536"/>
    <w:rsid w:val="358E5724"/>
    <w:rsid w:val="359A2A06"/>
    <w:rsid w:val="359DE619"/>
    <w:rsid w:val="35A54296"/>
    <w:rsid w:val="35ACE7A7"/>
    <w:rsid w:val="35C515C4"/>
    <w:rsid w:val="3616D25B"/>
    <w:rsid w:val="3622A463"/>
    <w:rsid w:val="3637BD96"/>
    <w:rsid w:val="369767CE"/>
    <w:rsid w:val="36B01ADF"/>
    <w:rsid w:val="36B7D8A4"/>
    <w:rsid w:val="36B977FB"/>
    <w:rsid w:val="36C2FC3F"/>
    <w:rsid w:val="36CD25EC"/>
    <w:rsid w:val="37572D0E"/>
    <w:rsid w:val="37652D49"/>
    <w:rsid w:val="37DCC42F"/>
    <w:rsid w:val="383B7E2C"/>
    <w:rsid w:val="3858127F"/>
    <w:rsid w:val="386B3343"/>
    <w:rsid w:val="387C3EF6"/>
    <w:rsid w:val="38C5D3EA"/>
    <w:rsid w:val="395B77D8"/>
    <w:rsid w:val="39794ACC"/>
    <w:rsid w:val="39A3929F"/>
    <w:rsid w:val="39A604C5"/>
    <w:rsid w:val="39C9E901"/>
    <w:rsid w:val="39D3A292"/>
    <w:rsid w:val="3A2688DF"/>
    <w:rsid w:val="3A6463B9"/>
    <w:rsid w:val="3A6B2A6C"/>
    <w:rsid w:val="3A8A530C"/>
    <w:rsid w:val="3AADE0FD"/>
    <w:rsid w:val="3B3F2F24"/>
    <w:rsid w:val="3BAFBA38"/>
    <w:rsid w:val="3BC8A745"/>
    <w:rsid w:val="3BE5CB8D"/>
    <w:rsid w:val="3BE87EDA"/>
    <w:rsid w:val="3C12FBBB"/>
    <w:rsid w:val="3C875D7C"/>
    <w:rsid w:val="3C89C4C3"/>
    <w:rsid w:val="3CBB25F8"/>
    <w:rsid w:val="3CCC2ED5"/>
    <w:rsid w:val="3CEFBB11"/>
    <w:rsid w:val="3D2306C7"/>
    <w:rsid w:val="3D397351"/>
    <w:rsid w:val="3D41AA7C"/>
    <w:rsid w:val="3D72A8CB"/>
    <w:rsid w:val="3D761CAD"/>
    <w:rsid w:val="3D7F38F8"/>
    <w:rsid w:val="3DACDDC3"/>
    <w:rsid w:val="3DCDB3F7"/>
    <w:rsid w:val="3DD1BA30"/>
    <w:rsid w:val="3DF1EEC3"/>
    <w:rsid w:val="3DF30FF3"/>
    <w:rsid w:val="3E0C72AC"/>
    <w:rsid w:val="3E21DD45"/>
    <w:rsid w:val="3E6FCEAD"/>
    <w:rsid w:val="3E75B7B7"/>
    <w:rsid w:val="3E856841"/>
    <w:rsid w:val="3ED210EB"/>
    <w:rsid w:val="3F13D7BF"/>
    <w:rsid w:val="3F300241"/>
    <w:rsid w:val="3F430548"/>
    <w:rsid w:val="3F472712"/>
    <w:rsid w:val="3F6D4DD3"/>
    <w:rsid w:val="3F87FAC1"/>
    <w:rsid w:val="3FC37BCA"/>
    <w:rsid w:val="40051037"/>
    <w:rsid w:val="4006A35F"/>
    <w:rsid w:val="403C3459"/>
    <w:rsid w:val="4046B862"/>
    <w:rsid w:val="404E581C"/>
    <w:rsid w:val="40BBE603"/>
    <w:rsid w:val="40D0AD68"/>
    <w:rsid w:val="40D3C5ED"/>
    <w:rsid w:val="410FDC93"/>
    <w:rsid w:val="4119ADD2"/>
    <w:rsid w:val="412D4B6D"/>
    <w:rsid w:val="413EB499"/>
    <w:rsid w:val="415D3C02"/>
    <w:rsid w:val="41992BEF"/>
    <w:rsid w:val="423C1049"/>
    <w:rsid w:val="426DBD15"/>
    <w:rsid w:val="42A3F039"/>
    <w:rsid w:val="42CF99D7"/>
    <w:rsid w:val="43146BD9"/>
    <w:rsid w:val="43A89BB2"/>
    <w:rsid w:val="44032477"/>
    <w:rsid w:val="440A8D90"/>
    <w:rsid w:val="441B42C4"/>
    <w:rsid w:val="441DFB0E"/>
    <w:rsid w:val="442D78BE"/>
    <w:rsid w:val="442DD606"/>
    <w:rsid w:val="44506A58"/>
    <w:rsid w:val="44E109E7"/>
    <w:rsid w:val="451B51EF"/>
    <w:rsid w:val="45268B1F"/>
    <w:rsid w:val="4574E354"/>
    <w:rsid w:val="45ADAF0E"/>
    <w:rsid w:val="45FD5B68"/>
    <w:rsid w:val="463A0494"/>
    <w:rsid w:val="4670AAEB"/>
    <w:rsid w:val="46A71FE9"/>
    <w:rsid w:val="46AC7A2E"/>
    <w:rsid w:val="46BD6D04"/>
    <w:rsid w:val="46D5849D"/>
    <w:rsid w:val="46DB177A"/>
    <w:rsid w:val="46FFE1FF"/>
    <w:rsid w:val="4736A062"/>
    <w:rsid w:val="474E671E"/>
    <w:rsid w:val="4774982A"/>
    <w:rsid w:val="47A03283"/>
    <w:rsid w:val="47C9563A"/>
    <w:rsid w:val="48121A47"/>
    <w:rsid w:val="4870423B"/>
    <w:rsid w:val="4885C6A8"/>
    <w:rsid w:val="48BC68D0"/>
    <w:rsid w:val="48D76C3D"/>
    <w:rsid w:val="48D888A5"/>
    <w:rsid w:val="48FAE499"/>
    <w:rsid w:val="49145FE9"/>
    <w:rsid w:val="49364963"/>
    <w:rsid w:val="495B26EB"/>
    <w:rsid w:val="495CC31E"/>
    <w:rsid w:val="4975A691"/>
    <w:rsid w:val="498F6FF5"/>
    <w:rsid w:val="4A0758DD"/>
    <w:rsid w:val="4A0EEEBC"/>
    <w:rsid w:val="4A357277"/>
    <w:rsid w:val="4AB824B4"/>
    <w:rsid w:val="4AC2CCBE"/>
    <w:rsid w:val="4ACB4DE5"/>
    <w:rsid w:val="4AE9C03D"/>
    <w:rsid w:val="4AFD7B09"/>
    <w:rsid w:val="4B019A7F"/>
    <w:rsid w:val="4B0E2306"/>
    <w:rsid w:val="4B289030"/>
    <w:rsid w:val="4B4A9D61"/>
    <w:rsid w:val="4B5373B4"/>
    <w:rsid w:val="4B7AC88F"/>
    <w:rsid w:val="4BD64ADB"/>
    <w:rsid w:val="4C07CB4C"/>
    <w:rsid w:val="4C343283"/>
    <w:rsid w:val="4C56B968"/>
    <w:rsid w:val="4C6BCB59"/>
    <w:rsid w:val="4C6C15C8"/>
    <w:rsid w:val="4CAC0E07"/>
    <w:rsid w:val="4CC4D891"/>
    <w:rsid w:val="4CCD8BE6"/>
    <w:rsid w:val="4CCE2E3E"/>
    <w:rsid w:val="4CED5B4F"/>
    <w:rsid w:val="4D02B398"/>
    <w:rsid w:val="4D09010C"/>
    <w:rsid w:val="4D21397E"/>
    <w:rsid w:val="4D3C4101"/>
    <w:rsid w:val="4D82FBCA"/>
    <w:rsid w:val="4D9D5FF5"/>
    <w:rsid w:val="4DA18CB1"/>
    <w:rsid w:val="4DB97CA3"/>
    <w:rsid w:val="4DFAF6A1"/>
    <w:rsid w:val="4DFF83F3"/>
    <w:rsid w:val="4E60C460"/>
    <w:rsid w:val="4E6BFBF8"/>
    <w:rsid w:val="4E8914AD"/>
    <w:rsid w:val="4EB1FC14"/>
    <w:rsid w:val="4ECD9466"/>
    <w:rsid w:val="4F3590E3"/>
    <w:rsid w:val="4F410197"/>
    <w:rsid w:val="4F840A9D"/>
    <w:rsid w:val="4F8C05AC"/>
    <w:rsid w:val="4FB40A6A"/>
    <w:rsid w:val="4FBCBAA3"/>
    <w:rsid w:val="4FD13053"/>
    <w:rsid w:val="4FF3CB7B"/>
    <w:rsid w:val="5032E0BB"/>
    <w:rsid w:val="50967987"/>
    <w:rsid w:val="50AB1207"/>
    <w:rsid w:val="50B56FEF"/>
    <w:rsid w:val="513EFD94"/>
    <w:rsid w:val="5151F797"/>
    <w:rsid w:val="5152A830"/>
    <w:rsid w:val="52049B4C"/>
    <w:rsid w:val="5215003D"/>
    <w:rsid w:val="522D3147"/>
    <w:rsid w:val="527AEDE0"/>
    <w:rsid w:val="52ACF201"/>
    <w:rsid w:val="52C61756"/>
    <w:rsid w:val="5312D3D8"/>
    <w:rsid w:val="531808F3"/>
    <w:rsid w:val="53300CCC"/>
    <w:rsid w:val="5339C743"/>
    <w:rsid w:val="5386E677"/>
    <w:rsid w:val="5395C903"/>
    <w:rsid w:val="53B99F06"/>
    <w:rsid w:val="53C4310F"/>
    <w:rsid w:val="53E3C846"/>
    <w:rsid w:val="54045947"/>
    <w:rsid w:val="54454690"/>
    <w:rsid w:val="544F384C"/>
    <w:rsid w:val="547A3899"/>
    <w:rsid w:val="54C49E59"/>
    <w:rsid w:val="54E198E9"/>
    <w:rsid w:val="55560B63"/>
    <w:rsid w:val="5573DE49"/>
    <w:rsid w:val="558525C1"/>
    <w:rsid w:val="55CA859F"/>
    <w:rsid w:val="55FEF2B7"/>
    <w:rsid w:val="564449FC"/>
    <w:rsid w:val="5650434E"/>
    <w:rsid w:val="56A135A9"/>
    <w:rsid w:val="56AD88FB"/>
    <w:rsid w:val="56DB01B6"/>
    <w:rsid w:val="570C3566"/>
    <w:rsid w:val="570FEAFA"/>
    <w:rsid w:val="571545FB"/>
    <w:rsid w:val="5723D25F"/>
    <w:rsid w:val="578B1323"/>
    <w:rsid w:val="57974304"/>
    <w:rsid w:val="57BDC88C"/>
    <w:rsid w:val="57E035BF"/>
    <w:rsid w:val="57F2D793"/>
    <w:rsid w:val="580C5C9F"/>
    <w:rsid w:val="582BB410"/>
    <w:rsid w:val="586430B6"/>
    <w:rsid w:val="588F7F94"/>
    <w:rsid w:val="58AF998F"/>
    <w:rsid w:val="58FFCA8A"/>
    <w:rsid w:val="593A0AA7"/>
    <w:rsid w:val="594FDB2E"/>
    <w:rsid w:val="59507979"/>
    <w:rsid w:val="59697B8B"/>
    <w:rsid w:val="59910011"/>
    <w:rsid w:val="59CB70CA"/>
    <w:rsid w:val="5A03CEAC"/>
    <w:rsid w:val="5A62938D"/>
    <w:rsid w:val="5A6AA086"/>
    <w:rsid w:val="5AB259E8"/>
    <w:rsid w:val="5B0DB92E"/>
    <w:rsid w:val="5B49254D"/>
    <w:rsid w:val="5B8A9FAD"/>
    <w:rsid w:val="5BBC6E84"/>
    <w:rsid w:val="5C43DDA1"/>
    <w:rsid w:val="5C70B54B"/>
    <w:rsid w:val="5CA7F9FE"/>
    <w:rsid w:val="5CCC9D41"/>
    <w:rsid w:val="5CED1003"/>
    <w:rsid w:val="5D23607F"/>
    <w:rsid w:val="5D2439D2"/>
    <w:rsid w:val="5DB18CC5"/>
    <w:rsid w:val="5DBD3186"/>
    <w:rsid w:val="5DD445EE"/>
    <w:rsid w:val="5DE00903"/>
    <w:rsid w:val="5DEE21C3"/>
    <w:rsid w:val="5DF25DDA"/>
    <w:rsid w:val="5E135E7B"/>
    <w:rsid w:val="5E1742F6"/>
    <w:rsid w:val="5E174410"/>
    <w:rsid w:val="5E7A1850"/>
    <w:rsid w:val="5E81CECC"/>
    <w:rsid w:val="5EBB264D"/>
    <w:rsid w:val="5EC98EF0"/>
    <w:rsid w:val="5F10A8D5"/>
    <w:rsid w:val="5F3C6D23"/>
    <w:rsid w:val="5F62CC0B"/>
    <w:rsid w:val="5F862746"/>
    <w:rsid w:val="5F9CB2AB"/>
    <w:rsid w:val="6003F230"/>
    <w:rsid w:val="60457E6F"/>
    <w:rsid w:val="60540B2C"/>
    <w:rsid w:val="609FFF80"/>
    <w:rsid w:val="60B17963"/>
    <w:rsid w:val="60B5D72F"/>
    <w:rsid w:val="60EAE38A"/>
    <w:rsid w:val="60F46516"/>
    <w:rsid w:val="61397714"/>
    <w:rsid w:val="61420597"/>
    <w:rsid w:val="61903F7F"/>
    <w:rsid w:val="61A22417"/>
    <w:rsid w:val="61A39EB0"/>
    <w:rsid w:val="61AAB1B6"/>
    <w:rsid w:val="61C1A3C1"/>
    <w:rsid w:val="62130109"/>
    <w:rsid w:val="621EDBD0"/>
    <w:rsid w:val="6294E02D"/>
    <w:rsid w:val="6298408C"/>
    <w:rsid w:val="62A261F5"/>
    <w:rsid w:val="62B278A0"/>
    <w:rsid w:val="62C7C2B1"/>
    <w:rsid w:val="634162A9"/>
    <w:rsid w:val="635B181C"/>
    <w:rsid w:val="636463FF"/>
    <w:rsid w:val="6369AA72"/>
    <w:rsid w:val="6399BFF1"/>
    <w:rsid w:val="63A1D386"/>
    <w:rsid w:val="63CB8599"/>
    <w:rsid w:val="63F4873D"/>
    <w:rsid w:val="64060CD7"/>
    <w:rsid w:val="6417FD28"/>
    <w:rsid w:val="64210D35"/>
    <w:rsid w:val="6437D8FA"/>
    <w:rsid w:val="643CE38E"/>
    <w:rsid w:val="644C41F1"/>
    <w:rsid w:val="647DE1EC"/>
    <w:rsid w:val="64B24320"/>
    <w:rsid w:val="64B2455B"/>
    <w:rsid w:val="64C1060A"/>
    <w:rsid w:val="64E74738"/>
    <w:rsid w:val="6529F761"/>
    <w:rsid w:val="654E62F3"/>
    <w:rsid w:val="65658848"/>
    <w:rsid w:val="656C1821"/>
    <w:rsid w:val="6591A098"/>
    <w:rsid w:val="65C76B2E"/>
    <w:rsid w:val="65D2BF89"/>
    <w:rsid w:val="65D93FB0"/>
    <w:rsid w:val="66018693"/>
    <w:rsid w:val="6629B55A"/>
    <w:rsid w:val="66481DBD"/>
    <w:rsid w:val="6680FAEE"/>
    <w:rsid w:val="66901ECD"/>
    <w:rsid w:val="669511CD"/>
    <w:rsid w:val="66D91EB4"/>
    <w:rsid w:val="66DF3444"/>
    <w:rsid w:val="6704D43E"/>
    <w:rsid w:val="670A17E9"/>
    <w:rsid w:val="670FD9AF"/>
    <w:rsid w:val="6721345E"/>
    <w:rsid w:val="672D6AEC"/>
    <w:rsid w:val="673A1D64"/>
    <w:rsid w:val="676DB8DC"/>
    <w:rsid w:val="6785AAFD"/>
    <w:rsid w:val="67CFEB95"/>
    <w:rsid w:val="67D4384A"/>
    <w:rsid w:val="68001CA9"/>
    <w:rsid w:val="6854B3CE"/>
    <w:rsid w:val="6872F2AC"/>
    <w:rsid w:val="68EBD6FB"/>
    <w:rsid w:val="6944DC7B"/>
    <w:rsid w:val="6A2321D7"/>
    <w:rsid w:val="6A51D826"/>
    <w:rsid w:val="6A84E5D7"/>
    <w:rsid w:val="6A90387C"/>
    <w:rsid w:val="6A90BA91"/>
    <w:rsid w:val="6A98BFF5"/>
    <w:rsid w:val="6AD5D5C7"/>
    <w:rsid w:val="6B03ADB0"/>
    <w:rsid w:val="6B653E86"/>
    <w:rsid w:val="6B6E01E1"/>
    <w:rsid w:val="6B802807"/>
    <w:rsid w:val="6B8B840E"/>
    <w:rsid w:val="6BE99610"/>
    <w:rsid w:val="6BED67F8"/>
    <w:rsid w:val="6BEFB7EC"/>
    <w:rsid w:val="6C05F1F2"/>
    <w:rsid w:val="6C17824C"/>
    <w:rsid w:val="6C2DAE08"/>
    <w:rsid w:val="6C370197"/>
    <w:rsid w:val="6C9D762C"/>
    <w:rsid w:val="6CB09C88"/>
    <w:rsid w:val="6CC699DC"/>
    <w:rsid w:val="6CEACA6A"/>
    <w:rsid w:val="6CFC0A0F"/>
    <w:rsid w:val="6D24F2C8"/>
    <w:rsid w:val="6D8CFB52"/>
    <w:rsid w:val="6E0EF0C1"/>
    <w:rsid w:val="6E5A4515"/>
    <w:rsid w:val="6EAFE052"/>
    <w:rsid w:val="6EB130F9"/>
    <w:rsid w:val="6EBBBA88"/>
    <w:rsid w:val="6EFA7EDC"/>
    <w:rsid w:val="6F1B80FA"/>
    <w:rsid w:val="6F3F4BA2"/>
    <w:rsid w:val="6F5E242D"/>
    <w:rsid w:val="6F7A4D7A"/>
    <w:rsid w:val="6F7BF618"/>
    <w:rsid w:val="6FA8512A"/>
    <w:rsid w:val="6FAD20CD"/>
    <w:rsid w:val="70118690"/>
    <w:rsid w:val="70281AB2"/>
    <w:rsid w:val="70578750"/>
    <w:rsid w:val="707C56CD"/>
    <w:rsid w:val="70811CCC"/>
    <w:rsid w:val="7087D828"/>
    <w:rsid w:val="708EF9E1"/>
    <w:rsid w:val="70B0D7A4"/>
    <w:rsid w:val="70E8A218"/>
    <w:rsid w:val="70F033F1"/>
    <w:rsid w:val="710C75C1"/>
    <w:rsid w:val="713F2D44"/>
    <w:rsid w:val="71536E07"/>
    <w:rsid w:val="715659F5"/>
    <w:rsid w:val="7160D9B7"/>
    <w:rsid w:val="7185827B"/>
    <w:rsid w:val="71A9DBCD"/>
    <w:rsid w:val="72C88410"/>
    <w:rsid w:val="72D5A0A9"/>
    <w:rsid w:val="733D099B"/>
    <w:rsid w:val="7344185D"/>
    <w:rsid w:val="737E0D69"/>
    <w:rsid w:val="73AE51C0"/>
    <w:rsid w:val="73B59D02"/>
    <w:rsid w:val="73F451CC"/>
    <w:rsid w:val="742BC45A"/>
    <w:rsid w:val="7479AD27"/>
    <w:rsid w:val="747CC774"/>
    <w:rsid w:val="74B370A7"/>
    <w:rsid w:val="75015ABD"/>
    <w:rsid w:val="7504AF77"/>
    <w:rsid w:val="755A8CAE"/>
    <w:rsid w:val="7560835B"/>
    <w:rsid w:val="757AEFDD"/>
    <w:rsid w:val="75C5ABC3"/>
    <w:rsid w:val="761E2405"/>
    <w:rsid w:val="7669A9FD"/>
    <w:rsid w:val="7674FCAB"/>
    <w:rsid w:val="7676ED6C"/>
    <w:rsid w:val="767B7220"/>
    <w:rsid w:val="76933711"/>
    <w:rsid w:val="76A989E4"/>
    <w:rsid w:val="76D5ACD9"/>
    <w:rsid w:val="76E94F13"/>
    <w:rsid w:val="77180B45"/>
    <w:rsid w:val="776AAFEA"/>
    <w:rsid w:val="776FA4C3"/>
    <w:rsid w:val="778A1365"/>
    <w:rsid w:val="778FB4E0"/>
    <w:rsid w:val="7792D34B"/>
    <w:rsid w:val="77B39CD1"/>
    <w:rsid w:val="780ED468"/>
    <w:rsid w:val="7850F8A4"/>
    <w:rsid w:val="78610941"/>
    <w:rsid w:val="786D059A"/>
    <w:rsid w:val="789174AB"/>
    <w:rsid w:val="78A16AA6"/>
    <w:rsid w:val="78D03DFF"/>
    <w:rsid w:val="78ECA5AC"/>
    <w:rsid w:val="78F34999"/>
    <w:rsid w:val="79061C02"/>
    <w:rsid w:val="7945484F"/>
    <w:rsid w:val="794AE4CF"/>
    <w:rsid w:val="79506FBC"/>
    <w:rsid w:val="79618AC5"/>
    <w:rsid w:val="7976405B"/>
    <w:rsid w:val="7988F035"/>
    <w:rsid w:val="79AF336C"/>
    <w:rsid w:val="79D4D59D"/>
    <w:rsid w:val="7A0F412A"/>
    <w:rsid w:val="7A82741C"/>
    <w:rsid w:val="7AC0393D"/>
    <w:rsid w:val="7B53A0E3"/>
    <w:rsid w:val="7B863C63"/>
    <w:rsid w:val="7B8E55A7"/>
    <w:rsid w:val="7B9C0C6B"/>
    <w:rsid w:val="7BA28C9A"/>
    <w:rsid w:val="7BBE4F25"/>
    <w:rsid w:val="7BE5855C"/>
    <w:rsid w:val="7BE7C684"/>
    <w:rsid w:val="7C07F2F3"/>
    <w:rsid w:val="7C18DCC5"/>
    <w:rsid w:val="7C3096CB"/>
    <w:rsid w:val="7C4DE67C"/>
    <w:rsid w:val="7CB3AD63"/>
    <w:rsid w:val="7CEA38A5"/>
    <w:rsid w:val="7CFF1F06"/>
    <w:rsid w:val="7D275259"/>
    <w:rsid w:val="7D443D07"/>
    <w:rsid w:val="7D5A3BE7"/>
    <w:rsid w:val="7D813A40"/>
    <w:rsid w:val="7D9753C7"/>
    <w:rsid w:val="7DB3DB13"/>
    <w:rsid w:val="7DBA1871"/>
    <w:rsid w:val="7DDBED42"/>
    <w:rsid w:val="7DED92DB"/>
    <w:rsid w:val="7E1AC4BD"/>
    <w:rsid w:val="7E32B9A5"/>
    <w:rsid w:val="7E546398"/>
    <w:rsid w:val="7E73B28A"/>
    <w:rsid w:val="7E8FD8CC"/>
    <w:rsid w:val="7E97CDF6"/>
    <w:rsid w:val="7EB9D870"/>
    <w:rsid w:val="7ECC0B02"/>
    <w:rsid w:val="7EEECC62"/>
    <w:rsid w:val="7EEFC08C"/>
    <w:rsid w:val="7F93D1FE"/>
    <w:rsid w:val="7FDF27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BF44D2"/>
  <w15:chartTrackingRefBased/>
  <w15:docId w15:val="{0488E6AC-F936-4D56-9E21-F97756B98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7C3"/>
    <w:pPr>
      <w:spacing w:line="259" w:lineRule="auto"/>
    </w:pPr>
    <w:rPr>
      <w:kern w:val="0"/>
      <w:sz w:val="22"/>
      <w:szCs w:val="22"/>
    </w:rPr>
  </w:style>
  <w:style w:type="paragraph" w:styleId="Heading1">
    <w:name w:val="heading 1"/>
    <w:aliases w:val="Titre Chapitre,Chapitre"/>
    <w:basedOn w:val="Normal"/>
    <w:next w:val="Normal"/>
    <w:link w:val="Heading1Char"/>
    <w:uiPriority w:val="9"/>
    <w:qFormat/>
    <w:rsid w:val="00585A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aliases w:val="Justification"/>
    <w:basedOn w:val="Normal"/>
    <w:next w:val="Normal"/>
    <w:link w:val="Heading2Char"/>
    <w:uiPriority w:val="9"/>
    <w:unhideWhenUsed/>
    <w:qFormat/>
    <w:rsid w:val="00585A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unhideWhenUsed/>
    <w:qFormat/>
    <w:rsid w:val="00585ADD"/>
    <w:pPr>
      <w:keepNext/>
      <w:keepLines/>
      <w:spacing w:before="160" w:after="80" w:line="278" w:lineRule="auto"/>
      <w:outlineLvl w:val="2"/>
    </w:pPr>
    <w:rPr>
      <w:rFonts w:eastAsiaTheme="majorEastAsia" w:cstheme="majorBidi"/>
      <w:color w:val="0F4761" w:themeColor="accent1" w:themeShade="BF"/>
      <w:kern w:val="2"/>
      <w:sz w:val="28"/>
      <w:szCs w:val="28"/>
    </w:rPr>
  </w:style>
  <w:style w:type="paragraph" w:styleId="Heading4">
    <w:name w:val="heading 4"/>
    <w:basedOn w:val="Normal"/>
    <w:next w:val="Normal"/>
    <w:link w:val="Heading4Char"/>
    <w:uiPriority w:val="9"/>
    <w:unhideWhenUsed/>
    <w:qFormat/>
    <w:rsid w:val="00585ADD"/>
    <w:pPr>
      <w:keepNext/>
      <w:keepLines/>
      <w:spacing w:before="80" w:after="40" w:line="278" w:lineRule="auto"/>
      <w:outlineLvl w:val="3"/>
    </w:pPr>
    <w:rPr>
      <w:rFonts w:eastAsiaTheme="majorEastAsia" w:cstheme="majorBidi"/>
      <w:i/>
      <w:iCs/>
      <w:color w:val="0F4761" w:themeColor="accent1" w:themeShade="BF"/>
      <w:kern w:val="2"/>
      <w:sz w:val="24"/>
      <w:szCs w:val="24"/>
    </w:rPr>
  </w:style>
  <w:style w:type="paragraph" w:styleId="Heading5">
    <w:name w:val="heading 5"/>
    <w:basedOn w:val="Normal"/>
    <w:next w:val="Normal"/>
    <w:link w:val="Heading5Char"/>
    <w:uiPriority w:val="9"/>
    <w:unhideWhenUsed/>
    <w:qFormat/>
    <w:rsid w:val="00585ADD"/>
    <w:pPr>
      <w:keepNext/>
      <w:keepLines/>
      <w:spacing w:before="80" w:after="40" w:line="278" w:lineRule="auto"/>
      <w:outlineLvl w:val="4"/>
    </w:pPr>
    <w:rPr>
      <w:rFonts w:eastAsiaTheme="majorEastAsia"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rsid w:val="00585ADD"/>
    <w:pPr>
      <w:keepNext/>
      <w:keepLines/>
      <w:spacing w:before="40" w:after="0" w:line="278" w:lineRule="auto"/>
      <w:outlineLvl w:val="5"/>
    </w:pPr>
    <w:rPr>
      <w:rFonts w:eastAsiaTheme="majorEastAsia"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585ADD"/>
    <w:pPr>
      <w:keepNext/>
      <w:keepLines/>
      <w:spacing w:before="40" w:after="0" w:line="278" w:lineRule="auto"/>
      <w:outlineLvl w:val="6"/>
    </w:pPr>
    <w:rPr>
      <w:rFonts w:eastAsiaTheme="majorEastAsia" w:cstheme="majorBidi"/>
      <w:color w:val="595959" w:themeColor="text1" w:themeTint="A6"/>
      <w:kern w:val="2"/>
      <w:sz w:val="24"/>
      <w:szCs w:val="24"/>
    </w:rPr>
  </w:style>
  <w:style w:type="paragraph" w:styleId="Heading8">
    <w:name w:val="heading 8"/>
    <w:basedOn w:val="Normal"/>
    <w:next w:val="Normal"/>
    <w:link w:val="Heading8Char"/>
    <w:uiPriority w:val="9"/>
    <w:unhideWhenUsed/>
    <w:qFormat/>
    <w:rsid w:val="00585ADD"/>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585ADD"/>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re Chapitre Char,Chapitre Char"/>
    <w:basedOn w:val="DefaultParagraphFont"/>
    <w:link w:val="Heading1"/>
    <w:uiPriority w:val="9"/>
    <w:rsid w:val="00585AD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Justification Char"/>
    <w:basedOn w:val="DefaultParagraphFont"/>
    <w:link w:val="Heading2"/>
    <w:uiPriority w:val="9"/>
    <w:rsid w:val="00585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85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85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85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ADD"/>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585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ADD"/>
    <w:rPr>
      <w:rFonts w:eastAsiaTheme="majorEastAsia" w:cstheme="majorBidi"/>
      <w:color w:val="272727" w:themeColor="text1" w:themeTint="D8"/>
    </w:rPr>
  </w:style>
  <w:style w:type="paragraph" w:styleId="Title">
    <w:name w:val="Title"/>
    <w:basedOn w:val="Normal"/>
    <w:next w:val="Normal"/>
    <w:link w:val="TitleChar"/>
    <w:uiPriority w:val="10"/>
    <w:qFormat/>
    <w:rsid w:val="00585A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ADD"/>
    <w:pPr>
      <w:numPr>
        <w:ilvl w:val="1"/>
      </w:numPr>
      <w:spacing w:line="278" w:lineRule="auto"/>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585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ADD"/>
    <w:pPr>
      <w:spacing w:before="160" w:line="278" w:lineRule="auto"/>
      <w:jc w:val="center"/>
    </w:pPr>
    <w:rPr>
      <w:i/>
      <w:iCs/>
      <w:color w:val="404040" w:themeColor="text1" w:themeTint="BF"/>
      <w:kern w:val="2"/>
      <w:sz w:val="24"/>
      <w:szCs w:val="24"/>
    </w:rPr>
  </w:style>
  <w:style w:type="character" w:customStyle="1" w:styleId="QuoteChar">
    <w:name w:val="Quote Char"/>
    <w:basedOn w:val="DefaultParagraphFont"/>
    <w:link w:val="Quote"/>
    <w:uiPriority w:val="29"/>
    <w:rsid w:val="00585ADD"/>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585ADD"/>
    <w:pPr>
      <w:spacing w:line="278" w:lineRule="auto"/>
      <w:ind w:left="720"/>
      <w:contextualSpacing/>
    </w:pPr>
    <w:rPr>
      <w:kern w:val="2"/>
      <w:sz w:val="24"/>
      <w:szCs w:val="24"/>
    </w:rPr>
  </w:style>
  <w:style w:type="character" w:styleId="IntenseEmphasis">
    <w:name w:val="Intense Emphasis"/>
    <w:basedOn w:val="DefaultParagraphFont"/>
    <w:uiPriority w:val="21"/>
    <w:qFormat/>
    <w:rsid w:val="00585ADD"/>
    <w:rPr>
      <w:i/>
      <w:iCs/>
      <w:color w:val="0F4761" w:themeColor="accent1" w:themeShade="BF"/>
    </w:rPr>
  </w:style>
  <w:style w:type="paragraph" w:styleId="IntenseQuote">
    <w:name w:val="Intense Quote"/>
    <w:basedOn w:val="Normal"/>
    <w:next w:val="Normal"/>
    <w:link w:val="IntenseQuoteChar"/>
    <w:uiPriority w:val="30"/>
    <w:qFormat/>
    <w:rsid w:val="00585AD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585ADD"/>
    <w:rPr>
      <w:i/>
      <w:iCs/>
      <w:color w:val="0F4761" w:themeColor="accent1" w:themeShade="BF"/>
    </w:rPr>
  </w:style>
  <w:style w:type="character" w:styleId="IntenseReference">
    <w:name w:val="Intense Reference"/>
    <w:basedOn w:val="DefaultParagraphFont"/>
    <w:uiPriority w:val="32"/>
    <w:qFormat/>
    <w:rsid w:val="00585ADD"/>
    <w:rPr>
      <w:b/>
      <w:bCs/>
      <w:smallCaps/>
      <w:color w:val="0F4761" w:themeColor="accent1" w:themeShade="BF"/>
      <w:spacing w:val="5"/>
    </w:rPr>
  </w:style>
  <w:style w:type="numbering" w:customStyle="1" w:styleId="NoList1">
    <w:name w:val="No List1"/>
    <w:next w:val="NoList"/>
    <w:uiPriority w:val="99"/>
    <w:semiHidden/>
    <w:unhideWhenUsed/>
    <w:rsid w:val="00585ADD"/>
  </w:style>
  <w:style w:type="paragraph" w:customStyle="1" w:styleId="TechnicalBlockBase">
    <w:name w:val="TechnicalBlockBase"/>
    <w:link w:val="TechnicalBlockBaseChar"/>
    <w:rsid w:val="00585ADD"/>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eastAsia="fr-BE"/>
    </w:rPr>
  </w:style>
  <w:style w:type="paragraph" w:customStyle="1" w:styleId="TBEntRefer">
    <w:name w:val="TBEntRefer"/>
    <w:basedOn w:val="TechnicalBlockBase"/>
    <w:link w:val="EntReferChar"/>
    <w:rsid w:val="00585ADD"/>
    <w:pPr>
      <w:spacing w:before="0" w:after="0" w:line="240" w:lineRule="auto"/>
      <w:ind w:left="0" w:right="0"/>
    </w:pPr>
    <w:rPr>
      <w:rFonts w:ascii="Arial" w:hAnsi="Arial"/>
      <w:i w:val="0"/>
      <w:dstrike w:val="0"/>
      <w:color w:val="auto"/>
      <w:w w:val="100"/>
      <w:sz w:val="23"/>
      <w:u w:val="none"/>
    </w:rPr>
  </w:style>
  <w:style w:type="paragraph" w:customStyle="1" w:styleId="TBDistrbMarkers">
    <w:name w:val="TBDistrbMarkers"/>
    <w:basedOn w:val="TBEntRefer"/>
    <w:qFormat/>
    <w:rsid w:val="00585ADD"/>
    <w:pPr>
      <w:tabs>
        <w:tab w:val="left" w:pos="2262"/>
      </w:tabs>
    </w:pPr>
    <w:rPr>
      <w:i/>
      <w:iCs/>
      <w:szCs w:val="23"/>
    </w:rPr>
  </w:style>
  <w:style w:type="paragraph" w:customStyle="1" w:styleId="TBEntACP">
    <w:name w:val="TBEntACP"/>
    <w:basedOn w:val="TechnicalBlockBase"/>
    <w:rsid w:val="00585ADD"/>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585ADD"/>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585ADD"/>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585ADD"/>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585AD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85AD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585AD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85ADD"/>
    <w:pPr>
      <w:spacing w:before="0" w:after="0" w:line="204" w:lineRule="auto"/>
      <w:ind w:left="0" w:right="0"/>
    </w:pPr>
    <w:rPr>
      <w:rFonts w:ascii="Arial" w:hAnsi="Arial"/>
      <w:b w:val="0"/>
      <w:i w:val="0"/>
      <w:dstrike w:val="0"/>
      <w:color w:val="626262"/>
      <w:spacing w:val="4"/>
      <w:w w:val="100"/>
      <w:sz w:val="24"/>
      <w:u w:val="none"/>
    </w:rPr>
  </w:style>
  <w:style w:type="paragraph" w:customStyle="1" w:styleId="TBSubjectTable">
    <w:name w:val="TBSubjectTable"/>
    <w:basedOn w:val="TechnicalBlockBase"/>
    <w:rsid w:val="00585ADD"/>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585ADD"/>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585ADD"/>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585ADD"/>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585ADD"/>
    <w:pPr>
      <w:widowControl/>
      <w:spacing w:before="40" w:after="40" w:line="240" w:lineRule="auto"/>
      <w:ind w:left="0" w:right="0"/>
    </w:pPr>
    <w:rPr>
      <w:rFonts w:ascii="Arial" w:hAnsi="Arial"/>
      <w:b w:val="0"/>
      <w:i w:val="0"/>
      <w:dstrike w:val="0"/>
      <w:color w:val="auto"/>
      <w:w w:val="100"/>
      <w:sz w:val="23"/>
      <w:u w:val="none"/>
    </w:rPr>
  </w:style>
  <w:style w:type="paragraph" w:customStyle="1" w:styleId="pj">
    <w:name w:val="p.j."/>
    <w:basedOn w:val="Normal"/>
    <w:uiPriority w:val="99"/>
    <w:unhideWhenUsed/>
    <w:rsid w:val="00585ADD"/>
    <w:pPr>
      <w:spacing w:before="1200" w:after="120"/>
      <w:ind w:left="1440" w:hanging="1440"/>
    </w:pPr>
    <w:rPr>
      <w:rFonts w:ascii="Times New Roman" w:hAnsi="Times New Roman"/>
      <w:sz w:val="24"/>
    </w:rPr>
  </w:style>
  <w:style w:type="character" w:customStyle="1" w:styleId="TechnicalBlockBaseChar">
    <w:name w:val="TechnicalBlockBase Char"/>
    <w:basedOn w:val="EntInstitChar"/>
    <w:link w:val="TechnicalBlockBase"/>
    <w:rsid w:val="00585ADD"/>
    <w:rPr>
      <w:rFonts w:ascii="Arial New Roman" w:eastAsia="Times New Roman" w:hAnsi="Arial New Roman" w:cs="Arial"/>
      <w:b/>
      <w:i/>
      <w:dstrike/>
      <w:color w:val="606060"/>
      <w:w w:val="98"/>
      <w:kern w:val="0"/>
      <w:sz w:val="10"/>
      <w:szCs w:val="20"/>
      <w:u w:val="words" w:color="606060"/>
      <w:lang w:val="fr-FR" w:eastAsia="fr-BE"/>
    </w:rPr>
  </w:style>
  <w:style w:type="character" w:customStyle="1" w:styleId="EntReferChar">
    <w:name w:val="EntRefer Char"/>
    <w:basedOn w:val="DefaultParagraphFont"/>
    <w:link w:val="TBEntRefer"/>
    <w:rsid w:val="00585ADD"/>
    <w:rPr>
      <w:rFonts w:ascii="Arial" w:eastAsia="Times New Roman" w:hAnsi="Arial" w:cs="Arial"/>
      <w:b/>
      <w:kern w:val="0"/>
      <w:sz w:val="23"/>
      <w:szCs w:val="20"/>
      <w:u w:color="606060"/>
      <w:lang w:val="fr-FR" w:eastAsia="fr-BE"/>
    </w:rPr>
  </w:style>
  <w:style w:type="character" w:customStyle="1" w:styleId="EntInstitChar">
    <w:name w:val="EntInstit Char"/>
    <w:basedOn w:val="DefaultParagraphFont"/>
    <w:link w:val="TBEntInstit"/>
    <w:rsid w:val="00585ADD"/>
    <w:rPr>
      <w:rFonts w:ascii="Arial" w:eastAsia="Times New Roman" w:hAnsi="Arial" w:cs="Arial"/>
      <w:b/>
      <w:kern w:val="0"/>
      <w:sz w:val="23"/>
      <w:szCs w:val="20"/>
      <w:u w:color="606060"/>
      <w:lang w:val="fr-FR" w:eastAsia="fr-BE"/>
    </w:rPr>
  </w:style>
  <w:style w:type="numbering" w:customStyle="1" w:styleId="NoList11">
    <w:name w:val="No List11"/>
    <w:next w:val="NoList"/>
    <w:uiPriority w:val="99"/>
    <w:semiHidden/>
    <w:unhideWhenUsed/>
    <w:rsid w:val="00585ADD"/>
  </w:style>
  <w:style w:type="character" w:styleId="CommentReference">
    <w:name w:val="annotation reference"/>
    <w:basedOn w:val="DefaultParagraphFont"/>
    <w:uiPriority w:val="99"/>
    <w:unhideWhenUsed/>
    <w:rsid w:val="00585ADD"/>
    <w:rPr>
      <w:sz w:val="16"/>
      <w:szCs w:val="16"/>
    </w:rPr>
  </w:style>
  <w:style w:type="paragraph" w:styleId="CommentText">
    <w:name w:val="annotation text"/>
    <w:basedOn w:val="Normal"/>
    <w:link w:val="CommentTextChar"/>
    <w:uiPriority w:val="99"/>
    <w:unhideWhenUsed/>
    <w:rsid w:val="00585ADD"/>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585ADD"/>
    <w:rPr>
      <w:rFonts w:ascii="Times New Roman" w:hAnsi="Times New Roman" w:cs="Times New Roman"/>
      <w:kern w:val="0"/>
      <w:sz w:val="20"/>
      <w:szCs w:val="20"/>
      <w:lang w:val="fr-FR"/>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585ADD"/>
  </w:style>
  <w:style w:type="paragraph" w:styleId="BalloonText">
    <w:name w:val="Balloon Text"/>
    <w:basedOn w:val="Normal"/>
    <w:link w:val="BalloonTextChar"/>
    <w:uiPriority w:val="99"/>
    <w:semiHidden/>
    <w:unhideWhenUsed/>
    <w:rsid w:val="00585AD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ADD"/>
    <w:rPr>
      <w:rFonts w:ascii="Segoe UI" w:hAnsi="Segoe UI" w:cs="Segoe UI"/>
      <w:kern w:val="0"/>
      <w:sz w:val="18"/>
      <w:szCs w:val="18"/>
      <w:lang w:val="fr-FR"/>
    </w:rPr>
  </w:style>
  <w:style w:type="paragraph" w:styleId="ListBullet">
    <w:name w:val="List Bullet"/>
    <w:basedOn w:val="Normal"/>
    <w:uiPriority w:val="99"/>
    <w:unhideWhenUsed/>
    <w:rsid w:val="00585ADD"/>
    <w:pPr>
      <w:numPr>
        <w:numId w:val="1"/>
      </w:numPr>
      <w:tabs>
        <w:tab w:val="clear" w:pos="360"/>
      </w:tabs>
      <w:spacing w:before="120" w:after="120" w:line="240" w:lineRule="auto"/>
      <w:ind w:left="0" w:firstLine="0"/>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585ADD"/>
    <w:pPr>
      <w:numPr>
        <w:numId w:val="2"/>
      </w:numPr>
      <w:tabs>
        <w:tab w:val="clear" w:pos="643"/>
      </w:tabs>
      <w:spacing w:before="120" w:after="120" w:line="240" w:lineRule="auto"/>
      <w:ind w:left="0" w:firstLine="0"/>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585ADD"/>
    <w:pPr>
      <w:numPr>
        <w:numId w:val="3"/>
      </w:numPr>
      <w:tabs>
        <w:tab w:val="clear" w:pos="926"/>
        <w:tab w:val="num" w:pos="360"/>
      </w:tabs>
      <w:spacing w:before="120" w:after="120" w:line="240" w:lineRule="auto"/>
      <w:ind w:left="0" w:firstLine="0"/>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585ADD"/>
    <w:pPr>
      <w:numPr>
        <w:numId w:val="4"/>
      </w:numPr>
      <w:tabs>
        <w:tab w:val="clear" w:pos="1209"/>
      </w:tabs>
      <w:spacing w:before="120" w:after="120" w:line="240" w:lineRule="auto"/>
      <w:ind w:left="0" w:firstLine="0"/>
      <w:contextualSpacing/>
      <w:jc w:val="both"/>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585ADD"/>
    <w:rPr>
      <w:b/>
      <w:bCs/>
    </w:rPr>
  </w:style>
  <w:style w:type="character" w:customStyle="1" w:styleId="CommentSubjectChar">
    <w:name w:val="Comment Subject Char"/>
    <w:basedOn w:val="CommentTextChar"/>
    <w:link w:val="CommentSubject"/>
    <w:uiPriority w:val="99"/>
    <w:semiHidden/>
    <w:rsid w:val="00585ADD"/>
    <w:rPr>
      <w:rFonts w:ascii="Times New Roman" w:hAnsi="Times New Roman" w:cs="Times New Roman"/>
      <w:b/>
      <w:bCs/>
      <w:kern w:val="0"/>
      <w:sz w:val="20"/>
      <w:szCs w:val="20"/>
      <w:lang w:val="fr-FR"/>
    </w:rPr>
  </w:style>
  <w:style w:type="paragraph" w:styleId="Revision">
    <w:name w:val="Revision"/>
    <w:hidden/>
    <w:uiPriority w:val="99"/>
    <w:semiHidden/>
    <w:rsid w:val="00585ADD"/>
    <w:pPr>
      <w:spacing w:after="0" w:line="240" w:lineRule="auto"/>
    </w:pPr>
    <w:rPr>
      <w:rFonts w:ascii="Times New Roman" w:hAnsi="Times New Roman" w:cs="Times New Roman"/>
      <w:kern w:val="0"/>
      <w:szCs w:val="22"/>
    </w:rPr>
  </w:style>
  <w:style w:type="table" w:styleId="TableGrid">
    <w:name w:val="Table Grid"/>
    <w:basedOn w:val="TableNormal"/>
    <w:uiPriority w:val="39"/>
    <w:rsid w:val="00585ADD"/>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585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semiHidden/>
    <w:rsid w:val="00585ADD"/>
    <w:rPr>
      <w:rFonts w:ascii="Courier New" w:eastAsia="Times New Roman" w:hAnsi="Courier New" w:cs="Courier New"/>
      <w:kern w:val="0"/>
      <w:sz w:val="20"/>
      <w:szCs w:val="20"/>
      <w:lang w:val="fr-FR" w:eastAsia="fr-FR"/>
    </w:rPr>
  </w:style>
  <w:style w:type="character" w:styleId="Hyperlink">
    <w:name w:val="Hyperlink"/>
    <w:basedOn w:val="DefaultParagraphFont"/>
    <w:uiPriority w:val="99"/>
    <w:unhideWhenUsed/>
    <w:rsid w:val="00585ADD"/>
    <w:rPr>
      <w:color w:val="0000FF"/>
      <w:u w:val="single"/>
    </w:rPr>
  </w:style>
  <w:style w:type="character" w:styleId="HTMLCite">
    <w:name w:val="HTML Cite"/>
    <w:basedOn w:val="DefaultParagraphFont"/>
    <w:uiPriority w:val="99"/>
    <w:semiHidden/>
    <w:unhideWhenUsed/>
    <w:rsid w:val="00585ADD"/>
    <w:rPr>
      <w:i/>
      <w:iCs/>
    </w:rPr>
  </w:style>
  <w:style w:type="character" w:customStyle="1" w:styleId="acopre">
    <w:name w:val="acopre"/>
    <w:basedOn w:val="DefaultParagraphFont"/>
    <w:rsid w:val="00585ADD"/>
  </w:style>
  <w:style w:type="character" w:styleId="Emphasis">
    <w:name w:val="Emphasis"/>
    <w:basedOn w:val="DefaultParagraphFont"/>
    <w:uiPriority w:val="20"/>
    <w:qFormat/>
    <w:rsid w:val="00585ADD"/>
    <w:rPr>
      <w:i/>
      <w:iCs/>
    </w:rPr>
  </w:style>
  <w:style w:type="character" w:customStyle="1" w:styleId="lo8sbd">
    <w:name w:val="lo8sbd"/>
    <w:basedOn w:val="DefaultParagraphFont"/>
    <w:rsid w:val="00585ADD"/>
  </w:style>
  <w:style w:type="paragraph" w:customStyle="1" w:styleId="s1fapd">
    <w:name w:val="s1fapd"/>
    <w:basedOn w:val="Normal"/>
    <w:rsid w:val="00585AD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wurvib">
    <w:name w:val="wurvib"/>
    <w:basedOn w:val="DefaultParagraphFont"/>
    <w:rsid w:val="00585ADD"/>
  </w:style>
  <w:style w:type="character" w:customStyle="1" w:styleId="dyjrff">
    <w:name w:val="dyjrff"/>
    <w:basedOn w:val="DefaultParagraphFont"/>
    <w:rsid w:val="00585ADD"/>
  </w:style>
  <w:style w:type="character" w:customStyle="1" w:styleId="glpvmc">
    <w:name w:val="glpvmc"/>
    <w:basedOn w:val="DefaultParagraphFont"/>
    <w:rsid w:val="00585ADD"/>
  </w:style>
  <w:style w:type="character" w:customStyle="1" w:styleId="f">
    <w:name w:val="f"/>
    <w:basedOn w:val="DefaultParagraphFont"/>
    <w:rsid w:val="00585ADD"/>
  </w:style>
  <w:style w:type="character" w:customStyle="1" w:styleId="mfmhoc">
    <w:name w:val="mfmhoc"/>
    <w:basedOn w:val="DefaultParagraphFont"/>
    <w:rsid w:val="00585ADD"/>
  </w:style>
  <w:style w:type="character" w:customStyle="1" w:styleId="q8lrlc">
    <w:name w:val="q8lrlc"/>
    <w:basedOn w:val="DefaultParagraphFont"/>
    <w:rsid w:val="00585ADD"/>
  </w:style>
  <w:style w:type="character" w:customStyle="1" w:styleId="b4gxfc">
    <w:name w:val="b4gxfc"/>
    <w:basedOn w:val="DefaultParagraphFont"/>
    <w:rsid w:val="00585ADD"/>
  </w:style>
  <w:style w:type="character" w:customStyle="1" w:styleId="jlqj4b">
    <w:name w:val="jlqj4b"/>
    <w:basedOn w:val="DefaultParagraphFont"/>
    <w:rsid w:val="00585ADD"/>
  </w:style>
  <w:style w:type="paragraph" w:customStyle="1" w:styleId="paragraph">
    <w:name w:val="paragraph"/>
    <w:basedOn w:val="Normal"/>
    <w:rsid w:val="00585AD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DefaultParagraphFont"/>
    <w:rsid w:val="00585ADD"/>
  </w:style>
  <w:style w:type="character" w:customStyle="1" w:styleId="eop">
    <w:name w:val="eop"/>
    <w:basedOn w:val="DefaultParagraphFont"/>
    <w:rsid w:val="00585ADD"/>
  </w:style>
  <w:style w:type="character" w:customStyle="1" w:styleId="hgkelc">
    <w:name w:val="hgkelc"/>
    <w:basedOn w:val="DefaultParagraphFont"/>
    <w:rsid w:val="00585ADD"/>
  </w:style>
  <w:style w:type="character" w:customStyle="1" w:styleId="y2iqfc">
    <w:name w:val="y2iqfc"/>
    <w:basedOn w:val="DefaultParagraphFont"/>
    <w:rsid w:val="00585ADD"/>
  </w:style>
  <w:style w:type="paragraph" w:customStyle="1" w:styleId="Bodytext211">
    <w:name w:val="Body text|211"/>
    <w:basedOn w:val="Normal"/>
    <w:link w:val="Bodytext2"/>
    <w:qFormat/>
    <w:rsid w:val="00585ADD"/>
    <w:pPr>
      <w:widowControl w:val="0"/>
      <w:shd w:val="clear" w:color="auto" w:fill="FFFFFF"/>
      <w:spacing w:before="400" w:after="100" w:line="244" w:lineRule="exact"/>
      <w:ind w:hanging="380"/>
    </w:pPr>
    <w:rPr>
      <w:rFonts w:ascii="Calibri" w:eastAsia="Calibri" w:hAnsi="Calibri" w:cs="Calibri"/>
      <w:color w:val="000000"/>
      <w:sz w:val="20"/>
      <w:szCs w:val="20"/>
      <w:lang w:eastAsia="fr-FR" w:bidi="fr-FR"/>
    </w:rPr>
  </w:style>
  <w:style w:type="character" w:customStyle="1" w:styleId="Bodytext2">
    <w:name w:val="Body text|2_"/>
    <w:basedOn w:val="DefaultParagraphFont"/>
    <w:link w:val="Bodytext211"/>
    <w:rsid w:val="00585ADD"/>
    <w:rPr>
      <w:rFonts w:ascii="Calibri" w:eastAsia="Calibri" w:hAnsi="Calibri" w:cs="Calibri"/>
      <w:color w:val="000000"/>
      <w:kern w:val="0"/>
      <w:sz w:val="20"/>
      <w:szCs w:val="20"/>
      <w:shd w:val="clear" w:color="auto" w:fill="FFFFFF"/>
      <w:lang w:val="fr-FR" w:eastAsia="fr-FR" w:bidi="fr-FR"/>
    </w:rPr>
  </w:style>
  <w:style w:type="character" w:customStyle="1" w:styleId="Bodytext2Italic">
    <w:name w:val="Body text|2 + Italic"/>
    <w:basedOn w:val="Bodytext2"/>
    <w:semiHidden/>
    <w:unhideWhenUsed/>
    <w:rsid w:val="00585ADD"/>
    <w:rPr>
      <w:rFonts w:ascii="Calibri" w:eastAsia="Calibri" w:hAnsi="Calibri" w:cs="Calibri"/>
      <w:i/>
      <w:iCs/>
      <w:color w:val="000000"/>
      <w:spacing w:val="0"/>
      <w:w w:val="100"/>
      <w:kern w:val="0"/>
      <w:position w:val="0"/>
      <w:sz w:val="20"/>
      <w:szCs w:val="20"/>
      <w:shd w:val="clear" w:color="auto" w:fill="FFFFFF"/>
      <w:lang w:val="fr-FR" w:eastAsia="fr-FR" w:bidi="fr-FR"/>
    </w:rPr>
  </w:style>
  <w:style w:type="character" w:customStyle="1" w:styleId="Bodytext20">
    <w:name w:val="Body text|20"/>
    <w:basedOn w:val="Bodytext2"/>
    <w:semiHidden/>
    <w:unhideWhenUsed/>
    <w:rsid w:val="00585ADD"/>
    <w:rPr>
      <w:rFonts w:ascii="Calibri" w:eastAsia="Calibri" w:hAnsi="Calibri" w:cs="Calibri"/>
      <w:color w:val="000000"/>
      <w:spacing w:val="0"/>
      <w:w w:val="100"/>
      <w:kern w:val="0"/>
      <w:position w:val="0"/>
      <w:sz w:val="20"/>
      <w:szCs w:val="20"/>
      <w:u w:val="single"/>
      <w:shd w:val="clear" w:color="auto" w:fill="FFFFFF"/>
      <w:lang w:val="fr-FR" w:eastAsia="fr-FR" w:bidi="fr-FR"/>
    </w:rPr>
  </w:style>
  <w:style w:type="character" w:customStyle="1" w:styleId="Footnote1">
    <w:name w:val="Footnote|1_"/>
    <w:basedOn w:val="DefaultParagraphFont"/>
    <w:link w:val="Footnote11"/>
    <w:rsid w:val="00585ADD"/>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585ADD"/>
    <w:rPr>
      <w:rFonts w:ascii="Calibri" w:eastAsia="Calibri" w:hAnsi="Calibri" w:cs="Calibri"/>
      <w:color w:val="0563C1"/>
      <w:spacing w:val="0"/>
      <w:w w:val="100"/>
      <w:position w:val="0"/>
      <w:sz w:val="15"/>
      <w:szCs w:val="15"/>
      <w:u w:val="single"/>
      <w:shd w:val="clear" w:color="auto" w:fill="FFFFFF"/>
      <w:lang w:val="fr-FR" w:eastAsia="fr-FR" w:bidi="fr-FR"/>
    </w:rPr>
  </w:style>
  <w:style w:type="paragraph" w:customStyle="1" w:styleId="Footnote11">
    <w:name w:val="Footnote|11"/>
    <w:basedOn w:val="Normal"/>
    <w:link w:val="Footnote1"/>
    <w:qFormat/>
    <w:rsid w:val="00585ADD"/>
    <w:pPr>
      <w:widowControl w:val="0"/>
      <w:shd w:val="clear" w:color="auto" w:fill="FFFFFF"/>
      <w:spacing w:after="0" w:line="197" w:lineRule="exact"/>
      <w:jc w:val="both"/>
    </w:pPr>
    <w:rPr>
      <w:rFonts w:ascii="Calibri" w:eastAsia="Calibri" w:hAnsi="Calibri" w:cs="Calibri"/>
      <w:kern w:val="2"/>
      <w:sz w:val="15"/>
      <w:szCs w:val="15"/>
    </w:rPr>
  </w:style>
  <w:style w:type="character" w:customStyle="1" w:styleId="Footnote3">
    <w:name w:val="Footnote|3_"/>
    <w:basedOn w:val="DefaultParagraphFont"/>
    <w:link w:val="Footnote30"/>
    <w:rsid w:val="00585ADD"/>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585ADD"/>
    <w:rPr>
      <w:rFonts w:ascii="Calibri" w:eastAsia="Calibri" w:hAnsi="Calibri" w:cs="Calibri"/>
      <w:i/>
      <w:iCs/>
      <w:color w:val="000000"/>
      <w:spacing w:val="0"/>
      <w:w w:val="100"/>
      <w:position w:val="0"/>
      <w:sz w:val="15"/>
      <w:szCs w:val="15"/>
      <w:shd w:val="clear" w:color="auto" w:fill="FFFFFF"/>
      <w:lang w:val="fr-FR" w:eastAsia="fr-FR" w:bidi="fr-FR"/>
    </w:rPr>
  </w:style>
  <w:style w:type="paragraph" w:customStyle="1" w:styleId="Footnote30">
    <w:name w:val="Footnote|3"/>
    <w:basedOn w:val="Normal"/>
    <w:link w:val="Footnote3"/>
    <w:rsid w:val="00585ADD"/>
    <w:pPr>
      <w:widowControl w:val="0"/>
      <w:shd w:val="clear" w:color="auto" w:fill="FFFFFF"/>
      <w:spacing w:after="0" w:line="192" w:lineRule="exact"/>
      <w:jc w:val="both"/>
    </w:pPr>
    <w:rPr>
      <w:rFonts w:ascii="Calibri" w:eastAsia="Calibri" w:hAnsi="Calibri" w:cs="Calibri"/>
      <w:i/>
      <w:iCs/>
      <w:kern w:val="2"/>
      <w:sz w:val="15"/>
      <w:szCs w:val="15"/>
    </w:rPr>
  </w:style>
  <w:style w:type="paragraph" w:styleId="NormalWeb">
    <w:name w:val="Normal (Web)"/>
    <w:basedOn w:val="Normal"/>
    <w:uiPriority w:val="99"/>
    <w:unhideWhenUsed/>
    <w:rsid w:val="00585AD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nhideWhenUsed/>
    <w:rsid w:val="00585AD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rsid w:val="00585ADD"/>
    <w:rPr>
      <w:rFonts w:ascii="Times New Roman" w:hAnsi="Times New Roman" w:cs="Times New Roman"/>
      <w:kern w:val="0"/>
      <w:szCs w:val="22"/>
      <w:lang w:val="fr-FR"/>
    </w:rPr>
  </w:style>
  <w:style w:type="paragraph" w:styleId="Footer">
    <w:name w:val="footer"/>
    <w:basedOn w:val="Normal"/>
    <w:link w:val="FooterChar"/>
    <w:uiPriority w:val="99"/>
    <w:unhideWhenUsed/>
    <w:rsid w:val="00585AD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585ADD"/>
    <w:rPr>
      <w:rFonts w:ascii="Times New Roman" w:hAnsi="Times New Roman" w:cs="Times New Roman"/>
      <w:kern w:val="0"/>
      <w:szCs w:val="22"/>
      <w:lang w:val="fr-FR"/>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Char"/>
    <w:basedOn w:val="Normal"/>
    <w:link w:val="FootnoteTextChar"/>
    <w:uiPriority w:val="99"/>
    <w:unhideWhenUsed/>
    <w:rsid w:val="00585ADD"/>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585ADD"/>
    <w:rPr>
      <w:rFonts w:ascii="Times New Roman" w:hAnsi="Times New Roman" w:cs="Times New Roman"/>
      <w:kern w:val="0"/>
      <w:sz w:val="20"/>
      <w:szCs w:val="20"/>
      <w:lang w:val="fr-FR"/>
    </w:rPr>
  </w:style>
  <w:style w:type="paragraph" w:styleId="TOCHeading">
    <w:name w:val="TOC Heading"/>
    <w:basedOn w:val="Normal"/>
    <w:next w:val="Normal"/>
    <w:uiPriority w:val="39"/>
    <w:unhideWhenUsed/>
    <w:qFormat/>
    <w:rsid w:val="00585ADD"/>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unhideWhenUsed/>
    <w:rsid w:val="00585AD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unhideWhenUsed/>
    <w:rsid w:val="00585AD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unhideWhenUsed/>
    <w:rsid w:val="00585AD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unhideWhenUsed/>
    <w:rsid w:val="00585AD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unhideWhenUsed/>
    <w:rsid w:val="00585AD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rsid w:val="00585ADD"/>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rsid w:val="00585ADD"/>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sid w:val="00585ADD"/>
    <w:rPr>
      <w:vertAlign w:val="superscript"/>
    </w:rPr>
  </w:style>
  <w:style w:type="paragraph" w:customStyle="1" w:styleId="HeaderSensitivity">
    <w:name w:val="Header Sensitivity"/>
    <w:basedOn w:val="Normal"/>
    <w:rsid w:val="00585AD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47576F"/>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585AD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link w:val="Text1Char"/>
    <w:rsid w:val="00585ADD"/>
    <w:pPr>
      <w:spacing w:before="120" w:after="120" w:line="240" w:lineRule="auto"/>
      <w:ind w:left="850"/>
      <w:jc w:val="both"/>
    </w:pPr>
    <w:rPr>
      <w:rFonts w:ascii="Times New Roman" w:hAnsi="Times New Roman" w:cs="Times New Roman"/>
      <w:sz w:val="24"/>
    </w:rPr>
  </w:style>
  <w:style w:type="paragraph" w:customStyle="1" w:styleId="Text2">
    <w:name w:val="Text 2"/>
    <w:basedOn w:val="Normal"/>
    <w:rsid w:val="00585ADD"/>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585ADD"/>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585ADD"/>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rsid w:val="00585ADD"/>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585ADD"/>
    <w:pPr>
      <w:spacing w:before="120" w:after="120" w:line="240" w:lineRule="auto"/>
    </w:pPr>
    <w:rPr>
      <w:rFonts w:ascii="Times New Roman" w:hAnsi="Times New Roman" w:cs="Times New Roman"/>
      <w:sz w:val="24"/>
    </w:rPr>
  </w:style>
  <w:style w:type="paragraph" w:customStyle="1" w:styleId="NormalRight">
    <w:name w:val="Normal Right"/>
    <w:basedOn w:val="Normal"/>
    <w:rsid w:val="00585ADD"/>
    <w:pPr>
      <w:spacing w:before="120" w:after="120" w:line="240" w:lineRule="auto"/>
      <w:jc w:val="right"/>
    </w:pPr>
    <w:rPr>
      <w:rFonts w:ascii="Times New Roman" w:hAnsi="Times New Roman" w:cs="Times New Roman"/>
      <w:sz w:val="24"/>
    </w:rPr>
  </w:style>
  <w:style w:type="paragraph" w:customStyle="1" w:styleId="QuotedText">
    <w:name w:val="Quoted Text"/>
    <w:basedOn w:val="Normal"/>
    <w:rsid w:val="00585ADD"/>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rsid w:val="00585ADD"/>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rsid w:val="00585ADD"/>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rsid w:val="00585ADD"/>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rsid w:val="00585ADD"/>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rsid w:val="00585ADD"/>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rsid w:val="00585ADD"/>
    <w:pPr>
      <w:numPr>
        <w:numId w:val="5"/>
      </w:numPr>
      <w:tabs>
        <w:tab w:val="clear" w:pos="850"/>
      </w:tabs>
      <w:ind w:left="0" w:firstLine="0"/>
    </w:pPr>
  </w:style>
  <w:style w:type="paragraph" w:customStyle="1" w:styleId="Tiret1">
    <w:name w:val="Tiret 1"/>
    <w:basedOn w:val="Point1"/>
    <w:rsid w:val="00585ADD"/>
    <w:pPr>
      <w:numPr>
        <w:numId w:val="6"/>
      </w:numPr>
      <w:tabs>
        <w:tab w:val="clear" w:pos="1417"/>
      </w:tabs>
      <w:ind w:left="0" w:firstLine="0"/>
    </w:pPr>
  </w:style>
  <w:style w:type="paragraph" w:customStyle="1" w:styleId="Tiret2">
    <w:name w:val="Tiret 2"/>
    <w:basedOn w:val="Point2"/>
    <w:rsid w:val="00585ADD"/>
    <w:pPr>
      <w:numPr>
        <w:numId w:val="7"/>
      </w:numPr>
      <w:tabs>
        <w:tab w:val="clear" w:pos="1984"/>
      </w:tabs>
      <w:ind w:left="0" w:firstLine="0"/>
    </w:pPr>
  </w:style>
  <w:style w:type="paragraph" w:customStyle="1" w:styleId="Tiret3">
    <w:name w:val="Tiret 3"/>
    <w:basedOn w:val="Point3"/>
    <w:rsid w:val="00585ADD"/>
    <w:pPr>
      <w:numPr>
        <w:numId w:val="8"/>
      </w:numPr>
      <w:tabs>
        <w:tab w:val="clear" w:pos="2551"/>
      </w:tabs>
      <w:ind w:left="0" w:firstLine="0"/>
    </w:pPr>
  </w:style>
  <w:style w:type="paragraph" w:customStyle="1" w:styleId="Tiret4">
    <w:name w:val="Tiret 4"/>
    <w:basedOn w:val="Point4"/>
    <w:rsid w:val="00585ADD"/>
    <w:pPr>
      <w:numPr>
        <w:numId w:val="9"/>
      </w:numPr>
      <w:tabs>
        <w:tab w:val="clear" w:pos="3118"/>
      </w:tabs>
      <w:ind w:left="0" w:firstLine="0"/>
    </w:pPr>
  </w:style>
  <w:style w:type="paragraph" w:customStyle="1" w:styleId="PointDouble0">
    <w:name w:val="PointDouble 0"/>
    <w:basedOn w:val="Normal"/>
    <w:rsid w:val="00585ADD"/>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585ADD"/>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585ADD"/>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585ADD"/>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585ADD"/>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585ADD"/>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585ADD"/>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585ADD"/>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585ADD"/>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585ADD"/>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rsid w:val="00585ADD"/>
    <w:pPr>
      <w:numPr>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2">
    <w:name w:val="NumPar 2"/>
    <w:basedOn w:val="Normal"/>
    <w:next w:val="Text1"/>
    <w:rsid w:val="00585ADD"/>
    <w:pPr>
      <w:numPr>
        <w:ilvl w:val="1"/>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3">
    <w:name w:val="NumPar 3"/>
    <w:basedOn w:val="Normal"/>
    <w:next w:val="Text1"/>
    <w:rsid w:val="00585ADD"/>
    <w:pPr>
      <w:numPr>
        <w:ilvl w:val="2"/>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4">
    <w:name w:val="NumPar 4"/>
    <w:basedOn w:val="Normal"/>
    <w:next w:val="Text1"/>
    <w:rsid w:val="00585ADD"/>
    <w:pPr>
      <w:numPr>
        <w:ilvl w:val="3"/>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ManualNumPar1">
    <w:name w:val="Manual NumPar 1"/>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rsid w:val="00585ADD"/>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rsid w:val="00585ADD"/>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rsid w:val="00585ADD"/>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rsid w:val="00585ADD"/>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rsid w:val="00585ADD"/>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rsid w:val="00585ADD"/>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rsid w:val="00585ADD"/>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rsid w:val="00585ADD"/>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rsid w:val="00585ADD"/>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585ADD"/>
    <w:rPr>
      <w:color w:val="0000FF"/>
      <w:shd w:val="clear" w:color="auto" w:fill="auto"/>
    </w:rPr>
  </w:style>
  <w:style w:type="character" w:customStyle="1" w:styleId="Marker1">
    <w:name w:val="Marker1"/>
    <w:basedOn w:val="DefaultParagraphFont"/>
    <w:rsid w:val="00585ADD"/>
    <w:rPr>
      <w:color w:val="008000"/>
      <w:shd w:val="clear" w:color="auto" w:fill="auto"/>
    </w:rPr>
  </w:style>
  <w:style w:type="character" w:customStyle="1" w:styleId="Marker2">
    <w:name w:val="Marker2"/>
    <w:basedOn w:val="DefaultParagraphFont"/>
    <w:rsid w:val="00585ADD"/>
    <w:rPr>
      <w:color w:val="FF0000"/>
      <w:shd w:val="clear" w:color="auto" w:fill="auto"/>
    </w:rPr>
  </w:style>
  <w:style w:type="paragraph" w:customStyle="1" w:styleId="Point0number">
    <w:name w:val="Point 0 (number)"/>
    <w:basedOn w:val="Normal"/>
    <w:rsid w:val="00585ADD"/>
    <w:pPr>
      <w:numPr>
        <w:numId w:val="11"/>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Point1number">
    <w:name w:val="Point 1 (number)"/>
    <w:basedOn w:val="Normal"/>
    <w:rsid w:val="00585ADD"/>
    <w:pPr>
      <w:numPr>
        <w:ilvl w:val="2"/>
        <w:numId w:val="11"/>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Point2number">
    <w:name w:val="Point 2 (number)"/>
    <w:basedOn w:val="Normal"/>
    <w:rsid w:val="00585ADD"/>
    <w:pPr>
      <w:numPr>
        <w:ilvl w:val="4"/>
        <w:numId w:val="11"/>
      </w:numPr>
      <w:tabs>
        <w:tab w:val="clear" w:pos="1984"/>
      </w:tabs>
      <w:spacing w:before="120" w:after="120" w:line="240" w:lineRule="auto"/>
      <w:ind w:left="0" w:firstLine="0"/>
      <w:jc w:val="both"/>
    </w:pPr>
    <w:rPr>
      <w:rFonts w:ascii="Times New Roman" w:hAnsi="Times New Roman" w:cs="Times New Roman"/>
      <w:sz w:val="24"/>
    </w:rPr>
  </w:style>
  <w:style w:type="paragraph" w:customStyle="1" w:styleId="Point3number">
    <w:name w:val="Point 3 (number)"/>
    <w:basedOn w:val="Normal"/>
    <w:rsid w:val="00585ADD"/>
    <w:pPr>
      <w:numPr>
        <w:ilvl w:val="6"/>
        <w:numId w:val="11"/>
      </w:numPr>
      <w:tabs>
        <w:tab w:val="clear" w:pos="2551"/>
      </w:tabs>
      <w:spacing w:before="120" w:after="120" w:line="240" w:lineRule="auto"/>
      <w:ind w:left="0" w:firstLine="0"/>
      <w:jc w:val="both"/>
    </w:pPr>
    <w:rPr>
      <w:rFonts w:ascii="Times New Roman" w:hAnsi="Times New Roman" w:cs="Times New Roman"/>
      <w:sz w:val="24"/>
    </w:rPr>
  </w:style>
  <w:style w:type="paragraph" w:customStyle="1" w:styleId="Point0letter">
    <w:name w:val="Point 0 (letter)"/>
    <w:basedOn w:val="Normal"/>
    <w:rsid w:val="00585ADD"/>
    <w:pPr>
      <w:numPr>
        <w:ilvl w:val="1"/>
        <w:numId w:val="11"/>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Point1letter">
    <w:name w:val="Point 1 (letter)"/>
    <w:basedOn w:val="Normal"/>
    <w:rsid w:val="00585ADD"/>
    <w:pPr>
      <w:numPr>
        <w:ilvl w:val="3"/>
        <w:numId w:val="11"/>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Point2letter">
    <w:name w:val="Point 2 (letter)"/>
    <w:basedOn w:val="Normal"/>
    <w:rsid w:val="00585ADD"/>
    <w:pPr>
      <w:numPr>
        <w:ilvl w:val="5"/>
        <w:numId w:val="11"/>
      </w:numPr>
      <w:tabs>
        <w:tab w:val="clear" w:pos="1984"/>
      </w:tabs>
      <w:spacing w:before="120" w:after="120" w:line="240" w:lineRule="auto"/>
      <w:ind w:left="0" w:firstLine="0"/>
      <w:jc w:val="both"/>
    </w:pPr>
    <w:rPr>
      <w:rFonts w:ascii="Times New Roman" w:hAnsi="Times New Roman" w:cs="Times New Roman"/>
      <w:sz w:val="24"/>
    </w:rPr>
  </w:style>
  <w:style w:type="paragraph" w:customStyle="1" w:styleId="Point3letter">
    <w:name w:val="Point 3 (letter)"/>
    <w:basedOn w:val="Normal"/>
    <w:rsid w:val="00585ADD"/>
    <w:pPr>
      <w:numPr>
        <w:ilvl w:val="7"/>
        <w:numId w:val="11"/>
      </w:numPr>
      <w:tabs>
        <w:tab w:val="clear" w:pos="2551"/>
      </w:tabs>
      <w:spacing w:before="120" w:after="120" w:line="240" w:lineRule="auto"/>
      <w:ind w:left="0" w:firstLine="0"/>
      <w:jc w:val="both"/>
    </w:pPr>
    <w:rPr>
      <w:rFonts w:ascii="Times New Roman" w:hAnsi="Times New Roman" w:cs="Times New Roman"/>
      <w:sz w:val="24"/>
    </w:rPr>
  </w:style>
  <w:style w:type="paragraph" w:customStyle="1" w:styleId="Point4letter">
    <w:name w:val="Point 4 (letter)"/>
    <w:basedOn w:val="Normal"/>
    <w:rsid w:val="00585ADD"/>
    <w:pPr>
      <w:numPr>
        <w:ilvl w:val="8"/>
        <w:numId w:val="11"/>
      </w:numPr>
      <w:tabs>
        <w:tab w:val="clear" w:pos="3118"/>
      </w:tabs>
      <w:spacing w:before="120" w:after="120" w:line="240" w:lineRule="auto"/>
      <w:ind w:left="0" w:firstLine="0"/>
      <w:jc w:val="both"/>
    </w:pPr>
    <w:rPr>
      <w:rFonts w:ascii="Times New Roman" w:hAnsi="Times New Roman" w:cs="Times New Roman"/>
      <w:sz w:val="24"/>
    </w:rPr>
  </w:style>
  <w:style w:type="paragraph" w:customStyle="1" w:styleId="Bullet0">
    <w:name w:val="Bullet 0"/>
    <w:basedOn w:val="Normal"/>
    <w:rsid w:val="00585ADD"/>
    <w:pPr>
      <w:numPr>
        <w:numId w:val="12"/>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Bullet1">
    <w:name w:val="Bullet 1"/>
    <w:basedOn w:val="Normal"/>
    <w:rsid w:val="00585ADD"/>
    <w:pPr>
      <w:numPr>
        <w:numId w:val="13"/>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Bullet2">
    <w:name w:val="Bullet 2"/>
    <w:basedOn w:val="Normal"/>
    <w:rsid w:val="00585ADD"/>
    <w:pPr>
      <w:numPr>
        <w:numId w:val="14"/>
      </w:numPr>
      <w:tabs>
        <w:tab w:val="clear" w:pos="1984"/>
      </w:tabs>
      <w:spacing w:before="120" w:after="120" w:line="240" w:lineRule="auto"/>
      <w:ind w:left="0" w:firstLine="0"/>
      <w:jc w:val="both"/>
    </w:pPr>
    <w:rPr>
      <w:rFonts w:ascii="Times New Roman" w:hAnsi="Times New Roman" w:cs="Times New Roman"/>
      <w:sz w:val="24"/>
    </w:rPr>
  </w:style>
  <w:style w:type="paragraph" w:customStyle="1" w:styleId="Bullet3">
    <w:name w:val="Bullet 3"/>
    <w:basedOn w:val="Normal"/>
    <w:rsid w:val="00585ADD"/>
    <w:pPr>
      <w:numPr>
        <w:numId w:val="15"/>
      </w:numPr>
      <w:tabs>
        <w:tab w:val="clear" w:pos="2551"/>
      </w:tabs>
      <w:spacing w:before="120" w:after="120" w:line="240" w:lineRule="auto"/>
      <w:ind w:left="0" w:firstLine="0"/>
      <w:jc w:val="both"/>
    </w:pPr>
    <w:rPr>
      <w:rFonts w:ascii="Times New Roman" w:hAnsi="Times New Roman" w:cs="Times New Roman"/>
      <w:sz w:val="24"/>
    </w:rPr>
  </w:style>
  <w:style w:type="paragraph" w:customStyle="1" w:styleId="Bullet4">
    <w:name w:val="Bullet 4"/>
    <w:basedOn w:val="Normal"/>
    <w:rsid w:val="00585ADD"/>
    <w:pPr>
      <w:numPr>
        <w:numId w:val="16"/>
      </w:numPr>
      <w:tabs>
        <w:tab w:val="clear" w:pos="3118"/>
      </w:tabs>
      <w:spacing w:before="120" w:after="120" w:line="240" w:lineRule="auto"/>
      <w:ind w:left="0" w:firstLine="0"/>
      <w:jc w:val="both"/>
    </w:pPr>
    <w:rPr>
      <w:rFonts w:ascii="Times New Roman" w:hAnsi="Times New Roman" w:cs="Times New Roman"/>
      <w:sz w:val="24"/>
    </w:rPr>
  </w:style>
  <w:style w:type="paragraph" w:customStyle="1" w:styleId="Langue">
    <w:name w:val="Langue"/>
    <w:basedOn w:val="Normal"/>
    <w:next w:val="Rfrenceinterne"/>
    <w:rsid w:val="00585ADD"/>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rsid w:val="00585ADD"/>
    <w:pPr>
      <w:spacing w:after="0" w:line="240" w:lineRule="auto"/>
    </w:pPr>
    <w:rPr>
      <w:rFonts w:ascii="Arial" w:hAnsi="Arial" w:cs="Arial"/>
      <w:sz w:val="24"/>
    </w:rPr>
  </w:style>
  <w:style w:type="paragraph" w:customStyle="1" w:styleId="Emission">
    <w:name w:val="Emission"/>
    <w:basedOn w:val="Normal"/>
    <w:next w:val="Rfrenceinstitutionnelle"/>
    <w:rsid w:val="00585ADD"/>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rsid w:val="00585ADD"/>
    <w:pPr>
      <w:spacing w:after="240" w:line="240" w:lineRule="auto"/>
      <w:ind w:left="5103"/>
    </w:pPr>
    <w:rPr>
      <w:rFonts w:ascii="Times New Roman" w:hAnsi="Times New Roman" w:cs="Times New Roman"/>
      <w:sz w:val="24"/>
    </w:rPr>
  </w:style>
  <w:style w:type="paragraph" w:customStyle="1" w:styleId="Pagedecouverture">
    <w:name w:val="Page de couverture"/>
    <w:basedOn w:val="Normal"/>
    <w:next w:val="Normal"/>
    <w:rsid w:val="00585ADD"/>
    <w:pPr>
      <w:spacing w:after="0" w:line="240" w:lineRule="auto"/>
      <w:jc w:val="both"/>
    </w:pPr>
    <w:rPr>
      <w:rFonts w:ascii="Times New Roman" w:hAnsi="Times New Roman" w:cs="Times New Roman"/>
      <w:sz w:val="24"/>
    </w:rPr>
  </w:style>
  <w:style w:type="paragraph" w:customStyle="1" w:styleId="Declassification">
    <w:name w:val="Declassification"/>
    <w:basedOn w:val="Normal"/>
    <w:next w:val="Normal"/>
    <w:rsid w:val="00585ADD"/>
    <w:pPr>
      <w:spacing w:after="0" w:line="240" w:lineRule="auto"/>
      <w:jc w:val="both"/>
    </w:pPr>
    <w:rPr>
      <w:rFonts w:ascii="Times New Roman" w:hAnsi="Times New Roman" w:cs="Times New Roman"/>
      <w:sz w:val="24"/>
    </w:rPr>
  </w:style>
  <w:style w:type="paragraph" w:customStyle="1" w:styleId="Disclaimer">
    <w:name w:val="Disclaimer"/>
    <w:basedOn w:val="Normal"/>
    <w:rsid w:val="00585AD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47576F"/>
    <w:pPr>
      <w:spacing w:after="0" w:line="276" w:lineRule="auto"/>
      <w:ind w:left="5103"/>
    </w:pPr>
    <w:rPr>
      <w:rFonts w:ascii="Times New Roman" w:hAnsi="Times New Roman" w:cs="Times New Roman"/>
      <w:sz w:val="28"/>
      <w14:ligatures w14:val="none"/>
    </w:rPr>
  </w:style>
  <w:style w:type="paragraph" w:customStyle="1" w:styleId="DateMarking">
    <w:name w:val="DateMarking"/>
    <w:basedOn w:val="Normal"/>
    <w:rsid w:val="0047576F"/>
    <w:pPr>
      <w:spacing w:after="0" w:line="276" w:lineRule="auto"/>
      <w:ind w:left="5103"/>
    </w:pPr>
    <w:rPr>
      <w:rFonts w:ascii="Times New Roman" w:hAnsi="Times New Roman" w:cs="Times New Roman"/>
      <w:i/>
      <w:sz w:val="28"/>
      <w14:ligatures w14:val="none"/>
    </w:rPr>
  </w:style>
  <w:style w:type="paragraph" w:customStyle="1" w:styleId="ReleasableTo">
    <w:name w:val="ReleasableTo"/>
    <w:basedOn w:val="Normal"/>
    <w:rsid w:val="0047576F"/>
    <w:pPr>
      <w:spacing w:after="0" w:line="276" w:lineRule="auto"/>
      <w:ind w:left="5103"/>
    </w:pPr>
    <w:rPr>
      <w:rFonts w:ascii="Times New Roman" w:hAnsi="Times New Roman" w:cs="Times New Roman"/>
      <w:i/>
      <w:sz w:val="28"/>
      <w14:ligatures w14:val="none"/>
    </w:rPr>
  </w:style>
  <w:style w:type="paragraph" w:customStyle="1" w:styleId="Annexetitreexpos">
    <w:name w:val="Annexe titre (exposé)"/>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rsid w:val="00585ADD"/>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585ADD"/>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rsid w:val="00585ADD"/>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rsid w:val="00585ADD"/>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rsid w:val="00585ADD"/>
    <w:pPr>
      <w:numPr>
        <w:numId w:val="17"/>
      </w:numPr>
      <w:tabs>
        <w:tab w:val="clear" w:pos="709"/>
      </w:tabs>
      <w:spacing w:before="120" w:after="120" w:line="240" w:lineRule="auto"/>
      <w:ind w:left="0" w:firstLine="0"/>
      <w:jc w:val="both"/>
    </w:pPr>
    <w:rPr>
      <w:rFonts w:ascii="Times New Roman" w:hAnsi="Times New Roman" w:cs="Times New Roman"/>
      <w:sz w:val="24"/>
    </w:rPr>
  </w:style>
  <w:style w:type="paragraph" w:customStyle="1" w:styleId="Corrigendum">
    <w:name w:val="Corrigendum"/>
    <w:basedOn w:val="Normal"/>
    <w:next w:val="Normal"/>
    <w:rsid w:val="00585ADD"/>
    <w:pPr>
      <w:spacing w:after="240" w:line="240" w:lineRule="auto"/>
    </w:pPr>
    <w:rPr>
      <w:rFonts w:ascii="Times New Roman" w:hAnsi="Times New Roman" w:cs="Times New Roman"/>
      <w:sz w:val="24"/>
    </w:rPr>
  </w:style>
  <w:style w:type="paragraph" w:customStyle="1" w:styleId="Datedadoption">
    <w:name w:val="Date d'adoption"/>
    <w:basedOn w:val="Normal"/>
    <w:next w:val="IntrtEEE"/>
    <w:rsid w:val="00585ADD"/>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rsid w:val="00585ADD"/>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rsid w:val="00585ADD"/>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rsid w:val="00585ADD"/>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rsid w:val="00585ADD"/>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rsid w:val="00585ADD"/>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rsid w:val="00585ADD"/>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rsid w:val="00585ADD"/>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rsid w:val="00585ADD"/>
    <w:pPr>
      <w:spacing w:after="0" w:line="240" w:lineRule="auto"/>
      <w:ind w:left="5103"/>
    </w:pPr>
    <w:rPr>
      <w:rFonts w:ascii="Times New Roman" w:hAnsi="Times New Roman" w:cs="Times New Roman"/>
      <w:sz w:val="24"/>
    </w:rPr>
  </w:style>
  <w:style w:type="paragraph" w:customStyle="1" w:styleId="Statut">
    <w:name w:val="Statut"/>
    <w:basedOn w:val="Normal"/>
    <w:next w:val="Typedudocument"/>
    <w:rsid w:val="00585ADD"/>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rsid w:val="00585ADD"/>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rsid w:val="00585ADD"/>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sid w:val="00585ADD"/>
    <w:rPr>
      <w:b/>
      <w:u w:val="single"/>
      <w:shd w:val="clear" w:color="auto" w:fill="auto"/>
    </w:rPr>
  </w:style>
  <w:style w:type="character" w:customStyle="1" w:styleId="Deleted">
    <w:name w:val="Deleted"/>
    <w:basedOn w:val="DefaultParagraphFont"/>
    <w:rsid w:val="00585ADD"/>
    <w:rPr>
      <w:strike/>
      <w:dstrike w:val="0"/>
      <w:shd w:val="clear" w:color="auto" w:fill="auto"/>
    </w:rPr>
  </w:style>
  <w:style w:type="paragraph" w:customStyle="1" w:styleId="Address">
    <w:name w:val="Address"/>
    <w:basedOn w:val="Normal"/>
    <w:next w:val="Normal"/>
    <w:rsid w:val="00585ADD"/>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rsid w:val="00585ADD"/>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rsid w:val="00585ADD"/>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47576F"/>
    <w:pPr>
      <w:spacing w:before="360" w:after="240" w:line="240" w:lineRule="auto"/>
      <w:jc w:val="center"/>
    </w:pPr>
    <w:rPr>
      <w:rFonts w:ascii="Times New Roman" w:hAnsi="Times New Roman" w:cs="Times New Roman"/>
      <w:sz w:val="24"/>
      <w14:ligatures w14:val="none"/>
    </w:rPr>
  </w:style>
  <w:style w:type="paragraph" w:customStyle="1" w:styleId="Rfrencecroise">
    <w:name w:val="Référence croisée"/>
    <w:basedOn w:val="Normal"/>
    <w:rsid w:val="00585ADD"/>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rsid w:val="00585ADD"/>
  </w:style>
  <w:style w:type="paragraph" w:customStyle="1" w:styleId="RfrenceinterinstitutionnellePagedecouverture">
    <w:name w:val="Référence interinstitutionnelle (Page de couverture)"/>
    <w:basedOn w:val="Rfrenceinterinstitutionnelle"/>
    <w:next w:val="Confidentialit"/>
    <w:rsid w:val="00585ADD"/>
  </w:style>
  <w:style w:type="paragraph" w:customStyle="1" w:styleId="StatutPagedecouverture">
    <w:name w:val="Statut (Page de couverture)"/>
    <w:basedOn w:val="Statut"/>
    <w:next w:val="TypedudocumentPagedecouverture"/>
    <w:rsid w:val="00585ADD"/>
  </w:style>
  <w:style w:type="paragraph" w:customStyle="1" w:styleId="TypedudocumentPagedecouverture">
    <w:name w:val="Type du document (Page de couverture)"/>
    <w:basedOn w:val="Typedudocument"/>
    <w:next w:val="AccompagnantPagedecouverture"/>
    <w:rsid w:val="00585ADD"/>
  </w:style>
  <w:style w:type="paragraph" w:customStyle="1" w:styleId="Volume">
    <w:name w:val="Volume"/>
    <w:basedOn w:val="Normal"/>
    <w:next w:val="Confidentialit"/>
    <w:rsid w:val="00585ADD"/>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47576F"/>
    <w:pPr>
      <w:spacing w:after="0"/>
    </w:pPr>
  </w:style>
  <w:style w:type="paragraph" w:customStyle="1" w:styleId="Accompagnant">
    <w:name w:val="Accompagnant"/>
    <w:basedOn w:val="Normal"/>
    <w:next w:val="Typeacteprincipal"/>
    <w:rsid w:val="00585ADD"/>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rsid w:val="00585ADD"/>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rsid w:val="00585ADD"/>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47576F"/>
  </w:style>
  <w:style w:type="paragraph" w:customStyle="1" w:styleId="AccompagnantPagedecouverture">
    <w:name w:val="Accompagnant (Page de couverture)"/>
    <w:basedOn w:val="Accompagnant"/>
    <w:next w:val="TypeacteprincipalPagedecouverture"/>
    <w:rsid w:val="00585ADD"/>
  </w:style>
  <w:style w:type="paragraph" w:customStyle="1" w:styleId="TypeacteprincipalPagedecouverture">
    <w:name w:val="Type acte principal (Page de couverture)"/>
    <w:basedOn w:val="Typeacteprincipal"/>
    <w:next w:val="ObjetacteprincipalPagedecouverture"/>
    <w:rsid w:val="00585ADD"/>
  </w:style>
  <w:style w:type="paragraph" w:customStyle="1" w:styleId="ObjetacteprincipalPagedecouverture">
    <w:name w:val="Objet acte principal (Page de couverture)"/>
    <w:basedOn w:val="Objetacteprincipal"/>
    <w:next w:val="Rfrencecroise"/>
    <w:rsid w:val="00585ADD"/>
  </w:style>
  <w:style w:type="paragraph" w:customStyle="1" w:styleId="LanguesfaisantfoiPagedecouverture">
    <w:name w:val="Langues faisant foi (Page de couverture)"/>
    <w:basedOn w:val="Normal"/>
    <w:next w:val="Rfrencecroise"/>
    <w:rsid w:val="0047576F"/>
    <w:pPr>
      <w:spacing w:before="360" w:after="240" w:line="240" w:lineRule="auto"/>
      <w:jc w:val="center"/>
    </w:pPr>
    <w:rPr>
      <w:rFonts w:ascii="Times New Roman" w:hAnsi="Times New Roman" w:cs="Times New Roman"/>
      <w:sz w:val="24"/>
      <w14:ligatures w14:val="none"/>
    </w:rPr>
  </w:style>
  <w:style w:type="paragraph" w:customStyle="1" w:styleId="Caption1">
    <w:name w:val="Caption1"/>
    <w:basedOn w:val="Normal"/>
    <w:next w:val="Normal"/>
    <w:uiPriority w:val="35"/>
    <w:unhideWhenUsed/>
    <w:qFormat/>
    <w:rsid w:val="00585ADD"/>
    <w:pPr>
      <w:spacing w:after="200" w:line="240" w:lineRule="auto"/>
      <w:jc w:val="both"/>
    </w:pPr>
    <w:rPr>
      <w:rFonts w:ascii="Times New Roman" w:hAnsi="Times New Roman" w:cs="Times New Roman"/>
      <w:i/>
      <w:iCs/>
      <w:color w:val="44546A"/>
      <w:sz w:val="18"/>
      <w:szCs w:val="18"/>
    </w:rPr>
  </w:style>
  <w:style w:type="paragraph" w:styleId="TableofFigures">
    <w:name w:val="table of figures"/>
    <w:basedOn w:val="Normal"/>
    <w:next w:val="Normal"/>
    <w:uiPriority w:val="99"/>
    <w:semiHidden/>
    <w:unhideWhenUsed/>
    <w:rsid w:val="00585ADD"/>
    <w:pPr>
      <w:spacing w:before="120" w:after="0" w:line="240" w:lineRule="auto"/>
      <w:jc w:val="both"/>
    </w:pPr>
    <w:rPr>
      <w:rFonts w:ascii="Times New Roman" w:hAnsi="Times New Roman" w:cs="Times New Roman"/>
      <w:sz w:val="24"/>
    </w:rPr>
  </w:style>
  <w:style w:type="paragraph" w:styleId="ListNumber">
    <w:name w:val="List Number"/>
    <w:basedOn w:val="Normal"/>
    <w:uiPriority w:val="99"/>
    <w:semiHidden/>
    <w:unhideWhenUsed/>
    <w:rsid w:val="00585ADD"/>
    <w:pPr>
      <w:numPr>
        <w:numId w:val="18"/>
      </w:numPr>
      <w:tabs>
        <w:tab w:val="clear" w:pos="360"/>
      </w:tabs>
      <w:spacing w:before="120" w:after="120" w:line="240" w:lineRule="auto"/>
      <w:ind w:left="0" w:firstLine="0"/>
      <w:contextualSpacing/>
      <w:jc w:val="both"/>
    </w:pPr>
    <w:rPr>
      <w:rFonts w:ascii="Times New Roman" w:hAnsi="Times New Roman" w:cs="Times New Roman"/>
      <w:sz w:val="24"/>
    </w:rPr>
  </w:style>
  <w:style w:type="paragraph" w:styleId="ListNumber2">
    <w:name w:val="List Number 2"/>
    <w:basedOn w:val="Normal"/>
    <w:uiPriority w:val="99"/>
    <w:semiHidden/>
    <w:unhideWhenUsed/>
    <w:rsid w:val="00585ADD"/>
    <w:pPr>
      <w:numPr>
        <w:numId w:val="19"/>
      </w:numPr>
      <w:tabs>
        <w:tab w:val="clear" w:pos="643"/>
      </w:tabs>
      <w:spacing w:before="120" w:after="120" w:line="240" w:lineRule="auto"/>
      <w:ind w:left="0" w:firstLine="0"/>
      <w:contextualSpacing/>
      <w:jc w:val="both"/>
    </w:pPr>
    <w:rPr>
      <w:rFonts w:ascii="Times New Roman" w:hAnsi="Times New Roman" w:cs="Times New Roman"/>
      <w:sz w:val="24"/>
    </w:rPr>
  </w:style>
  <w:style w:type="paragraph" w:styleId="ListNumber3">
    <w:name w:val="List Number 3"/>
    <w:basedOn w:val="Normal"/>
    <w:uiPriority w:val="99"/>
    <w:semiHidden/>
    <w:unhideWhenUsed/>
    <w:rsid w:val="00585ADD"/>
    <w:pPr>
      <w:numPr>
        <w:numId w:val="20"/>
      </w:numPr>
      <w:tabs>
        <w:tab w:val="clear" w:pos="926"/>
      </w:tabs>
      <w:spacing w:before="120" w:after="120" w:line="240" w:lineRule="auto"/>
      <w:ind w:left="0" w:firstLine="0"/>
      <w:contextualSpacing/>
      <w:jc w:val="both"/>
    </w:pPr>
    <w:rPr>
      <w:rFonts w:ascii="Times New Roman" w:hAnsi="Times New Roman" w:cs="Times New Roman"/>
      <w:sz w:val="24"/>
    </w:rPr>
  </w:style>
  <w:style w:type="paragraph" w:styleId="ListNumber4">
    <w:name w:val="List Number 4"/>
    <w:basedOn w:val="Normal"/>
    <w:uiPriority w:val="99"/>
    <w:semiHidden/>
    <w:unhideWhenUsed/>
    <w:rsid w:val="00585ADD"/>
    <w:pPr>
      <w:numPr>
        <w:numId w:val="21"/>
      </w:numPr>
      <w:tabs>
        <w:tab w:val="clear" w:pos="1209"/>
      </w:tabs>
      <w:spacing w:before="120" w:after="120" w:line="240" w:lineRule="auto"/>
      <w:ind w:left="0" w:firstLine="0"/>
      <w:contextualSpacing/>
      <w:jc w:val="both"/>
    </w:pPr>
    <w:rPr>
      <w:rFonts w:ascii="Times New Roman" w:hAnsi="Times New Roman" w:cs="Times New Roman"/>
      <w:sz w:val="24"/>
    </w:rPr>
  </w:style>
  <w:style w:type="paragraph" w:customStyle="1" w:styleId="FooterCoverPage">
    <w:name w:val="Footer Cover Page"/>
    <w:basedOn w:val="Normal"/>
    <w:link w:val="FooterCoverPageChar"/>
    <w:rsid w:val="00585AD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85ADD"/>
    <w:rPr>
      <w:rFonts w:ascii="Times New Roman" w:hAnsi="Times New Roman" w:cs="Times New Roman"/>
      <w:kern w:val="0"/>
      <w:szCs w:val="22"/>
    </w:rPr>
  </w:style>
  <w:style w:type="paragraph" w:customStyle="1" w:styleId="HeaderCoverPage">
    <w:name w:val="Header Cover Page"/>
    <w:basedOn w:val="Normal"/>
    <w:link w:val="HeaderCoverPageChar"/>
    <w:rsid w:val="00585AD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85ADD"/>
    <w:rPr>
      <w:rFonts w:ascii="Times New Roman" w:hAnsi="Times New Roman" w:cs="Times New Roman"/>
      <w:kern w:val="0"/>
      <w:szCs w:val="22"/>
    </w:rPr>
  </w:style>
  <w:style w:type="character" w:customStyle="1" w:styleId="Bodytext5">
    <w:name w:val="Body text|5_"/>
    <w:basedOn w:val="DefaultParagraphFont"/>
    <w:link w:val="Bodytext50"/>
    <w:rsid w:val="00585ADD"/>
    <w:rPr>
      <w:rFonts w:ascii="Arial" w:eastAsia="Arial" w:hAnsi="Arial" w:cs="Arial"/>
      <w:sz w:val="17"/>
      <w:szCs w:val="17"/>
      <w:shd w:val="clear" w:color="auto" w:fill="FFFFFF"/>
    </w:rPr>
  </w:style>
  <w:style w:type="paragraph" w:customStyle="1" w:styleId="Bodytext21">
    <w:name w:val="Body text|2"/>
    <w:basedOn w:val="Normal"/>
    <w:qFormat/>
    <w:rsid w:val="00585ADD"/>
    <w:pPr>
      <w:widowControl w:val="0"/>
      <w:shd w:val="clear" w:color="auto" w:fill="FFFFFF"/>
      <w:spacing w:after="0" w:line="446" w:lineRule="exact"/>
      <w:ind w:hanging="660"/>
      <w:jc w:val="both"/>
    </w:pPr>
    <w:rPr>
      <w:rFonts w:ascii="Arial" w:eastAsia="Arial" w:hAnsi="Arial" w:cs="Arial"/>
      <w:sz w:val="21"/>
      <w:szCs w:val="21"/>
    </w:rPr>
  </w:style>
  <w:style w:type="paragraph" w:customStyle="1" w:styleId="Bodytext50">
    <w:name w:val="Body text|5"/>
    <w:basedOn w:val="Normal"/>
    <w:link w:val="Bodytext5"/>
    <w:rsid w:val="00585ADD"/>
    <w:pPr>
      <w:widowControl w:val="0"/>
      <w:shd w:val="clear" w:color="auto" w:fill="FFFFFF"/>
      <w:spacing w:before="1000" w:after="1000" w:line="190" w:lineRule="exact"/>
    </w:pPr>
    <w:rPr>
      <w:rFonts w:ascii="Arial" w:eastAsia="Arial" w:hAnsi="Arial" w:cs="Arial"/>
      <w:kern w:val="2"/>
      <w:sz w:val="17"/>
      <w:szCs w:val="17"/>
    </w:rPr>
  </w:style>
  <w:style w:type="table" w:customStyle="1" w:styleId="GridTable1Light-Accent11">
    <w:name w:val="Grid Table 1 Light - Accent 11"/>
    <w:basedOn w:val="TableNormal"/>
    <w:uiPriority w:val="46"/>
    <w:rsid w:val="00585ADD"/>
    <w:pPr>
      <w:spacing w:after="0" w:line="240" w:lineRule="auto"/>
    </w:pPr>
    <w:rPr>
      <w:kern w:val="0"/>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SUPERSChar">
    <w:name w:val="SUPERS Char"/>
    <w:aliases w:val="EN Footnote Reference Char"/>
    <w:basedOn w:val="Normal"/>
    <w:link w:val="FootnoteReference"/>
    <w:uiPriority w:val="99"/>
    <w:rsid w:val="00585ADD"/>
    <w:pPr>
      <w:widowControl w:val="0"/>
      <w:adjustRightInd w:val="0"/>
      <w:spacing w:line="240" w:lineRule="exact"/>
      <w:jc w:val="both"/>
    </w:pPr>
    <w:rPr>
      <w:kern w:val="2"/>
      <w:sz w:val="24"/>
      <w:szCs w:val="24"/>
      <w:vertAlign w:val="superscript"/>
    </w:rPr>
  </w:style>
  <w:style w:type="paragraph" w:customStyle="1" w:styleId="TechnicalBlock">
    <w:name w:val="Technical Block"/>
    <w:basedOn w:val="Text1"/>
    <w:link w:val="TechnicalBlockChar"/>
    <w:rsid w:val="00585ADD"/>
    <w:pPr>
      <w:spacing w:before="0" w:after="240"/>
      <w:ind w:left="0"/>
      <w:jc w:val="center"/>
    </w:pPr>
    <w:rPr>
      <w:noProof/>
      <w:lang w:eastAsia="en-GB"/>
    </w:rPr>
  </w:style>
  <w:style w:type="character" w:customStyle="1" w:styleId="Text1Char">
    <w:name w:val="Text 1 Char"/>
    <w:basedOn w:val="DefaultParagraphFont"/>
    <w:link w:val="Text1"/>
    <w:rsid w:val="00585ADD"/>
    <w:rPr>
      <w:rFonts w:ascii="Times New Roman" w:hAnsi="Times New Roman" w:cs="Times New Roman"/>
      <w:kern w:val="0"/>
      <w:szCs w:val="22"/>
      <w:lang w:val="fr-FR"/>
    </w:rPr>
  </w:style>
  <w:style w:type="character" w:customStyle="1" w:styleId="TechnicalBlockChar">
    <w:name w:val="Technical Block Char"/>
    <w:basedOn w:val="Text1Char"/>
    <w:link w:val="TechnicalBlock"/>
    <w:rsid w:val="00585ADD"/>
    <w:rPr>
      <w:rFonts w:ascii="Times New Roman" w:hAnsi="Times New Roman" w:cs="Times New Roman"/>
      <w:noProof/>
      <w:kern w:val="0"/>
      <w:szCs w:val="22"/>
      <w:lang w:val="fr-FR" w:eastAsia="en-GB"/>
    </w:rPr>
  </w:style>
  <w:style w:type="paragraph" w:customStyle="1" w:styleId="EntText">
    <w:name w:val="EntText"/>
    <w:basedOn w:val="Normal"/>
    <w:rsid w:val="00585ADD"/>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585ADD"/>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nbbordered">
    <w:name w:val="nb bordered"/>
    <w:basedOn w:val="Normal"/>
    <w:link w:val="nbborderedChar"/>
    <w:rsid w:val="00585ADD"/>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sz w:val="24"/>
    </w:rPr>
  </w:style>
  <w:style w:type="character" w:customStyle="1" w:styleId="nbborderedChar">
    <w:name w:val="nb bordered Char"/>
    <w:basedOn w:val="Text1Char"/>
    <w:link w:val="nbbordered"/>
    <w:rsid w:val="00585ADD"/>
    <w:rPr>
      <w:rFonts w:ascii="Times New Roman" w:hAnsi="Times New Roman" w:cs="Times New Roman"/>
      <w:b/>
      <w:kern w:val="0"/>
      <w:szCs w:val="22"/>
      <w:lang w:val="fr-FR"/>
    </w:rPr>
  </w:style>
  <w:style w:type="paragraph" w:customStyle="1" w:styleId="HeaderCouncil">
    <w:name w:val="Header Council"/>
    <w:basedOn w:val="Normal"/>
    <w:link w:val="HeaderCouncilChar"/>
    <w:rsid w:val="00585ADD"/>
    <w:pPr>
      <w:spacing w:after="0" w:line="276" w:lineRule="auto"/>
    </w:pPr>
    <w:rPr>
      <w:rFonts w:ascii="Times New Roman" w:hAnsi="Times New Roman"/>
      <w:noProof/>
      <w:sz w:val="2"/>
    </w:rPr>
  </w:style>
  <w:style w:type="character" w:customStyle="1" w:styleId="HeaderCouncilChar">
    <w:name w:val="Header Council Char"/>
    <w:basedOn w:val="DefaultParagraphFont"/>
    <w:link w:val="HeaderCouncil"/>
    <w:rsid w:val="00585ADD"/>
    <w:rPr>
      <w:rFonts w:ascii="Times New Roman" w:hAnsi="Times New Roman"/>
      <w:noProof/>
      <w:kern w:val="0"/>
      <w:sz w:val="2"/>
      <w:szCs w:val="22"/>
      <w:lang w:val="fr-FR"/>
    </w:rPr>
  </w:style>
  <w:style w:type="paragraph" w:customStyle="1" w:styleId="HeaderCouncilLarge">
    <w:name w:val="Header Council Large"/>
    <w:basedOn w:val="Normal"/>
    <w:link w:val="HeaderCouncilLargeChar"/>
    <w:rsid w:val="00585ADD"/>
    <w:pPr>
      <w:spacing w:after="440" w:line="276" w:lineRule="auto"/>
    </w:pPr>
    <w:rPr>
      <w:rFonts w:ascii="Times New Roman" w:hAnsi="Times New Roman"/>
      <w:noProof/>
      <w:sz w:val="2"/>
    </w:rPr>
  </w:style>
  <w:style w:type="character" w:customStyle="1" w:styleId="HeaderCouncilLargeChar">
    <w:name w:val="Header Council Large Char"/>
    <w:basedOn w:val="DefaultParagraphFont"/>
    <w:link w:val="HeaderCouncilLarge"/>
    <w:rsid w:val="00585ADD"/>
    <w:rPr>
      <w:rFonts w:ascii="Times New Roman" w:hAnsi="Times New Roman"/>
      <w:noProof/>
      <w:kern w:val="0"/>
      <w:sz w:val="2"/>
      <w:szCs w:val="22"/>
      <w:lang w:val="fr-FR"/>
    </w:rPr>
  </w:style>
  <w:style w:type="paragraph" w:customStyle="1" w:styleId="FooterCouncil">
    <w:name w:val="Footer Council"/>
    <w:basedOn w:val="Normal"/>
    <w:link w:val="FooterCouncilChar"/>
    <w:rsid w:val="00585ADD"/>
    <w:pPr>
      <w:spacing w:after="0" w:line="276" w:lineRule="auto"/>
    </w:pPr>
    <w:rPr>
      <w:rFonts w:ascii="Times New Roman" w:hAnsi="Times New Roman"/>
      <w:noProof/>
      <w:sz w:val="2"/>
    </w:rPr>
  </w:style>
  <w:style w:type="character" w:customStyle="1" w:styleId="FooterCouncilChar">
    <w:name w:val="Footer Council Char"/>
    <w:basedOn w:val="DefaultParagraphFont"/>
    <w:link w:val="FooterCouncil"/>
    <w:rsid w:val="00585ADD"/>
    <w:rPr>
      <w:rFonts w:ascii="Times New Roman" w:hAnsi="Times New Roman"/>
      <w:noProof/>
      <w:kern w:val="0"/>
      <w:sz w:val="2"/>
      <w:szCs w:val="22"/>
      <w:lang w:val="fr-FR"/>
    </w:rPr>
  </w:style>
  <w:style w:type="paragraph" w:customStyle="1" w:styleId="FooterText">
    <w:name w:val="Footer Text"/>
    <w:basedOn w:val="Normal"/>
    <w:rsid w:val="00585ADD"/>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85ADD"/>
    <w:rPr>
      <w:color w:val="808080"/>
    </w:rPr>
  </w:style>
  <w:style w:type="character" w:customStyle="1" w:styleId="FollowedHyperlink1">
    <w:name w:val="FollowedHyperlink1"/>
    <w:basedOn w:val="DefaultParagraphFont"/>
    <w:uiPriority w:val="99"/>
    <w:semiHidden/>
    <w:unhideWhenUsed/>
    <w:rsid w:val="00585ADD"/>
    <w:rPr>
      <w:color w:val="954F72"/>
      <w:u w:val="single"/>
    </w:rPr>
  </w:style>
  <w:style w:type="character" w:customStyle="1" w:styleId="Mention1">
    <w:name w:val="Mention1"/>
    <w:basedOn w:val="DefaultParagraphFont"/>
    <w:uiPriority w:val="99"/>
    <w:unhideWhenUsed/>
    <w:rsid w:val="00585ADD"/>
    <w:rPr>
      <w:color w:val="2B579A"/>
      <w:shd w:val="clear" w:color="auto" w:fill="E6E6E6"/>
    </w:rPr>
  </w:style>
  <w:style w:type="character" w:customStyle="1" w:styleId="Mention2">
    <w:name w:val="Mention2"/>
    <w:basedOn w:val="DefaultParagraphFont"/>
    <w:uiPriority w:val="99"/>
    <w:unhideWhenUsed/>
    <w:rsid w:val="00585ADD"/>
    <w:rPr>
      <w:color w:val="2B579A"/>
      <w:shd w:val="clear" w:color="auto" w:fill="E1DFDD"/>
    </w:rPr>
  </w:style>
  <w:style w:type="character" w:customStyle="1" w:styleId="cf01">
    <w:name w:val="cf01"/>
    <w:basedOn w:val="DefaultParagraphFont"/>
    <w:rsid w:val="00585ADD"/>
    <w:rPr>
      <w:rFonts w:ascii="Segoe UI" w:hAnsi="Segoe UI" w:cs="Segoe UI" w:hint="default"/>
      <w:sz w:val="18"/>
      <w:szCs w:val="18"/>
    </w:rPr>
  </w:style>
  <w:style w:type="character" w:customStyle="1" w:styleId="Mention3">
    <w:name w:val="Mention3"/>
    <w:basedOn w:val="DefaultParagraphFont"/>
    <w:uiPriority w:val="99"/>
    <w:unhideWhenUsed/>
    <w:rsid w:val="00585ADD"/>
    <w:rPr>
      <w:color w:val="2B579A"/>
      <w:shd w:val="clear" w:color="auto" w:fill="E6E6E6"/>
    </w:rPr>
  </w:style>
  <w:style w:type="character" w:customStyle="1" w:styleId="Mention20">
    <w:name w:val="Mention20"/>
    <w:basedOn w:val="DefaultParagraphFont"/>
    <w:uiPriority w:val="99"/>
    <w:unhideWhenUsed/>
    <w:rsid w:val="00585ADD"/>
    <w:rPr>
      <w:color w:val="2B579A"/>
      <w:shd w:val="clear" w:color="auto" w:fill="E1DFDD"/>
    </w:rPr>
  </w:style>
  <w:style w:type="character" w:customStyle="1" w:styleId="UnresolvedMention1">
    <w:name w:val="Unresolved Mention1"/>
    <w:basedOn w:val="DefaultParagraphFont"/>
    <w:uiPriority w:val="99"/>
    <w:unhideWhenUsed/>
    <w:rsid w:val="00585ADD"/>
    <w:rPr>
      <w:color w:val="605E5C"/>
      <w:shd w:val="clear" w:color="auto" w:fill="E1DFDD"/>
    </w:rPr>
  </w:style>
  <w:style w:type="character" w:customStyle="1" w:styleId="Mention4">
    <w:name w:val="Mention4"/>
    <w:basedOn w:val="DefaultParagraphFont"/>
    <w:uiPriority w:val="99"/>
    <w:unhideWhenUsed/>
    <w:rsid w:val="00585ADD"/>
    <w:rPr>
      <w:color w:val="2B579A"/>
      <w:shd w:val="clear" w:color="auto" w:fill="E6E6E6"/>
    </w:rPr>
  </w:style>
  <w:style w:type="character" w:customStyle="1" w:styleId="Other1">
    <w:name w:val="Other|1_"/>
    <w:basedOn w:val="DefaultParagraphFont"/>
    <w:link w:val="Other10"/>
    <w:rsid w:val="00585ADD"/>
  </w:style>
  <w:style w:type="paragraph" w:customStyle="1" w:styleId="Other10">
    <w:name w:val="Other|1"/>
    <w:basedOn w:val="Normal"/>
    <w:link w:val="Other1"/>
    <w:rsid w:val="00585ADD"/>
    <w:pPr>
      <w:widowControl w:val="0"/>
      <w:spacing w:after="140"/>
    </w:pPr>
    <w:rPr>
      <w:kern w:val="2"/>
      <w:sz w:val="24"/>
      <w:szCs w:val="24"/>
    </w:rPr>
  </w:style>
  <w:style w:type="paragraph" w:customStyle="1" w:styleId="Default">
    <w:name w:val="Default"/>
    <w:rsid w:val="00585ADD"/>
    <w:pPr>
      <w:autoSpaceDE w:val="0"/>
      <w:autoSpaceDN w:val="0"/>
      <w:adjustRightInd w:val="0"/>
      <w:spacing w:after="0" w:line="240" w:lineRule="auto"/>
    </w:pPr>
    <w:rPr>
      <w:rFonts w:ascii="Times New Roman" w:hAnsi="Times New Roman" w:cs="Times New Roman"/>
      <w:color w:val="000000"/>
      <w:kern w:val="0"/>
    </w:rPr>
  </w:style>
  <w:style w:type="paragraph" w:styleId="NoSpacing">
    <w:name w:val="No Spacing"/>
    <w:uiPriority w:val="1"/>
    <w:qFormat/>
    <w:rsid w:val="00585ADD"/>
    <w:pPr>
      <w:spacing w:after="0" w:line="240" w:lineRule="auto"/>
    </w:pPr>
    <w:rPr>
      <w:kern w:val="0"/>
      <w:sz w:val="22"/>
      <w:szCs w:val="22"/>
    </w:rPr>
  </w:style>
  <w:style w:type="paragraph" w:customStyle="1" w:styleId="xmsolistparagraph">
    <w:name w:val="x_msolistparagraph"/>
    <w:basedOn w:val="Normal"/>
    <w:rsid w:val="00585ADD"/>
    <w:pPr>
      <w:spacing w:after="0" w:line="240" w:lineRule="auto"/>
      <w:ind w:left="720"/>
    </w:pPr>
    <w:rPr>
      <w:rFonts w:ascii="Calibri" w:hAnsi="Calibri" w:cs="Times New Roman"/>
      <w:sz w:val="20"/>
      <w:szCs w:val="20"/>
      <w:lang w:eastAsia="fr-BE"/>
    </w:rPr>
  </w:style>
  <w:style w:type="paragraph" w:customStyle="1" w:styleId="Titreaxe">
    <w:name w:val="Titre axe"/>
    <w:basedOn w:val="Heading3"/>
    <w:link w:val="TitreaxeCar"/>
    <w:qFormat/>
    <w:rsid w:val="00585ADD"/>
    <w:pPr>
      <w:spacing w:before="40" w:after="0" w:line="259" w:lineRule="auto"/>
    </w:pPr>
    <w:rPr>
      <w:rFonts w:ascii="Calibri Light" w:hAnsi="Calibri Light"/>
      <w:color w:val="1F3763"/>
      <w:kern w:val="0"/>
    </w:rPr>
  </w:style>
  <w:style w:type="paragraph" w:customStyle="1" w:styleId="Gdtitrechapitre">
    <w:name w:val="Gd titre chapitre"/>
    <w:basedOn w:val="ListParagraph"/>
    <w:link w:val="GdtitrechapitreCar"/>
    <w:qFormat/>
    <w:rsid w:val="00585ADD"/>
    <w:pPr>
      <w:numPr>
        <w:numId w:val="22"/>
      </w:numPr>
      <w:spacing w:after="80" w:line="240" w:lineRule="auto"/>
      <w:ind w:left="0" w:firstLine="0"/>
      <w:outlineLvl w:val="0"/>
    </w:pPr>
    <w:rPr>
      <w:rFonts w:ascii="Times New Roman" w:eastAsia="Times New Roman" w:hAnsi="Times New Roman" w:cs="Times New Roman"/>
      <w:b/>
      <w:bCs/>
      <w:color w:val="44546A"/>
      <w:kern w:val="0"/>
      <w:sz w:val="50"/>
      <w:szCs w:val="50"/>
    </w:rPr>
  </w:style>
  <w:style w:type="character" w:customStyle="1" w:styleId="TitreaxeCar">
    <w:name w:val="Titre axe Car"/>
    <w:basedOn w:val="Heading3Char"/>
    <w:link w:val="Titreaxe"/>
    <w:rsid w:val="00585ADD"/>
    <w:rPr>
      <w:rFonts w:ascii="Calibri Light" w:eastAsiaTheme="majorEastAsia" w:hAnsi="Calibri Light" w:cstheme="majorBidi"/>
      <w:color w:val="1F3763"/>
      <w:kern w:val="0"/>
      <w:sz w:val="28"/>
      <w:szCs w:val="28"/>
      <w:lang w:val="fr-FR"/>
    </w:rPr>
  </w:style>
  <w:style w:type="paragraph" w:customStyle="1" w:styleId="Titresection">
    <w:name w:val="Titre section"/>
    <w:link w:val="TitresectionCar"/>
    <w:qFormat/>
    <w:rsid w:val="00585ADD"/>
    <w:pPr>
      <w:numPr>
        <w:numId w:val="23"/>
      </w:numPr>
      <w:spacing w:after="80" w:line="240" w:lineRule="auto"/>
      <w:ind w:left="0" w:firstLine="0"/>
    </w:pPr>
    <w:rPr>
      <w:rFonts w:ascii="Times New Roman" w:eastAsia="Times New Roman" w:hAnsi="Times New Roman" w:cs="Times New Roman"/>
      <w:b/>
      <w:bCs/>
      <w:color w:val="44546A"/>
      <w:kern w:val="0"/>
      <w:sz w:val="32"/>
      <w:szCs w:val="32"/>
      <w:u w:val="single"/>
    </w:rPr>
  </w:style>
  <w:style w:type="character" w:customStyle="1" w:styleId="GdtitrechapitreCar">
    <w:name w:val="Gd titre chapitre Car"/>
    <w:basedOn w:val="ListParagraphChar"/>
    <w:link w:val="Gdtitrechapitre"/>
    <w:rsid w:val="00585ADD"/>
    <w:rPr>
      <w:rFonts w:ascii="Times New Roman" w:eastAsia="Times New Roman" w:hAnsi="Times New Roman" w:cs="Times New Roman"/>
      <w:b/>
      <w:bCs/>
      <w:color w:val="44546A"/>
      <w:kern w:val="0"/>
      <w:sz w:val="50"/>
      <w:szCs w:val="50"/>
      <w:lang w:val="fr-FR"/>
    </w:rPr>
  </w:style>
  <w:style w:type="character" w:customStyle="1" w:styleId="TitresectionCar">
    <w:name w:val="Titre section Car"/>
    <w:basedOn w:val="DefaultParagraphFont"/>
    <w:link w:val="Titresection"/>
    <w:rsid w:val="00585ADD"/>
    <w:rPr>
      <w:rFonts w:ascii="Times New Roman" w:eastAsia="Times New Roman" w:hAnsi="Times New Roman" w:cs="Times New Roman"/>
      <w:b/>
      <w:bCs/>
      <w:color w:val="44546A"/>
      <w:kern w:val="0"/>
      <w:sz w:val="32"/>
      <w:szCs w:val="32"/>
      <w:u w:val="single"/>
      <w:lang w:val="fr-FR"/>
    </w:rPr>
  </w:style>
  <w:style w:type="paragraph" w:customStyle="1" w:styleId="Sous-sous-section">
    <w:name w:val="Sous- sous-section"/>
    <w:basedOn w:val="Default"/>
    <w:qFormat/>
    <w:rsid w:val="00585ADD"/>
    <w:pPr>
      <w:ind w:left="1440" w:hanging="360"/>
      <w:jc w:val="both"/>
    </w:pPr>
    <w:rPr>
      <w:rFonts w:ascii="Avenir Next LT Pro" w:hAnsi="Avenir Next LT Pro" w:cs="Arial"/>
      <w:b/>
      <w:bCs/>
      <w:color w:val="auto"/>
      <w:sz w:val="28"/>
      <w:szCs w:val="28"/>
    </w:rPr>
  </w:style>
  <w:style w:type="paragraph" w:customStyle="1" w:styleId="Titresous-section">
    <w:name w:val="Titre sous-section"/>
    <w:basedOn w:val="Titresection"/>
    <w:qFormat/>
    <w:rsid w:val="00585ADD"/>
    <w:pPr>
      <w:numPr>
        <w:numId w:val="24"/>
      </w:numPr>
      <w:ind w:left="0" w:firstLine="0"/>
    </w:pPr>
    <w:rPr>
      <w:sz w:val="24"/>
      <w:szCs w:val="24"/>
      <w:u w:val="none"/>
    </w:rPr>
  </w:style>
  <w:style w:type="paragraph" w:customStyle="1" w:styleId="TitreAxe0">
    <w:name w:val="Titre Axe"/>
    <w:basedOn w:val="Normal"/>
    <w:link w:val="TitreAxeCar0"/>
    <w:qFormat/>
    <w:rsid w:val="00585ADD"/>
    <w:pPr>
      <w:spacing w:after="0" w:line="240" w:lineRule="auto"/>
    </w:pPr>
    <w:rPr>
      <w:rFonts w:ascii="Times New Roman" w:hAnsi="Times New Roman" w:cs="Times New Roman"/>
      <w:b/>
      <w:bCs/>
      <w:color w:val="44546A"/>
      <w:sz w:val="72"/>
      <w:szCs w:val="72"/>
    </w:rPr>
  </w:style>
  <w:style w:type="character" w:customStyle="1" w:styleId="TitreAxeCar0">
    <w:name w:val="Titre Axe Car"/>
    <w:basedOn w:val="DefaultParagraphFont"/>
    <w:link w:val="TitreAxe0"/>
    <w:rsid w:val="00585ADD"/>
    <w:rPr>
      <w:rFonts w:ascii="Times New Roman" w:hAnsi="Times New Roman" w:cs="Times New Roman"/>
      <w:b/>
      <w:bCs/>
      <w:color w:val="44546A"/>
      <w:kern w:val="0"/>
      <w:sz w:val="72"/>
      <w:szCs w:val="72"/>
      <w:lang w:val="fr-FR"/>
    </w:rPr>
  </w:style>
  <w:style w:type="paragraph" w:customStyle="1" w:styleId="TitreComposante">
    <w:name w:val="Titre Composante"/>
    <w:basedOn w:val="Normal"/>
    <w:link w:val="TitreComposanteCar"/>
    <w:qFormat/>
    <w:rsid w:val="00585ADD"/>
    <w:pPr>
      <w:spacing w:line="276" w:lineRule="auto"/>
    </w:pPr>
    <w:rPr>
      <w:rFonts w:ascii="Times New Roman" w:eastAsia="Times New Roman" w:hAnsi="Times New Roman" w:cs="Times New Roman"/>
      <w:b/>
      <w:color w:val="44546A"/>
      <w:sz w:val="32"/>
      <w:szCs w:val="32"/>
    </w:rPr>
  </w:style>
  <w:style w:type="character" w:customStyle="1" w:styleId="TitreComposanteCar">
    <w:name w:val="Titre Composante Car"/>
    <w:basedOn w:val="DefaultParagraphFont"/>
    <w:link w:val="TitreComposante"/>
    <w:rsid w:val="00585ADD"/>
    <w:rPr>
      <w:rFonts w:ascii="Times New Roman" w:eastAsia="Times New Roman" w:hAnsi="Times New Roman" w:cs="Times New Roman"/>
      <w:b/>
      <w:color w:val="44546A"/>
      <w:kern w:val="0"/>
      <w:sz w:val="32"/>
      <w:szCs w:val="32"/>
      <w:lang w:val="fr-FR"/>
    </w:rPr>
  </w:style>
  <w:style w:type="paragraph" w:customStyle="1" w:styleId="Projet">
    <w:name w:val="Projet"/>
    <w:basedOn w:val="Normal"/>
    <w:link w:val="ProjetCar"/>
    <w:qFormat/>
    <w:rsid w:val="00585ADD"/>
    <w:rPr>
      <w:rFonts w:ascii="Avenir Next LT Pro" w:hAnsi="Avenir Next LT Pro"/>
      <w:b/>
      <w:bCs/>
      <w:color w:val="0070C0"/>
      <w:sz w:val="26"/>
      <w:szCs w:val="26"/>
    </w:rPr>
  </w:style>
  <w:style w:type="paragraph" w:customStyle="1" w:styleId="Sous-sectionprojet">
    <w:name w:val="Sous-section projet"/>
    <w:basedOn w:val="Normal"/>
    <w:link w:val="Sous-sectionprojetCar"/>
    <w:qFormat/>
    <w:rsid w:val="00585ADD"/>
    <w:pPr>
      <w:jc w:val="both"/>
    </w:pPr>
    <w:rPr>
      <w:rFonts w:ascii="Avenir Next LT Pro" w:hAnsi="Avenir Next LT Pro"/>
      <w:b/>
      <w:bCs/>
      <w:color w:val="00B0F0"/>
      <w:sz w:val="24"/>
      <w:szCs w:val="24"/>
    </w:rPr>
  </w:style>
  <w:style w:type="character" w:customStyle="1" w:styleId="ProjetCar">
    <w:name w:val="Projet Car"/>
    <w:basedOn w:val="DefaultParagraphFont"/>
    <w:link w:val="Projet"/>
    <w:rsid w:val="00585ADD"/>
    <w:rPr>
      <w:rFonts w:ascii="Avenir Next LT Pro" w:hAnsi="Avenir Next LT Pro"/>
      <w:b/>
      <w:bCs/>
      <w:color w:val="0070C0"/>
      <w:kern w:val="0"/>
      <w:sz w:val="26"/>
      <w:szCs w:val="26"/>
      <w:lang w:val="fr-FR"/>
    </w:rPr>
  </w:style>
  <w:style w:type="character" w:customStyle="1" w:styleId="Sous-sectionprojetCar">
    <w:name w:val="Sous-section projet Car"/>
    <w:basedOn w:val="DefaultParagraphFont"/>
    <w:link w:val="Sous-sectionprojet"/>
    <w:rsid w:val="00585ADD"/>
    <w:rPr>
      <w:rFonts w:ascii="Avenir Next LT Pro" w:hAnsi="Avenir Next LT Pro"/>
      <w:b/>
      <w:bCs/>
      <w:color w:val="00B0F0"/>
      <w:kern w:val="0"/>
      <w:lang w:val="fr-FR"/>
    </w:rPr>
  </w:style>
  <w:style w:type="paragraph" w:customStyle="1" w:styleId="Jalonsetcibles">
    <w:name w:val="Jalons et cibles"/>
    <w:basedOn w:val="TitreComposante"/>
    <w:link w:val="JalonsetciblesCar"/>
    <w:qFormat/>
    <w:rsid w:val="00585ADD"/>
    <w:rPr>
      <w:rFonts w:eastAsia="Yu Gothic"/>
    </w:rPr>
  </w:style>
  <w:style w:type="character" w:customStyle="1" w:styleId="JalonsetciblesCar">
    <w:name w:val="Jalons et cibles Car"/>
    <w:basedOn w:val="TitreComposanteCar"/>
    <w:link w:val="Jalonsetcibles"/>
    <w:rsid w:val="00585ADD"/>
    <w:rPr>
      <w:rFonts w:ascii="Times New Roman" w:eastAsia="Yu Gothic" w:hAnsi="Times New Roman" w:cs="Times New Roman"/>
      <w:b/>
      <w:color w:val="44546A"/>
      <w:kern w:val="0"/>
      <w:sz w:val="32"/>
      <w:szCs w:val="32"/>
      <w:lang w:val="fr-FR"/>
    </w:rPr>
  </w:style>
  <w:style w:type="table" w:customStyle="1" w:styleId="TableGridLight1">
    <w:name w:val="Table Grid Light1"/>
    <w:basedOn w:val="TableNormal"/>
    <w:next w:val="TableGridLight"/>
    <w:uiPriority w:val="40"/>
    <w:rsid w:val="00585ADD"/>
    <w:pPr>
      <w:spacing w:after="0" w:line="240" w:lineRule="auto"/>
    </w:pPr>
    <w:rPr>
      <w:kern w:val="0"/>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BodyText">
    <w:name w:val="Body Text"/>
    <w:basedOn w:val="Titresous-section"/>
    <w:link w:val="BodyTextChar"/>
    <w:uiPriority w:val="1"/>
    <w:qFormat/>
    <w:rsid w:val="00585ADD"/>
    <w:pPr>
      <w:widowControl w:val="0"/>
      <w:numPr>
        <w:numId w:val="0"/>
      </w:numPr>
      <w:autoSpaceDE w:val="0"/>
      <w:autoSpaceDN w:val="0"/>
      <w:spacing w:after="0"/>
      <w:ind w:left="720" w:hanging="360"/>
    </w:pPr>
    <w:rPr>
      <w:rFonts w:ascii="Tahoma" w:eastAsia="Tahoma" w:hAnsi="Tahoma" w:cs="Tahoma"/>
      <w:szCs w:val="21"/>
    </w:rPr>
  </w:style>
  <w:style w:type="character" w:customStyle="1" w:styleId="BodyTextChar">
    <w:name w:val="Body Text Char"/>
    <w:basedOn w:val="DefaultParagraphFont"/>
    <w:link w:val="BodyText"/>
    <w:uiPriority w:val="1"/>
    <w:rsid w:val="00585ADD"/>
    <w:rPr>
      <w:rFonts w:ascii="Tahoma" w:eastAsia="Tahoma" w:hAnsi="Tahoma" w:cs="Tahoma"/>
      <w:b/>
      <w:bCs/>
      <w:color w:val="44546A"/>
      <w:kern w:val="0"/>
      <w:szCs w:val="21"/>
      <w:lang w:val="fr-FR"/>
    </w:rPr>
  </w:style>
  <w:style w:type="character" w:customStyle="1" w:styleId="findhit">
    <w:name w:val="findhit"/>
    <w:basedOn w:val="DefaultParagraphFont"/>
    <w:rsid w:val="00585ADD"/>
  </w:style>
  <w:style w:type="character" w:customStyle="1" w:styleId="Sous-projetCar">
    <w:name w:val="Sous-projet Car"/>
    <w:basedOn w:val="DefaultParagraphFont"/>
    <w:link w:val="Sous-projet"/>
    <w:locked/>
    <w:rsid w:val="00585ADD"/>
    <w:rPr>
      <w:rFonts w:ascii="Avenir Next LT Pro" w:hAnsi="Avenir Next LT Pro" w:cs="Arial"/>
      <w:b/>
      <w:bCs/>
      <w:color w:val="4472C4"/>
    </w:rPr>
  </w:style>
  <w:style w:type="paragraph" w:customStyle="1" w:styleId="Sous-projet">
    <w:name w:val="Sous-projet"/>
    <w:basedOn w:val="Normal"/>
    <w:link w:val="Sous-projetCar"/>
    <w:qFormat/>
    <w:rsid w:val="00585ADD"/>
    <w:pPr>
      <w:spacing w:after="80" w:line="240" w:lineRule="auto"/>
    </w:pPr>
    <w:rPr>
      <w:rFonts w:ascii="Avenir Next LT Pro" w:hAnsi="Avenir Next LT Pro" w:cs="Arial"/>
      <w:b/>
      <w:bCs/>
      <w:color w:val="4472C4"/>
      <w:kern w:val="2"/>
      <w:sz w:val="24"/>
      <w:szCs w:val="24"/>
    </w:rPr>
  </w:style>
  <w:style w:type="character" w:customStyle="1" w:styleId="Mention10">
    <w:name w:val="Mention10"/>
    <w:basedOn w:val="DefaultParagraphFont"/>
    <w:uiPriority w:val="99"/>
    <w:unhideWhenUsed/>
    <w:rsid w:val="00585ADD"/>
    <w:rPr>
      <w:color w:val="2B579A"/>
      <w:shd w:val="clear" w:color="auto" w:fill="E1DFDD"/>
    </w:rPr>
  </w:style>
  <w:style w:type="character" w:customStyle="1" w:styleId="scxw241096750">
    <w:name w:val="scxw241096750"/>
    <w:basedOn w:val="DefaultParagraphFont"/>
    <w:rsid w:val="00585ADD"/>
  </w:style>
  <w:style w:type="character" w:customStyle="1" w:styleId="scxw251687969">
    <w:name w:val="scxw251687969"/>
    <w:basedOn w:val="DefaultParagraphFont"/>
    <w:rsid w:val="00585ADD"/>
  </w:style>
  <w:style w:type="character" w:customStyle="1" w:styleId="UnresolvedMention2">
    <w:name w:val="Unresolved Mention2"/>
    <w:basedOn w:val="DefaultParagraphFont"/>
    <w:uiPriority w:val="99"/>
    <w:semiHidden/>
    <w:unhideWhenUsed/>
    <w:rsid w:val="00585ADD"/>
    <w:rPr>
      <w:color w:val="605E5C"/>
      <w:shd w:val="clear" w:color="auto" w:fill="E1DFDD"/>
    </w:rPr>
  </w:style>
  <w:style w:type="paragraph" w:customStyle="1" w:styleId="pf1">
    <w:name w:val="pf1"/>
    <w:basedOn w:val="Normal"/>
    <w:rsid w:val="00585AD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Mention200">
    <w:name w:val="Mention200"/>
    <w:basedOn w:val="DefaultParagraphFont"/>
    <w:uiPriority w:val="99"/>
    <w:unhideWhenUsed/>
    <w:rsid w:val="00585ADD"/>
    <w:rPr>
      <w:color w:val="2B579A"/>
      <w:shd w:val="clear" w:color="auto" w:fill="E1DFDD"/>
    </w:rPr>
  </w:style>
  <w:style w:type="character" w:customStyle="1" w:styleId="Mention2000">
    <w:name w:val="Mention2000"/>
    <w:basedOn w:val="DefaultParagraphFont"/>
    <w:uiPriority w:val="99"/>
    <w:unhideWhenUsed/>
    <w:rsid w:val="00585ADD"/>
    <w:rPr>
      <w:color w:val="2B579A"/>
      <w:shd w:val="clear" w:color="auto" w:fill="E1DFDD"/>
    </w:rPr>
  </w:style>
  <w:style w:type="character" w:customStyle="1" w:styleId="Mention5">
    <w:name w:val="Mention5"/>
    <w:basedOn w:val="DefaultParagraphFont"/>
    <w:uiPriority w:val="99"/>
    <w:unhideWhenUsed/>
    <w:rsid w:val="00585ADD"/>
    <w:rPr>
      <w:color w:val="2B579A"/>
      <w:shd w:val="clear" w:color="auto" w:fill="E1DFDD"/>
    </w:rPr>
  </w:style>
  <w:style w:type="character" w:customStyle="1" w:styleId="Mention6">
    <w:name w:val="Mention6"/>
    <w:basedOn w:val="DefaultParagraphFont"/>
    <w:uiPriority w:val="99"/>
    <w:unhideWhenUsed/>
    <w:rsid w:val="00585ADD"/>
    <w:rPr>
      <w:color w:val="2B579A"/>
      <w:shd w:val="clear" w:color="auto" w:fill="E1DFDD"/>
    </w:rPr>
  </w:style>
  <w:style w:type="paragraph" w:customStyle="1" w:styleId="TableParagraph">
    <w:name w:val="Table Paragraph"/>
    <w:basedOn w:val="Normal"/>
    <w:uiPriority w:val="1"/>
    <w:qFormat/>
    <w:rsid w:val="00585ADD"/>
    <w:rPr>
      <w:rFonts w:eastAsia="Yu Mincho"/>
      <w:sz w:val="24"/>
      <w:szCs w:val="24"/>
      <w:lang w:eastAsia="fr-BE"/>
    </w:rPr>
  </w:style>
  <w:style w:type="paragraph" w:customStyle="1" w:styleId="LegalNumPar2">
    <w:name w:val="LegalNumPar2"/>
    <w:basedOn w:val="Normal"/>
    <w:rsid w:val="00585ADD"/>
    <w:pPr>
      <w:numPr>
        <w:ilvl w:val="1"/>
        <w:numId w:val="25"/>
      </w:numPr>
    </w:pPr>
  </w:style>
  <w:style w:type="character" w:customStyle="1" w:styleId="Mention7">
    <w:name w:val="Mention7"/>
    <w:basedOn w:val="DefaultParagraphFont"/>
    <w:uiPriority w:val="99"/>
    <w:unhideWhenUsed/>
    <w:rsid w:val="00585ADD"/>
    <w:rPr>
      <w:color w:val="2B579A"/>
      <w:shd w:val="clear" w:color="auto" w:fill="E1DFDD"/>
    </w:rPr>
  </w:style>
  <w:style w:type="character" w:customStyle="1" w:styleId="FollowedHyperlink2">
    <w:name w:val="FollowedHyperlink2"/>
    <w:basedOn w:val="DefaultParagraphFont"/>
    <w:uiPriority w:val="99"/>
    <w:semiHidden/>
    <w:unhideWhenUsed/>
    <w:rsid w:val="00585ADD"/>
    <w:rPr>
      <w:color w:val="96607D"/>
      <w:u w:val="single"/>
    </w:rPr>
  </w:style>
  <w:style w:type="table" w:customStyle="1" w:styleId="TableGridLight2">
    <w:name w:val="Table Grid Light2"/>
    <w:basedOn w:val="TableNormal"/>
    <w:next w:val="TableGridLight"/>
    <w:uiPriority w:val="40"/>
    <w:rsid w:val="00585ADD"/>
    <w:pPr>
      <w:spacing w:after="0" w:line="240" w:lineRule="auto"/>
    </w:pPr>
    <w:rPr>
      <w:kern w:val="0"/>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aption2">
    <w:name w:val="Caption2"/>
    <w:basedOn w:val="Normal"/>
    <w:next w:val="Normal"/>
    <w:uiPriority w:val="35"/>
    <w:unhideWhenUsed/>
    <w:qFormat/>
    <w:rsid w:val="00585ADD"/>
    <w:pPr>
      <w:spacing w:after="200" w:line="240" w:lineRule="auto"/>
      <w:jc w:val="both"/>
    </w:pPr>
    <w:rPr>
      <w:rFonts w:ascii="Times New Roman" w:hAnsi="Times New Roman" w:cs="Times New Roman"/>
      <w:i/>
      <w:iCs/>
      <w:color w:val="44546A"/>
      <w:sz w:val="18"/>
      <w:szCs w:val="18"/>
    </w:rPr>
  </w:style>
  <w:style w:type="table" w:customStyle="1" w:styleId="GridTable1Light-Accent111">
    <w:name w:val="Grid Table 1 Light - Accent 111"/>
    <w:basedOn w:val="TableNormal"/>
    <w:uiPriority w:val="46"/>
    <w:rsid w:val="00585ADD"/>
    <w:pPr>
      <w:spacing w:after="0" w:line="240" w:lineRule="auto"/>
    </w:pPr>
    <w:rPr>
      <w:kern w:val="0"/>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eGridLight">
    <w:name w:val="Grid Table Light"/>
    <w:basedOn w:val="TableNormal"/>
    <w:uiPriority w:val="40"/>
    <w:rsid w:val="00585A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585ADD"/>
    <w:rPr>
      <w:color w:val="96607D" w:themeColor="followedHyperlink"/>
      <w:u w:val="single"/>
    </w:rPr>
  </w:style>
  <w:style w:type="paragraph" w:customStyle="1" w:styleId="LegalNumPar">
    <w:name w:val="LegalNumPar"/>
    <w:basedOn w:val="Normal"/>
    <w:rsid w:val="00F447E0"/>
    <w:pPr>
      <w:numPr>
        <w:numId w:val="25"/>
      </w:numPr>
      <w:spacing w:line="360" w:lineRule="auto"/>
    </w:pPr>
    <w:rPr>
      <w:sz w:val="24"/>
    </w:rPr>
  </w:style>
  <w:style w:type="paragraph" w:customStyle="1" w:styleId="LegalNumPar3">
    <w:name w:val="LegalNumPar3"/>
    <w:basedOn w:val="Normal"/>
    <w:rsid w:val="00F447E0"/>
    <w:pPr>
      <w:numPr>
        <w:ilvl w:val="2"/>
        <w:numId w:val="25"/>
      </w:numPr>
      <w:spacing w:line="360" w:lineRule="auto"/>
    </w:pPr>
    <w:rPr>
      <w:sz w:val="24"/>
    </w:rPr>
  </w:style>
  <w:style w:type="paragraph" w:customStyle="1" w:styleId="Annex">
    <w:name w:val="Annex"/>
    <w:basedOn w:val="Normal"/>
    <w:next w:val="Normal"/>
    <w:rsid w:val="00694E30"/>
    <w:pPr>
      <w:spacing w:before="120" w:after="120" w:line="360" w:lineRule="auto"/>
      <w:jc w:val="right"/>
    </w:pPr>
    <w:rPr>
      <w:rFonts w:ascii="Times New Roman" w:hAnsi="Times New Roman" w:cs="Times New Roman"/>
      <w:b/>
      <w:sz w:val="24"/>
      <w:u w:val="single"/>
    </w:rPr>
  </w:style>
  <w:style w:type="paragraph" w:customStyle="1" w:styleId="FinalLine">
    <w:name w:val="Final Line"/>
    <w:basedOn w:val="Normal"/>
    <w:next w:val="Normal"/>
    <w:rsid w:val="00694E30"/>
    <w:pPr>
      <w:pBdr>
        <w:bottom w:val="single" w:sz="4" w:space="0" w:color="000000"/>
      </w:pBdr>
      <w:spacing w:before="360" w:after="120" w:line="360" w:lineRule="auto"/>
      <w:ind w:left="3400" w:right="3400"/>
      <w:jc w:val="center"/>
    </w:pPr>
    <w:rPr>
      <w:rFonts w:ascii="Times New Roman" w:hAnsi="Times New Roman" w:cs="Times New Roman"/>
      <w:b/>
      <w:sz w:val="24"/>
    </w:rPr>
  </w:style>
  <w:style w:type="character" w:customStyle="1" w:styleId="Mention">
    <w:name w:val="Mention"/>
    <w:basedOn w:val="DefaultParagraphFont"/>
    <w:uiPriority w:val="99"/>
    <w:unhideWhenUsed/>
    <w:rsid w:val="00F70F6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443963">
      <w:bodyDiv w:val="1"/>
      <w:marLeft w:val="0"/>
      <w:marRight w:val="0"/>
      <w:marTop w:val="0"/>
      <w:marBottom w:val="0"/>
      <w:divBdr>
        <w:top w:val="none" w:sz="0" w:space="0" w:color="auto"/>
        <w:left w:val="none" w:sz="0" w:space="0" w:color="auto"/>
        <w:bottom w:val="none" w:sz="0" w:space="0" w:color="auto"/>
        <w:right w:val="none" w:sz="0" w:space="0" w:color="auto"/>
      </w:divBdr>
      <w:divsChild>
        <w:div w:id="335233889">
          <w:marLeft w:val="0"/>
          <w:marRight w:val="0"/>
          <w:marTop w:val="0"/>
          <w:marBottom w:val="0"/>
          <w:divBdr>
            <w:top w:val="none" w:sz="0" w:space="0" w:color="auto"/>
            <w:left w:val="none" w:sz="0" w:space="0" w:color="auto"/>
            <w:bottom w:val="none" w:sz="0" w:space="0" w:color="auto"/>
            <w:right w:val="none" w:sz="0" w:space="0" w:color="auto"/>
          </w:divBdr>
        </w:div>
        <w:div w:id="764233026">
          <w:marLeft w:val="0"/>
          <w:marRight w:val="0"/>
          <w:marTop w:val="0"/>
          <w:marBottom w:val="0"/>
          <w:divBdr>
            <w:top w:val="none" w:sz="0" w:space="0" w:color="auto"/>
            <w:left w:val="none" w:sz="0" w:space="0" w:color="auto"/>
            <w:bottom w:val="none" w:sz="0" w:space="0" w:color="auto"/>
            <w:right w:val="none" w:sz="0" w:space="0" w:color="auto"/>
          </w:divBdr>
        </w:div>
        <w:div w:id="2130125637">
          <w:marLeft w:val="0"/>
          <w:marRight w:val="0"/>
          <w:marTop w:val="0"/>
          <w:marBottom w:val="0"/>
          <w:divBdr>
            <w:top w:val="none" w:sz="0" w:space="0" w:color="auto"/>
            <w:left w:val="none" w:sz="0" w:space="0" w:color="auto"/>
            <w:bottom w:val="none" w:sz="0" w:space="0" w:color="auto"/>
            <w:right w:val="none" w:sz="0" w:space="0" w:color="auto"/>
          </w:divBdr>
        </w:div>
      </w:divsChild>
    </w:div>
    <w:div w:id="230313365">
      <w:bodyDiv w:val="1"/>
      <w:marLeft w:val="0"/>
      <w:marRight w:val="0"/>
      <w:marTop w:val="0"/>
      <w:marBottom w:val="0"/>
      <w:divBdr>
        <w:top w:val="none" w:sz="0" w:space="0" w:color="auto"/>
        <w:left w:val="none" w:sz="0" w:space="0" w:color="auto"/>
        <w:bottom w:val="none" w:sz="0" w:space="0" w:color="auto"/>
        <w:right w:val="none" w:sz="0" w:space="0" w:color="auto"/>
      </w:divBdr>
      <w:divsChild>
        <w:div w:id="268657986">
          <w:marLeft w:val="0"/>
          <w:marRight w:val="0"/>
          <w:marTop w:val="0"/>
          <w:marBottom w:val="0"/>
          <w:divBdr>
            <w:top w:val="none" w:sz="0" w:space="0" w:color="auto"/>
            <w:left w:val="none" w:sz="0" w:space="0" w:color="auto"/>
            <w:bottom w:val="none" w:sz="0" w:space="0" w:color="auto"/>
            <w:right w:val="none" w:sz="0" w:space="0" w:color="auto"/>
          </w:divBdr>
          <w:divsChild>
            <w:div w:id="2014524090">
              <w:marLeft w:val="0"/>
              <w:marRight w:val="0"/>
              <w:marTop w:val="0"/>
              <w:marBottom w:val="0"/>
              <w:divBdr>
                <w:top w:val="none" w:sz="0" w:space="0" w:color="auto"/>
                <w:left w:val="none" w:sz="0" w:space="0" w:color="auto"/>
                <w:bottom w:val="none" w:sz="0" w:space="0" w:color="auto"/>
                <w:right w:val="none" w:sz="0" w:space="0" w:color="auto"/>
              </w:divBdr>
            </w:div>
          </w:divsChild>
        </w:div>
        <w:div w:id="286856605">
          <w:marLeft w:val="0"/>
          <w:marRight w:val="0"/>
          <w:marTop w:val="0"/>
          <w:marBottom w:val="0"/>
          <w:divBdr>
            <w:top w:val="none" w:sz="0" w:space="0" w:color="auto"/>
            <w:left w:val="none" w:sz="0" w:space="0" w:color="auto"/>
            <w:bottom w:val="none" w:sz="0" w:space="0" w:color="auto"/>
            <w:right w:val="none" w:sz="0" w:space="0" w:color="auto"/>
          </w:divBdr>
          <w:divsChild>
            <w:div w:id="1889685316">
              <w:marLeft w:val="0"/>
              <w:marRight w:val="0"/>
              <w:marTop w:val="0"/>
              <w:marBottom w:val="0"/>
              <w:divBdr>
                <w:top w:val="none" w:sz="0" w:space="0" w:color="auto"/>
                <w:left w:val="none" w:sz="0" w:space="0" w:color="auto"/>
                <w:bottom w:val="none" w:sz="0" w:space="0" w:color="auto"/>
                <w:right w:val="none" w:sz="0" w:space="0" w:color="auto"/>
              </w:divBdr>
            </w:div>
          </w:divsChild>
        </w:div>
        <w:div w:id="315572678">
          <w:marLeft w:val="0"/>
          <w:marRight w:val="0"/>
          <w:marTop w:val="0"/>
          <w:marBottom w:val="0"/>
          <w:divBdr>
            <w:top w:val="none" w:sz="0" w:space="0" w:color="auto"/>
            <w:left w:val="none" w:sz="0" w:space="0" w:color="auto"/>
            <w:bottom w:val="none" w:sz="0" w:space="0" w:color="auto"/>
            <w:right w:val="none" w:sz="0" w:space="0" w:color="auto"/>
          </w:divBdr>
          <w:divsChild>
            <w:div w:id="1909222481">
              <w:marLeft w:val="0"/>
              <w:marRight w:val="0"/>
              <w:marTop w:val="0"/>
              <w:marBottom w:val="0"/>
              <w:divBdr>
                <w:top w:val="none" w:sz="0" w:space="0" w:color="auto"/>
                <w:left w:val="none" w:sz="0" w:space="0" w:color="auto"/>
                <w:bottom w:val="none" w:sz="0" w:space="0" w:color="auto"/>
                <w:right w:val="none" w:sz="0" w:space="0" w:color="auto"/>
              </w:divBdr>
            </w:div>
          </w:divsChild>
        </w:div>
        <w:div w:id="357389430">
          <w:marLeft w:val="0"/>
          <w:marRight w:val="0"/>
          <w:marTop w:val="0"/>
          <w:marBottom w:val="0"/>
          <w:divBdr>
            <w:top w:val="none" w:sz="0" w:space="0" w:color="auto"/>
            <w:left w:val="none" w:sz="0" w:space="0" w:color="auto"/>
            <w:bottom w:val="none" w:sz="0" w:space="0" w:color="auto"/>
            <w:right w:val="none" w:sz="0" w:space="0" w:color="auto"/>
          </w:divBdr>
          <w:divsChild>
            <w:div w:id="2049530663">
              <w:marLeft w:val="0"/>
              <w:marRight w:val="0"/>
              <w:marTop w:val="0"/>
              <w:marBottom w:val="0"/>
              <w:divBdr>
                <w:top w:val="none" w:sz="0" w:space="0" w:color="auto"/>
                <w:left w:val="none" w:sz="0" w:space="0" w:color="auto"/>
                <w:bottom w:val="none" w:sz="0" w:space="0" w:color="auto"/>
                <w:right w:val="none" w:sz="0" w:space="0" w:color="auto"/>
              </w:divBdr>
            </w:div>
          </w:divsChild>
        </w:div>
        <w:div w:id="849874898">
          <w:marLeft w:val="0"/>
          <w:marRight w:val="0"/>
          <w:marTop w:val="0"/>
          <w:marBottom w:val="0"/>
          <w:divBdr>
            <w:top w:val="none" w:sz="0" w:space="0" w:color="auto"/>
            <w:left w:val="none" w:sz="0" w:space="0" w:color="auto"/>
            <w:bottom w:val="none" w:sz="0" w:space="0" w:color="auto"/>
            <w:right w:val="none" w:sz="0" w:space="0" w:color="auto"/>
          </w:divBdr>
          <w:divsChild>
            <w:div w:id="1220938607">
              <w:marLeft w:val="0"/>
              <w:marRight w:val="0"/>
              <w:marTop w:val="0"/>
              <w:marBottom w:val="0"/>
              <w:divBdr>
                <w:top w:val="none" w:sz="0" w:space="0" w:color="auto"/>
                <w:left w:val="none" w:sz="0" w:space="0" w:color="auto"/>
                <w:bottom w:val="none" w:sz="0" w:space="0" w:color="auto"/>
                <w:right w:val="none" w:sz="0" w:space="0" w:color="auto"/>
              </w:divBdr>
            </w:div>
          </w:divsChild>
        </w:div>
        <w:div w:id="903029426">
          <w:marLeft w:val="0"/>
          <w:marRight w:val="0"/>
          <w:marTop w:val="0"/>
          <w:marBottom w:val="0"/>
          <w:divBdr>
            <w:top w:val="none" w:sz="0" w:space="0" w:color="auto"/>
            <w:left w:val="none" w:sz="0" w:space="0" w:color="auto"/>
            <w:bottom w:val="none" w:sz="0" w:space="0" w:color="auto"/>
            <w:right w:val="none" w:sz="0" w:space="0" w:color="auto"/>
          </w:divBdr>
          <w:divsChild>
            <w:div w:id="41484900">
              <w:marLeft w:val="0"/>
              <w:marRight w:val="0"/>
              <w:marTop w:val="0"/>
              <w:marBottom w:val="0"/>
              <w:divBdr>
                <w:top w:val="none" w:sz="0" w:space="0" w:color="auto"/>
                <w:left w:val="none" w:sz="0" w:space="0" w:color="auto"/>
                <w:bottom w:val="none" w:sz="0" w:space="0" w:color="auto"/>
                <w:right w:val="none" w:sz="0" w:space="0" w:color="auto"/>
              </w:divBdr>
            </w:div>
            <w:div w:id="826868790">
              <w:marLeft w:val="0"/>
              <w:marRight w:val="0"/>
              <w:marTop w:val="0"/>
              <w:marBottom w:val="0"/>
              <w:divBdr>
                <w:top w:val="none" w:sz="0" w:space="0" w:color="auto"/>
                <w:left w:val="none" w:sz="0" w:space="0" w:color="auto"/>
                <w:bottom w:val="none" w:sz="0" w:space="0" w:color="auto"/>
                <w:right w:val="none" w:sz="0" w:space="0" w:color="auto"/>
              </w:divBdr>
            </w:div>
            <w:div w:id="833303273">
              <w:marLeft w:val="0"/>
              <w:marRight w:val="0"/>
              <w:marTop w:val="0"/>
              <w:marBottom w:val="0"/>
              <w:divBdr>
                <w:top w:val="none" w:sz="0" w:space="0" w:color="auto"/>
                <w:left w:val="none" w:sz="0" w:space="0" w:color="auto"/>
                <w:bottom w:val="none" w:sz="0" w:space="0" w:color="auto"/>
                <w:right w:val="none" w:sz="0" w:space="0" w:color="auto"/>
              </w:divBdr>
            </w:div>
          </w:divsChild>
        </w:div>
        <w:div w:id="915088789">
          <w:marLeft w:val="0"/>
          <w:marRight w:val="0"/>
          <w:marTop w:val="0"/>
          <w:marBottom w:val="0"/>
          <w:divBdr>
            <w:top w:val="none" w:sz="0" w:space="0" w:color="auto"/>
            <w:left w:val="none" w:sz="0" w:space="0" w:color="auto"/>
            <w:bottom w:val="none" w:sz="0" w:space="0" w:color="auto"/>
            <w:right w:val="none" w:sz="0" w:space="0" w:color="auto"/>
          </w:divBdr>
          <w:divsChild>
            <w:div w:id="1220096141">
              <w:marLeft w:val="0"/>
              <w:marRight w:val="0"/>
              <w:marTop w:val="0"/>
              <w:marBottom w:val="0"/>
              <w:divBdr>
                <w:top w:val="none" w:sz="0" w:space="0" w:color="auto"/>
                <w:left w:val="none" w:sz="0" w:space="0" w:color="auto"/>
                <w:bottom w:val="none" w:sz="0" w:space="0" w:color="auto"/>
                <w:right w:val="none" w:sz="0" w:space="0" w:color="auto"/>
              </w:divBdr>
            </w:div>
          </w:divsChild>
        </w:div>
        <w:div w:id="1023946156">
          <w:marLeft w:val="0"/>
          <w:marRight w:val="0"/>
          <w:marTop w:val="0"/>
          <w:marBottom w:val="0"/>
          <w:divBdr>
            <w:top w:val="none" w:sz="0" w:space="0" w:color="auto"/>
            <w:left w:val="none" w:sz="0" w:space="0" w:color="auto"/>
            <w:bottom w:val="none" w:sz="0" w:space="0" w:color="auto"/>
            <w:right w:val="none" w:sz="0" w:space="0" w:color="auto"/>
          </w:divBdr>
          <w:divsChild>
            <w:div w:id="1965035115">
              <w:marLeft w:val="0"/>
              <w:marRight w:val="0"/>
              <w:marTop w:val="0"/>
              <w:marBottom w:val="0"/>
              <w:divBdr>
                <w:top w:val="none" w:sz="0" w:space="0" w:color="auto"/>
                <w:left w:val="none" w:sz="0" w:space="0" w:color="auto"/>
                <w:bottom w:val="none" w:sz="0" w:space="0" w:color="auto"/>
                <w:right w:val="none" w:sz="0" w:space="0" w:color="auto"/>
              </w:divBdr>
            </w:div>
          </w:divsChild>
        </w:div>
        <w:div w:id="1258248508">
          <w:marLeft w:val="0"/>
          <w:marRight w:val="0"/>
          <w:marTop w:val="0"/>
          <w:marBottom w:val="0"/>
          <w:divBdr>
            <w:top w:val="none" w:sz="0" w:space="0" w:color="auto"/>
            <w:left w:val="none" w:sz="0" w:space="0" w:color="auto"/>
            <w:bottom w:val="none" w:sz="0" w:space="0" w:color="auto"/>
            <w:right w:val="none" w:sz="0" w:space="0" w:color="auto"/>
          </w:divBdr>
          <w:divsChild>
            <w:div w:id="1613630310">
              <w:marLeft w:val="0"/>
              <w:marRight w:val="0"/>
              <w:marTop w:val="0"/>
              <w:marBottom w:val="0"/>
              <w:divBdr>
                <w:top w:val="none" w:sz="0" w:space="0" w:color="auto"/>
                <w:left w:val="none" w:sz="0" w:space="0" w:color="auto"/>
                <w:bottom w:val="none" w:sz="0" w:space="0" w:color="auto"/>
                <w:right w:val="none" w:sz="0" w:space="0" w:color="auto"/>
              </w:divBdr>
            </w:div>
          </w:divsChild>
        </w:div>
        <w:div w:id="1474370838">
          <w:marLeft w:val="0"/>
          <w:marRight w:val="0"/>
          <w:marTop w:val="0"/>
          <w:marBottom w:val="0"/>
          <w:divBdr>
            <w:top w:val="none" w:sz="0" w:space="0" w:color="auto"/>
            <w:left w:val="none" w:sz="0" w:space="0" w:color="auto"/>
            <w:bottom w:val="none" w:sz="0" w:space="0" w:color="auto"/>
            <w:right w:val="none" w:sz="0" w:space="0" w:color="auto"/>
          </w:divBdr>
          <w:divsChild>
            <w:div w:id="582764391">
              <w:marLeft w:val="0"/>
              <w:marRight w:val="0"/>
              <w:marTop w:val="0"/>
              <w:marBottom w:val="0"/>
              <w:divBdr>
                <w:top w:val="none" w:sz="0" w:space="0" w:color="auto"/>
                <w:left w:val="none" w:sz="0" w:space="0" w:color="auto"/>
                <w:bottom w:val="none" w:sz="0" w:space="0" w:color="auto"/>
                <w:right w:val="none" w:sz="0" w:space="0" w:color="auto"/>
              </w:divBdr>
            </w:div>
          </w:divsChild>
        </w:div>
        <w:div w:id="1745451056">
          <w:marLeft w:val="0"/>
          <w:marRight w:val="0"/>
          <w:marTop w:val="0"/>
          <w:marBottom w:val="0"/>
          <w:divBdr>
            <w:top w:val="none" w:sz="0" w:space="0" w:color="auto"/>
            <w:left w:val="none" w:sz="0" w:space="0" w:color="auto"/>
            <w:bottom w:val="none" w:sz="0" w:space="0" w:color="auto"/>
            <w:right w:val="none" w:sz="0" w:space="0" w:color="auto"/>
          </w:divBdr>
          <w:divsChild>
            <w:div w:id="76345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574058">
      <w:bodyDiv w:val="1"/>
      <w:marLeft w:val="0"/>
      <w:marRight w:val="0"/>
      <w:marTop w:val="0"/>
      <w:marBottom w:val="0"/>
      <w:divBdr>
        <w:top w:val="none" w:sz="0" w:space="0" w:color="auto"/>
        <w:left w:val="none" w:sz="0" w:space="0" w:color="auto"/>
        <w:bottom w:val="none" w:sz="0" w:space="0" w:color="auto"/>
        <w:right w:val="none" w:sz="0" w:space="0" w:color="auto"/>
      </w:divBdr>
      <w:divsChild>
        <w:div w:id="12803579">
          <w:marLeft w:val="0"/>
          <w:marRight w:val="0"/>
          <w:marTop w:val="0"/>
          <w:marBottom w:val="0"/>
          <w:divBdr>
            <w:top w:val="none" w:sz="0" w:space="0" w:color="auto"/>
            <w:left w:val="none" w:sz="0" w:space="0" w:color="auto"/>
            <w:bottom w:val="none" w:sz="0" w:space="0" w:color="auto"/>
            <w:right w:val="none" w:sz="0" w:space="0" w:color="auto"/>
          </w:divBdr>
        </w:div>
        <w:div w:id="117913261">
          <w:marLeft w:val="0"/>
          <w:marRight w:val="0"/>
          <w:marTop w:val="0"/>
          <w:marBottom w:val="0"/>
          <w:divBdr>
            <w:top w:val="none" w:sz="0" w:space="0" w:color="auto"/>
            <w:left w:val="none" w:sz="0" w:space="0" w:color="auto"/>
            <w:bottom w:val="none" w:sz="0" w:space="0" w:color="auto"/>
            <w:right w:val="none" w:sz="0" w:space="0" w:color="auto"/>
          </w:divBdr>
        </w:div>
        <w:div w:id="1358199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303" Type="http://schemas.openxmlformats.org/officeDocument/2006/relationships/footer" Target="footer146.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247" Type="http://schemas.openxmlformats.org/officeDocument/2006/relationships/header" Target="header119.xml"/><Relationship Id="rId107" Type="http://schemas.openxmlformats.org/officeDocument/2006/relationships/footer" Target="footer48.xml"/><Relationship Id="rId268" Type="http://schemas.openxmlformats.org/officeDocument/2006/relationships/header" Target="header129.xml"/><Relationship Id="rId289" Type="http://schemas.openxmlformats.org/officeDocument/2006/relationships/header" Target="header140.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314" Type="http://schemas.openxmlformats.org/officeDocument/2006/relationships/footer" Target="footer151.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258" Type="http://schemas.openxmlformats.org/officeDocument/2006/relationships/header" Target="header124.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305" Type="http://schemas.openxmlformats.org/officeDocument/2006/relationships/footer" Target="footer147.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header" Target="header148.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19" Type="http://schemas.openxmlformats.org/officeDocument/2006/relationships/header" Target="header5.xml"/><Relationship Id="rId224" Type="http://schemas.openxmlformats.org/officeDocument/2006/relationships/footer" Target="footer106.xml"/><Relationship Id="rId240" Type="http://schemas.openxmlformats.org/officeDocument/2006/relationships/header" Target="header115.xml"/><Relationship Id="rId245" Type="http://schemas.openxmlformats.org/officeDocument/2006/relationships/footer" Target="footer117.xml"/><Relationship Id="rId261" Type="http://schemas.openxmlformats.org/officeDocument/2006/relationships/footer" Target="footer125.xml"/><Relationship Id="rId266" Type="http://schemas.openxmlformats.org/officeDocument/2006/relationships/footer" Target="footer127.xml"/><Relationship Id="rId287" Type="http://schemas.openxmlformats.org/officeDocument/2006/relationships/footer" Target="footer138.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282" Type="http://schemas.openxmlformats.org/officeDocument/2006/relationships/header" Target="header136.xml"/><Relationship Id="rId312" Type="http://schemas.openxmlformats.org/officeDocument/2006/relationships/header" Target="header151.xml"/><Relationship Id="rId317" Type="http://schemas.openxmlformats.org/officeDocument/2006/relationships/footer" Target="footer153.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header" Target="header113.xml"/><Relationship Id="rId251" Type="http://schemas.openxmlformats.org/officeDocument/2006/relationships/footer" Target="footer120.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72" Type="http://schemas.openxmlformats.org/officeDocument/2006/relationships/footer" Target="footer130.xml"/><Relationship Id="rId293" Type="http://schemas.openxmlformats.org/officeDocument/2006/relationships/footer" Target="footer141.xml"/><Relationship Id="rId302" Type="http://schemas.openxmlformats.org/officeDocument/2006/relationships/footer" Target="footer145.xml"/><Relationship Id="rId307" Type="http://schemas.openxmlformats.org/officeDocument/2006/relationships/header" Target="header149.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241" Type="http://schemas.openxmlformats.org/officeDocument/2006/relationships/header" Target="header116.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header" Target="header126.xml"/><Relationship Id="rId283" Type="http://schemas.openxmlformats.org/officeDocument/2006/relationships/header" Target="header137.xml"/><Relationship Id="rId313" Type="http://schemas.openxmlformats.org/officeDocument/2006/relationships/header" Target="header152.xml"/><Relationship Id="rId318"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theme" Target="theme/theme1.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659af075ac77ad4d642bf35444795960">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cc4726e3e2559a282fbde5e2a72e930"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b46321-4863-49fd-9335-6bd80854a530}"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0773A-CD27-417B-9E1D-23B2AD3ACD4B}">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344A06A0-B8F8-49E3-A0B9-AB0C11B8C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9BC329-A50F-42E4-8906-89C65C1BBA2E}">
  <ds:schemaRefs>
    <ds:schemaRef ds:uri="http://schemas.microsoft.com/sharepoint/v3/contenttype/forms"/>
  </ds:schemaRefs>
</ds:datastoreItem>
</file>

<file path=customXml/itemProps4.xml><?xml version="1.0" encoding="utf-8"?>
<ds:datastoreItem xmlns:ds="http://schemas.openxmlformats.org/officeDocument/2006/customXml" ds:itemID="{E53EFFD8-EBFE-4116-8AC4-4680808C7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9</Pages>
  <Words>43532</Words>
  <Characters>248135</Characters>
  <Application>Microsoft Office Word</Application>
  <DocSecurity>0</DocSecurity>
  <Lines>2067</Lines>
  <Paragraphs>582</Paragraphs>
  <ScaleCrop>false</ScaleCrop>
  <Manager/>
  <Company/>
  <LinksUpToDate>false</LinksUpToDate>
  <CharactersWithSpaces>291085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2026-07-27T08:12:00Z</dcterms:created>
  <dcterms:modified xsi:type="dcterms:W3CDTF">2026-08-07T10:17:00Z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2026-06-02T15:15:33Z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2026-06-29T11:26:23Z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091696e5-0f2b-43b3-9a64-385424102e98</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