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E5F20F" w14:textId="38CCC498" w:rsidR="00A56E01" w:rsidRPr="00D1795B" w:rsidRDefault="00DB72F8" w:rsidP="00DB72F8">
      <w:pPr>
        <w:pStyle w:val="Pagedecouverture"/>
        <w:rPr>
          <w:noProof/>
        </w:rPr>
      </w:pPr>
      <w:bookmarkStart w:id="0" w:name="LW_BM_COVERPAGE"/>
      <w:r>
        <w:rPr>
          <w:noProof/>
        </w:rPr>
        <w:pict w14:anchorId="692D77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025AFA4-E044-4730-9A91-6EC168F8E466" style="width:455.25pt;height:372.75pt">
            <v:imagedata r:id="rId10" o:title=""/>
          </v:shape>
        </w:pict>
      </w:r>
    </w:p>
    <w:bookmarkEnd w:id="0"/>
    <w:p w14:paraId="45BEC798" w14:textId="77777777" w:rsidR="00A56E01" w:rsidRPr="00D1795B" w:rsidRDefault="00A56E01" w:rsidP="00A56E01">
      <w:pPr>
        <w:rPr>
          <w:noProof/>
        </w:rPr>
        <w:sectPr w:rsidR="00A56E01" w:rsidRPr="00D1795B" w:rsidSect="00DB72F8">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1887DF93" w14:textId="61FF7986" w:rsidR="00C02B59" w:rsidRPr="00D1795B" w:rsidRDefault="00C02B59" w:rsidP="00F6716A">
      <w:pPr>
        <w:pStyle w:val="Annex"/>
        <w:jc w:val="center"/>
        <w:rPr>
          <w:noProof/>
        </w:rPr>
      </w:pPr>
      <w:bookmarkStart w:id="1" w:name="_GoBack"/>
      <w:bookmarkEnd w:id="1"/>
      <w:r w:rsidRPr="00D1795B">
        <w:rPr>
          <w:noProof/>
        </w:rPr>
        <w:lastRenderedPageBreak/>
        <w:t>ANNEX</w:t>
      </w:r>
    </w:p>
    <w:p w14:paraId="1887DF94" w14:textId="77777777" w:rsidR="00C02B59" w:rsidRDefault="00C02B59" w:rsidP="00C02B59">
      <w:pPr>
        <w:spacing w:before="360" w:after="120"/>
        <w:jc w:val="both"/>
        <w:rPr>
          <w:rFonts w:ascii="Times New Roman" w:eastAsia="Times New Roman" w:hAnsi="Times New Roman" w:cs="Times New Roman"/>
          <w:noProof/>
          <w:sz w:val="22"/>
          <w:szCs w:val="22"/>
        </w:rPr>
      </w:pPr>
      <w:r w:rsidRPr="00D1795B">
        <w:rPr>
          <w:rFonts w:ascii="Times New Roman" w:eastAsia="Times New Roman" w:hAnsi="Times New Roman" w:cs="Times New Roman"/>
          <w:b/>
          <w:bCs/>
          <w:smallCaps/>
          <w:noProof/>
        </w:rPr>
        <w:t>SECTION 1: REFORMS AND INVESTMENTS UNDER THE RECOVERY AND RESILIENCE PLAN</w:t>
      </w:r>
      <w:r w:rsidRPr="00D1795B">
        <w:rPr>
          <w:rFonts w:ascii="Times New Roman" w:eastAsia="Times New Roman" w:hAnsi="Times New Roman" w:cs="Times New Roman"/>
          <w:noProof/>
          <w:sz w:val="22"/>
          <w:szCs w:val="22"/>
        </w:rPr>
        <w:t xml:space="preserve"> </w:t>
      </w:r>
    </w:p>
    <w:p w14:paraId="1E716E60" w14:textId="1321B471" w:rsidR="00D80347" w:rsidRPr="00D80347" w:rsidRDefault="00D80347" w:rsidP="00D80347">
      <w:pPr>
        <w:pStyle w:val="ListParagraph"/>
        <w:numPr>
          <w:ilvl w:val="0"/>
          <w:numId w:val="36"/>
        </w:numPr>
        <w:spacing w:before="360" w:after="120"/>
        <w:jc w:val="both"/>
        <w:rPr>
          <w:rFonts w:ascii="Times New Roman" w:eastAsia="Times New Roman" w:hAnsi="Times New Roman" w:cs="Times New Roman"/>
          <w:b/>
          <w:bCs/>
          <w:noProof/>
        </w:rPr>
      </w:pPr>
      <w:r w:rsidRPr="00D80347">
        <w:rPr>
          <w:rFonts w:ascii="Times New Roman" w:eastAsia="Times New Roman" w:hAnsi="Times New Roman" w:cs="Times New Roman"/>
          <w:b/>
          <w:bCs/>
          <w:noProof/>
        </w:rPr>
        <w:t>Descrip</w:t>
      </w:r>
      <w:r w:rsidR="0077344F">
        <w:rPr>
          <w:rFonts w:ascii="Times New Roman" w:eastAsia="Times New Roman" w:hAnsi="Times New Roman" w:cs="Times New Roman"/>
          <w:b/>
          <w:bCs/>
          <w:noProof/>
        </w:rPr>
        <w:t>t</w:t>
      </w:r>
      <w:r w:rsidRPr="00D80347">
        <w:rPr>
          <w:rFonts w:ascii="Times New Roman" w:eastAsia="Times New Roman" w:hAnsi="Times New Roman" w:cs="Times New Roman"/>
          <w:b/>
          <w:bCs/>
          <w:noProof/>
        </w:rPr>
        <w:t>ion of Reforms and Investments</w:t>
      </w:r>
    </w:p>
    <w:p w14:paraId="1887DF95" w14:textId="77777777" w:rsidR="00C02B59" w:rsidRPr="00D1795B" w:rsidRDefault="00C02B59" w:rsidP="00C02B59">
      <w:pPr>
        <w:spacing w:before="360" w:after="120"/>
        <w:jc w:val="both"/>
        <w:rPr>
          <w:rFonts w:ascii="Times New Roman" w:eastAsia="Times New Roman" w:hAnsi="Times New Roman" w:cs="Times New Roman"/>
          <w:b/>
          <w:smallCaps/>
          <w:noProof/>
        </w:rPr>
      </w:pPr>
      <w:r w:rsidRPr="00D1795B">
        <w:rPr>
          <w:rFonts w:ascii="Times New Roman" w:eastAsia="Times New Roman" w:hAnsi="Times New Roman" w:cs="Times New Roman"/>
          <w:b/>
          <w:bCs/>
          <w:smallCaps/>
          <w:noProof/>
        </w:rPr>
        <w:t>A. COMPONENT 1.1: Resilient and effective health system, enhanced civil protection</w:t>
      </w:r>
    </w:p>
    <w:p w14:paraId="1887DF96" w14:textId="77777777" w:rsidR="00C02B59" w:rsidRPr="00D1795B" w:rsidRDefault="00C02B59" w:rsidP="00C02B59">
      <w:pPr>
        <w:spacing w:before="120" w:after="120"/>
        <w:jc w:val="both"/>
        <w:rPr>
          <w:rFonts w:ascii="Times New Roman" w:eastAsia="Times New Roman" w:hAnsi="Times New Roman" w:cs="Times New Roman"/>
          <w:noProof/>
          <w:color w:val="000000" w:themeColor="text1"/>
        </w:rPr>
      </w:pPr>
      <w:r w:rsidRPr="00D1795B">
        <w:rPr>
          <w:rFonts w:ascii="Times New Roman" w:eastAsia="Times New Roman" w:hAnsi="Times New Roman" w:cs="Times New Roman"/>
          <w:noProof/>
        </w:rPr>
        <w:t xml:space="preserve">This component of the Cypriot recovery and resilience plan addresses the challenge of universal access to high-quality healthcare in Cyprus as well as civil protection’s overall emergency preparedness and response. The objective of this component is to strengthen the effectiveness, accessibility and overall resilience of the healthcare sector supporting the recently introduced National Health System through various interventions. These include the (i) modernisation and digitalisation of health care infrastructure and equipment, (ii) stepping-up of e-health services, (iii) accreditation of provided health care services and introduction of evidence-based clinical protocols and quality monitoring systems, as well as (iv) upskilling opportunities for health workers. It further </w:t>
      </w:r>
      <w:r w:rsidRPr="00D1795B">
        <w:rPr>
          <w:rFonts w:ascii="Times New Roman" w:eastAsia="Times New Roman" w:hAnsi="Times New Roman" w:cs="Times New Roman"/>
          <w:noProof/>
          <w:color w:val="000000" w:themeColor="text1"/>
        </w:rPr>
        <w:t>aims at enhancing Cyprus’ civil protection system by establishing a modern Public Warning System.</w:t>
      </w:r>
    </w:p>
    <w:p w14:paraId="1887DF97" w14:textId="77777777" w:rsidR="00C02B59" w:rsidRPr="00D1795B" w:rsidRDefault="00C02B59" w:rsidP="00C02B59">
      <w:pPr>
        <w:spacing w:before="120" w:after="120" w:line="276" w:lineRule="auto"/>
        <w:jc w:val="both"/>
        <w:rPr>
          <w:rFonts w:ascii="Times New Roman" w:eastAsia="Times New Roman" w:hAnsi="Times New Roman" w:cs="Times New Roman"/>
          <w:noProof/>
        </w:rPr>
      </w:pPr>
      <w:r w:rsidRPr="00D1795B">
        <w:rPr>
          <w:rFonts w:ascii="Times New Roman" w:eastAsia="Times New Roman" w:hAnsi="Times New Roman" w:cs="Times New Roman"/>
          <w:noProof/>
        </w:rPr>
        <w:t xml:space="preserve">The component addresses the country-specific recommendations on health (country-specific recommendation 1 of 2020 and country-specific recommendation 3 of 2019). </w:t>
      </w:r>
    </w:p>
    <w:p w14:paraId="1887DF98"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 xml:space="preserve"> </w:t>
      </w:r>
    </w:p>
    <w:p w14:paraId="1887DF99" w14:textId="5E50BC15" w:rsidR="00C02B59" w:rsidRPr="00D1795B" w:rsidRDefault="00C02B59" w:rsidP="00C02B59">
      <w:pPr>
        <w:spacing w:before="120" w:after="120"/>
        <w:jc w:val="both"/>
        <w:rPr>
          <w:rFonts w:ascii="Times New Roman" w:eastAsia="Times New Roman" w:hAnsi="Times New Roman" w:cs="Times New Roman"/>
          <w:b/>
          <w:noProof/>
          <w:sz w:val="22"/>
          <w:szCs w:val="22"/>
          <w:u w:val="single"/>
        </w:rPr>
      </w:pPr>
      <w:r w:rsidRPr="00D1795B">
        <w:rPr>
          <w:rFonts w:ascii="Times New Roman" w:eastAsia="Times New Roman" w:hAnsi="Times New Roman" w:cs="Times New Roman"/>
          <w:b/>
          <w:bCs/>
          <w:noProof/>
          <w:u w:val="single"/>
        </w:rPr>
        <w:t xml:space="preserve">A.1. </w:t>
      </w:r>
      <w:r w:rsidRPr="00D1795B">
        <w:rPr>
          <w:noProof/>
        </w:rPr>
        <w:tab/>
      </w:r>
      <w:r w:rsidRPr="00D1795B">
        <w:rPr>
          <w:rFonts w:ascii="Times New Roman" w:eastAsia="Times New Roman" w:hAnsi="Times New Roman" w:cs="Times New Roman"/>
          <w:b/>
          <w:bCs/>
          <w:noProof/>
          <w:u w:val="single"/>
        </w:rPr>
        <w:t xml:space="preserve">Description of the </w:t>
      </w:r>
      <w:r w:rsidRPr="00D1795B">
        <w:rPr>
          <w:rFonts w:ascii="Times New Roman" w:eastAsia="Times New Roman" w:hAnsi="Times New Roman" w:cs="Times New Roman"/>
          <w:b/>
          <w:bCs/>
          <w:noProof/>
          <w:sz w:val="22"/>
          <w:szCs w:val="22"/>
          <w:u w:val="single"/>
        </w:rPr>
        <w:t>reforms and investments for non-repayable financial support</w:t>
      </w:r>
    </w:p>
    <w:p w14:paraId="1887DF9A" w14:textId="77777777" w:rsidR="00C02B59" w:rsidRPr="00D1795B" w:rsidRDefault="00C02B59" w:rsidP="00C02B59">
      <w:pPr>
        <w:spacing w:before="120" w:after="120"/>
        <w:jc w:val="both"/>
        <w:rPr>
          <w:rFonts w:ascii="Times New Roman" w:eastAsia="Times New Roman" w:hAnsi="Times New Roman" w:cs="Times New Roman"/>
          <w:noProof/>
        </w:rPr>
      </w:pPr>
    </w:p>
    <w:p w14:paraId="1887DF9B" w14:textId="00723E38" w:rsidR="00C02B59" w:rsidRPr="00D1795B" w:rsidRDefault="00C02B59" w:rsidP="00C02B59">
      <w:pPr>
        <w:spacing w:before="120" w:after="120"/>
        <w:jc w:val="both"/>
        <w:rPr>
          <w:rFonts w:ascii="Times New Roman" w:eastAsia="Times New Roman" w:hAnsi="Times New Roman" w:cs="Times New Roman"/>
          <w:noProof/>
          <w:u w:val="single"/>
        </w:rPr>
      </w:pPr>
      <w:r w:rsidRPr="00D1795B">
        <w:rPr>
          <w:rFonts w:ascii="Times New Roman" w:eastAsia="Times New Roman" w:hAnsi="Times New Roman" w:cs="Times New Roman"/>
          <w:noProof/>
          <w:u w:val="single"/>
        </w:rPr>
        <w:t xml:space="preserve">Reform 1 (C1.1R1): National Centre for Clinical Evidence and Quality Improvement </w:t>
      </w:r>
    </w:p>
    <w:p w14:paraId="1887DF9C" w14:textId="77777777" w:rsidR="00C02B59" w:rsidRPr="00D1795B" w:rsidRDefault="00C02B59" w:rsidP="00C02B59">
      <w:pPr>
        <w:spacing w:before="120" w:after="120"/>
        <w:jc w:val="both"/>
        <w:rPr>
          <w:rFonts w:ascii="Times New Roman" w:eastAsia="Times New Roman" w:hAnsi="Times New Roman" w:cs="Times New Roman"/>
          <w:noProof/>
          <w:color w:val="000000" w:themeColor="text1"/>
        </w:rPr>
      </w:pPr>
      <w:r w:rsidRPr="00D1795B">
        <w:rPr>
          <w:rFonts w:ascii="Times New Roman" w:eastAsia="Times New Roman" w:hAnsi="Times New Roman" w:cs="Times New Roman"/>
          <w:noProof/>
          <w:color w:val="000000" w:themeColor="text1"/>
        </w:rPr>
        <w:t xml:space="preserve">The objective of </w:t>
      </w:r>
      <w:r w:rsidRPr="00D1795B">
        <w:rPr>
          <w:rFonts w:ascii="Times New Roman" w:eastAsia="Times New Roman" w:hAnsi="Times New Roman" w:cs="Times New Roman"/>
          <w:noProof/>
        </w:rPr>
        <w:t>this</w:t>
      </w:r>
      <w:r w:rsidRPr="00D1795B">
        <w:rPr>
          <w:rFonts w:ascii="Times New Roman" w:eastAsia="Times New Roman" w:hAnsi="Times New Roman" w:cs="Times New Roman"/>
          <w:noProof/>
          <w:color w:val="000000" w:themeColor="text1"/>
        </w:rPr>
        <w:t xml:space="preserve"> reform is to enhance the quality and sustainability of the healthcare system. </w:t>
      </w:r>
    </w:p>
    <w:p w14:paraId="1887DF9D" w14:textId="30FD2F21" w:rsidR="00C02B59" w:rsidRPr="00D1795B" w:rsidRDefault="00C02B59" w:rsidP="00C02B59">
      <w:pPr>
        <w:spacing w:before="120" w:after="120"/>
        <w:jc w:val="both"/>
        <w:rPr>
          <w:rFonts w:ascii="Times New Roman" w:eastAsia="Times New Roman" w:hAnsi="Times New Roman" w:cs="Times New Roman"/>
          <w:noProof/>
        </w:rPr>
      </w:pPr>
      <w:bookmarkStart w:id="2" w:name="_Hlk235697303"/>
      <w:r w:rsidRPr="00D1795B">
        <w:rPr>
          <w:rFonts w:ascii="Times New Roman" w:eastAsia="Times New Roman" w:hAnsi="Times New Roman" w:cs="Times New Roman"/>
          <w:noProof/>
        </w:rPr>
        <w:t>This measure consists in a</w:t>
      </w:r>
      <w:r w:rsidR="00393339" w:rsidRPr="00D1795B">
        <w:rPr>
          <w:rFonts w:ascii="Times New Roman" w:eastAsia="Times New Roman" w:hAnsi="Times New Roman" w:cs="Times New Roman"/>
          <w:noProof/>
        </w:rPr>
        <w:t xml:space="preserve"> platform </w:t>
      </w:r>
      <w:r w:rsidRPr="00D1795B">
        <w:rPr>
          <w:rFonts w:ascii="Times New Roman" w:eastAsia="Times New Roman" w:hAnsi="Times New Roman" w:cs="Times New Roman"/>
          <w:noProof/>
        </w:rPr>
        <w:t>for clinical protocols</w:t>
      </w:r>
      <w:r w:rsidR="003842D0" w:rsidRPr="00D1795B">
        <w:rPr>
          <w:rFonts w:ascii="Times New Roman" w:eastAsia="Times New Roman" w:hAnsi="Times New Roman" w:cs="Times New Roman"/>
          <w:noProof/>
        </w:rPr>
        <w:t>, guidelines or pathways</w:t>
      </w:r>
      <w:r w:rsidRPr="00D1795B">
        <w:rPr>
          <w:rFonts w:ascii="Times New Roman" w:eastAsia="Times New Roman" w:hAnsi="Times New Roman" w:cs="Times New Roman"/>
          <w:noProof/>
        </w:rPr>
        <w:t xml:space="preserve"> in medical care.</w:t>
      </w:r>
    </w:p>
    <w:bookmarkEnd w:id="2"/>
    <w:p w14:paraId="1887DF9E" w14:textId="77777777" w:rsidR="00C02B59" w:rsidRPr="00D1795B" w:rsidRDefault="00C02B59" w:rsidP="00C02B59">
      <w:pPr>
        <w:spacing w:before="120" w:after="120"/>
        <w:jc w:val="both"/>
        <w:rPr>
          <w:rFonts w:ascii="Times New Roman" w:eastAsia="Times New Roman" w:hAnsi="Times New Roman" w:cs="Times New Roman"/>
          <w:noProof/>
        </w:rPr>
      </w:pPr>
    </w:p>
    <w:p w14:paraId="1887DF9F" w14:textId="77777777" w:rsidR="00C02B59" w:rsidRPr="00D1795B" w:rsidRDefault="00C02B59" w:rsidP="00C02B59">
      <w:pPr>
        <w:spacing w:before="120" w:after="120"/>
        <w:jc w:val="both"/>
        <w:rPr>
          <w:rFonts w:ascii="Times New Roman" w:eastAsia="Times New Roman" w:hAnsi="Times New Roman" w:cs="Times New Roman"/>
          <w:noProof/>
          <w:u w:val="single"/>
        </w:rPr>
      </w:pPr>
      <w:r w:rsidRPr="00D1795B">
        <w:rPr>
          <w:rFonts w:ascii="Times New Roman" w:eastAsia="Times New Roman" w:hAnsi="Times New Roman" w:cs="Times New Roman"/>
          <w:noProof/>
          <w:u w:val="single"/>
        </w:rPr>
        <w:t xml:space="preserve">Reform 2 (C1.1R2): Electronic platform for the surveillance of Nosocomial Antibiotic Consumption and Healthcare-Associated Infections </w:t>
      </w:r>
    </w:p>
    <w:p w14:paraId="1887DFA0"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The objective of this reform is to support the digital transition and resilience of the healthcare sector.</w:t>
      </w:r>
    </w:p>
    <w:p w14:paraId="1887DFA1"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 xml:space="preserve">This measure consists in an electronic platform to record data from hospital pharmacies, microbiology laboratories, and hospitals. </w:t>
      </w:r>
    </w:p>
    <w:p w14:paraId="1887DFA2" w14:textId="77777777" w:rsidR="00C02B59" w:rsidRPr="00D1795B" w:rsidRDefault="00C02B59" w:rsidP="00C02B59">
      <w:pPr>
        <w:spacing w:before="120" w:after="120"/>
        <w:jc w:val="both"/>
        <w:rPr>
          <w:rFonts w:ascii="Times New Roman" w:eastAsia="Times New Roman" w:hAnsi="Times New Roman" w:cs="Times New Roman"/>
          <w:noProof/>
        </w:rPr>
      </w:pPr>
    </w:p>
    <w:p w14:paraId="1887DFA3" w14:textId="77777777" w:rsidR="00C02B59" w:rsidRPr="00D1795B" w:rsidRDefault="00C02B59" w:rsidP="00C02B59">
      <w:pPr>
        <w:spacing w:before="120" w:after="120"/>
        <w:jc w:val="both"/>
        <w:rPr>
          <w:rFonts w:ascii="Times New Roman" w:eastAsia="Times New Roman" w:hAnsi="Times New Roman" w:cs="Times New Roman"/>
          <w:noProof/>
          <w:u w:val="single"/>
        </w:rPr>
      </w:pPr>
      <w:r w:rsidRPr="00D1795B">
        <w:rPr>
          <w:rFonts w:ascii="Times New Roman" w:eastAsia="Times New Roman" w:hAnsi="Times New Roman" w:cs="Times New Roman"/>
          <w:noProof/>
          <w:u w:val="single"/>
        </w:rPr>
        <w:t xml:space="preserve">Investment 1 (C1.1I1): Cyprus Blood Establishment </w:t>
      </w:r>
    </w:p>
    <w:p w14:paraId="1887DFA4"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The objective of this investment is to expand central Blood Establishment facilities in Cyprus.</w:t>
      </w:r>
    </w:p>
    <w:p w14:paraId="1887DFA5"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 xml:space="preserve">This measure consists in the construction of facilities and purchase of equipment for Cyprus Blood Establishment. </w:t>
      </w:r>
    </w:p>
    <w:p w14:paraId="1887DFA6" w14:textId="77777777" w:rsidR="00C02B59" w:rsidRPr="00D1795B" w:rsidRDefault="00C02B59" w:rsidP="00C02B59">
      <w:pPr>
        <w:tabs>
          <w:tab w:val="center" w:pos="4986"/>
        </w:tabs>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ab/>
      </w:r>
    </w:p>
    <w:p w14:paraId="1887DFA7" w14:textId="77777777" w:rsidR="00C02B59" w:rsidRPr="00D1795B" w:rsidRDefault="00C02B59" w:rsidP="00C02B59">
      <w:pPr>
        <w:spacing w:before="120" w:after="120"/>
        <w:jc w:val="both"/>
        <w:rPr>
          <w:rFonts w:ascii="Times New Roman" w:eastAsia="Times New Roman" w:hAnsi="Times New Roman" w:cs="Times New Roman"/>
          <w:noProof/>
          <w:u w:val="single"/>
        </w:rPr>
      </w:pPr>
      <w:r w:rsidRPr="00D1795B">
        <w:rPr>
          <w:rFonts w:ascii="Times New Roman" w:eastAsia="Times New Roman" w:hAnsi="Times New Roman" w:cs="Times New Roman"/>
          <w:noProof/>
          <w:u w:val="single"/>
        </w:rPr>
        <w:t xml:space="preserve">Investment 2 (C1.1I2): Cyprus public health information system </w:t>
      </w:r>
    </w:p>
    <w:p w14:paraId="1887DFA8"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The objective of this investment is to support public health sector bodies in making evidence-based decisions on epidemiological matters.</w:t>
      </w:r>
    </w:p>
    <w:p w14:paraId="1887DFA9"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The measure consists in an influenza surveillance platform of the Cyprus Innovative Public Health Information and Communications Technology (ICT) System.</w:t>
      </w:r>
    </w:p>
    <w:p w14:paraId="1887DFAA" w14:textId="77777777" w:rsidR="00C02B59" w:rsidRPr="00D1795B" w:rsidRDefault="00C02B59" w:rsidP="00C02B59">
      <w:pPr>
        <w:spacing w:line="257" w:lineRule="auto"/>
        <w:rPr>
          <w:rFonts w:ascii="Times New Roman" w:eastAsia="Times New Roman" w:hAnsi="Times New Roman" w:cs="Times New Roman"/>
          <w:noProof/>
        </w:rPr>
      </w:pPr>
    </w:p>
    <w:p w14:paraId="1887DFAB" w14:textId="77777777" w:rsidR="00C02B59" w:rsidRPr="00D1795B" w:rsidRDefault="00C02B59" w:rsidP="00C02B59">
      <w:pPr>
        <w:spacing w:before="120" w:after="120"/>
        <w:jc w:val="both"/>
        <w:rPr>
          <w:rFonts w:ascii="Times New Roman" w:eastAsia="Times New Roman" w:hAnsi="Times New Roman" w:cs="Times New Roman"/>
          <w:noProof/>
          <w:u w:val="single"/>
        </w:rPr>
      </w:pPr>
      <w:r w:rsidRPr="00D1795B">
        <w:rPr>
          <w:rFonts w:ascii="Times New Roman" w:eastAsia="Times New Roman" w:hAnsi="Times New Roman" w:cs="Times New Roman"/>
          <w:noProof/>
          <w:u w:val="single"/>
        </w:rPr>
        <w:t>Investment 3 (C1.1I3): Support for the purchase of medical equipment in private hospitals</w:t>
      </w:r>
    </w:p>
    <w:p w14:paraId="1887DFAC"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The objective of this investment is to modernise the medical equipment of private hospitals.</w:t>
      </w:r>
    </w:p>
    <w:p w14:paraId="1887DFAD"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 xml:space="preserve">This measure consists in a financial support scheme for private hospitals to purchase medical equipment. </w:t>
      </w:r>
    </w:p>
    <w:p w14:paraId="1887DFAE" w14:textId="77777777" w:rsidR="00C02B59" w:rsidRPr="00D1795B" w:rsidRDefault="00C02B59" w:rsidP="00C02B59">
      <w:pPr>
        <w:spacing w:before="120" w:after="120"/>
        <w:jc w:val="both"/>
        <w:rPr>
          <w:rFonts w:ascii="Times New Roman" w:eastAsia="Times New Roman" w:hAnsi="Times New Roman" w:cs="Times New Roman"/>
          <w:noProof/>
        </w:rPr>
      </w:pPr>
    </w:p>
    <w:p w14:paraId="1887DFAF" w14:textId="77777777" w:rsidR="00C02B59" w:rsidRPr="00D1795B" w:rsidRDefault="00C02B59" w:rsidP="00C02B59">
      <w:pPr>
        <w:spacing w:before="120" w:after="120"/>
        <w:jc w:val="both"/>
        <w:rPr>
          <w:rFonts w:ascii="Times New Roman" w:eastAsia="Times New Roman" w:hAnsi="Times New Roman" w:cs="Times New Roman"/>
          <w:noProof/>
          <w:u w:val="single"/>
        </w:rPr>
      </w:pPr>
      <w:r w:rsidRPr="00D1795B">
        <w:rPr>
          <w:rFonts w:ascii="Times New Roman" w:eastAsia="Times New Roman" w:hAnsi="Times New Roman" w:cs="Times New Roman"/>
          <w:noProof/>
          <w:u w:val="single"/>
        </w:rPr>
        <w:t>Investment 4 (C1.1I4): Accreditation of health institutions</w:t>
      </w:r>
    </w:p>
    <w:p w14:paraId="1887DFB0"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The objective of this investment is to support the accreditation of health institutions, enabling their registration within the National Health System (NHS) and enhancing the quality assurance of health care services provided.</w:t>
      </w:r>
    </w:p>
    <w:p w14:paraId="1887DFB1"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This measure consists in a financial support scheme for the accreditation of health institutions.</w:t>
      </w:r>
    </w:p>
    <w:p w14:paraId="1887DFB2" w14:textId="77777777" w:rsidR="00C02B59" w:rsidRPr="00D1795B" w:rsidRDefault="00C02B59" w:rsidP="00C02B59">
      <w:pPr>
        <w:spacing w:before="120" w:after="120"/>
        <w:jc w:val="both"/>
        <w:rPr>
          <w:rFonts w:ascii="Times New Roman" w:eastAsia="Times New Roman" w:hAnsi="Times New Roman" w:cs="Times New Roman"/>
          <w:noProof/>
        </w:rPr>
      </w:pPr>
    </w:p>
    <w:p w14:paraId="1887DFB3" w14:textId="77777777" w:rsidR="00C02B59" w:rsidRPr="00D1795B" w:rsidRDefault="00C02B59" w:rsidP="00C02B59">
      <w:pPr>
        <w:spacing w:before="120" w:after="120"/>
        <w:jc w:val="both"/>
        <w:rPr>
          <w:rFonts w:ascii="Times New Roman" w:eastAsia="Times New Roman" w:hAnsi="Times New Roman" w:cs="Times New Roman"/>
          <w:noProof/>
          <w:u w:val="single"/>
        </w:rPr>
      </w:pPr>
      <w:r w:rsidRPr="00D1795B">
        <w:rPr>
          <w:rFonts w:ascii="Times New Roman" w:eastAsia="Times New Roman" w:hAnsi="Times New Roman" w:cs="Times New Roman"/>
          <w:noProof/>
          <w:u w:val="single"/>
        </w:rPr>
        <w:t>Investment 6 (C1.1I6): Generic cross border e-health services in Cyprus</w:t>
      </w:r>
    </w:p>
    <w:p w14:paraId="1887DFB4"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The objective of this investment is to support Cyprus’s cross-border exchange of patient health information within the EU.</w:t>
      </w:r>
    </w:p>
    <w:p w14:paraId="1887DFB5"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This measure consists in support for cross-border patient data exchange with the Member States in the eHealth Digital Service Infrastructure (eHDSI).</w:t>
      </w:r>
    </w:p>
    <w:p w14:paraId="1887DFB6"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 xml:space="preserve"> </w:t>
      </w:r>
    </w:p>
    <w:p w14:paraId="1887DFB7" w14:textId="77777777" w:rsidR="00C02B59" w:rsidRPr="00D1795B" w:rsidRDefault="00C02B59" w:rsidP="00C02B59">
      <w:pPr>
        <w:spacing w:before="120" w:after="120"/>
        <w:jc w:val="both"/>
        <w:rPr>
          <w:rFonts w:ascii="Times New Roman" w:eastAsia="Times New Roman" w:hAnsi="Times New Roman" w:cs="Times New Roman"/>
          <w:noProof/>
          <w:u w:val="single"/>
        </w:rPr>
      </w:pPr>
      <w:r w:rsidRPr="00D1795B">
        <w:rPr>
          <w:rFonts w:ascii="Times New Roman" w:eastAsia="Times New Roman" w:hAnsi="Times New Roman" w:cs="Times New Roman"/>
          <w:noProof/>
          <w:u w:val="single"/>
        </w:rPr>
        <w:t xml:space="preserve">Investment 7 (C1.1I7): Public warning system for emergency operations </w:t>
      </w:r>
    </w:p>
    <w:p w14:paraId="1887DFB8" w14:textId="77777777" w:rsidR="00C02B59" w:rsidRPr="00D1795B" w:rsidRDefault="00C02B59" w:rsidP="00C02B59">
      <w:pPr>
        <w:spacing w:before="120" w:after="120"/>
        <w:jc w:val="both"/>
        <w:rPr>
          <w:rFonts w:ascii="Times New Roman" w:eastAsia="Times New Roman" w:hAnsi="Times New Roman" w:cs="Times New Roman"/>
          <w:noProof/>
          <w:color w:val="000000" w:themeColor="text1"/>
        </w:rPr>
      </w:pPr>
      <w:r w:rsidRPr="00D1795B">
        <w:rPr>
          <w:rFonts w:ascii="Times New Roman" w:eastAsia="Times New Roman" w:hAnsi="Times New Roman" w:cs="Times New Roman"/>
          <w:noProof/>
        </w:rPr>
        <w:t xml:space="preserve">The objective of this investment is to enhance </w:t>
      </w:r>
      <w:r w:rsidRPr="00D1795B">
        <w:rPr>
          <w:rFonts w:ascii="Times New Roman" w:eastAsia="Times New Roman" w:hAnsi="Times New Roman" w:cs="Times New Roman"/>
          <w:noProof/>
          <w:color w:val="000000" w:themeColor="text1"/>
        </w:rPr>
        <w:t xml:space="preserve">Cyprus’ civil protection system by establishing a public warning system </w:t>
      </w:r>
      <w:r w:rsidRPr="00D1795B">
        <w:rPr>
          <w:rFonts w:ascii="Times New Roman" w:eastAsia="Times New Roman" w:hAnsi="Times New Roman" w:cs="Times New Roman"/>
          <w:noProof/>
        </w:rPr>
        <w:t>for alerting on emergencies</w:t>
      </w:r>
      <w:r w:rsidRPr="00D1795B">
        <w:rPr>
          <w:rFonts w:ascii="Times New Roman" w:eastAsia="Times New Roman" w:hAnsi="Times New Roman" w:cs="Times New Roman"/>
          <w:noProof/>
          <w:color w:val="000000" w:themeColor="text1"/>
        </w:rPr>
        <w:t>.</w:t>
      </w:r>
    </w:p>
    <w:p w14:paraId="1887DFB9"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This measure consists in a public warning system through mobile phones.</w:t>
      </w:r>
    </w:p>
    <w:p w14:paraId="1887DFBA"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 xml:space="preserve"> </w:t>
      </w:r>
    </w:p>
    <w:p w14:paraId="1887DFBB" w14:textId="77777777" w:rsidR="00C02B59" w:rsidRPr="00D1795B" w:rsidRDefault="00C02B59" w:rsidP="00C02B59">
      <w:pPr>
        <w:spacing w:before="120" w:after="120"/>
        <w:jc w:val="both"/>
        <w:rPr>
          <w:rFonts w:ascii="Times New Roman" w:eastAsia="Times New Roman" w:hAnsi="Times New Roman" w:cs="Times New Roman"/>
          <w:noProof/>
          <w:u w:val="single"/>
        </w:rPr>
      </w:pPr>
      <w:r w:rsidRPr="00D1795B">
        <w:rPr>
          <w:rFonts w:ascii="Times New Roman" w:eastAsia="Times New Roman" w:hAnsi="Times New Roman" w:cs="Times New Roman"/>
          <w:noProof/>
          <w:u w:val="single"/>
        </w:rPr>
        <w:t xml:space="preserve">Investment 5 (C1.1I5): Construction works and new equipment in Cyprus State Hospitals </w:t>
      </w:r>
    </w:p>
    <w:p w14:paraId="1887DFBC"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The objective of this investment is to finance construction works and new equipment of Cyprus State Hospitals.</w:t>
      </w:r>
    </w:p>
    <w:p w14:paraId="1887DFBD"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This measure consist in construction works or purchase of equipment for Cyprus State Hospitals.</w:t>
      </w:r>
    </w:p>
    <w:p w14:paraId="1887DFBE" w14:textId="77777777" w:rsidR="00C02B59" w:rsidRPr="00D1795B" w:rsidRDefault="00C02B59" w:rsidP="00C02B59">
      <w:pPr>
        <w:spacing w:before="120" w:after="120"/>
        <w:jc w:val="both"/>
        <w:rPr>
          <w:rFonts w:ascii="Times New Roman" w:eastAsia="Times New Roman" w:hAnsi="Times New Roman" w:cs="Times New Roman"/>
          <w:noProof/>
        </w:rPr>
      </w:pPr>
    </w:p>
    <w:p w14:paraId="1887DFBF" w14:textId="77777777" w:rsidR="00C02B59" w:rsidRPr="00D1795B" w:rsidRDefault="00C02B59" w:rsidP="00C02B59">
      <w:pPr>
        <w:spacing w:before="120" w:after="120"/>
        <w:jc w:val="both"/>
        <w:rPr>
          <w:rFonts w:ascii="Times New Roman" w:eastAsia="Times New Roman" w:hAnsi="Times New Roman" w:cs="Times New Roman"/>
          <w:noProof/>
          <w:u w:val="single"/>
        </w:rPr>
      </w:pPr>
      <w:r w:rsidRPr="00D1795B">
        <w:rPr>
          <w:rFonts w:ascii="Times New Roman" w:eastAsia="Times New Roman" w:hAnsi="Times New Roman" w:cs="Times New Roman"/>
          <w:noProof/>
          <w:u w:val="single"/>
        </w:rPr>
        <w:t>Reform 3 (C1.1R3): Healthcare provision and reimbursement using value-based models</w:t>
      </w:r>
    </w:p>
    <w:p w14:paraId="1887DFC0"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The objective of this reform is to change the reimbursement system for healthcare services.</w:t>
      </w:r>
    </w:p>
    <w:p w14:paraId="1887DFC1" w14:textId="77777777" w:rsidR="00C02B59" w:rsidRPr="00D1795B" w:rsidRDefault="00C02B59" w:rsidP="00C02B59">
      <w:pPr>
        <w:spacing w:before="120" w:after="120"/>
        <w:jc w:val="both"/>
        <w:rPr>
          <w:rFonts w:ascii="Times New Roman" w:eastAsia="Times New Roman" w:hAnsi="Times New Roman" w:cs="Times New Roman"/>
          <w:noProof/>
          <w:sz w:val="22"/>
          <w:szCs w:val="22"/>
        </w:rPr>
      </w:pPr>
      <w:r w:rsidRPr="00D1795B">
        <w:rPr>
          <w:rFonts w:ascii="Times New Roman" w:eastAsia="Times New Roman" w:hAnsi="Times New Roman" w:cs="Times New Roman"/>
          <w:noProof/>
        </w:rPr>
        <w:t>The measure consists in</w:t>
      </w:r>
      <w:r w:rsidRPr="00D1795B">
        <w:rPr>
          <w:rFonts w:ascii="Times New Roman" w:eastAsia="Times New Roman" w:hAnsi="Times New Roman" w:cs="Times New Roman"/>
          <w:noProof/>
          <w:sz w:val="22"/>
          <w:szCs w:val="22"/>
        </w:rPr>
        <w:t xml:space="preserve"> value-based reimbursement in the General Health System. </w:t>
      </w:r>
    </w:p>
    <w:p w14:paraId="1887DFC2" w14:textId="77777777" w:rsidR="00C02B59" w:rsidRPr="00D1795B" w:rsidRDefault="00C02B59">
      <w:pPr>
        <w:rPr>
          <w:noProof/>
        </w:rPr>
      </w:pPr>
    </w:p>
    <w:p w14:paraId="1887DFC3" w14:textId="77777777" w:rsidR="00C02B59" w:rsidRPr="00D1795B" w:rsidRDefault="00C02B59">
      <w:pPr>
        <w:rPr>
          <w:noProof/>
        </w:rPr>
        <w:sectPr w:rsidR="00C02B59" w:rsidRPr="00D1795B" w:rsidSect="00A56E01">
          <w:headerReference w:type="even" r:id="rId17"/>
          <w:headerReference w:type="default" r:id="rId18"/>
          <w:footerReference w:type="even" r:id="rId19"/>
          <w:footerReference w:type="default" r:id="rId20"/>
          <w:headerReference w:type="first" r:id="rId21"/>
          <w:footerReference w:type="first" r:id="rId22"/>
          <w:pgSz w:w="12240" w:h="15840"/>
          <w:pgMar w:top="1134" w:right="1134" w:bottom="1134" w:left="1134" w:header="567" w:footer="567" w:gutter="0"/>
          <w:cols w:space="720"/>
          <w:docGrid w:linePitch="360"/>
        </w:sectPr>
      </w:pPr>
    </w:p>
    <w:p w14:paraId="1887DFC4" w14:textId="77777777" w:rsidR="00C02B59" w:rsidRPr="00D1795B" w:rsidRDefault="00C02B59" w:rsidP="00C02B59">
      <w:pPr>
        <w:spacing w:before="120" w:after="240" w:line="240" w:lineRule="auto"/>
        <w:jc w:val="both"/>
        <w:rPr>
          <w:rFonts w:ascii="Times New Roman" w:hAnsi="Times New Roman"/>
          <w:b/>
          <w:noProof/>
          <w:u w:val="single"/>
        </w:rPr>
      </w:pPr>
      <w:r w:rsidRPr="00D1795B">
        <w:rPr>
          <w:rFonts w:ascii="Times New Roman" w:hAnsi="Times New Roman"/>
          <w:b/>
          <w:noProof/>
          <w:u w:val="single"/>
        </w:rPr>
        <w:t xml:space="preserve">A.2. </w:t>
      </w:r>
      <w:r w:rsidRPr="00D1795B">
        <w:rPr>
          <w:noProof/>
        </w:rPr>
        <w:tab/>
      </w:r>
      <w:r w:rsidRPr="00D1795B">
        <w:rPr>
          <w:rFonts w:ascii="Times New Roman" w:hAnsi="Times New Roman"/>
          <w:b/>
          <w:noProof/>
          <w:u w:val="single"/>
        </w:rPr>
        <w:t>Milestones, targets, indicators, and timetable for monitoring and implementation for non-repayable financial support</w:t>
      </w:r>
    </w:p>
    <w:tbl>
      <w:tblPr>
        <w:tblW w:w="15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1419"/>
        <w:gridCol w:w="1101"/>
        <w:gridCol w:w="1320"/>
        <w:gridCol w:w="1558"/>
        <w:gridCol w:w="995"/>
        <w:gridCol w:w="992"/>
        <w:gridCol w:w="656"/>
        <w:gridCol w:w="995"/>
        <w:gridCol w:w="707"/>
        <w:gridCol w:w="4165"/>
      </w:tblGrid>
      <w:tr w:rsidR="00C02B59" w:rsidRPr="00D1795B" w14:paraId="1887DFCD" w14:textId="77777777" w:rsidTr="6B29DC81">
        <w:trPr>
          <w:tblHeader/>
          <w:jc w:val="center"/>
        </w:trPr>
        <w:tc>
          <w:tcPr>
            <w:tcW w:w="375" w:type="pct"/>
            <w:vMerge w:val="restart"/>
            <w:shd w:val="clear" w:color="auto" w:fill="BDD7EE"/>
            <w:vAlign w:val="center"/>
            <w:hideMark/>
          </w:tcPr>
          <w:p w14:paraId="1887DFC5"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472" w:type="pct"/>
            <w:vMerge w:val="restart"/>
            <w:shd w:val="clear" w:color="auto" w:fill="BDD7EE"/>
            <w:vAlign w:val="center"/>
            <w:hideMark/>
          </w:tcPr>
          <w:p w14:paraId="1887DFC6"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366" w:type="pct"/>
            <w:vMerge w:val="restart"/>
            <w:shd w:val="clear" w:color="auto" w:fill="BDD7EE"/>
            <w:vAlign w:val="center"/>
            <w:hideMark/>
          </w:tcPr>
          <w:p w14:paraId="1887DFC7"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Milestone/Target</w:t>
            </w:r>
          </w:p>
        </w:tc>
        <w:tc>
          <w:tcPr>
            <w:tcW w:w="439" w:type="pct"/>
            <w:vMerge w:val="restart"/>
            <w:shd w:val="clear" w:color="auto" w:fill="BDD7EE"/>
            <w:vAlign w:val="center"/>
            <w:hideMark/>
          </w:tcPr>
          <w:p w14:paraId="1887DFC8"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Name</w:t>
            </w:r>
          </w:p>
        </w:tc>
        <w:tc>
          <w:tcPr>
            <w:tcW w:w="518" w:type="pct"/>
            <w:vMerge w:val="restart"/>
            <w:shd w:val="clear" w:color="auto" w:fill="BDD7EE"/>
            <w:vAlign w:val="center"/>
            <w:hideMark/>
          </w:tcPr>
          <w:p w14:paraId="1887DFC9"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Qualitative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milestones)</w:t>
            </w:r>
          </w:p>
        </w:tc>
        <w:tc>
          <w:tcPr>
            <w:tcW w:w="879" w:type="pct"/>
            <w:gridSpan w:val="3"/>
            <w:shd w:val="clear" w:color="auto" w:fill="BDD7EE"/>
            <w:vAlign w:val="center"/>
            <w:hideMark/>
          </w:tcPr>
          <w:p w14:paraId="1887DFCA"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Quantitative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targets)</w:t>
            </w:r>
          </w:p>
        </w:tc>
        <w:tc>
          <w:tcPr>
            <w:tcW w:w="566" w:type="pct"/>
            <w:gridSpan w:val="2"/>
            <w:shd w:val="clear" w:color="auto" w:fill="BDD7EE"/>
            <w:hideMark/>
          </w:tcPr>
          <w:p w14:paraId="1887DFCB"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Indicative timeline for completion</w:t>
            </w:r>
          </w:p>
        </w:tc>
        <w:tc>
          <w:tcPr>
            <w:tcW w:w="1385" w:type="pct"/>
            <w:vMerge w:val="restart"/>
            <w:shd w:val="clear" w:color="auto" w:fill="BDD7EE"/>
            <w:vAlign w:val="center"/>
            <w:hideMark/>
          </w:tcPr>
          <w:p w14:paraId="1887DFCC"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Description of each milestone and target</w:t>
            </w:r>
          </w:p>
        </w:tc>
      </w:tr>
      <w:tr w:rsidR="00C02B59" w:rsidRPr="00D1795B" w14:paraId="1887DFD9" w14:textId="77777777" w:rsidTr="6B29DC81">
        <w:trPr>
          <w:tblHeader/>
          <w:jc w:val="center"/>
        </w:trPr>
        <w:tc>
          <w:tcPr>
            <w:tcW w:w="375" w:type="pct"/>
            <w:vMerge/>
            <w:hideMark/>
          </w:tcPr>
          <w:p w14:paraId="1887DFCE" w14:textId="77777777" w:rsidR="00C02B59" w:rsidRPr="00D1795B" w:rsidRDefault="00C02B59" w:rsidP="00C02B59">
            <w:pPr>
              <w:spacing w:after="0" w:line="240" w:lineRule="auto"/>
              <w:rPr>
                <w:rFonts w:ascii="Times New Roman" w:hAnsi="Times New Roman" w:cs="Times New Roman"/>
                <w:b/>
                <w:noProof/>
                <w:sz w:val="18"/>
                <w:szCs w:val="18"/>
              </w:rPr>
            </w:pPr>
          </w:p>
        </w:tc>
        <w:tc>
          <w:tcPr>
            <w:tcW w:w="472" w:type="pct"/>
            <w:vMerge/>
            <w:hideMark/>
          </w:tcPr>
          <w:p w14:paraId="1887DFCF" w14:textId="77777777" w:rsidR="00C02B59" w:rsidRPr="00D1795B" w:rsidRDefault="00C02B59" w:rsidP="00C02B59">
            <w:pPr>
              <w:spacing w:after="0" w:line="240" w:lineRule="auto"/>
              <w:rPr>
                <w:rFonts w:ascii="Times New Roman" w:hAnsi="Times New Roman" w:cs="Times New Roman"/>
                <w:b/>
                <w:noProof/>
                <w:sz w:val="18"/>
                <w:szCs w:val="18"/>
              </w:rPr>
            </w:pPr>
          </w:p>
        </w:tc>
        <w:tc>
          <w:tcPr>
            <w:tcW w:w="366" w:type="pct"/>
            <w:vMerge/>
            <w:hideMark/>
          </w:tcPr>
          <w:p w14:paraId="1887DFD0" w14:textId="77777777" w:rsidR="00C02B59" w:rsidRPr="00D1795B" w:rsidRDefault="00C02B59" w:rsidP="00C02B59">
            <w:pPr>
              <w:spacing w:after="0" w:line="240" w:lineRule="auto"/>
              <w:rPr>
                <w:rFonts w:ascii="Times New Roman" w:hAnsi="Times New Roman" w:cs="Times New Roman"/>
                <w:b/>
                <w:noProof/>
                <w:sz w:val="18"/>
                <w:szCs w:val="18"/>
              </w:rPr>
            </w:pPr>
          </w:p>
        </w:tc>
        <w:tc>
          <w:tcPr>
            <w:tcW w:w="439" w:type="pct"/>
            <w:vMerge/>
            <w:hideMark/>
          </w:tcPr>
          <w:p w14:paraId="1887DFD1" w14:textId="77777777" w:rsidR="00C02B59" w:rsidRPr="00D1795B" w:rsidRDefault="00C02B59" w:rsidP="00C02B59">
            <w:pPr>
              <w:spacing w:after="0" w:line="240" w:lineRule="auto"/>
              <w:rPr>
                <w:rFonts w:ascii="Times New Roman" w:hAnsi="Times New Roman" w:cs="Times New Roman"/>
                <w:b/>
                <w:noProof/>
                <w:sz w:val="18"/>
                <w:szCs w:val="18"/>
              </w:rPr>
            </w:pPr>
          </w:p>
        </w:tc>
        <w:tc>
          <w:tcPr>
            <w:tcW w:w="518" w:type="pct"/>
            <w:vMerge/>
            <w:hideMark/>
          </w:tcPr>
          <w:p w14:paraId="1887DFD2" w14:textId="77777777" w:rsidR="00C02B59" w:rsidRPr="00D1795B" w:rsidRDefault="00C02B59" w:rsidP="00C02B59">
            <w:pPr>
              <w:spacing w:after="0" w:line="240" w:lineRule="auto"/>
              <w:rPr>
                <w:rFonts w:ascii="Times New Roman" w:hAnsi="Times New Roman" w:cs="Times New Roman"/>
                <w:b/>
                <w:noProof/>
                <w:sz w:val="18"/>
                <w:szCs w:val="18"/>
              </w:rPr>
            </w:pPr>
          </w:p>
        </w:tc>
        <w:tc>
          <w:tcPr>
            <w:tcW w:w="331" w:type="pct"/>
            <w:shd w:val="clear" w:color="auto" w:fill="BDD7EE"/>
            <w:vAlign w:val="center"/>
            <w:hideMark/>
          </w:tcPr>
          <w:p w14:paraId="1887DFD3"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Unit of measure</w:t>
            </w:r>
          </w:p>
        </w:tc>
        <w:tc>
          <w:tcPr>
            <w:tcW w:w="330" w:type="pct"/>
            <w:shd w:val="clear" w:color="auto" w:fill="BDD7EE"/>
            <w:vAlign w:val="center"/>
            <w:hideMark/>
          </w:tcPr>
          <w:p w14:paraId="1887DFD4"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Baseline</w:t>
            </w:r>
          </w:p>
        </w:tc>
        <w:tc>
          <w:tcPr>
            <w:tcW w:w="218" w:type="pct"/>
            <w:shd w:val="clear" w:color="auto" w:fill="BDD7EE"/>
            <w:vAlign w:val="center"/>
            <w:hideMark/>
          </w:tcPr>
          <w:p w14:paraId="1887DFD5"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Goal</w:t>
            </w:r>
          </w:p>
        </w:tc>
        <w:tc>
          <w:tcPr>
            <w:tcW w:w="331" w:type="pct"/>
            <w:shd w:val="clear" w:color="auto" w:fill="BDD7EE"/>
            <w:vAlign w:val="center"/>
            <w:hideMark/>
          </w:tcPr>
          <w:p w14:paraId="1887DFD6"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Quarter</w:t>
            </w:r>
          </w:p>
        </w:tc>
        <w:tc>
          <w:tcPr>
            <w:tcW w:w="235" w:type="pct"/>
            <w:shd w:val="clear" w:color="auto" w:fill="BDD7EE"/>
            <w:vAlign w:val="center"/>
            <w:hideMark/>
          </w:tcPr>
          <w:p w14:paraId="1887DFD7"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Year</w:t>
            </w:r>
          </w:p>
        </w:tc>
        <w:tc>
          <w:tcPr>
            <w:tcW w:w="1385" w:type="pct"/>
            <w:vMerge/>
            <w:hideMark/>
          </w:tcPr>
          <w:p w14:paraId="1887DFD8" w14:textId="77777777" w:rsidR="00C02B59" w:rsidRPr="00D1795B" w:rsidRDefault="00C02B59" w:rsidP="00C02B59">
            <w:pPr>
              <w:spacing w:after="0" w:line="240" w:lineRule="auto"/>
              <w:jc w:val="both"/>
              <w:rPr>
                <w:rFonts w:ascii="Times New Roman" w:hAnsi="Times New Roman" w:cs="Times New Roman"/>
                <w:b/>
                <w:noProof/>
                <w:sz w:val="18"/>
                <w:szCs w:val="18"/>
              </w:rPr>
            </w:pPr>
          </w:p>
        </w:tc>
      </w:tr>
      <w:tr w:rsidR="00C02B59" w:rsidRPr="00D1795B" w14:paraId="1887DFE6" w14:textId="77777777" w:rsidTr="6B29DC81">
        <w:trPr>
          <w:jc w:val="center"/>
        </w:trPr>
        <w:tc>
          <w:tcPr>
            <w:tcW w:w="375" w:type="pct"/>
            <w:shd w:val="clear" w:color="auto" w:fill="C6EFCE"/>
            <w:noWrap/>
          </w:tcPr>
          <w:p w14:paraId="1887DFDA" w14:textId="1324B068"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2b</w:t>
            </w:r>
          </w:p>
        </w:tc>
        <w:tc>
          <w:tcPr>
            <w:tcW w:w="472" w:type="pct"/>
            <w:shd w:val="clear" w:color="auto" w:fill="C6EFCE"/>
            <w:noWrap/>
          </w:tcPr>
          <w:p w14:paraId="1887DFD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C1.1R1</w:t>
            </w:r>
          </w:p>
          <w:p w14:paraId="1887DFD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National Centre for Clinical Evidence and Quality Improvement</w:t>
            </w:r>
          </w:p>
        </w:tc>
        <w:tc>
          <w:tcPr>
            <w:tcW w:w="366" w:type="pct"/>
            <w:shd w:val="clear" w:color="auto" w:fill="C6EFCE"/>
            <w:noWrap/>
          </w:tcPr>
          <w:p w14:paraId="1887DFD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39" w:type="pct"/>
            <w:shd w:val="clear" w:color="auto" w:fill="C6EFCE"/>
            <w:noWrap/>
          </w:tcPr>
          <w:p w14:paraId="1887DFDE" w14:textId="54E7A365" w:rsidR="00C02B59" w:rsidRPr="00D1795B" w:rsidRDefault="00393339" w:rsidP="00C02B59">
            <w:pPr>
              <w:spacing w:after="0" w:line="240" w:lineRule="auto"/>
              <w:rPr>
                <w:rFonts w:ascii="Times New Roman" w:hAnsi="Times New Roman" w:cs="Times New Roman"/>
                <w:noProof/>
                <w:sz w:val="18"/>
                <w:szCs w:val="18"/>
              </w:rPr>
            </w:pPr>
            <w:bookmarkStart w:id="3" w:name="_Hlk235697377"/>
            <w:r w:rsidRPr="00D1795B">
              <w:rPr>
                <w:rFonts w:ascii="Times New Roman" w:hAnsi="Times New Roman" w:cs="Times New Roman"/>
                <w:noProof/>
                <w:sz w:val="18"/>
                <w:szCs w:val="18"/>
              </w:rPr>
              <w:t>Platform</w:t>
            </w:r>
            <w:r w:rsidR="00C02B59" w:rsidRPr="00D1795B">
              <w:rPr>
                <w:rFonts w:ascii="Times New Roman" w:hAnsi="Times New Roman" w:cs="Times New Roman"/>
                <w:noProof/>
                <w:sz w:val="18"/>
                <w:szCs w:val="18"/>
              </w:rPr>
              <w:t xml:space="preserve"> for clinical protocols</w:t>
            </w:r>
            <w:r w:rsidR="003842D0" w:rsidRPr="00D1795B">
              <w:rPr>
                <w:rFonts w:ascii="Times New Roman" w:hAnsi="Times New Roman" w:cs="Times New Roman"/>
                <w:noProof/>
                <w:sz w:val="18"/>
                <w:szCs w:val="18"/>
              </w:rPr>
              <w:t>, guidelines or pathways</w:t>
            </w:r>
            <w:r w:rsidR="00C02B59" w:rsidRPr="00D1795B">
              <w:rPr>
                <w:rFonts w:ascii="Times New Roman" w:hAnsi="Times New Roman" w:cs="Times New Roman"/>
                <w:noProof/>
                <w:sz w:val="18"/>
                <w:szCs w:val="18"/>
              </w:rPr>
              <w:t xml:space="preserve"> </w:t>
            </w:r>
            <w:bookmarkEnd w:id="3"/>
          </w:p>
        </w:tc>
        <w:tc>
          <w:tcPr>
            <w:tcW w:w="518" w:type="pct"/>
            <w:shd w:val="clear" w:color="auto" w:fill="C6EFCE"/>
            <w:noWrap/>
          </w:tcPr>
          <w:p w14:paraId="1887DFDF" w14:textId="2B33216A" w:rsidR="00C02B59" w:rsidRPr="00D1795B" w:rsidRDefault="0039333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Platform</w:t>
            </w:r>
            <w:r w:rsidR="00C02B59" w:rsidRPr="00D1795B">
              <w:rPr>
                <w:rFonts w:ascii="Times New Roman" w:hAnsi="Times New Roman" w:cs="Times New Roman"/>
                <w:noProof/>
                <w:sz w:val="18"/>
                <w:szCs w:val="18"/>
              </w:rPr>
              <w:t xml:space="preserve"> accessible</w:t>
            </w:r>
          </w:p>
        </w:tc>
        <w:tc>
          <w:tcPr>
            <w:tcW w:w="331" w:type="pct"/>
            <w:shd w:val="clear" w:color="auto" w:fill="C6EFCE"/>
            <w:noWrap/>
          </w:tcPr>
          <w:p w14:paraId="1887DFE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0" w:type="pct"/>
            <w:shd w:val="clear" w:color="auto" w:fill="C6EFCE"/>
            <w:noWrap/>
          </w:tcPr>
          <w:p w14:paraId="1887DFE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18" w:type="pct"/>
            <w:shd w:val="clear" w:color="auto" w:fill="C6EFCE"/>
            <w:noWrap/>
          </w:tcPr>
          <w:p w14:paraId="1887DFE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1" w:type="pct"/>
            <w:shd w:val="clear" w:color="auto" w:fill="C6EFCE"/>
            <w:noWrap/>
          </w:tcPr>
          <w:p w14:paraId="1887DFE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35" w:type="pct"/>
            <w:shd w:val="clear" w:color="auto" w:fill="C6EFCE"/>
            <w:noWrap/>
          </w:tcPr>
          <w:p w14:paraId="1887DFE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1385" w:type="pct"/>
            <w:shd w:val="clear" w:color="auto" w:fill="C6EFCE"/>
            <w:noWrap/>
          </w:tcPr>
          <w:p w14:paraId="1887DFE5" w14:textId="57CFAEEF" w:rsidR="00C02B59" w:rsidRPr="00D1795B" w:rsidRDefault="00EE45A1" w:rsidP="00C02B59">
            <w:pPr>
              <w:spacing w:after="0" w:line="240" w:lineRule="auto"/>
              <w:jc w:val="both"/>
              <w:rPr>
                <w:rFonts w:ascii="Times New Roman" w:hAnsi="Times New Roman" w:cs="Times New Roman"/>
                <w:noProof/>
                <w:sz w:val="18"/>
                <w:szCs w:val="18"/>
              </w:rPr>
            </w:pPr>
            <w:bookmarkStart w:id="4" w:name="_Hlk235697449"/>
            <w:r w:rsidRPr="00D1795B">
              <w:rPr>
                <w:rFonts w:ascii="Times New Roman" w:hAnsi="Times New Roman" w:cs="Times New Roman"/>
                <w:noProof/>
                <w:sz w:val="18"/>
                <w:szCs w:val="18"/>
              </w:rPr>
              <w:t>An e-learning platform including</w:t>
            </w:r>
            <w:r w:rsidR="00C02B59" w:rsidRPr="00D1795B">
              <w:rPr>
                <w:rFonts w:ascii="Times New Roman" w:hAnsi="Times New Roman" w:cs="Times New Roman"/>
                <w:noProof/>
                <w:sz w:val="18"/>
                <w:szCs w:val="18"/>
              </w:rPr>
              <w:t xml:space="preserve"> at least 90 clinical protocols</w:t>
            </w:r>
            <w:r w:rsidR="003842D0" w:rsidRPr="00D1795B">
              <w:rPr>
                <w:rFonts w:ascii="Times New Roman" w:hAnsi="Times New Roman" w:cs="Times New Roman"/>
                <w:noProof/>
                <w:sz w:val="18"/>
                <w:szCs w:val="18"/>
              </w:rPr>
              <w:t>, guidelines or pathways</w:t>
            </w:r>
            <w:r w:rsidR="00C02B59" w:rsidRPr="00D1795B">
              <w:rPr>
                <w:rFonts w:ascii="Times New Roman" w:hAnsi="Times New Roman" w:cs="Times New Roman"/>
                <w:noProof/>
                <w:sz w:val="18"/>
                <w:szCs w:val="18"/>
              </w:rPr>
              <w:t>, is accessible. The contractor shall certify that the clinical protocols</w:t>
            </w:r>
            <w:r w:rsidR="003842D0" w:rsidRPr="00D1795B">
              <w:rPr>
                <w:rFonts w:ascii="Times New Roman" w:hAnsi="Times New Roman" w:cs="Times New Roman"/>
                <w:noProof/>
                <w:sz w:val="18"/>
                <w:szCs w:val="18"/>
              </w:rPr>
              <w:t>, guidelines or pathways</w:t>
            </w:r>
            <w:r w:rsidR="00C02B59" w:rsidRPr="00D1795B">
              <w:rPr>
                <w:rFonts w:ascii="Times New Roman" w:hAnsi="Times New Roman" w:cs="Times New Roman"/>
                <w:noProof/>
                <w:sz w:val="18"/>
                <w:szCs w:val="18"/>
              </w:rPr>
              <w:t xml:space="preserve"> have been peer reviewed.</w:t>
            </w:r>
            <w:bookmarkEnd w:id="4"/>
          </w:p>
        </w:tc>
      </w:tr>
      <w:tr w:rsidR="00C02B59" w:rsidRPr="00D1795B" w14:paraId="1887DFF3" w14:textId="77777777" w:rsidTr="6B29DC81">
        <w:trPr>
          <w:jc w:val="center"/>
        </w:trPr>
        <w:tc>
          <w:tcPr>
            <w:tcW w:w="375" w:type="pct"/>
            <w:shd w:val="clear" w:color="auto" w:fill="C6EFCE"/>
            <w:noWrap/>
            <w:hideMark/>
          </w:tcPr>
          <w:p w14:paraId="1887DFE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3</w:t>
            </w:r>
          </w:p>
        </w:tc>
        <w:tc>
          <w:tcPr>
            <w:tcW w:w="472" w:type="pct"/>
            <w:shd w:val="clear" w:color="auto" w:fill="C6EFCE"/>
            <w:noWrap/>
            <w:hideMark/>
          </w:tcPr>
          <w:p w14:paraId="1887DFE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C1.1R2</w:t>
            </w:r>
          </w:p>
          <w:p w14:paraId="1887DFE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Design of an Electronic platform for the surveillance of Nosocomial Antibiotic Consumption and Healthcare – Associated Infections </w:t>
            </w:r>
          </w:p>
        </w:tc>
        <w:tc>
          <w:tcPr>
            <w:tcW w:w="366" w:type="pct"/>
            <w:shd w:val="clear" w:color="auto" w:fill="C6EFCE"/>
            <w:noWrap/>
            <w:hideMark/>
          </w:tcPr>
          <w:p w14:paraId="1887DFE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39" w:type="pct"/>
            <w:shd w:val="clear" w:color="auto" w:fill="C6EFCE"/>
            <w:noWrap/>
            <w:hideMark/>
          </w:tcPr>
          <w:p w14:paraId="1887DFE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Adoption of the list of health care facilities </w:t>
            </w:r>
          </w:p>
        </w:tc>
        <w:tc>
          <w:tcPr>
            <w:tcW w:w="518" w:type="pct"/>
            <w:shd w:val="clear" w:color="auto" w:fill="C6EFCE"/>
            <w:noWrap/>
            <w:hideMark/>
          </w:tcPr>
          <w:p w14:paraId="1887DFE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Adoption of the list of health care facilities </w:t>
            </w:r>
          </w:p>
        </w:tc>
        <w:tc>
          <w:tcPr>
            <w:tcW w:w="331" w:type="pct"/>
            <w:shd w:val="clear" w:color="auto" w:fill="C6EFCE"/>
            <w:noWrap/>
            <w:hideMark/>
          </w:tcPr>
          <w:p w14:paraId="1887DFE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0" w:type="pct"/>
            <w:shd w:val="clear" w:color="auto" w:fill="C6EFCE"/>
            <w:noWrap/>
            <w:hideMark/>
          </w:tcPr>
          <w:p w14:paraId="1887DFE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18" w:type="pct"/>
            <w:shd w:val="clear" w:color="auto" w:fill="C6EFCE"/>
            <w:noWrap/>
            <w:hideMark/>
          </w:tcPr>
          <w:p w14:paraId="1887DFE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1" w:type="pct"/>
            <w:shd w:val="clear" w:color="auto" w:fill="C6EFCE"/>
            <w:noWrap/>
            <w:hideMark/>
          </w:tcPr>
          <w:p w14:paraId="1887DFF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235" w:type="pct"/>
            <w:shd w:val="clear" w:color="auto" w:fill="C6EFCE"/>
            <w:noWrap/>
            <w:hideMark/>
          </w:tcPr>
          <w:p w14:paraId="1887DFF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1385" w:type="pct"/>
            <w:shd w:val="clear" w:color="auto" w:fill="C6EFCE"/>
            <w:noWrap/>
            <w:hideMark/>
          </w:tcPr>
          <w:p w14:paraId="1887DFF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Adoption of the list of healthcare facilities that shall be providing information to the Ministry of Health on antibiotic consumption and healthcare-associated infections that shall be monitored by the Ministry of Health. </w:t>
            </w:r>
          </w:p>
        </w:tc>
      </w:tr>
      <w:tr w:rsidR="00C02B59" w:rsidRPr="00D1795B" w14:paraId="1887E000" w14:textId="77777777" w:rsidTr="6B29DC81">
        <w:trPr>
          <w:jc w:val="center"/>
        </w:trPr>
        <w:tc>
          <w:tcPr>
            <w:tcW w:w="375" w:type="pct"/>
            <w:shd w:val="clear" w:color="auto" w:fill="C6EFCE"/>
            <w:noWrap/>
            <w:hideMark/>
          </w:tcPr>
          <w:p w14:paraId="1887DFF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4</w:t>
            </w:r>
          </w:p>
        </w:tc>
        <w:tc>
          <w:tcPr>
            <w:tcW w:w="472" w:type="pct"/>
            <w:shd w:val="clear" w:color="auto" w:fill="C6EFCE"/>
            <w:noWrap/>
            <w:hideMark/>
          </w:tcPr>
          <w:p w14:paraId="1887DFF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C1.1R2</w:t>
            </w:r>
          </w:p>
          <w:p w14:paraId="1887DFF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Electronic platform for the surveillance of Nosocomial Antibiotic Consumption and Healthcare- Associated Infections </w:t>
            </w:r>
          </w:p>
        </w:tc>
        <w:tc>
          <w:tcPr>
            <w:tcW w:w="366" w:type="pct"/>
            <w:shd w:val="clear" w:color="auto" w:fill="C6EFCE"/>
            <w:noWrap/>
            <w:hideMark/>
          </w:tcPr>
          <w:p w14:paraId="1887DFF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Milestone </w:t>
            </w:r>
          </w:p>
        </w:tc>
        <w:tc>
          <w:tcPr>
            <w:tcW w:w="439" w:type="pct"/>
            <w:shd w:val="clear" w:color="auto" w:fill="C6EFCE"/>
            <w:noWrap/>
            <w:hideMark/>
          </w:tcPr>
          <w:p w14:paraId="1887DFF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Electronic platform </w:t>
            </w:r>
          </w:p>
        </w:tc>
        <w:tc>
          <w:tcPr>
            <w:tcW w:w="518" w:type="pct"/>
            <w:shd w:val="clear" w:color="auto" w:fill="C6EFCE"/>
            <w:noWrap/>
            <w:hideMark/>
          </w:tcPr>
          <w:p w14:paraId="1887DFF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Electronic platform accessible</w:t>
            </w:r>
          </w:p>
        </w:tc>
        <w:tc>
          <w:tcPr>
            <w:tcW w:w="331" w:type="pct"/>
            <w:shd w:val="clear" w:color="auto" w:fill="C6EFCE"/>
            <w:noWrap/>
            <w:hideMark/>
          </w:tcPr>
          <w:p w14:paraId="1887DFF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0" w:type="pct"/>
            <w:shd w:val="clear" w:color="auto" w:fill="C6EFCE"/>
            <w:noWrap/>
            <w:hideMark/>
          </w:tcPr>
          <w:p w14:paraId="1887DFF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18" w:type="pct"/>
            <w:shd w:val="clear" w:color="auto" w:fill="C6EFCE"/>
            <w:noWrap/>
            <w:hideMark/>
          </w:tcPr>
          <w:p w14:paraId="1887DFF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1" w:type="pct"/>
            <w:shd w:val="clear" w:color="auto" w:fill="C6EFCE"/>
            <w:noWrap/>
            <w:hideMark/>
          </w:tcPr>
          <w:p w14:paraId="1887DFF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35" w:type="pct"/>
            <w:shd w:val="clear" w:color="auto" w:fill="C6EFCE"/>
            <w:noWrap/>
            <w:hideMark/>
          </w:tcPr>
          <w:p w14:paraId="1887DFF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1385" w:type="pct"/>
            <w:shd w:val="clear" w:color="auto" w:fill="C6EFCE"/>
            <w:noWrap/>
            <w:hideMark/>
          </w:tcPr>
          <w:p w14:paraId="1887DFF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An electronic platform to record data from hospital pharmacies (nosocomial antibiotic consumption), microbiology laboratories (antimicrobial resistance), and hospitals (healthcare-associated infections (HAIs)) shall be accessible. </w:t>
            </w:r>
          </w:p>
        </w:tc>
      </w:tr>
      <w:tr w:rsidR="00C02B59" w:rsidRPr="00D1795B" w14:paraId="1887E00D" w14:textId="77777777" w:rsidTr="6B29DC81">
        <w:trPr>
          <w:jc w:val="center"/>
        </w:trPr>
        <w:tc>
          <w:tcPr>
            <w:tcW w:w="375" w:type="pct"/>
            <w:shd w:val="clear" w:color="auto" w:fill="C6EFCE"/>
            <w:noWrap/>
            <w:hideMark/>
          </w:tcPr>
          <w:p w14:paraId="1887E00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5</w:t>
            </w:r>
          </w:p>
        </w:tc>
        <w:tc>
          <w:tcPr>
            <w:tcW w:w="472" w:type="pct"/>
            <w:shd w:val="clear" w:color="auto" w:fill="C6EFCE"/>
            <w:noWrap/>
            <w:hideMark/>
          </w:tcPr>
          <w:p w14:paraId="1887E00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C1.1I1</w:t>
            </w:r>
          </w:p>
          <w:p w14:paraId="1887E00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New facilities for the Cyprus Blood Establishment and procurement of the latest technology attendant equipment</w:t>
            </w:r>
          </w:p>
        </w:tc>
        <w:tc>
          <w:tcPr>
            <w:tcW w:w="366" w:type="pct"/>
            <w:shd w:val="clear" w:color="auto" w:fill="C6EFCE"/>
            <w:noWrap/>
            <w:hideMark/>
          </w:tcPr>
          <w:p w14:paraId="1887E00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39" w:type="pct"/>
            <w:shd w:val="clear" w:color="auto" w:fill="C6EFCE"/>
            <w:noWrap/>
            <w:hideMark/>
          </w:tcPr>
          <w:p w14:paraId="1887E00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Contract signature for the construction of the Cyprus Blood Establishment</w:t>
            </w:r>
          </w:p>
        </w:tc>
        <w:tc>
          <w:tcPr>
            <w:tcW w:w="518" w:type="pct"/>
            <w:shd w:val="clear" w:color="auto" w:fill="C6EFCE"/>
            <w:noWrap/>
            <w:hideMark/>
          </w:tcPr>
          <w:p w14:paraId="1887E00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Signature of the contract</w:t>
            </w:r>
          </w:p>
        </w:tc>
        <w:tc>
          <w:tcPr>
            <w:tcW w:w="331" w:type="pct"/>
            <w:shd w:val="clear" w:color="auto" w:fill="C6EFCE"/>
            <w:noWrap/>
            <w:hideMark/>
          </w:tcPr>
          <w:p w14:paraId="1887E00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0" w:type="pct"/>
            <w:shd w:val="clear" w:color="auto" w:fill="C6EFCE"/>
            <w:noWrap/>
            <w:hideMark/>
          </w:tcPr>
          <w:p w14:paraId="1887E00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18" w:type="pct"/>
            <w:shd w:val="clear" w:color="auto" w:fill="C6EFCE"/>
            <w:noWrap/>
            <w:hideMark/>
          </w:tcPr>
          <w:p w14:paraId="1887E00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1" w:type="pct"/>
            <w:shd w:val="clear" w:color="auto" w:fill="C6EFCE"/>
            <w:noWrap/>
            <w:hideMark/>
          </w:tcPr>
          <w:p w14:paraId="1887E00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Q3</w:t>
            </w:r>
          </w:p>
        </w:tc>
        <w:tc>
          <w:tcPr>
            <w:tcW w:w="235" w:type="pct"/>
            <w:shd w:val="clear" w:color="auto" w:fill="C6EFCE"/>
            <w:noWrap/>
            <w:hideMark/>
          </w:tcPr>
          <w:p w14:paraId="1887E00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1385" w:type="pct"/>
            <w:shd w:val="clear" w:color="auto" w:fill="C6EFCE"/>
            <w:noWrap/>
            <w:hideMark/>
          </w:tcPr>
          <w:p w14:paraId="1887E00C"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Signature of the contract with the selected tenderer(s) (contractor(s)) selected under a competitive call for tenders for the construction of the Cyprus Blood Establishment.</w:t>
            </w:r>
          </w:p>
        </w:tc>
      </w:tr>
      <w:tr w:rsidR="00C02B59" w:rsidRPr="00D1795B" w14:paraId="1887E01A" w14:textId="77777777" w:rsidTr="6B29DC81">
        <w:trPr>
          <w:jc w:val="center"/>
        </w:trPr>
        <w:tc>
          <w:tcPr>
            <w:tcW w:w="375" w:type="pct"/>
            <w:tcBorders>
              <w:bottom w:val="single" w:sz="4" w:space="0" w:color="auto"/>
            </w:tcBorders>
            <w:shd w:val="clear" w:color="auto" w:fill="C6EFCE"/>
            <w:noWrap/>
            <w:hideMark/>
          </w:tcPr>
          <w:p w14:paraId="1887E00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6</w:t>
            </w:r>
          </w:p>
        </w:tc>
        <w:tc>
          <w:tcPr>
            <w:tcW w:w="472" w:type="pct"/>
            <w:tcBorders>
              <w:bottom w:val="single" w:sz="4" w:space="0" w:color="auto"/>
            </w:tcBorders>
            <w:shd w:val="clear" w:color="auto" w:fill="C6EFCE"/>
            <w:noWrap/>
            <w:hideMark/>
          </w:tcPr>
          <w:p w14:paraId="1887E00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C1.1I1</w:t>
            </w:r>
          </w:p>
          <w:p w14:paraId="1887E01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Cyprus Blood Establishment </w:t>
            </w:r>
          </w:p>
        </w:tc>
        <w:tc>
          <w:tcPr>
            <w:tcW w:w="366" w:type="pct"/>
            <w:tcBorders>
              <w:bottom w:val="single" w:sz="4" w:space="0" w:color="auto"/>
            </w:tcBorders>
            <w:shd w:val="clear" w:color="auto" w:fill="C6EFCE"/>
            <w:noWrap/>
            <w:hideMark/>
          </w:tcPr>
          <w:p w14:paraId="1887E01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39" w:type="pct"/>
            <w:tcBorders>
              <w:bottom w:val="single" w:sz="4" w:space="0" w:color="auto"/>
            </w:tcBorders>
            <w:shd w:val="clear" w:color="auto" w:fill="C6EFCE"/>
            <w:noWrap/>
            <w:hideMark/>
          </w:tcPr>
          <w:p w14:paraId="1887E01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Blood establishment facilities and equipment</w:t>
            </w:r>
          </w:p>
        </w:tc>
        <w:tc>
          <w:tcPr>
            <w:tcW w:w="518" w:type="pct"/>
            <w:tcBorders>
              <w:bottom w:val="single" w:sz="4" w:space="0" w:color="auto"/>
            </w:tcBorders>
            <w:shd w:val="clear" w:color="auto" w:fill="C6EFCE"/>
            <w:noWrap/>
            <w:hideMark/>
          </w:tcPr>
          <w:p w14:paraId="1887E01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Facilities constructed and equipment purchased</w:t>
            </w:r>
          </w:p>
        </w:tc>
        <w:tc>
          <w:tcPr>
            <w:tcW w:w="331" w:type="pct"/>
            <w:tcBorders>
              <w:bottom w:val="single" w:sz="4" w:space="0" w:color="auto"/>
            </w:tcBorders>
            <w:shd w:val="clear" w:color="auto" w:fill="C6EFCE"/>
            <w:noWrap/>
            <w:hideMark/>
          </w:tcPr>
          <w:p w14:paraId="1887E01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0" w:type="pct"/>
            <w:tcBorders>
              <w:bottom w:val="single" w:sz="4" w:space="0" w:color="auto"/>
            </w:tcBorders>
            <w:shd w:val="clear" w:color="auto" w:fill="C6EFCE"/>
            <w:noWrap/>
            <w:hideMark/>
          </w:tcPr>
          <w:p w14:paraId="1887E01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18" w:type="pct"/>
            <w:tcBorders>
              <w:bottom w:val="single" w:sz="4" w:space="0" w:color="auto"/>
            </w:tcBorders>
            <w:shd w:val="clear" w:color="auto" w:fill="C6EFCE"/>
            <w:noWrap/>
            <w:hideMark/>
          </w:tcPr>
          <w:p w14:paraId="1887E01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1" w:type="pct"/>
            <w:tcBorders>
              <w:bottom w:val="single" w:sz="4" w:space="0" w:color="auto"/>
            </w:tcBorders>
            <w:shd w:val="clear" w:color="auto" w:fill="C6EFCE"/>
            <w:noWrap/>
            <w:hideMark/>
          </w:tcPr>
          <w:p w14:paraId="1887E01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35" w:type="pct"/>
            <w:tcBorders>
              <w:bottom w:val="single" w:sz="4" w:space="0" w:color="auto"/>
            </w:tcBorders>
            <w:shd w:val="clear" w:color="auto" w:fill="C6EFCE"/>
            <w:noWrap/>
            <w:hideMark/>
          </w:tcPr>
          <w:p w14:paraId="1887E01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1385" w:type="pct"/>
            <w:tcBorders>
              <w:bottom w:val="single" w:sz="4" w:space="0" w:color="auto"/>
            </w:tcBorders>
            <w:shd w:val="clear" w:color="auto" w:fill="C6EFCE"/>
            <w:noWrap/>
            <w:hideMark/>
          </w:tcPr>
          <w:p w14:paraId="1887E019"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The Cyprus Blood Establishment facilities are constructed and equipment is purchased. The new facilities shall have a primary energy demand that is at least 20% lower than defined in the nearly zero-energy building (NZEB) requirement. </w:t>
            </w:r>
          </w:p>
        </w:tc>
      </w:tr>
      <w:tr w:rsidR="00C02B59" w:rsidRPr="00D1795B" w14:paraId="1887E028" w14:textId="77777777" w:rsidTr="6B29DC81">
        <w:trPr>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hideMark/>
          </w:tcPr>
          <w:p w14:paraId="1887E01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7</w:t>
            </w:r>
          </w:p>
          <w:p w14:paraId="1887E01C" w14:textId="77777777" w:rsidR="00C02B59" w:rsidRPr="00D1795B" w:rsidRDefault="00C02B59" w:rsidP="00C02B59">
            <w:pPr>
              <w:spacing w:after="0" w:line="240" w:lineRule="auto"/>
              <w:rPr>
                <w:rFonts w:ascii="Times New Roman" w:hAnsi="Times New Roman" w:cs="Times New Roman"/>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C6EFCE"/>
            <w:noWrap/>
            <w:hideMark/>
          </w:tcPr>
          <w:p w14:paraId="1887E01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C1.1I2</w:t>
            </w:r>
          </w:p>
          <w:p w14:paraId="1887E01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Cyprus Innovative Public Health information and communications technology (ICT) System </w:t>
            </w:r>
          </w:p>
        </w:tc>
        <w:tc>
          <w:tcPr>
            <w:tcW w:w="366" w:type="pct"/>
            <w:tcBorders>
              <w:top w:val="single" w:sz="4" w:space="0" w:color="auto"/>
              <w:left w:val="single" w:sz="4" w:space="0" w:color="auto"/>
              <w:bottom w:val="single" w:sz="4" w:space="0" w:color="auto"/>
              <w:right w:val="single" w:sz="4" w:space="0" w:color="auto"/>
            </w:tcBorders>
            <w:shd w:val="clear" w:color="auto" w:fill="C6EFCE"/>
            <w:noWrap/>
            <w:hideMark/>
          </w:tcPr>
          <w:p w14:paraId="1887E01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39" w:type="pct"/>
            <w:tcBorders>
              <w:top w:val="single" w:sz="4" w:space="0" w:color="auto"/>
              <w:left w:val="single" w:sz="4" w:space="0" w:color="auto"/>
              <w:bottom w:val="single" w:sz="4" w:space="0" w:color="auto"/>
              <w:right w:val="single" w:sz="4" w:space="0" w:color="auto"/>
            </w:tcBorders>
            <w:shd w:val="clear" w:color="auto" w:fill="C6EFCE"/>
            <w:noWrap/>
            <w:hideMark/>
          </w:tcPr>
          <w:p w14:paraId="1887E02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Influenza Sentinel Surveillance (ISS)System </w:t>
            </w:r>
          </w:p>
        </w:tc>
        <w:tc>
          <w:tcPr>
            <w:tcW w:w="518" w:type="pct"/>
            <w:tcBorders>
              <w:top w:val="single" w:sz="4" w:space="0" w:color="auto"/>
              <w:left w:val="single" w:sz="4" w:space="0" w:color="auto"/>
              <w:bottom w:val="single" w:sz="4" w:space="0" w:color="auto"/>
              <w:right w:val="single" w:sz="4" w:space="0" w:color="auto"/>
            </w:tcBorders>
            <w:shd w:val="clear" w:color="auto" w:fill="C6EFCE"/>
            <w:noWrap/>
            <w:hideMark/>
          </w:tcPr>
          <w:p w14:paraId="1887E02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Fully operational system</w:t>
            </w: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1887E02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1887E02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18" w:type="pct"/>
            <w:tcBorders>
              <w:top w:val="single" w:sz="4" w:space="0" w:color="auto"/>
              <w:left w:val="single" w:sz="4" w:space="0" w:color="auto"/>
              <w:bottom w:val="single" w:sz="4" w:space="0" w:color="auto"/>
              <w:right w:val="single" w:sz="4" w:space="0" w:color="auto"/>
            </w:tcBorders>
            <w:shd w:val="clear" w:color="auto" w:fill="C6EFCE"/>
            <w:noWrap/>
            <w:hideMark/>
          </w:tcPr>
          <w:p w14:paraId="1887E024"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1887E02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35" w:type="pct"/>
            <w:tcBorders>
              <w:top w:val="single" w:sz="4" w:space="0" w:color="auto"/>
              <w:left w:val="single" w:sz="4" w:space="0" w:color="auto"/>
              <w:bottom w:val="single" w:sz="4" w:space="0" w:color="auto"/>
              <w:right w:val="single" w:sz="4" w:space="0" w:color="auto"/>
            </w:tcBorders>
            <w:shd w:val="clear" w:color="auto" w:fill="C6EFCE"/>
            <w:noWrap/>
            <w:hideMark/>
          </w:tcPr>
          <w:p w14:paraId="1887E02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1385" w:type="pct"/>
            <w:tcBorders>
              <w:top w:val="single" w:sz="4" w:space="0" w:color="auto"/>
              <w:left w:val="single" w:sz="4" w:space="0" w:color="auto"/>
              <w:bottom w:val="single" w:sz="4" w:space="0" w:color="auto"/>
              <w:right w:val="single" w:sz="4" w:space="0" w:color="auto"/>
            </w:tcBorders>
            <w:shd w:val="clear" w:color="auto" w:fill="C6EFCE"/>
            <w:noWrap/>
            <w:hideMark/>
          </w:tcPr>
          <w:p w14:paraId="1887E027"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Influenza Sentinel Surveillance System module of the Cyprus Innovative Public Health information and communications technology (ICT) System shall be operational and a system monitoring its effectiveness shall be in place.</w:t>
            </w:r>
          </w:p>
        </w:tc>
      </w:tr>
      <w:tr w:rsidR="00C02B59" w:rsidRPr="00D1795B" w14:paraId="1887E035" w14:textId="77777777" w:rsidTr="6B29DC81">
        <w:trPr>
          <w:trHeight w:val="2850"/>
          <w:jc w:val="center"/>
        </w:trPr>
        <w:tc>
          <w:tcPr>
            <w:tcW w:w="375" w:type="pct"/>
            <w:tcBorders>
              <w:top w:val="single" w:sz="4" w:space="0" w:color="auto"/>
            </w:tcBorders>
            <w:shd w:val="clear" w:color="auto" w:fill="C6EFCE"/>
            <w:noWrap/>
            <w:hideMark/>
          </w:tcPr>
          <w:p w14:paraId="1887E02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8</w:t>
            </w:r>
          </w:p>
        </w:tc>
        <w:tc>
          <w:tcPr>
            <w:tcW w:w="472" w:type="pct"/>
            <w:tcBorders>
              <w:top w:val="single" w:sz="4" w:space="0" w:color="auto"/>
            </w:tcBorders>
            <w:shd w:val="clear" w:color="auto" w:fill="C6EFCE"/>
            <w:noWrap/>
            <w:hideMark/>
          </w:tcPr>
          <w:p w14:paraId="1887E02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C1.1I2</w:t>
            </w:r>
          </w:p>
          <w:p w14:paraId="1887E02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Cyprus Public Health information System</w:t>
            </w:r>
          </w:p>
        </w:tc>
        <w:tc>
          <w:tcPr>
            <w:tcW w:w="366" w:type="pct"/>
            <w:tcBorders>
              <w:top w:val="single" w:sz="4" w:space="0" w:color="auto"/>
            </w:tcBorders>
            <w:shd w:val="clear" w:color="auto" w:fill="C6EFCE"/>
            <w:noWrap/>
            <w:hideMark/>
          </w:tcPr>
          <w:p w14:paraId="1887E02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439" w:type="pct"/>
            <w:tcBorders>
              <w:top w:val="single" w:sz="4" w:space="0" w:color="auto"/>
            </w:tcBorders>
            <w:shd w:val="clear" w:color="auto" w:fill="C6EFCE"/>
            <w:noWrap/>
            <w:hideMark/>
          </w:tcPr>
          <w:p w14:paraId="1887E02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Sentinels registered in the module</w:t>
            </w:r>
          </w:p>
        </w:tc>
        <w:tc>
          <w:tcPr>
            <w:tcW w:w="518" w:type="pct"/>
            <w:tcBorders>
              <w:top w:val="single" w:sz="4" w:space="0" w:color="auto"/>
            </w:tcBorders>
            <w:shd w:val="clear" w:color="auto" w:fill="C6EFCE"/>
            <w:noWrap/>
            <w:hideMark/>
          </w:tcPr>
          <w:p w14:paraId="1887E02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w:t>
            </w:r>
          </w:p>
        </w:tc>
        <w:tc>
          <w:tcPr>
            <w:tcW w:w="331" w:type="pct"/>
            <w:tcBorders>
              <w:top w:val="single" w:sz="4" w:space="0" w:color="auto"/>
            </w:tcBorders>
            <w:shd w:val="clear" w:color="auto" w:fill="C6EFCE"/>
            <w:noWrap/>
            <w:hideMark/>
          </w:tcPr>
          <w:p w14:paraId="1887E02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30" w:type="pct"/>
            <w:tcBorders>
              <w:top w:val="single" w:sz="4" w:space="0" w:color="auto"/>
            </w:tcBorders>
            <w:shd w:val="clear" w:color="auto" w:fill="C6EFCE"/>
            <w:noWrap/>
            <w:hideMark/>
          </w:tcPr>
          <w:p w14:paraId="1887E03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18" w:type="pct"/>
            <w:tcBorders>
              <w:top w:val="single" w:sz="4" w:space="0" w:color="auto"/>
            </w:tcBorders>
            <w:shd w:val="clear" w:color="auto" w:fill="C6EFCE"/>
            <w:noWrap/>
            <w:hideMark/>
          </w:tcPr>
          <w:p w14:paraId="1887E03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30</w:t>
            </w:r>
          </w:p>
        </w:tc>
        <w:tc>
          <w:tcPr>
            <w:tcW w:w="331" w:type="pct"/>
            <w:tcBorders>
              <w:top w:val="single" w:sz="4" w:space="0" w:color="auto"/>
            </w:tcBorders>
            <w:shd w:val="clear" w:color="auto" w:fill="C6EFCE"/>
            <w:noWrap/>
            <w:hideMark/>
          </w:tcPr>
          <w:p w14:paraId="1887E03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35" w:type="pct"/>
            <w:tcBorders>
              <w:top w:val="single" w:sz="4" w:space="0" w:color="auto"/>
            </w:tcBorders>
            <w:shd w:val="clear" w:color="auto" w:fill="C6EFCE"/>
            <w:noWrap/>
            <w:hideMark/>
          </w:tcPr>
          <w:p w14:paraId="1887E03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1385" w:type="pct"/>
            <w:tcBorders>
              <w:top w:val="single" w:sz="4" w:space="0" w:color="auto"/>
            </w:tcBorders>
            <w:shd w:val="clear" w:color="auto" w:fill="C6EFCE"/>
            <w:noWrap/>
            <w:hideMark/>
          </w:tcPr>
          <w:p w14:paraId="1887E034"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At least 30 doctors are registered as sentinels in the influenza surveillance module of the Cyprus Public Health Information System. </w:t>
            </w:r>
          </w:p>
        </w:tc>
      </w:tr>
      <w:tr w:rsidR="00C02B59" w:rsidRPr="00D1795B" w14:paraId="1887E042" w14:textId="77777777" w:rsidTr="6B29DC81">
        <w:trPr>
          <w:jc w:val="center"/>
        </w:trPr>
        <w:tc>
          <w:tcPr>
            <w:tcW w:w="375" w:type="pct"/>
            <w:shd w:val="clear" w:color="auto" w:fill="C6EFCE"/>
            <w:noWrap/>
            <w:hideMark/>
          </w:tcPr>
          <w:p w14:paraId="1887E03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9</w:t>
            </w:r>
          </w:p>
        </w:tc>
        <w:tc>
          <w:tcPr>
            <w:tcW w:w="472" w:type="pct"/>
            <w:shd w:val="clear" w:color="auto" w:fill="C6EFCE"/>
            <w:noWrap/>
            <w:hideMark/>
          </w:tcPr>
          <w:p w14:paraId="1887E03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C1.1I3</w:t>
            </w:r>
          </w:p>
          <w:p w14:paraId="1887E03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Purchase/replacement of medical equipment in hospitals</w:t>
            </w:r>
          </w:p>
        </w:tc>
        <w:tc>
          <w:tcPr>
            <w:tcW w:w="366" w:type="pct"/>
            <w:shd w:val="clear" w:color="auto" w:fill="C6EFCE"/>
            <w:noWrap/>
            <w:hideMark/>
          </w:tcPr>
          <w:p w14:paraId="1887E03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439" w:type="pct"/>
            <w:shd w:val="clear" w:color="auto" w:fill="C6EFCE"/>
            <w:noWrap/>
            <w:hideMark/>
          </w:tcPr>
          <w:p w14:paraId="1887E03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Health institutions having benefitted from the financial support scheme </w:t>
            </w:r>
          </w:p>
        </w:tc>
        <w:tc>
          <w:tcPr>
            <w:tcW w:w="518" w:type="pct"/>
            <w:shd w:val="clear" w:color="auto" w:fill="C6EFCE"/>
            <w:noWrap/>
            <w:hideMark/>
          </w:tcPr>
          <w:p w14:paraId="1887E03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w:t>
            </w:r>
          </w:p>
        </w:tc>
        <w:tc>
          <w:tcPr>
            <w:tcW w:w="331" w:type="pct"/>
            <w:shd w:val="clear" w:color="auto" w:fill="C6EFCE"/>
            <w:noWrap/>
            <w:hideMark/>
          </w:tcPr>
          <w:p w14:paraId="1887E03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30" w:type="pct"/>
            <w:shd w:val="clear" w:color="auto" w:fill="C6EFCE"/>
            <w:noWrap/>
            <w:hideMark/>
          </w:tcPr>
          <w:p w14:paraId="1887E03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18" w:type="pct"/>
            <w:shd w:val="clear" w:color="auto" w:fill="C6EFCE"/>
            <w:noWrap/>
            <w:hideMark/>
          </w:tcPr>
          <w:p w14:paraId="1887E03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10</w:t>
            </w:r>
          </w:p>
        </w:tc>
        <w:tc>
          <w:tcPr>
            <w:tcW w:w="331" w:type="pct"/>
            <w:shd w:val="clear" w:color="auto" w:fill="C6EFCE"/>
            <w:noWrap/>
            <w:hideMark/>
          </w:tcPr>
          <w:p w14:paraId="1887E03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35" w:type="pct"/>
            <w:shd w:val="clear" w:color="auto" w:fill="C6EFCE"/>
            <w:noWrap/>
            <w:hideMark/>
          </w:tcPr>
          <w:p w14:paraId="1887E04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1385" w:type="pct"/>
            <w:shd w:val="clear" w:color="auto" w:fill="C6EFCE"/>
            <w:noWrap/>
            <w:hideMark/>
          </w:tcPr>
          <w:p w14:paraId="1887E041"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At least ten of the applicant health institutions of various categories have received financial support from the scheme for medical equipment acquisition. </w:t>
            </w:r>
          </w:p>
        </w:tc>
      </w:tr>
      <w:tr w:rsidR="00C02B59" w:rsidRPr="00D1795B" w14:paraId="1887E04F" w14:textId="77777777" w:rsidTr="6B29DC81">
        <w:trPr>
          <w:jc w:val="center"/>
        </w:trPr>
        <w:tc>
          <w:tcPr>
            <w:tcW w:w="375" w:type="pct"/>
            <w:shd w:val="clear" w:color="auto" w:fill="C6EFCE"/>
            <w:noWrap/>
            <w:hideMark/>
          </w:tcPr>
          <w:p w14:paraId="1887E04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10</w:t>
            </w:r>
          </w:p>
        </w:tc>
        <w:tc>
          <w:tcPr>
            <w:tcW w:w="472" w:type="pct"/>
            <w:shd w:val="clear" w:color="auto" w:fill="C6EFCE"/>
            <w:noWrap/>
            <w:hideMark/>
          </w:tcPr>
          <w:p w14:paraId="1887E04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C1.1I3</w:t>
            </w:r>
          </w:p>
          <w:p w14:paraId="1887E04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Support for the purchase of medical equipment in private hospitals</w:t>
            </w:r>
          </w:p>
        </w:tc>
        <w:tc>
          <w:tcPr>
            <w:tcW w:w="366" w:type="pct"/>
            <w:shd w:val="clear" w:color="auto" w:fill="C6EFCE"/>
            <w:noWrap/>
            <w:hideMark/>
          </w:tcPr>
          <w:p w14:paraId="1887E04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439" w:type="pct"/>
            <w:shd w:val="clear" w:color="auto" w:fill="C6EFCE"/>
            <w:noWrap/>
            <w:hideMark/>
          </w:tcPr>
          <w:p w14:paraId="1887E04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Private hospitals purchased medical equipment with funding from the financial support scheme</w:t>
            </w:r>
          </w:p>
        </w:tc>
        <w:tc>
          <w:tcPr>
            <w:tcW w:w="518" w:type="pct"/>
            <w:shd w:val="clear" w:color="auto" w:fill="C6EFCE"/>
            <w:noWrap/>
            <w:hideMark/>
          </w:tcPr>
          <w:p w14:paraId="1887E04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w:t>
            </w:r>
          </w:p>
        </w:tc>
        <w:tc>
          <w:tcPr>
            <w:tcW w:w="331" w:type="pct"/>
            <w:shd w:val="clear" w:color="auto" w:fill="C6EFCE"/>
            <w:noWrap/>
            <w:hideMark/>
          </w:tcPr>
          <w:p w14:paraId="1887E04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30" w:type="pct"/>
            <w:shd w:val="clear" w:color="auto" w:fill="C6EFCE"/>
            <w:noWrap/>
            <w:hideMark/>
          </w:tcPr>
          <w:p w14:paraId="1887E04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10</w:t>
            </w:r>
          </w:p>
        </w:tc>
        <w:tc>
          <w:tcPr>
            <w:tcW w:w="218" w:type="pct"/>
            <w:shd w:val="clear" w:color="auto" w:fill="C6EFCE"/>
            <w:noWrap/>
            <w:hideMark/>
          </w:tcPr>
          <w:p w14:paraId="1887E04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23</w:t>
            </w:r>
          </w:p>
        </w:tc>
        <w:tc>
          <w:tcPr>
            <w:tcW w:w="331" w:type="pct"/>
            <w:shd w:val="clear" w:color="auto" w:fill="C6EFCE"/>
            <w:noWrap/>
            <w:hideMark/>
          </w:tcPr>
          <w:p w14:paraId="1887E04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35" w:type="pct"/>
            <w:shd w:val="clear" w:color="auto" w:fill="C6EFCE"/>
            <w:noWrap/>
            <w:hideMark/>
          </w:tcPr>
          <w:p w14:paraId="1887E04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1385" w:type="pct"/>
            <w:shd w:val="clear" w:color="auto" w:fill="C6EFCE"/>
            <w:noWrap/>
            <w:hideMark/>
          </w:tcPr>
          <w:p w14:paraId="1887E04E"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At least 23 private hospitals have received financial support from the scheme to purchase medical equipment. </w:t>
            </w:r>
          </w:p>
        </w:tc>
      </w:tr>
      <w:tr w:rsidR="00C02B59" w:rsidRPr="00D1795B" w14:paraId="1887E05C" w14:textId="77777777" w:rsidTr="6B29DC81">
        <w:trPr>
          <w:jc w:val="center"/>
        </w:trPr>
        <w:tc>
          <w:tcPr>
            <w:tcW w:w="375" w:type="pct"/>
            <w:shd w:val="clear" w:color="auto" w:fill="C6EFCE"/>
            <w:noWrap/>
          </w:tcPr>
          <w:p w14:paraId="1887E05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12</w:t>
            </w:r>
          </w:p>
        </w:tc>
        <w:tc>
          <w:tcPr>
            <w:tcW w:w="472" w:type="pct"/>
            <w:shd w:val="clear" w:color="auto" w:fill="C6EFCE"/>
            <w:noWrap/>
          </w:tcPr>
          <w:p w14:paraId="1887E05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C1.1I4</w:t>
            </w:r>
          </w:p>
          <w:p w14:paraId="1887E05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Accreditation of health institutions</w:t>
            </w:r>
          </w:p>
        </w:tc>
        <w:tc>
          <w:tcPr>
            <w:tcW w:w="366" w:type="pct"/>
            <w:shd w:val="clear" w:color="auto" w:fill="C6EFCE"/>
            <w:noWrap/>
          </w:tcPr>
          <w:p w14:paraId="1887E05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439" w:type="pct"/>
            <w:shd w:val="clear" w:color="auto" w:fill="C6EFCE"/>
            <w:noWrap/>
          </w:tcPr>
          <w:p w14:paraId="1887E05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Health institutions have received financial support for their accreditation </w:t>
            </w:r>
          </w:p>
        </w:tc>
        <w:tc>
          <w:tcPr>
            <w:tcW w:w="518" w:type="pct"/>
            <w:shd w:val="clear" w:color="auto" w:fill="C6EFCE"/>
            <w:noWrap/>
          </w:tcPr>
          <w:p w14:paraId="1887E05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1" w:type="pct"/>
            <w:shd w:val="clear" w:color="auto" w:fill="C6EFCE"/>
            <w:noWrap/>
          </w:tcPr>
          <w:p w14:paraId="1887E05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30" w:type="pct"/>
            <w:shd w:val="clear" w:color="auto" w:fill="C6EFCE"/>
            <w:noWrap/>
          </w:tcPr>
          <w:p w14:paraId="1887E05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18" w:type="pct"/>
            <w:shd w:val="clear" w:color="auto" w:fill="C6EFCE"/>
            <w:noWrap/>
          </w:tcPr>
          <w:p w14:paraId="1887E05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30</w:t>
            </w:r>
          </w:p>
        </w:tc>
        <w:tc>
          <w:tcPr>
            <w:tcW w:w="331" w:type="pct"/>
            <w:shd w:val="clear" w:color="auto" w:fill="C6EFCE"/>
            <w:noWrap/>
          </w:tcPr>
          <w:p w14:paraId="1887E05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35" w:type="pct"/>
            <w:shd w:val="clear" w:color="auto" w:fill="C6EFCE"/>
            <w:noWrap/>
          </w:tcPr>
          <w:p w14:paraId="1887E05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1385" w:type="pct"/>
            <w:shd w:val="clear" w:color="auto" w:fill="C6EFCE"/>
            <w:noWrap/>
          </w:tcPr>
          <w:p w14:paraId="1887E05B"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At least 30 health institutions have received financial support from the scheme and been accredited based on International Society for Quality in Healthcare (ISQua) standards. </w:t>
            </w:r>
          </w:p>
        </w:tc>
      </w:tr>
      <w:tr w:rsidR="00C02B59" w:rsidRPr="00D1795B" w14:paraId="1887E06E" w14:textId="77777777" w:rsidTr="6B29DC81">
        <w:trPr>
          <w:jc w:val="center"/>
        </w:trPr>
        <w:tc>
          <w:tcPr>
            <w:tcW w:w="375" w:type="pct"/>
            <w:shd w:val="clear" w:color="auto" w:fill="C6EFCE"/>
            <w:noWrap/>
            <w:hideMark/>
          </w:tcPr>
          <w:p w14:paraId="1887E05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13</w:t>
            </w:r>
          </w:p>
        </w:tc>
        <w:tc>
          <w:tcPr>
            <w:tcW w:w="472" w:type="pct"/>
            <w:shd w:val="clear" w:color="auto" w:fill="C6EFCE"/>
            <w:noWrap/>
            <w:hideMark/>
          </w:tcPr>
          <w:p w14:paraId="1887E05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C1.1I6</w:t>
            </w:r>
          </w:p>
          <w:p w14:paraId="1887E05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Deployment of generic cross border e-health services in Cyprus</w:t>
            </w:r>
          </w:p>
        </w:tc>
        <w:tc>
          <w:tcPr>
            <w:tcW w:w="366" w:type="pct"/>
            <w:shd w:val="clear" w:color="auto" w:fill="C6EFCE"/>
            <w:noWrap/>
            <w:hideMark/>
          </w:tcPr>
          <w:p w14:paraId="1887E06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39" w:type="pct"/>
            <w:shd w:val="clear" w:color="auto" w:fill="C6EFCE"/>
            <w:noWrap/>
            <w:hideMark/>
          </w:tcPr>
          <w:p w14:paraId="1887E061" w14:textId="77777777" w:rsidR="00C02B59" w:rsidRPr="00D1795B" w:rsidRDefault="00C02B59" w:rsidP="00C02B59">
            <w:pPr>
              <w:tabs>
                <w:tab w:val="center" w:pos="809"/>
              </w:tabs>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Completion of the analysis, design, and development phase of the IT System for cross-border e-health services</w:t>
            </w:r>
          </w:p>
        </w:tc>
        <w:tc>
          <w:tcPr>
            <w:tcW w:w="518" w:type="pct"/>
            <w:shd w:val="clear" w:color="auto" w:fill="C6EFCE"/>
            <w:noWrap/>
            <w:hideMark/>
          </w:tcPr>
          <w:p w14:paraId="1887E06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Completion of the analysis, design, and development phase of the IT System, as provided in a dedicated report by the deliverables acceptance team in the contracting authority</w:t>
            </w:r>
          </w:p>
        </w:tc>
        <w:tc>
          <w:tcPr>
            <w:tcW w:w="331" w:type="pct"/>
            <w:shd w:val="clear" w:color="auto" w:fill="C6EFCE"/>
            <w:noWrap/>
            <w:hideMark/>
          </w:tcPr>
          <w:p w14:paraId="1887E06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0" w:type="pct"/>
            <w:shd w:val="clear" w:color="auto" w:fill="C6EFCE"/>
            <w:noWrap/>
            <w:hideMark/>
          </w:tcPr>
          <w:p w14:paraId="1887E06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18" w:type="pct"/>
            <w:shd w:val="clear" w:color="auto" w:fill="C6EFCE"/>
            <w:noWrap/>
            <w:hideMark/>
          </w:tcPr>
          <w:p w14:paraId="1887E06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1" w:type="pct"/>
            <w:shd w:val="clear" w:color="auto" w:fill="C6EFCE"/>
            <w:noWrap/>
            <w:hideMark/>
          </w:tcPr>
          <w:p w14:paraId="1887E06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35" w:type="pct"/>
            <w:shd w:val="clear" w:color="auto" w:fill="C6EFCE"/>
            <w:noWrap/>
            <w:hideMark/>
          </w:tcPr>
          <w:p w14:paraId="1887E06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1385" w:type="pct"/>
            <w:shd w:val="clear" w:color="auto" w:fill="C6EFCE"/>
            <w:noWrap/>
            <w:hideMark/>
          </w:tcPr>
          <w:p w14:paraId="1887E068"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The analysis, design and development of the IT System phase shall be completed. </w:t>
            </w:r>
          </w:p>
          <w:p w14:paraId="1887E069"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Specifications shall include: </w:t>
            </w:r>
          </w:p>
          <w:p w14:paraId="1887E06A" w14:textId="77777777" w:rsidR="00C02B59" w:rsidRPr="00D1795B" w:rsidRDefault="00C02B59" w:rsidP="00C02B59">
            <w:pPr>
              <w:spacing w:after="0" w:line="240" w:lineRule="auto"/>
              <w:jc w:val="both"/>
              <w:rPr>
                <w:rFonts w:ascii="Times New Roman" w:hAnsi="Times New Roman" w:cs="Times New Roman"/>
                <w:noProof/>
                <w:sz w:val="18"/>
                <w:szCs w:val="18"/>
              </w:rPr>
            </w:pPr>
          </w:p>
          <w:p w14:paraId="1887E06B" w14:textId="77777777" w:rsidR="00C02B59" w:rsidRPr="00D1795B" w:rsidDel="00885AC4"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 </w:t>
            </w:r>
            <w:r w:rsidRPr="00D1795B" w:rsidDel="4AE8F201">
              <w:rPr>
                <w:rFonts w:ascii="Times New Roman" w:hAnsi="Times New Roman" w:cs="Times New Roman"/>
                <w:noProof/>
                <w:sz w:val="18"/>
                <w:szCs w:val="18"/>
              </w:rPr>
              <w:t xml:space="preserve">Service Location and capability lookup Profile / the Cross-Community Patient Discovery Profile (to locate communities that hold patient relevant health data and the translation of patient identifiers across communities holding the same patient’s data). </w:t>
            </w:r>
          </w:p>
          <w:p w14:paraId="1887E06C" w14:textId="77777777" w:rsidR="00C02B59" w:rsidRPr="00D1795B" w:rsidDel="00885AC4" w:rsidRDefault="00C02B59" w:rsidP="00C02B59">
            <w:pPr>
              <w:spacing w:after="0" w:line="240" w:lineRule="auto"/>
              <w:jc w:val="both"/>
              <w:rPr>
                <w:rFonts w:ascii="Times New Roman" w:hAnsi="Times New Roman" w:cs="Times New Roman"/>
                <w:noProof/>
                <w:sz w:val="18"/>
                <w:szCs w:val="18"/>
              </w:rPr>
            </w:pPr>
            <w:r w:rsidRPr="00D1795B" w:rsidDel="4AE8F201">
              <w:rPr>
                <w:rFonts w:ascii="Times New Roman" w:hAnsi="Times New Roman" w:cs="Times New Roman"/>
                <w:noProof/>
                <w:sz w:val="18"/>
                <w:szCs w:val="18"/>
              </w:rPr>
              <w:t xml:space="preserve">b) open source National Contact Point (OpenNCP) update that supports the eHDSI Automatic Data Collection (eADC). </w:t>
            </w:r>
          </w:p>
          <w:p w14:paraId="1887E06D"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sidDel="00885AC4">
              <w:rPr>
                <w:rFonts w:ascii="Times New Roman" w:hAnsi="Times New Roman" w:cs="Times New Roman"/>
                <w:noProof/>
                <w:sz w:val="18"/>
                <w:szCs w:val="18"/>
              </w:rPr>
              <w:t>c)</w:t>
            </w:r>
            <w:r w:rsidRPr="00D1795B">
              <w:rPr>
                <w:rFonts w:ascii="Times New Roman" w:hAnsi="Times New Roman" w:cs="Times New Roman"/>
                <w:noProof/>
                <w:sz w:val="18"/>
                <w:szCs w:val="18"/>
              </w:rPr>
              <w:t xml:space="preserve"> Update Patient Summary (PS-A), e-Prescription (eP), e-Dispencing (eD), unstructured clinical documents, and patient access to cross border data services, based on Wave 6 Clinical Document Architecture (W6 CDA) Implementation Guidelines by the e-Health network.</w:t>
            </w:r>
          </w:p>
        </w:tc>
      </w:tr>
      <w:tr w:rsidR="00C02B59" w:rsidRPr="00D1795B" w14:paraId="1887E07B" w14:textId="77777777" w:rsidTr="6B29DC81">
        <w:trPr>
          <w:jc w:val="center"/>
        </w:trPr>
        <w:tc>
          <w:tcPr>
            <w:tcW w:w="375" w:type="pct"/>
            <w:shd w:val="clear" w:color="auto" w:fill="C6EFCE"/>
            <w:noWrap/>
            <w:hideMark/>
          </w:tcPr>
          <w:p w14:paraId="1887E06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14</w:t>
            </w:r>
          </w:p>
        </w:tc>
        <w:tc>
          <w:tcPr>
            <w:tcW w:w="472" w:type="pct"/>
            <w:shd w:val="clear" w:color="auto" w:fill="C6EFCE"/>
            <w:noWrap/>
            <w:hideMark/>
          </w:tcPr>
          <w:p w14:paraId="1887E07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C1.1I6</w:t>
            </w:r>
          </w:p>
          <w:p w14:paraId="1887E07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Generic cross border e-health services in Cyprus</w:t>
            </w:r>
          </w:p>
        </w:tc>
        <w:tc>
          <w:tcPr>
            <w:tcW w:w="366" w:type="pct"/>
            <w:shd w:val="clear" w:color="auto" w:fill="C6EFCE"/>
            <w:noWrap/>
            <w:hideMark/>
          </w:tcPr>
          <w:p w14:paraId="1887E07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39" w:type="pct"/>
            <w:shd w:val="clear" w:color="auto" w:fill="C6EFCE"/>
            <w:noWrap/>
            <w:hideMark/>
          </w:tcPr>
          <w:p w14:paraId="1887E07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Cross-border patient data exchange </w:t>
            </w:r>
          </w:p>
        </w:tc>
        <w:tc>
          <w:tcPr>
            <w:tcW w:w="518" w:type="pct"/>
            <w:shd w:val="clear" w:color="auto" w:fill="C6EFCE"/>
            <w:noWrap/>
            <w:hideMark/>
          </w:tcPr>
          <w:p w14:paraId="1887E07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System for the exchange of patient data accessible</w:t>
            </w:r>
          </w:p>
        </w:tc>
        <w:tc>
          <w:tcPr>
            <w:tcW w:w="331" w:type="pct"/>
            <w:shd w:val="clear" w:color="auto" w:fill="C6EFCE"/>
            <w:noWrap/>
            <w:hideMark/>
          </w:tcPr>
          <w:p w14:paraId="1887E07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0" w:type="pct"/>
            <w:shd w:val="clear" w:color="auto" w:fill="C6EFCE"/>
            <w:noWrap/>
            <w:hideMark/>
          </w:tcPr>
          <w:p w14:paraId="1887E07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18" w:type="pct"/>
            <w:shd w:val="clear" w:color="auto" w:fill="C6EFCE"/>
            <w:noWrap/>
            <w:hideMark/>
          </w:tcPr>
          <w:p w14:paraId="1887E07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1" w:type="pct"/>
            <w:shd w:val="clear" w:color="auto" w:fill="C6EFCE"/>
            <w:noWrap/>
            <w:hideMark/>
          </w:tcPr>
          <w:p w14:paraId="1887E07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35" w:type="pct"/>
            <w:shd w:val="clear" w:color="auto" w:fill="C6EFCE"/>
            <w:noWrap/>
            <w:hideMark/>
          </w:tcPr>
          <w:p w14:paraId="1887E07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1385" w:type="pct"/>
            <w:shd w:val="clear" w:color="auto" w:fill="C6EFCE"/>
            <w:noWrap/>
            <w:hideMark/>
          </w:tcPr>
          <w:p w14:paraId="1887E07A"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System for the exchange of patient data between Cyprus and Member States of the European Union in the eHDSI is accessible, which may include but it is not limited to the following functionalities: e-prescription, e-dispensation, and patient summary. Additionally, the service for the unstructured original clinical documents is approved. </w:t>
            </w:r>
          </w:p>
        </w:tc>
      </w:tr>
      <w:tr w:rsidR="00C02B59" w:rsidRPr="00D1795B" w14:paraId="1887E089" w14:textId="77777777" w:rsidTr="008B44C2">
        <w:trPr>
          <w:trHeight w:val="156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hideMark/>
          </w:tcPr>
          <w:p w14:paraId="1887E07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15</w:t>
            </w:r>
          </w:p>
        </w:tc>
        <w:tc>
          <w:tcPr>
            <w:tcW w:w="472" w:type="pct"/>
            <w:tcBorders>
              <w:top w:val="single" w:sz="4" w:space="0" w:color="auto"/>
              <w:left w:val="single" w:sz="4" w:space="0" w:color="auto"/>
              <w:bottom w:val="single" w:sz="4" w:space="0" w:color="auto"/>
              <w:right w:val="single" w:sz="4" w:space="0" w:color="auto"/>
            </w:tcBorders>
            <w:shd w:val="clear" w:color="auto" w:fill="C6EFCE"/>
            <w:noWrap/>
            <w:hideMark/>
          </w:tcPr>
          <w:p w14:paraId="1887E07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C1.1I7</w:t>
            </w:r>
          </w:p>
          <w:p w14:paraId="1887E07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Public warning system for emergency operations </w:t>
            </w:r>
          </w:p>
        </w:tc>
        <w:tc>
          <w:tcPr>
            <w:tcW w:w="366" w:type="pct"/>
            <w:tcBorders>
              <w:top w:val="single" w:sz="4" w:space="0" w:color="auto"/>
              <w:left w:val="single" w:sz="4" w:space="0" w:color="auto"/>
              <w:bottom w:val="single" w:sz="4" w:space="0" w:color="auto"/>
              <w:right w:val="single" w:sz="4" w:space="0" w:color="auto"/>
            </w:tcBorders>
            <w:shd w:val="clear" w:color="auto" w:fill="C6EFCE"/>
            <w:noWrap/>
            <w:hideMark/>
          </w:tcPr>
          <w:p w14:paraId="1887E07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39" w:type="pct"/>
            <w:tcBorders>
              <w:top w:val="single" w:sz="4" w:space="0" w:color="auto"/>
              <w:left w:val="single" w:sz="4" w:space="0" w:color="auto"/>
              <w:bottom w:val="single" w:sz="4" w:space="0" w:color="auto"/>
              <w:right w:val="single" w:sz="4" w:space="0" w:color="auto"/>
            </w:tcBorders>
            <w:shd w:val="clear" w:color="auto" w:fill="C6EFCE"/>
            <w:noWrap/>
            <w:hideMark/>
          </w:tcPr>
          <w:p w14:paraId="1887E08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Public warning system ready for pilot operation </w:t>
            </w:r>
          </w:p>
        </w:tc>
        <w:tc>
          <w:tcPr>
            <w:tcW w:w="518" w:type="pct"/>
            <w:tcBorders>
              <w:top w:val="single" w:sz="4" w:space="0" w:color="auto"/>
              <w:left w:val="single" w:sz="4" w:space="0" w:color="auto"/>
              <w:bottom w:val="single" w:sz="4" w:space="0" w:color="auto"/>
              <w:right w:val="single" w:sz="4" w:space="0" w:color="auto"/>
            </w:tcBorders>
            <w:shd w:val="clear" w:color="auto" w:fill="C6EFCE"/>
            <w:noWrap/>
            <w:hideMark/>
          </w:tcPr>
          <w:p w14:paraId="1887E082" w14:textId="0B83CED2" w:rsidR="00C02B59" w:rsidRPr="00D1795B" w:rsidRDefault="00C02B59" w:rsidP="008B44C2">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“Contractor’s correction report after final testing and final tests results report” issued by the contractor</w:t>
            </w: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1887E08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1887E08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18" w:type="pct"/>
            <w:tcBorders>
              <w:top w:val="single" w:sz="4" w:space="0" w:color="auto"/>
              <w:left w:val="single" w:sz="4" w:space="0" w:color="auto"/>
              <w:bottom w:val="single" w:sz="4" w:space="0" w:color="auto"/>
              <w:right w:val="single" w:sz="4" w:space="0" w:color="auto"/>
            </w:tcBorders>
            <w:shd w:val="clear" w:color="auto" w:fill="C6EFCE"/>
            <w:noWrap/>
            <w:hideMark/>
          </w:tcPr>
          <w:p w14:paraId="1887E08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1887E08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35" w:type="pct"/>
            <w:tcBorders>
              <w:top w:val="single" w:sz="4" w:space="0" w:color="auto"/>
              <w:left w:val="single" w:sz="4" w:space="0" w:color="auto"/>
              <w:bottom w:val="single" w:sz="4" w:space="0" w:color="auto"/>
              <w:right w:val="single" w:sz="4" w:space="0" w:color="auto"/>
            </w:tcBorders>
            <w:shd w:val="clear" w:color="auto" w:fill="C6EFCE"/>
            <w:noWrap/>
            <w:hideMark/>
          </w:tcPr>
          <w:p w14:paraId="1887E08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1385" w:type="pct"/>
            <w:tcBorders>
              <w:top w:val="single" w:sz="4" w:space="0" w:color="auto"/>
              <w:left w:val="single" w:sz="4" w:space="0" w:color="auto"/>
              <w:bottom w:val="single" w:sz="4" w:space="0" w:color="auto"/>
              <w:right w:val="single" w:sz="4" w:space="0" w:color="auto"/>
            </w:tcBorders>
            <w:shd w:val="clear" w:color="auto" w:fill="C6EFCE"/>
            <w:noWrap/>
            <w:hideMark/>
          </w:tcPr>
          <w:p w14:paraId="1887E088"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public warning system through mobile phones is ready for pilot operation and evidenced by the “contractor’s correction report after final testing and final tests results report”.</w:t>
            </w:r>
          </w:p>
        </w:tc>
      </w:tr>
      <w:tr w:rsidR="00C02B59" w:rsidRPr="00D1795B" w14:paraId="1887E096" w14:textId="77777777" w:rsidTr="6B29DC81">
        <w:trPr>
          <w:jc w:val="center"/>
        </w:trPr>
        <w:tc>
          <w:tcPr>
            <w:tcW w:w="375" w:type="pct"/>
            <w:shd w:val="clear" w:color="auto" w:fill="C6EFCE"/>
            <w:noWrap/>
          </w:tcPr>
          <w:p w14:paraId="1887E08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17</w:t>
            </w:r>
          </w:p>
        </w:tc>
        <w:tc>
          <w:tcPr>
            <w:tcW w:w="472" w:type="pct"/>
            <w:shd w:val="clear" w:color="auto" w:fill="C6EFCE"/>
            <w:noWrap/>
          </w:tcPr>
          <w:p w14:paraId="1887E08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C1.1I5 Construction works and new equipment in Cyprus State Hospitals</w:t>
            </w:r>
          </w:p>
        </w:tc>
        <w:tc>
          <w:tcPr>
            <w:tcW w:w="366" w:type="pct"/>
            <w:shd w:val="clear" w:color="auto" w:fill="C6EFCE"/>
            <w:noWrap/>
          </w:tcPr>
          <w:p w14:paraId="1887E08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439" w:type="pct"/>
            <w:shd w:val="clear" w:color="auto" w:fill="C6EFCE"/>
            <w:noWrap/>
          </w:tcPr>
          <w:p w14:paraId="1887E08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Construction works or purchase of equipment in Cyprus State hospitals</w:t>
            </w:r>
          </w:p>
        </w:tc>
        <w:tc>
          <w:tcPr>
            <w:tcW w:w="518" w:type="pct"/>
            <w:shd w:val="clear" w:color="auto" w:fill="C6EFCE"/>
            <w:noWrap/>
          </w:tcPr>
          <w:p w14:paraId="1887E08E" w14:textId="77777777" w:rsidR="00C02B59" w:rsidRPr="00D1795B" w:rsidRDefault="00C02B59" w:rsidP="00C02B59">
            <w:pPr>
              <w:spacing w:after="0" w:line="240" w:lineRule="auto"/>
              <w:rPr>
                <w:rFonts w:ascii="Times New Roman" w:hAnsi="Times New Roman" w:cs="Times New Roman"/>
                <w:noProof/>
                <w:sz w:val="18"/>
                <w:szCs w:val="18"/>
              </w:rPr>
            </w:pPr>
          </w:p>
        </w:tc>
        <w:tc>
          <w:tcPr>
            <w:tcW w:w="331" w:type="pct"/>
            <w:shd w:val="clear" w:color="auto" w:fill="C6EFCE"/>
            <w:noWrap/>
          </w:tcPr>
          <w:p w14:paraId="1887E08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30" w:type="pct"/>
            <w:shd w:val="clear" w:color="auto" w:fill="C6EFCE"/>
            <w:noWrap/>
          </w:tcPr>
          <w:p w14:paraId="1887E09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18" w:type="pct"/>
            <w:shd w:val="clear" w:color="auto" w:fill="C6EFCE"/>
            <w:noWrap/>
          </w:tcPr>
          <w:p w14:paraId="1887E09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4</w:t>
            </w:r>
          </w:p>
        </w:tc>
        <w:tc>
          <w:tcPr>
            <w:tcW w:w="331" w:type="pct"/>
            <w:shd w:val="clear" w:color="auto" w:fill="C6EFCE"/>
            <w:noWrap/>
          </w:tcPr>
          <w:p w14:paraId="1887E09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35" w:type="pct"/>
            <w:shd w:val="clear" w:color="auto" w:fill="C6EFCE"/>
            <w:noWrap/>
          </w:tcPr>
          <w:p w14:paraId="1887E09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1385" w:type="pct"/>
            <w:shd w:val="clear" w:color="auto" w:fill="C6EFCE"/>
            <w:noWrap/>
          </w:tcPr>
          <w:p w14:paraId="1887E094"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Construction works or purchase of equipment in the following hospital units: (1) COVID-19 unit at Famagusta Hospital; (2) Mental Health Hospital; (3) Invasive Radiology Unit: (4) Paphos General Hospital.</w:t>
            </w:r>
          </w:p>
          <w:p w14:paraId="1887E095"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Mental Health Hospital shall have a primary energy demand that is at least 20% lower than defined by the nearly zero-energy building (NZEB) requirement.</w:t>
            </w:r>
          </w:p>
        </w:tc>
      </w:tr>
      <w:tr w:rsidR="00C02B59" w:rsidRPr="00D1795B" w14:paraId="1887E0A4" w14:textId="77777777" w:rsidTr="6B29DC81">
        <w:trPr>
          <w:jc w:val="center"/>
        </w:trPr>
        <w:tc>
          <w:tcPr>
            <w:tcW w:w="375" w:type="pct"/>
            <w:shd w:val="clear" w:color="auto" w:fill="C6EFCE"/>
            <w:noWrap/>
          </w:tcPr>
          <w:p w14:paraId="1887E09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18</w:t>
            </w:r>
          </w:p>
        </w:tc>
        <w:tc>
          <w:tcPr>
            <w:tcW w:w="472" w:type="pct"/>
            <w:shd w:val="clear" w:color="auto" w:fill="C6EFCE"/>
            <w:noWrap/>
          </w:tcPr>
          <w:p w14:paraId="1887E09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C1.1I5 Construction works and new equipment in Cyprus State Hospitals</w:t>
            </w:r>
          </w:p>
        </w:tc>
        <w:tc>
          <w:tcPr>
            <w:tcW w:w="366" w:type="pct"/>
            <w:shd w:val="clear" w:color="auto" w:fill="C6EFCE"/>
            <w:noWrap/>
          </w:tcPr>
          <w:p w14:paraId="1887E09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439" w:type="pct"/>
            <w:shd w:val="clear" w:color="auto" w:fill="C6EFCE"/>
            <w:noWrap/>
          </w:tcPr>
          <w:p w14:paraId="1887E09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Construction works or purchase of equipment in Cyprus State hospitals </w:t>
            </w:r>
          </w:p>
        </w:tc>
        <w:tc>
          <w:tcPr>
            <w:tcW w:w="518" w:type="pct"/>
            <w:shd w:val="clear" w:color="auto" w:fill="C6EFCE"/>
            <w:noWrap/>
          </w:tcPr>
          <w:p w14:paraId="1887E09B" w14:textId="77777777" w:rsidR="00C02B59" w:rsidRPr="00D1795B" w:rsidRDefault="00C02B59" w:rsidP="00C02B59">
            <w:pPr>
              <w:spacing w:after="0" w:line="240" w:lineRule="auto"/>
              <w:rPr>
                <w:rFonts w:ascii="Times New Roman" w:hAnsi="Times New Roman" w:cs="Times New Roman"/>
                <w:noProof/>
                <w:sz w:val="18"/>
                <w:szCs w:val="18"/>
              </w:rPr>
            </w:pPr>
          </w:p>
        </w:tc>
        <w:tc>
          <w:tcPr>
            <w:tcW w:w="331" w:type="pct"/>
            <w:shd w:val="clear" w:color="auto" w:fill="C6EFCE"/>
            <w:noWrap/>
          </w:tcPr>
          <w:p w14:paraId="1887E09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30" w:type="pct"/>
            <w:shd w:val="clear" w:color="auto" w:fill="C6EFCE"/>
            <w:noWrap/>
          </w:tcPr>
          <w:p w14:paraId="1887E09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4</w:t>
            </w:r>
          </w:p>
        </w:tc>
        <w:tc>
          <w:tcPr>
            <w:tcW w:w="218" w:type="pct"/>
            <w:shd w:val="clear" w:color="auto" w:fill="C6EFCE"/>
            <w:noWrap/>
          </w:tcPr>
          <w:p w14:paraId="1887E09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11</w:t>
            </w:r>
          </w:p>
        </w:tc>
        <w:tc>
          <w:tcPr>
            <w:tcW w:w="331" w:type="pct"/>
            <w:shd w:val="clear" w:color="auto" w:fill="C6EFCE"/>
            <w:noWrap/>
          </w:tcPr>
          <w:p w14:paraId="1887E09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35" w:type="pct"/>
            <w:shd w:val="clear" w:color="auto" w:fill="C6EFCE"/>
            <w:noWrap/>
          </w:tcPr>
          <w:p w14:paraId="1887E0A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1385" w:type="pct"/>
            <w:shd w:val="clear" w:color="auto" w:fill="C6EFCE"/>
            <w:noWrap/>
          </w:tcPr>
          <w:p w14:paraId="1887E0A1"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Construction works or purchase of equipment in the following hospital units: (1) Haemodyalisis Units at Paphos and Limassol Hospitals; (2) Neurology clinic at Nicosia General Hospital; (3) Stroke unit at Nicosia General Hospital; (4) Health Center at Akaki, (5) Accident and Emergency Units at Nicosia General Hospital; (6) Accident and Emergency Units at Paphos General Hospital and (7) Larnaca General Hospital. </w:t>
            </w:r>
          </w:p>
          <w:p w14:paraId="1887E0A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The Haemodyalisis Unit at Paphos Hospital, and the Health Center at Akaki shall have a primary energy demand that is at least 20% lower than defined by the nearly zero-energy building (NZEB) requirement. </w:t>
            </w:r>
          </w:p>
          <w:p w14:paraId="1887E0A3"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Purchase of equipment by the State Health Services Organization (SHSO-OKYPY).</w:t>
            </w:r>
          </w:p>
        </w:tc>
      </w:tr>
      <w:tr w:rsidR="00C02B59" w:rsidRPr="00D1795B" w14:paraId="1887E0B1" w14:textId="77777777" w:rsidTr="6B29DC81">
        <w:trPr>
          <w:jc w:val="center"/>
        </w:trPr>
        <w:tc>
          <w:tcPr>
            <w:tcW w:w="375" w:type="pct"/>
            <w:shd w:val="clear" w:color="auto" w:fill="C6EFCE"/>
            <w:noWrap/>
          </w:tcPr>
          <w:p w14:paraId="1887E0A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16</w:t>
            </w:r>
          </w:p>
        </w:tc>
        <w:tc>
          <w:tcPr>
            <w:tcW w:w="472" w:type="pct"/>
            <w:shd w:val="clear" w:color="auto" w:fill="C6EFCE"/>
            <w:noWrap/>
          </w:tcPr>
          <w:p w14:paraId="1887E0A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C1.1R3</w:t>
            </w:r>
          </w:p>
          <w:p w14:paraId="1887E0A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Healthcare provision and reimbursement using value-based models.</w:t>
            </w:r>
          </w:p>
        </w:tc>
        <w:tc>
          <w:tcPr>
            <w:tcW w:w="366" w:type="pct"/>
            <w:shd w:val="clear" w:color="auto" w:fill="C6EFCE"/>
            <w:noWrap/>
          </w:tcPr>
          <w:p w14:paraId="1887E0A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39" w:type="pct"/>
            <w:shd w:val="clear" w:color="auto" w:fill="C6EFCE"/>
            <w:noWrap/>
          </w:tcPr>
          <w:p w14:paraId="1887E0A9" w14:textId="77777777" w:rsidR="00C02B59" w:rsidRPr="00D1795B" w:rsidDel="00815390"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Value-based reimbursement for primary and in-patient care </w:t>
            </w:r>
          </w:p>
        </w:tc>
        <w:tc>
          <w:tcPr>
            <w:tcW w:w="518" w:type="pct"/>
            <w:shd w:val="clear" w:color="auto" w:fill="C6EFCE"/>
            <w:noWrap/>
          </w:tcPr>
          <w:p w14:paraId="1887E0A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Value-based reimbursement for primary and in-patient care published</w:t>
            </w:r>
          </w:p>
        </w:tc>
        <w:tc>
          <w:tcPr>
            <w:tcW w:w="331" w:type="pct"/>
            <w:shd w:val="clear" w:color="auto" w:fill="C6EFCE"/>
            <w:noWrap/>
          </w:tcPr>
          <w:p w14:paraId="1887E0A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0" w:type="pct"/>
            <w:shd w:val="clear" w:color="auto" w:fill="C6EFCE"/>
            <w:noWrap/>
          </w:tcPr>
          <w:p w14:paraId="1887E0A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18" w:type="pct"/>
            <w:shd w:val="clear" w:color="auto" w:fill="C6EFCE"/>
            <w:noWrap/>
          </w:tcPr>
          <w:p w14:paraId="1887E0A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31" w:type="pct"/>
            <w:shd w:val="clear" w:color="auto" w:fill="C6EFCE"/>
            <w:noWrap/>
          </w:tcPr>
          <w:p w14:paraId="1887E0A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35" w:type="pct"/>
            <w:shd w:val="clear" w:color="auto" w:fill="C6EFCE"/>
            <w:noWrap/>
          </w:tcPr>
          <w:p w14:paraId="1887E0A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1385" w:type="pct"/>
            <w:shd w:val="clear" w:color="auto" w:fill="C6EFCE"/>
            <w:noWrap/>
          </w:tcPr>
          <w:p w14:paraId="1887E0B0" w14:textId="77777777" w:rsidR="00C02B59" w:rsidRPr="00D1795B" w:rsidDel="00815390"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Health Insurance Organisation (HIO) publishes the criteria and indicators of value-based reimbursement for primary and in-patient care. The publication may include, for example, circulars and announcements. HIO decision(s) concerning the reimbursement of healthcare providers within the framework of the General Healthcare System are published in the official gazette.</w:t>
            </w:r>
          </w:p>
        </w:tc>
      </w:tr>
    </w:tbl>
    <w:p w14:paraId="1887E0B2" w14:textId="77777777" w:rsidR="00C02B59" w:rsidRPr="00D1795B" w:rsidRDefault="00C02B59" w:rsidP="00C02B59">
      <w:pPr>
        <w:rPr>
          <w:noProof/>
        </w:rPr>
        <w:sectPr w:rsidR="00C02B59" w:rsidRPr="00D1795B" w:rsidSect="00C02B59">
          <w:headerReference w:type="even" r:id="rId23"/>
          <w:headerReference w:type="default" r:id="rId24"/>
          <w:footerReference w:type="even" r:id="rId25"/>
          <w:footerReference w:type="default" r:id="rId26"/>
          <w:headerReference w:type="first" r:id="rId27"/>
          <w:footerReference w:type="first" r:id="rId28"/>
          <w:pgSz w:w="15840" w:h="12240" w:orient="landscape"/>
          <w:pgMar w:top="1134" w:right="1134" w:bottom="1134" w:left="1134" w:header="567" w:footer="567" w:gutter="0"/>
          <w:cols w:space="720"/>
          <w:docGrid w:linePitch="360"/>
        </w:sectPr>
      </w:pPr>
    </w:p>
    <w:p w14:paraId="1887E0B3" w14:textId="77777777" w:rsidR="00C02B59" w:rsidRPr="00D1795B" w:rsidRDefault="00C02B59" w:rsidP="00C02B59">
      <w:pPr>
        <w:keepNext/>
        <w:spacing w:before="360" w:after="120" w:line="240" w:lineRule="auto"/>
        <w:jc w:val="both"/>
        <w:outlineLvl w:val="0"/>
        <w:rPr>
          <w:rFonts w:ascii="Times New Roman" w:hAnsi="Times New Roman"/>
          <w:b/>
          <w:bCs/>
          <w:smallCaps/>
          <w:noProof/>
        </w:rPr>
      </w:pPr>
      <w:r w:rsidRPr="00D1795B">
        <w:rPr>
          <w:rFonts w:ascii="Times New Roman" w:hAnsi="Times New Roman"/>
          <w:b/>
          <w:bCs/>
          <w:smallCaps/>
          <w:noProof/>
        </w:rPr>
        <w:t>B. COMPONENT 2.1: Climate neutrality, Energy efficiency and Renewable Energy</w:t>
      </w:r>
    </w:p>
    <w:p w14:paraId="1887E0B4"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This component of the Cypriot recovery and resilience plan aims to address the challenge of climate change mitigation by contributing to the country’s transition to climate neutrality. </w:t>
      </w:r>
    </w:p>
    <w:p w14:paraId="1887E0B5"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objectives of the component are to improve the environment policy through measures relating to green taxation, the opening up of the electricity market and the facilitation of licensing of renewable energy and renovation projects. The component aims to improve the energy efficiency of the building stock and other infrastructure and to support green investments for SMEs, households, the wider public sector, and NGOs. The component also targets the alleviation of energy poverty and aims to address Cyprus’ energy isolation.</w:t>
      </w:r>
    </w:p>
    <w:p w14:paraId="1887E0B6"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component supports addressing the Country Specific Recommendations for the years 2019 and 2020 that recommend focusing investment and investment-related policies on energy efficiency and renewable energy (Country-Specific Recommendation 4 of 2019 and Country-Specific Recommendation 3 of 2020).</w:t>
      </w:r>
    </w:p>
    <w:p w14:paraId="1887E0B7" w14:textId="77777777" w:rsidR="00C02B59" w:rsidRPr="00D1795B" w:rsidRDefault="00C02B59" w:rsidP="00C02B59">
      <w:pPr>
        <w:pStyle w:val="Text1"/>
        <w:spacing w:line="240" w:lineRule="auto"/>
        <w:ind w:left="0"/>
        <w:rPr>
          <w:i/>
          <w:noProof/>
          <w:lang w:val="en-GB"/>
        </w:rPr>
      </w:pPr>
      <w:r w:rsidRPr="00D1795B">
        <w:rPr>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887E0B8" w14:textId="77777777" w:rsidR="00C02B59" w:rsidRPr="00D1795B" w:rsidRDefault="00C02B59" w:rsidP="00C02B59">
      <w:pPr>
        <w:spacing w:before="120" w:after="120" w:line="240" w:lineRule="auto"/>
        <w:jc w:val="both"/>
        <w:rPr>
          <w:rFonts w:ascii="Times New Roman" w:hAnsi="Times New Roman"/>
          <w:noProof/>
        </w:rPr>
      </w:pPr>
    </w:p>
    <w:p w14:paraId="1887E0B9" w14:textId="77777777" w:rsidR="00C02B59" w:rsidRPr="00D1795B" w:rsidRDefault="00C02B59" w:rsidP="00C02B59">
      <w:pPr>
        <w:spacing w:before="120" w:after="120" w:line="240" w:lineRule="auto"/>
        <w:jc w:val="both"/>
        <w:rPr>
          <w:rFonts w:ascii="Times New Roman" w:hAnsi="Times New Roman"/>
          <w:b/>
          <w:i/>
          <w:noProof/>
        </w:rPr>
      </w:pPr>
      <w:r w:rsidRPr="00D1795B">
        <w:rPr>
          <w:rFonts w:ascii="Times New Roman" w:hAnsi="Times New Roman"/>
          <w:b/>
          <w:noProof/>
          <w:u w:val="single"/>
        </w:rPr>
        <w:t xml:space="preserve">B.1. </w:t>
      </w:r>
      <w:r w:rsidRPr="00D1795B">
        <w:rPr>
          <w:noProof/>
        </w:rPr>
        <w:tab/>
      </w:r>
      <w:r w:rsidRPr="00D1795B">
        <w:rPr>
          <w:rFonts w:ascii="Times New Roman" w:hAnsi="Times New Roman"/>
          <w:b/>
          <w:noProof/>
          <w:u w:val="single"/>
        </w:rPr>
        <w:t>Description of the reforms and investments for non-repayable financial support</w:t>
      </w:r>
    </w:p>
    <w:p w14:paraId="1887E0BA"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Reform 1 (C2.1R1): Green Taxation</w:t>
      </w:r>
    </w:p>
    <w:p w14:paraId="1887E0BB"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 xml:space="preserve">The objective of this reform is to support a more efficient use of environmental resources, reduce greenhouse gas emissions and to increase the penetration of renewable energy. </w:t>
      </w:r>
    </w:p>
    <w:p w14:paraId="1887E0BC"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This measure consists in the entry into force of legal acts on a carbon tax on transport fuels, a charge on the landfill of municipal waste, an increase of existing water fees and tax incentives for enterprises and individuals.</w:t>
      </w:r>
    </w:p>
    <w:p w14:paraId="1887E0BD" w14:textId="77777777" w:rsidR="00C02B59" w:rsidRPr="00D1795B" w:rsidRDefault="00C02B59" w:rsidP="00C02B59">
      <w:pPr>
        <w:spacing w:before="120" w:after="120" w:line="240" w:lineRule="auto"/>
        <w:jc w:val="both"/>
        <w:rPr>
          <w:rFonts w:ascii="Times New Roman" w:hAnsi="Times New Roman" w:cs="Times New Roman"/>
          <w:noProof/>
        </w:rPr>
      </w:pPr>
    </w:p>
    <w:p w14:paraId="1887E0BE"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Reform 2 (C2.1R2): Independence of Cyprus Transmission System Operator (TSOC) from the incumbent Electricity Authority of Cyprus</w:t>
      </w:r>
    </w:p>
    <w:p w14:paraId="1887E0BF"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 xml:space="preserve">The objective of the measure is to enhance competition in the electricity market by creating conditions for new investors to participate in the </w:t>
      </w:r>
      <w:r w:rsidRPr="00D1795B" w:rsidDel="001F552E">
        <w:rPr>
          <w:rFonts w:ascii="Times New Roman" w:hAnsi="Times New Roman" w:cs="Times New Roman"/>
          <w:noProof/>
        </w:rPr>
        <w:t>generation, storage, aggregation, demand response and supply of electricity</w:t>
      </w:r>
      <w:r w:rsidRPr="00D1795B">
        <w:rPr>
          <w:rFonts w:ascii="Times New Roman" w:hAnsi="Times New Roman" w:cs="Times New Roman"/>
          <w:noProof/>
        </w:rPr>
        <w:t>.</w:t>
      </w:r>
    </w:p>
    <w:p w14:paraId="1887E0C0"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 xml:space="preserve">The reform shall consist in ensuring the independence of the Cyprus Transmission System Operator (TSOC) from the incumbent Electricity Authority of Cyprus (EAC) in terms of governance, financial and personnel management. </w:t>
      </w:r>
      <w:r w:rsidRPr="00D1795B" w:rsidDel="001F552E">
        <w:rPr>
          <w:rFonts w:ascii="Times New Roman" w:hAnsi="Times New Roman" w:cs="Times New Roman"/>
          <w:noProof/>
        </w:rPr>
        <w:t>The measure shall also facilitate supplier switching, which is expected to reduce the cost of electricity for domestic and commercial/industrial customers.</w:t>
      </w:r>
    </w:p>
    <w:p w14:paraId="1887E0C1"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The implementation of the reform shall be completed by 31 December 2021.</w:t>
      </w:r>
    </w:p>
    <w:p w14:paraId="1887E0C2" w14:textId="77777777" w:rsidR="00C02B59" w:rsidRPr="00D1795B" w:rsidRDefault="00C02B59" w:rsidP="00C02B59">
      <w:pPr>
        <w:spacing w:before="120" w:after="120" w:line="240" w:lineRule="auto"/>
        <w:jc w:val="both"/>
        <w:rPr>
          <w:rFonts w:ascii="Times New Roman" w:hAnsi="Times New Roman" w:cs="Times New Roman"/>
          <w:noProof/>
          <w:u w:val="single"/>
        </w:rPr>
      </w:pPr>
    </w:p>
    <w:p w14:paraId="1887E0C3"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Reform 3 (C2.1R3): Digital One-Stop Shops to streamline RES projects permitting and to facilitate Energy Renovation in Buildings</w:t>
      </w:r>
    </w:p>
    <w:p w14:paraId="1887E0C4"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 xml:space="preserve">The objective of the measure is to promote the implementation of RES projects by streamlining the RES projects permitting process. The reform shall also aim at accelerating the energy renovation of buildings. </w:t>
      </w:r>
    </w:p>
    <w:p w14:paraId="1887E0C5"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The reform shall consist in digitalising the licensing permitting process for RES projects and establishing a single point of contact for technical and financial support for the purposes of energy renovation of buildings.</w:t>
      </w:r>
    </w:p>
    <w:p w14:paraId="1887E0C6"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The implementation of the reform shall be completed by 31 December 2022.</w:t>
      </w:r>
    </w:p>
    <w:p w14:paraId="1887E0C7" w14:textId="77777777" w:rsidR="00C02B59" w:rsidRPr="00D1795B" w:rsidRDefault="00C02B59" w:rsidP="00C02B59">
      <w:pPr>
        <w:spacing w:before="120" w:after="120" w:line="240" w:lineRule="auto"/>
        <w:jc w:val="both"/>
        <w:rPr>
          <w:rFonts w:ascii="Times New Roman" w:hAnsi="Times New Roman" w:cs="Times New Roman"/>
          <w:b/>
          <w:i/>
          <w:noProof/>
        </w:rPr>
      </w:pPr>
    </w:p>
    <w:p w14:paraId="1887E0C8"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Reform 4 (C2.1R4): Energy Storage Regulatory Framework</w:t>
      </w:r>
    </w:p>
    <w:p w14:paraId="1887E0C9"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The objective of the measure is to establish a regulatory framework for promoting the participation of storage facilities in the electricity market.</w:t>
      </w:r>
    </w:p>
    <w:p w14:paraId="1887E0CA"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 xml:space="preserve">The reform shall consist in amending the Transmission and Distribution Rules (TDRs) and the Trading and Settlement Rules (TSRs) to allow storage facilities to participate in the wholesale electricity market. </w:t>
      </w:r>
      <w:r w:rsidRPr="00D1795B" w:rsidDel="00BF3E42">
        <w:rPr>
          <w:rFonts w:ascii="Times New Roman" w:hAnsi="Times New Roman" w:cs="Times New Roman"/>
          <w:noProof/>
        </w:rPr>
        <w:t>This shall promote the generation of electricity from renewable energy systems and to contribute to the efficiency and economic viability of the electricity market as a whole</w:t>
      </w:r>
      <w:r w:rsidRPr="00D1795B">
        <w:rPr>
          <w:rFonts w:ascii="Times New Roman" w:hAnsi="Times New Roman" w:cs="Times New Roman"/>
          <w:noProof/>
        </w:rPr>
        <w:t>.</w:t>
      </w:r>
    </w:p>
    <w:p w14:paraId="1887E0CB"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The implementation of the reform shall be completed by 31 December 2021.</w:t>
      </w:r>
    </w:p>
    <w:p w14:paraId="1887E0CC" w14:textId="77777777" w:rsidR="00C02B59" w:rsidRPr="00D1795B" w:rsidRDefault="00C02B59" w:rsidP="00C02B59">
      <w:pPr>
        <w:spacing w:before="120" w:after="120" w:line="240" w:lineRule="auto"/>
        <w:jc w:val="both"/>
        <w:rPr>
          <w:rFonts w:ascii="Times New Roman" w:hAnsi="Times New Roman" w:cs="Times New Roman"/>
          <w:noProof/>
        </w:rPr>
      </w:pPr>
    </w:p>
    <w:p w14:paraId="1887E0CD"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 xml:space="preserve">Investment 1 (C2.1I1): Energy-saving investments in SMEs and non-profit organisations </w:t>
      </w:r>
    </w:p>
    <w:p w14:paraId="1887E0CE"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The objective of this investment is to reduce the primary and final energy consumption and the CO2 emissions in buildings and/or facilities owned or operated by SMEs and non-profit organisations.</w:t>
      </w:r>
    </w:p>
    <w:p w14:paraId="1887E0CF" w14:textId="77777777" w:rsidR="00C02B59" w:rsidRPr="00D1795B" w:rsidRDefault="00C02B59" w:rsidP="00C02B59">
      <w:pPr>
        <w:spacing w:before="120" w:after="120" w:line="240" w:lineRule="auto"/>
        <w:rPr>
          <w:rFonts w:ascii="Times New Roman" w:hAnsi="Times New Roman" w:cs="Times New Roman"/>
          <w:noProof/>
        </w:rPr>
      </w:pPr>
      <w:r w:rsidRPr="00D1795B">
        <w:rPr>
          <w:rFonts w:ascii="Times New Roman" w:hAnsi="Times New Roman" w:cs="Times New Roman"/>
          <w:noProof/>
        </w:rPr>
        <w:t xml:space="preserve">This measure consists in support for building renovation and for making production processes use less energy. </w:t>
      </w:r>
    </w:p>
    <w:p w14:paraId="1887E0D0"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 xml:space="preserve">Investment 2 (C2.1I2): Promoting renewables and individual energy efficiency measures in dwellings and tackling energy poverty, including in households with vulnerable electricity consumers </w:t>
      </w:r>
    </w:p>
    <w:p w14:paraId="1887E0D1"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The objective of the measure is to encourage the use of renewable energy sources and energy savings by the large stock of old dwellings, as well as to subsidise the implementation of small-scale energy renovations in households with vulnerable electricity consumers including energy-poor households and people with disabilities.</w:t>
      </w:r>
    </w:p>
    <w:p w14:paraId="1887E0D2" w14:textId="77777777" w:rsidR="00C02B59" w:rsidRPr="00D1795B" w:rsidRDefault="00C02B59" w:rsidP="00C02B59">
      <w:pPr>
        <w:spacing w:before="120" w:after="120" w:line="240" w:lineRule="auto"/>
        <w:jc w:val="both"/>
        <w:rPr>
          <w:rFonts w:ascii="Times New Roman" w:hAnsi="Times New Roman" w:cs="Times New Roman"/>
          <w:b/>
          <w:i/>
          <w:noProof/>
        </w:rPr>
      </w:pPr>
      <w:r w:rsidRPr="00D1795B">
        <w:rPr>
          <w:rFonts w:ascii="Times New Roman" w:hAnsi="Times New Roman" w:cs="Times New Roman"/>
          <w:noProof/>
        </w:rPr>
        <w:t xml:space="preserve">This measure consists in providing grants for renewables and individual energy efficiency measures. </w:t>
      </w:r>
    </w:p>
    <w:p w14:paraId="1887E0D3"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 xml:space="preserve">Investment 3 (C2.1I3): Facilitating the transition of local communities towards climate investments </w:t>
      </w:r>
    </w:p>
    <w:p w14:paraId="1887E0D4"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 xml:space="preserve">The objective of this investment </w:t>
      </w:r>
      <w:r w:rsidRPr="00D1795B">
        <w:rPr>
          <w:rFonts w:ascii="Times New Roman" w:eastAsia="Times New Roman" w:hAnsi="Times New Roman" w:cs="Times New Roman"/>
          <w:noProof/>
        </w:rPr>
        <w:t>is to facilitate</w:t>
      </w:r>
      <w:r w:rsidRPr="00D1795B">
        <w:rPr>
          <w:rFonts w:ascii="Times New Roman" w:hAnsi="Times New Roman" w:cs="Times New Roman"/>
          <w:noProof/>
        </w:rPr>
        <w:t xml:space="preserve"> the transition of local communities towards climate mitigation and adaptation.</w:t>
      </w:r>
    </w:p>
    <w:p w14:paraId="1887E0D5"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rPr>
        <w:t xml:space="preserve">The measure consists in a grant scheme for energy and climate adaptation investments in Local (Community) Councils. </w:t>
      </w:r>
    </w:p>
    <w:p w14:paraId="1887E0D6" w14:textId="77777777" w:rsidR="00C02B59" w:rsidRPr="00D1795B" w:rsidRDefault="00C02B59" w:rsidP="00C02B59">
      <w:pPr>
        <w:spacing w:before="120" w:after="120" w:line="240" w:lineRule="auto"/>
        <w:jc w:val="both"/>
        <w:rPr>
          <w:rFonts w:ascii="Times New Roman" w:hAnsi="Times New Roman" w:cs="Times New Roman"/>
          <w:b/>
          <w:i/>
          <w:noProof/>
        </w:rPr>
      </w:pPr>
    </w:p>
    <w:p w14:paraId="1887E0D7" w14:textId="77777777" w:rsidR="00C02B59" w:rsidRPr="00D1795B" w:rsidRDefault="00C02B59" w:rsidP="00C02B59">
      <w:pPr>
        <w:keepNext/>
        <w:spacing w:before="120" w:after="120" w:line="240" w:lineRule="auto"/>
        <w:jc w:val="both"/>
        <w:rPr>
          <w:rFonts w:ascii="Times New Roman" w:hAnsi="Times New Roman" w:cs="Times New Roman"/>
          <w:noProof/>
          <w:u w:val="single"/>
        </w:rPr>
      </w:pPr>
      <w:bookmarkStart w:id="5" w:name="_Hlk213777844"/>
      <w:r w:rsidRPr="00D1795B">
        <w:rPr>
          <w:rFonts w:ascii="Times New Roman" w:hAnsi="Times New Roman" w:cs="Times New Roman"/>
          <w:noProof/>
          <w:u w:val="single"/>
        </w:rPr>
        <w:t xml:space="preserve">Investment </w:t>
      </w:r>
      <w:bookmarkEnd w:id="5"/>
      <w:r w:rsidRPr="00D1795B">
        <w:rPr>
          <w:rFonts w:ascii="Times New Roman" w:hAnsi="Times New Roman" w:cs="Times New Roman"/>
          <w:noProof/>
          <w:u w:val="single"/>
        </w:rPr>
        <w:t>5 (C2.1I5): Energy efficiency investments in public buildings</w:t>
      </w:r>
    </w:p>
    <w:p w14:paraId="1887E0D8"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The objective of this investment is to facilitate energy efficiency investments in public buildings.</w:t>
      </w:r>
    </w:p>
    <w:p w14:paraId="1887E0D9"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This measure is composed of two energy efficiency investments: (i) Fire Service Properties and Schools; and (ii) Nicosia General Hospital.</w:t>
      </w:r>
    </w:p>
    <w:p w14:paraId="1887E0DA" w14:textId="77777777" w:rsidR="00C02B59" w:rsidRPr="00D1795B" w:rsidRDefault="00C02B59" w:rsidP="00C02B59">
      <w:pPr>
        <w:spacing w:before="120" w:after="120" w:line="240" w:lineRule="auto"/>
        <w:jc w:val="both"/>
        <w:rPr>
          <w:rFonts w:ascii="Times New Roman" w:hAnsi="Times New Roman" w:cs="Times New Roman"/>
          <w:noProof/>
        </w:rPr>
      </w:pPr>
    </w:p>
    <w:p w14:paraId="1887E0DB"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Investment 6 (C2.1I6): Expansion of the renewable energy and smart grids testing infrastructure at the University of Cyprus</w:t>
      </w:r>
    </w:p>
    <w:p w14:paraId="1887E0DC"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The objective of this investment is to expand the existing renewable energy and smart grids testing infrastructure at the University of Cyprus and to connect it with the existing grid.</w:t>
      </w:r>
    </w:p>
    <w:p w14:paraId="1887E0DD"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 xml:space="preserve">This measure consists in commissioning renewable energy and smart grids equipment. </w:t>
      </w:r>
    </w:p>
    <w:p w14:paraId="1887E0DE" w14:textId="77777777" w:rsidR="00C02B59" w:rsidRPr="00D1795B" w:rsidRDefault="00C02B59" w:rsidP="00C02B59">
      <w:pPr>
        <w:spacing w:before="120" w:after="120" w:line="240" w:lineRule="auto"/>
        <w:jc w:val="both"/>
        <w:rPr>
          <w:rFonts w:ascii="Times New Roman" w:hAnsi="Times New Roman" w:cs="Times New Roman"/>
          <w:noProof/>
        </w:rPr>
      </w:pPr>
    </w:p>
    <w:p w14:paraId="1887E0DF"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Investment 7 (C2.1I7): Mass installation by the Distribution System Operator (DSO) of Smart Metering Infrastructure (Advanced Metering Infrastructure)</w:t>
      </w:r>
    </w:p>
    <w:p w14:paraId="1887E0E0"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 xml:space="preserve">The objective of this investment is to facilitate the mass roll-out of smart meters in Cyprus. </w:t>
      </w:r>
    </w:p>
    <w:p w14:paraId="1887E0E1" w14:textId="77777777" w:rsidR="00C02B59" w:rsidRPr="00D1795B" w:rsidRDefault="00C02B59" w:rsidP="00C02B59">
      <w:pPr>
        <w:spacing w:before="120" w:after="120" w:line="240" w:lineRule="auto"/>
        <w:jc w:val="both"/>
        <w:rPr>
          <w:rFonts w:ascii="Times New Roman" w:hAnsi="Times New Roman" w:cs="Times New Roman"/>
          <w:b/>
          <w:i/>
          <w:noProof/>
        </w:rPr>
      </w:pPr>
      <w:r w:rsidRPr="00D1795B">
        <w:rPr>
          <w:rFonts w:ascii="Times New Roman" w:hAnsi="Times New Roman" w:cs="Times New Roman"/>
          <w:noProof/>
        </w:rPr>
        <w:t>This measure consists in the delivery of 400 000 smart meters to the Electricity Authority of Cyprus and the installation of 200 000 smart meters.</w:t>
      </w:r>
    </w:p>
    <w:p w14:paraId="1887E0E2" w14:textId="77777777" w:rsidR="00C02B59" w:rsidRPr="00D1795B" w:rsidRDefault="00C02B59" w:rsidP="00C02B59">
      <w:pPr>
        <w:spacing w:before="120" w:after="120" w:line="240" w:lineRule="auto"/>
        <w:jc w:val="both"/>
        <w:rPr>
          <w:rFonts w:ascii="Times New Roman" w:hAnsi="Times New Roman" w:cs="Times New Roman"/>
          <w:bCs/>
          <w:iCs/>
          <w:noProof/>
        </w:rPr>
      </w:pPr>
    </w:p>
    <w:p w14:paraId="1887E0E3"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Investment 8 (C2.1I8): Monitoring and reduction of GHG emissions in agriculture</w:t>
      </w:r>
    </w:p>
    <w:p w14:paraId="1887E0E4"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The objective of this investment is to monitor greenhouse gas emissions from agricultural activities in Cyprus, with a view to reducing GHG emissions in agriculture.</w:t>
      </w:r>
    </w:p>
    <w:p w14:paraId="1887E0E5"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 xml:space="preserve">The investment consists in a GHG monitoring system. </w:t>
      </w:r>
    </w:p>
    <w:p w14:paraId="1887E0E6" w14:textId="77777777" w:rsidR="00C02B59" w:rsidRPr="00D1795B" w:rsidRDefault="00C02B59" w:rsidP="00C02B59">
      <w:pPr>
        <w:spacing w:before="120" w:after="120" w:line="240" w:lineRule="auto"/>
        <w:jc w:val="both"/>
        <w:rPr>
          <w:rFonts w:ascii="Times New Roman" w:hAnsi="Times New Roman" w:cs="Times New Roman"/>
          <w:noProof/>
        </w:rPr>
      </w:pPr>
    </w:p>
    <w:p w14:paraId="1887E0E7"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Investment 9 (C2.1I9): Fire protection</w:t>
      </w:r>
    </w:p>
    <w:p w14:paraId="1887E0E8" w14:textId="77777777" w:rsidR="00C02B59" w:rsidRPr="00D1795B" w:rsidRDefault="00C02B59" w:rsidP="00C02B59">
      <w:pPr>
        <w:spacing w:before="120" w:after="120" w:line="240" w:lineRule="auto"/>
        <w:jc w:val="both"/>
        <w:rPr>
          <w:rFonts w:ascii="Times New Roman" w:hAnsi="Times New Roman" w:cs="Times New Roman"/>
          <w:b/>
          <w:i/>
          <w:noProof/>
        </w:rPr>
      </w:pPr>
      <w:r w:rsidRPr="00D1795B">
        <w:rPr>
          <w:rFonts w:ascii="Times New Roman" w:hAnsi="Times New Roman" w:cs="Times New Roman"/>
          <w:noProof/>
        </w:rPr>
        <w:t>The objective of this investment is to support the capabilities of authorities in Cyprus to cope with fire hazards and to invest in the protection against the risks faced by citizens, infrastructure, and forests.</w:t>
      </w:r>
    </w:p>
    <w:p w14:paraId="1887E0E9"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 xml:space="preserve">This measure consists in the purchase of a firefighting aircraft, vehicles, and equipment </w:t>
      </w:r>
    </w:p>
    <w:p w14:paraId="1887E0EA" w14:textId="77777777" w:rsidR="00C02B59" w:rsidRPr="00D1795B" w:rsidRDefault="00C02B59" w:rsidP="00C02B59">
      <w:pPr>
        <w:spacing w:before="120" w:after="120" w:line="240" w:lineRule="auto"/>
        <w:jc w:val="both"/>
        <w:rPr>
          <w:rFonts w:ascii="Times New Roman" w:hAnsi="Times New Roman" w:cs="Times New Roman"/>
          <w:noProof/>
        </w:rPr>
      </w:pPr>
    </w:p>
    <w:p w14:paraId="1887E0EB"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Investment 10 (C2.1I10): Market Management System (MMS) to facilitate the opening of the electricity market to competition</w:t>
      </w:r>
    </w:p>
    <w:p w14:paraId="1887E0EC"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The objective of this investment is to introduce a Market Management System (MMS) by the Cyprus Transmission System Operator as a tool for facilitating the opening of the electricity market to competition.</w:t>
      </w:r>
    </w:p>
    <w:p w14:paraId="1887E0ED" w14:textId="4F8A9E51"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 xml:space="preserve">This measure consists in the installation of the MMS marked by the first financial transactions taking place through the MMS, and the opening of Cyprus’ electricity </w:t>
      </w:r>
      <w:r w:rsidR="004902A5" w:rsidRPr="00D1795B">
        <w:rPr>
          <w:rFonts w:ascii="Times New Roman" w:hAnsi="Times New Roman" w:cs="Times New Roman"/>
          <w:noProof/>
        </w:rPr>
        <w:t>market.</w:t>
      </w:r>
    </w:p>
    <w:p w14:paraId="1887E0EE" w14:textId="5D19C036" w:rsidR="00C02B59" w:rsidRPr="00D1795B" w:rsidRDefault="00C02B59" w:rsidP="00C02B59">
      <w:pPr>
        <w:rPr>
          <w:rFonts w:ascii="Times New Roman" w:hAnsi="Times New Roman" w:cs="Times New Roman"/>
          <w:noProof/>
        </w:rPr>
        <w:sectPr w:rsidR="00C02B59" w:rsidRPr="00D1795B" w:rsidSect="00C02B59">
          <w:headerReference w:type="even" r:id="rId29"/>
          <w:headerReference w:type="default" r:id="rId30"/>
          <w:footerReference w:type="even" r:id="rId31"/>
          <w:footerReference w:type="default" r:id="rId32"/>
          <w:headerReference w:type="first" r:id="rId33"/>
          <w:footerReference w:type="first" r:id="rId34"/>
          <w:pgSz w:w="12240" w:h="15840"/>
          <w:pgMar w:top="1134" w:right="1134" w:bottom="1134" w:left="1134" w:header="567" w:footer="567" w:gutter="0"/>
          <w:cols w:space="720"/>
          <w:docGrid w:linePitch="360"/>
        </w:sectPr>
      </w:pPr>
    </w:p>
    <w:p w14:paraId="1887E0EF" w14:textId="77777777" w:rsidR="00C02B59" w:rsidRPr="00D1795B" w:rsidRDefault="00C02B59" w:rsidP="00C02B59">
      <w:pPr>
        <w:spacing w:before="120" w:after="240" w:line="240" w:lineRule="auto"/>
        <w:jc w:val="both"/>
        <w:rPr>
          <w:rFonts w:ascii="Times New Roman" w:hAnsi="Times New Roman"/>
          <w:b/>
          <w:noProof/>
          <w:u w:val="single"/>
        </w:rPr>
      </w:pPr>
      <w:r w:rsidRPr="00D1795B">
        <w:rPr>
          <w:rFonts w:ascii="Times New Roman" w:hAnsi="Times New Roman"/>
          <w:b/>
          <w:noProof/>
          <w:u w:val="single"/>
        </w:rPr>
        <w:t xml:space="preserve">B.2. </w:t>
      </w:r>
      <w:r w:rsidRPr="00D1795B">
        <w:rPr>
          <w:noProof/>
        </w:rPr>
        <w:tab/>
      </w:r>
      <w:r w:rsidRPr="00D1795B">
        <w:rPr>
          <w:rFonts w:ascii="Times New Roman" w:hAnsi="Times New Roman"/>
          <w:b/>
          <w:noProof/>
          <w:u w:val="single"/>
        </w:rPr>
        <w:t>Milestones, targets, indicators, and timetable for monitoring and implementation for non-repayable financial support</w:t>
      </w:r>
    </w:p>
    <w:tbl>
      <w:tblPr>
        <w:tblW w:w="15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18"/>
        <w:gridCol w:w="1134"/>
        <w:gridCol w:w="1842"/>
        <w:gridCol w:w="1418"/>
        <w:gridCol w:w="1281"/>
        <w:gridCol w:w="992"/>
        <w:gridCol w:w="1276"/>
        <w:gridCol w:w="992"/>
        <w:gridCol w:w="709"/>
        <w:gridCol w:w="3315"/>
      </w:tblGrid>
      <w:tr w:rsidR="00C02B59" w:rsidRPr="00D1795B" w14:paraId="1887E0F8" w14:textId="77777777" w:rsidTr="00C02B59">
        <w:trPr>
          <w:trHeight w:val="300"/>
          <w:tblHeader/>
          <w:jc w:val="center"/>
        </w:trPr>
        <w:tc>
          <w:tcPr>
            <w:tcW w:w="1134" w:type="dxa"/>
            <w:vMerge w:val="restart"/>
            <w:shd w:val="clear" w:color="auto" w:fill="BDD7EE"/>
            <w:vAlign w:val="center"/>
            <w:hideMark/>
          </w:tcPr>
          <w:p w14:paraId="1887E0F0"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1418" w:type="dxa"/>
            <w:vMerge w:val="restart"/>
            <w:shd w:val="clear" w:color="auto" w:fill="BDD7EE"/>
            <w:vAlign w:val="center"/>
            <w:hideMark/>
          </w:tcPr>
          <w:p w14:paraId="1887E0F1"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1134" w:type="dxa"/>
            <w:vMerge w:val="restart"/>
            <w:shd w:val="clear" w:color="auto" w:fill="BDD7EE"/>
            <w:vAlign w:val="center"/>
            <w:hideMark/>
          </w:tcPr>
          <w:p w14:paraId="1887E0F2"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Milestone / Target</w:t>
            </w:r>
          </w:p>
        </w:tc>
        <w:tc>
          <w:tcPr>
            <w:tcW w:w="1842" w:type="dxa"/>
            <w:vMerge w:val="restart"/>
            <w:shd w:val="clear" w:color="auto" w:fill="BDD7EE"/>
            <w:vAlign w:val="center"/>
            <w:hideMark/>
          </w:tcPr>
          <w:p w14:paraId="1887E0F3"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Name</w:t>
            </w:r>
          </w:p>
        </w:tc>
        <w:tc>
          <w:tcPr>
            <w:tcW w:w="1418" w:type="dxa"/>
            <w:vMerge w:val="restart"/>
            <w:shd w:val="clear" w:color="auto" w:fill="BDD7EE"/>
            <w:vAlign w:val="center"/>
            <w:hideMark/>
          </w:tcPr>
          <w:p w14:paraId="1887E0F4"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Qualitative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milestones)</w:t>
            </w:r>
          </w:p>
        </w:tc>
        <w:tc>
          <w:tcPr>
            <w:tcW w:w="3549" w:type="dxa"/>
            <w:gridSpan w:val="3"/>
            <w:shd w:val="clear" w:color="auto" w:fill="BDD7EE"/>
            <w:vAlign w:val="center"/>
            <w:hideMark/>
          </w:tcPr>
          <w:p w14:paraId="1887E0F5"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Quantitative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targets)</w:t>
            </w:r>
          </w:p>
        </w:tc>
        <w:tc>
          <w:tcPr>
            <w:tcW w:w="1701" w:type="dxa"/>
            <w:gridSpan w:val="2"/>
            <w:shd w:val="clear" w:color="auto" w:fill="BDD7EE"/>
            <w:vAlign w:val="center"/>
            <w:hideMark/>
          </w:tcPr>
          <w:p w14:paraId="1887E0F6"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Indicative timeline for completion</w:t>
            </w:r>
          </w:p>
        </w:tc>
        <w:tc>
          <w:tcPr>
            <w:tcW w:w="3315" w:type="dxa"/>
            <w:vMerge w:val="restart"/>
            <w:shd w:val="clear" w:color="auto" w:fill="BDD7EE"/>
            <w:vAlign w:val="center"/>
            <w:hideMark/>
          </w:tcPr>
          <w:p w14:paraId="1887E0F7"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Description of each milestone and target</w:t>
            </w:r>
          </w:p>
        </w:tc>
      </w:tr>
      <w:tr w:rsidR="00C02B59" w:rsidRPr="00D1795B" w14:paraId="1887E104" w14:textId="77777777" w:rsidTr="00C02B59">
        <w:trPr>
          <w:trHeight w:val="300"/>
          <w:tblHeader/>
          <w:jc w:val="center"/>
        </w:trPr>
        <w:tc>
          <w:tcPr>
            <w:tcW w:w="1134" w:type="dxa"/>
            <w:vMerge/>
            <w:vAlign w:val="center"/>
            <w:hideMark/>
          </w:tcPr>
          <w:p w14:paraId="1887E0F9"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418" w:type="dxa"/>
            <w:vMerge/>
            <w:vAlign w:val="center"/>
            <w:hideMark/>
          </w:tcPr>
          <w:p w14:paraId="1887E0FA"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134" w:type="dxa"/>
            <w:vMerge/>
            <w:vAlign w:val="center"/>
            <w:hideMark/>
          </w:tcPr>
          <w:p w14:paraId="1887E0FB"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842" w:type="dxa"/>
            <w:vMerge/>
            <w:vAlign w:val="center"/>
            <w:hideMark/>
          </w:tcPr>
          <w:p w14:paraId="1887E0FC"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418" w:type="dxa"/>
            <w:vMerge/>
            <w:vAlign w:val="center"/>
            <w:hideMark/>
          </w:tcPr>
          <w:p w14:paraId="1887E0FD"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281" w:type="dxa"/>
            <w:shd w:val="clear" w:color="auto" w:fill="BDD7EE"/>
            <w:vAlign w:val="center"/>
            <w:hideMark/>
          </w:tcPr>
          <w:p w14:paraId="1887E0FE"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Unit of measure</w:t>
            </w:r>
          </w:p>
        </w:tc>
        <w:tc>
          <w:tcPr>
            <w:tcW w:w="992" w:type="dxa"/>
            <w:shd w:val="clear" w:color="auto" w:fill="BDD7EE"/>
            <w:vAlign w:val="center"/>
            <w:hideMark/>
          </w:tcPr>
          <w:p w14:paraId="1887E0FF"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Baseline</w:t>
            </w:r>
          </w:p>
        </w:tc>
        <w:tc>
          <w:tcPr>
            <w:tcW w:w="1276" w:type="dxa"/>
            <w:shd w:val="clear" w:color="auto" w:fill="BDD7EE"/>
            <w:vAlign w:val="center"/>
            <w:hideMark/>
          </w:tcPr>
          <w:p w14:paraId="1887E100"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Goal</w:t>
            </w:r>
          </w:p>
        </w:tc>
        <w:tc>
          <w:tcPr>
            <w:tcW w:w="992" w:type="dxa"/>
            <w:shd w:val="clear" w:color="auto" w:fill="BDD7EE"/>
            <w:vAlign w:val="center"/>
            <w:hideMark/>
          </w:tcPr>
          <w:p w14:paraId="1887E101"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Quarter</w:t>
            </w:r>
          </w:p>
        </w:tc>
        <w:tc>
          <w:tcPr>
            <w:tcW w:w="709" w:type="dxa"/>
            <w:shd w:val="clear" w:color="auto" w:fill="BDD7EE"/>
            <w:vAlign w:val="center"/>
            <w:hideMark/>
          </w:tcPr>
          <w:p w14:paraId="1887E102"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Year</w:t>
            </w:r>
          </w:p>
        </w:tc>
        <w:tc>
          <w:tcPr>
            <w:tcW w:w="3315" w:type="dxa"/>
            <w:vMerge/>
            <w:vAlign w:val="center"/>
            <w:hideMark/>
          </w:tcPr>
          <w:p w14:paraId="1887E103" w14:textId="77777777" w:rsidR="00C02B59" w:rsidRPr="00D1795B" w:rsidRDefault="00C02B59" w:rsidP="00C02B59">
            <w:pPr>
              <w:spacing w:after="0" w:line="240" w:lineRule="auto"/>
              <w:jc w:val="both"/>
              <w:rPr>
                <w:rFonts w:ascii="Times New Roman" w:hAnsi="Times New Roman" w:cs="Times New Roman"/>
                <w:b/>
                <w:noProof/>
                <w:sz w:val="18"/>
                <w:szCs w:val="18"/>
              </w:rPr>
            </w:pPr>
          </w:p>
        </w:tc>
      </w:tr>
      <w:tr w:rsidR="00C02B59" w:rsidRPr="00D1795B" w14:paraId="1887E111" w14:textId="77777777" w:rsidTr="00C02B59">
        <w:trPr>
          <w:trHeight w:val="300"/>
          <w:jc w:val="center"/>
        </w:trPr>
        <w:tc>
          <w:tcPr>
            <w:tcW w:w="1134" w:type="dxa"/>
            <w:shd w:val="clear" w:color="auto" w:fill="C6EFCE"/>
            <w:noWrap/>
          </w:tcPr>
          <w:p w14:paraId="1887E10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19</w:t>
            </w:r>
          </w:p>
        </w:tc>
        <w:tc>
          <w:tcPr>
            <w:tcW w:w="1418" w:type="dxa"/>
            <w:shd w:val="clear" w:color="auto" w:fill="C6EFCE"/>
            <w:noWrap/>
          </w:tcPr>
          <w:p w14:paraId="1887E10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C2.1R1</w:t>
            </w:r>
          </w:p>
          <w:p w14:paraId="1887E10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Green Taxation </w:t>
            </w:r>
          </w:p>
        </w:tc>
        <w:tc>
          <w:tcPr>
            <w:tcW w:w="1134" w:type="dxa"/>
            <w:shd w:val="clear" w:color="auto" w:fill="C6EFCE"/>
            <w:noWrap/>
          </w:tcPr>
          <w:p w14:paraId="1887E10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2" w:type="dxa"/>
            <w:shd w:val="clear" w:color="auto" w:fill="C6EFCE"/>
            <w:noWrap/>
          </w:tcPr>
          <w:p w14:paraId="1887E10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force of legal acts introducing a carbon tax on transport fuels, an increase of existing water fees, a charge on the landfill of municipal waste, and tax incentives for enterprises and individuals</w:t>
            </w:r>
          </w:p>
        </w:tc>
        <w:tc>
          <w:tcPr>
            <w:tcW w:w="1418" w:type="dxa"/>
            <w:shd w:val="clear" w:color="auto" w:fill="C6EFCE"/>
            <w:noWrap/>
          </w:tcPr>
          <w:p w14:paraId="1887E10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Provision in the legal acts indicating the entry into force </w:t>
            </w:r>
          </w:p>
        </w:tc>
        <w:tc>
          <w:tcPr>
            <w:tcW w:w="1281" w:type="dxa"/>
            <w:shd w:val="clear" w:color="auto" w:fill="C6EFCE"/>
            <w:noWrap/>
          </w:tcPr>
          <w:p w14:paraId="1887E10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10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6EFCE"/>
            <w:noWrap/>
          </w:tcPr>
          <w:p w14:paraId="1887E10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10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709" w:type="dxa"/>
            <w:shd w:val="clear" w:color="auto" w:fill="C6EFCE"/>
            <w:noWrap/>
          </w:tcPr>
          <w:p w14:paraId="1887E10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315" w:type="dxa"/>
            <w:shd w:val="clear" w:color="auto" w:fill="C6EFCE"/>
            <w:noWrap/>
          </w:tcPr>
          <w:p w14:paraId="1887E11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legal acts, which (a) introduce a carbon tax on transport fuels, (b) introduce an increase of existing water fees,(c) introduce a charge on the landfill of municipal waste, (d) introduce personal tax incentives for natural persons undertaking clean energy and electric mobility investments, and (e) introduce enhanced capital allowances for qualifying energy and climate-related capital expenditures by enterprises.</w:t>
            </w:r>
          </w:p>
        </w:tc>
      </w:tr>
      <w:tr w:rsidR="00C02B59" w:rsidRPr="00D1795B" w14:paraId="1887E11E" w14:textId="77777777" w:rsidTr="00C02B59">
        <w:trPr>
          <w:trHeight w:val="300"/>
          <w:jc w:val="center"/>
        </w:trPr>
        <w:tc>
          <w:tcPr>
            <w:tcW w:w="1134" w:type="dxa"/>
            <w:shd w:val="clear" w:color="auto" w:fill="C6EFCE"/>
            <w:noWrap/>
            <w:hideMark/>
          </w:tcPr>
          <w:p w14:paraId="1887E11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21</w:t>
            </w:r>
          </w:p>
        </w:tc>
        <w:tc>
          <w:tcPr>
            <w:tcW w:w="1418" w:type="dxa"/>
            <w:shd w:val="clear" w:color="auto" w:fill="C6EFCE"/>
            <w:noWrap/>
            <w:hideMark/>
          </w:tcPr>
          <w:p w14:paraId="1887E11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C2.1R2</w:t>
            </w:r>
          </w:p>
          <w:p w14:paraId="1887E11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Independence of Cyprus Transmission System Operator (TSOC) from the incumbent Electricity Authority of Cyprus</w:t>
            </w:r>
          </w:p>
        </w:tc>
        <w:tc>
          <w:tcPr>
            <w:tcW w:w="1134" w:type="dxa"/>
            <w:shd w:val="clear" w:color="auto" w:fill="C6EFCE"/>
            <w:noWrap/>
            <w:hideMark/>
          </w:tcPr>
          <w:p w14:paraId="1887E11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2" w:type="dxa"/>
            <w:shd w:val="clear" w:color="auto" w:fill="C6EFCE"/>
            <w:noWrap/>
            <w:hideMark/>
          </w:tcPr>
          <w:p w14:paraId="1887E11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Law for the Regulation of the Electricity Market of 2021</w:t>
            </w:r>
          </w:p>
        </w:tc>
        <w:tc>
          <w:tcPr>
            <w:tcW w:w="1418" w:type="dxa"/>
            <w:shd w:val="clear" w:color="auto" w:fill="C6EFCE"/>
            <w:noWrap/>
            <w:hideMark/>
          </w:tcPr>
          <w:p w14:paraId="1887E11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Provision in the law indicating the entry into force of the 2021 "Law for the Regulation of the Electricity Market"</w:t>
            </w:r>
          </w:p>
        </w:tc>
        <w:tc>
          <w:tcPr>
            <w:tcW w:w="1281" w:type="dxa"/>
            <w:shd w:val="clear" w:color="auto" w:fill="C6EFCE"/>
            <w:noWrap/>
            <w:hideMark/>
          </w:tcPr>
          <w:p w14:paraId="1887E11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11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6EFCE"/>
            <w:noWrap/>
            <w:hideMark/>
          </w:tcPr>
          <w:p w14:paraId="1887E11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11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709" w:type="dxa"/>
            <w:shd w:val="clear" w:color="auto" w:fill="C6EFCE"/>
            <w:noWrap/>
            <w:hideMark/>
          </w:tcPr>
          <w:p w14:paraId="1887E11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2021</w:t>
            </w:r>
          </w:p>
        </w:tc>
        <w:tc>
          <w:tcPr>
            <w:tcW w:w="3315" w:type="dxa"/>
            <w:shd w:val="clear" w:color="auto" w:fill="C6EFCE"/>
            <w:noWrap/>
            <w:hideMark/>
          </w:tcPr>
          <w:p w14:paraId="1887E11D"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Law for the Regulation of the Electricity Market of 2021, which shall facilitate the opening of the electricity market to competition and boost the uptake of RES by: (a) achieving the independence of the Cyprus Transmission System Operator (TSOC) from the incumbent Electricity Authority of Cyprus (EAC) (autonomy in governance, financial autonomy and independence of TSOC personnel), (b) introducing the necessary steps for reducing the cost of electricity for domestic and commercial/industrial customers and (c) creating conditions of transparency and trust to motivate new investors in generation and supply of electricity.</w:t>
            </w:r>
          </w:p>
        </w:tc>
      </w:tr>
      <w:tr w:rsidR="00C02B59" w:rsidRPr="00D1795B" w14:paraId="1887E12B" w14:textId="77777777" w:rsidTr="00C02B59">
        <w:trPr>
          <w:trHeight w:val="300"/>
          <w:jc w:val="center"/>
        </w:trPr>
        <w:tc>
          <w:tcPr>
            <w:tcW w:w="1134" w:type="dxa"/>
            <w:shd w:val="clear" w:color="auto" w:fill="C6EFCE"/>
            <w:noWrap/>
            <w:hideMark/>
          </w:tcPr>
          <w:p w14:paraId="1887E11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22</w:t>
            </w:r>
          </w:p>
        </w:tc>
        <w:tc>
          <w:tcPr>
            <w:tcW w:w="1418" w:type="dxa"/>
            <w:shd w:val="clear" w:color="auto" w:fill="C6EFCE"/>
            <w:noWrap/>
            <w:hideMark/>
          </w:tcPr>
          <w:p w14:paraId="1887E12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C2.1R3</w:t>
            </w:r>
          </w:p>
          <w:p w14:paraId="1887E12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 One-Stop Shops to streamline RES projects permitting and to facilitate Energy Renovation in Buildings</w:t>
            </w:r>
          </w:p>
        </w:tc>
        <w:tc>
          <w:tcPr>
            <w:tcW w:w="1134" w:type="dxa"/>
            <w:shd w:val="clear" w:color="auto" w:fill="C6EFCE"/>
            <w:noWrap/>
            <w:hideMark/>
          </w:tcPr>
          <w:p w14:paraId="1887E12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2" w:type="dxa"/>
            <w:shd w:val="clear" w:color="auto" w:fill="C6EFCE"/>
            <w:noWrap/>
            <w:hideMark/>
          </w:tcPr>
          <w:p w14:paraId="1887E12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Fully operational IT platform </w:t>
            </w:r>
          </w:p>
        </w:tc>
        <w:tc>
          <w:tcPr>
            <w:tcW w:w="1418" w:type="dxa"/>
            <w:shd w:val="clear" w:color="auto" w:fill="C6EFCE"/>
            <w:noWrap/>
            <w:hideMark/>
          </w:tcPr>
          <w:p w14:paraId="1887E12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Fully operational IT platform accepted by the Ministry of Energy, Commerce, and Industry</w:t>
            </w:r>
          </w:p>
        </w:tc>
        <w:tc>
          <w:tcPr>
            <w:tcW w:w="1281" w:type="dxa"/>
            <w:shd w:val="clear" w:color="auto" w:fill="C6EFCE"/>
            <w:noWrap/>
            <w:hideMark/>
          </w:tcPr>
          <w:p w14:paraId="1887E12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12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6EFCE"/>
            <w:noWrap/>
            <w:hideMark/>
          </w:tcPr>
          <w:p w14:paraId="1887E12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12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709" w:type="dxa"/>
            <w:shd w:val="clear" w:color="auto" w:fill="C6EFCE"/>
            <w:noWrap/>
            <w:hideMark/>
          </w:tcPr>
          <w:p w14:paraId="1887E12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315" w:type="dxa"/>
            <w:shd w:val="clear" w:color="auto" w:fill="C6EFCE"/>
            <w:noWrap/>
            <w:hideMark/>
          </w:tcPr>
          <w:p w14:paraId="1887E12A"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Fully operational IT platform for (1) guiding the applicant through the administrative permit application process in a transparent manner up to the delivery of one or several decisions by the responsible authorities, (2) providing the applicant with all necessary information and involve, where appropriate, other administrative authorities.</w:t>
            </w:r>
          </w:p>
        </w:tc>
      </w:tr>
      <w:tr w:rsidR="00C02B59" w:rsidRPr="00D1795B" w14:paraId="1887E139" w14:textId="77777777" w:rsidTr="00C02B59">
        <w:trPr>
          <w:trHeight w:val="300"/>
          <w:jc w:val="center"/>
        </w:trPr>
        <w:tc>
          <w:tcPr>
            <w:tcW w:w="1134" w:type="dxa"/>
            <w:shd w:val="clear" w:color="auto" w:fill="C6EFCE"/>
            <w:noWrap/>
            <w:hideMark/>
          </w:tcPr>
          <w:p w14:paraId="1887E12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23</w:t>
            </w:r>
          </w:p>
        </w:tc>
        <w:tc>
          <w:tcPr>
            <w:tcW w:w="1418" w:type="dxa"/>
            <w:shd w:val="clear" w:color="auto" w:fill="C6EFCE"/>
            <w:noWrap/>
            <w:hideMark/>
          </w:tcPr>
          <w:p w14:paraId="1887E12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C2.1R4</w:t>
            </w:r>
          </w:p>
          <w:p w14:paraId="1887E12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Energy Storage Regulatory Framework</w:t>
            </w:r>
          </w:p>
        </w:tc>
        <w:tc>
          <w:tcPr>
            <w:tcW w:w="1134" w:type="dxa"/>
            <w:shd w:val="clear" w:color="auto" w:fill="C6EFCE"/>
            <w:noWrap/>
            <w:hideMark/>
          </w:tcPr>
          <w:p w14:paraId="1887E12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2" w:type="dxa"/>
            <w:shd w:val="clear" w:color="auto" w:fill="C6EFCE"/>
            <w:noWrap/>
            <w:hideMark/>
          </w:tcPr>
          <w:p w14:paraId="1887E13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Amendment of the Transmission and Distribution Rules (TDRs) and Trading and Settlement Rules (TSRs) </w:t>
            </w:r>
          </w:p>
        </w:tc>
        <w:tc>
          <w:tcPr>
            <w:tcW w:w="1418" w:type="dxa"/>
            <w:shd w:val="clear" w:color="auto" w:fill="C6EFCE"/>
            <w:noWrap/>
            <w:hideMark/>
          </w:tcPr>
          <w:p w14:paraId="1887E13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Publication on the website of the Cyprus Energy Regulatory Authority of Amendment of the Transmission and Distribution Rules (TDRs) and the Trading and Settlement Rules (TSRs)</w:t>
            </w:r>
          </w:p>
        </w:tc>
        <w:tc>
          <w:tcPr>
            <w:tcW w:w="1281" w:type="dxa"/>
            <w:shd w:val="clear" w:color="auto" w:fill="C6EFCE"/>
            <w:noWrap/>
            <w:hideMark/>
          </w:tcPr>
          <w:p w14:paraId="1887E13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13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6EFCE"/>
            <w:noWrap/>
            <w:hideMark/>
          </w:tcPr>
          <w:p w14:paraId="1887E13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13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709" w:type="dxa"/>
            <w:shd w:val="clear" w:color="auto" w:fill="C6EFCE"/>
            <w:noWrap/>
            <w:hideMark/>
          </w:tcPr>
          <w:p w14:paraId="1887E13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2021</w:t>
            </w:r>
          </w:p>
        </w:tc>
        <w:tc>
          <w:tcPr>
            <w:tcW w:w="3315" w:type="dxa"/>
            <w:shd w:val="clear" w:color="auto" w:fill="C6EFCE"/>
            <w:noWrap/>
            <w:hideMark/>
          </w:tcPr>
          <w:p w14:paraId="1887E137"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an amendment to the Transmission and Distribution Rules (TDRs) and Trading and Settlement Rules (TSRs) which shall provide the necessary regulatory framework (market rules) and technical modalities that shall allow storage facilities to: - participate in the wholesale electricity market, </w:t>
            </w:r>
          </w:p>
          <w:p w14:paraId="1887E138"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promote the development of an economically viable, efficient, safe, and consumer-oriented electricity market that prioritises the generation of electricity from renewable energy systems.</w:t>
            </w:r>
          </w:p>
        </w:tc>
      </w:tr>
      <w:tr w:rsidR="00C02B59" w:rsidRPr="00D1795B" w14:paraId="1887E146" w14:textId="77777777" w:rsidTr="00C02B59">
        <w:trPr>
          <w:trHeight w:val="300"/>
          <w:jc w:val="center"/>
        </w:trPr>
        <w:tc>
          <w:tcPr>
            <w:tcW w:w="1134" w:type="dxa"/>
            <w:shd w:val="clear" w:color="auto" w:fill="C6EFCE"/>
            <w:noWrap/>
          </w:tcPr>
          <w:p w14:paraId="1887E13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24</w:t>
            </w:r>
          </w:p>
        </w:tc>
        <w:tc>
          <w:tcPr>
            <w:tcW w:w="1418" w:type="dxa"/>
            <w:shd w:val="clear" w:color="auto" w:fill="C6EFCE"/>
            <w:noWrap/>
          </w:tcPr>
          <w:p w14:paraId="1887E13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C2.1I1</w:t>
            </w:r>
          </w:p>
          <w:p w14:paraId="1887E13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Promoting energy efficiency investments in SMEs and non-profit organisations</w:t>
            </w:r>
          </w:p>
        </w:tc>
        <w:tc>
          <w:tcPr>
            <w:tcW w:w="1134" w:type="dxa"/>
            <w:shd w:val="clear" w:color="auto" w:fill="C6EFCE"/>
            <w:noWrap/>
          </w:tcPr>
          <w:p w14:paraId="1887E13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2" w:type="dxa"/>
            <w:shd w:val="clear" w:color="auto" w:fill="C6EFCE"/>
            <w:noWrap/>
          </w:tcPr>
          <w:p w14:paraId="1887E13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Support scheme for Promoting energy efficiency investments in SMEs, municipalities, communities, and the wider public sector</w:t>
            </w:r>
          </w:p>
        </w:tc>
        <w:tc>
          <w:tcPr>
            <w:tcW w:w="1418" w:type="dxa"/>
            <w:shd w:val="clear" w:color="auto" w:fill="C6EFCE"/>
            <w:noWrap/>
          </w:tcPr>
          <w:p w14:paraId="1887E13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Publication of call for proposals for the support scheme for Promoting energy efficiency investments in SMEs, municipalities, communities, and the wider public sector</w:t>
            </w:r>
          </w:p>
        </w:tc>
        <w:tc>
          <w:tcPr>
            <w:tcW w:w="1281" w:type="dxa"/>
            <w:shd w:val="clear" w:color="auto" w:fill="C6EFCE"/>
            <w:noWrap/>
          </w:tcPr>
          <w:p w14:paraId="1887E14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14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6EFCE"/>
            <w:noWrap/>
          </w:tcPr>
          <w:p w14:paraId="1887E14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14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709" w:type="dxa"/>
            <w:shd w:val="clear" w:color="auto" w:fill="C6EFCE"/>
            <w:noWrap/>
          </w:tcPr>
          <w:p w14:paraId="1887E14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2021</w:t>
            </w:r>
          </w:p>
        </w:tc>
        <w:tc>
          <w:tcPr>
            <w:tcW w:w="3315" w:type="dxa"/>
            <w:shd w:val="clear" w:color="auto" w:fill="C6EFCE"/>
            <w:noWrap/>
          </w:tcPr>
          <w:p w14:paraId="1887E145"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Issue call for proposals for the support scheme for promoting energy efficiency investments in SMEs, municipalities, communities, and the wider public sector, following verification of state aid regulation to be applied by Commissioner for State Aid Control and Council of Ministers’ decision approving the scheme’s objectives. The investment shall aim at achieving on average at least a 30% primary energy demand reduction.</w:t>
            </w:r>
          </w:p>
        </w:tc>
      </w:tr>
      <w:tr w:rsidR="00C02B59" w:rsidRPr="00D1795B" w14:paraId="1887E153" w14:textId="77777777" w:rsidTr="00C02B59">
        <w:trPr>
          <w:trHeight w:val="300"/>
          <w:jc w:val="center"/>
        </w:trPr>
        <w:tc>
          <w:tcPr>
            <w:tcW w:w="1134" w:type="dxa"/>
            <w:shd w:val="clear" w:color="auto" w:fill="C6EFCE"/>
            <w:noWrap/>
            <w:hideMark/>
          </w:tcPr>
          <w:p w14:paraId="1887E14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26</w:t>
            </w:r>
          </w:p>
        </w:tc>
        <w:tc>
          <w:tcPr>
            <w:tcW w:w="1418" w:type="dxa"/>
            <w:shd w:val="clear" w:color="auto" w:fill="C6EFCE"/>
            <w:noWrap/>
            <w:hideMark/>
          </w:tcPr>
          <w:p w14:paraId="1887E14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C2.1I1</w:t>
            </w:r>
          </w:p>
          <w:p w14:paraId="1887E14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Energy saving investments in SMEs, and non-profit organisations</w:t>
            </w:r>
          </w:p>
        </w:tc>
        <w:tc>
          <w:tcPr>
            <w:tcW w:w="1134" w:type="dxa"/>
            <w:shd w:val="clear" w:color="auto" w:fill="C6EFCE"/>
            <w:noWrap/>
            <w:hideMark/>
          </w:tcPr>
          <w:p w14:paraId="1887E14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2" w:type="dxa"/>
            <w:shd w:val="clear" w:color="auto" w:fill="C6EFCE"/>
            <w:noWrap/>
            <w:hideMark/>
          </w:tcPr>
          <w:p w14:paraId="1887E14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Energy saving projects in buildings</w:t>
            </w:r>
          </w:p>
        </w:tc>
        <w:tc>
          <w:tcPr>
            <w:tcW w:w="1418" w:type="dxa"/>
            <w:shd w:val="clear" w:color="auto" w:fill="C6EFCE"/>
            <w:noWrap/>
            <w:hideMark/>
          </w:tcPr>
          <w:p w14:paraId="1887E14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w:t>
            </w:r>
          </w:p>
        </w:tc>
        <w:tc>
          <w:tcPr>
            <w:tcW w:w="1281" w:type="dxa"/>
            <w:shd w:val="clear" w:color="auto" w:fill="C6EFCE"/>
            <w:noWrap/>
            <w:hideMark/>
          </w:tcPr>
          <w:p w14:paraId="1887E14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2" w:type="dxa"/>
            <w:shd w:val="clear" w:color="auto" w:fill="C6EFCE"/>
            <w:noWrap/>
            <w:hideMark/>
          </w:tcPr>
          <w:p w14:paraId="1887E14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76" w:type="dxa"/>
            <w:shd w:val="clear" w:color="auto" w:fill="C6EFCE"/>
            <w:noWrap/>
            <w:hideMark/>
          </w:tcPr>
          <w:p w14:paraId="1887E14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275</w:t>
            </w:r>
          </w:p>
        </w:tc>
        <w:tc>
          <w:tcPr>
            <w:tcW w:w="992" w:type="dxa"/>
            <w:shd w:val="clear" w:color="auto" w:fill="C6EFCE"/>
            <w:noWrap/>
            <w:hideMark/>
          </w:tcPr>
          <w:p w14:paraId="1887E15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709" w:type="dxa"/>
            <w:shd w:val="clear" w:color="auto" w:fill="C6EFCE"/>
            <w:noWrap/>
            <w:hideMark/>
          </w:tcPr>
          <w:p w14:paraId="1887E15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315" w:type="dxa"/>
            <w:shd w:val="clear" w:color="auto" w:fill="C6EFCE"/>
            <w:noWrap/>
            <w:hideMark/>
          </w:tcPr>
          <w:p w14:paraId="1887E15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eastAsia="Times New Roman" w:hAnsi="Times New Roman" w:cs="Times New Roman"/>
                <w:noProof/>
                <w:sz w:val="18"/>
                <w:szCs w:val="18"/>
              </w:rPr>
              <w:t>Energy Performance Certificates</w:t>
            </w:r>
            <w:r w:rsidRPr="00D1795B">
              <w:rPr>
                <w:rFonts w:ascii="Times New Roman" w:hAnsi="Times New Roman" w:cs="Times New Roman"/>
                <w:noProof/>
                <w:sz w:val="18"/>
                <w:szCs w:val="18"/>
              </w:rPr>
              <w:t xml:space="preserve"> or </w:t>
            </w:r>
            <w:r w:rsidRPr="00D1795B">
              <w:rPr>
                <w:rFonts w:ascii="Times New Roman" w:eastAsia="Times New Roman" w:hAnsi="Times New Roman" w:cs="Times New Roman"/>
                <w:noProof/>
                <w:sz w:val="18"/>
                <w:szCs w:val="18"/>
              </w:rPr>
              <w:t xml:space="preserve">declarations from a qualified expert or </w:t>
            </w:r>
            <w:r w:rsidRPr="00D1795B">
              <w:rPr>
                <w:rFonts w:ascii="Times New Roman" w:hAnsi="Times New Roman" w:cs="Times New Roman"/>
                <w:noProof/>
                <w:sz w:val="18"/>
                <w:szCs w:val="18"/>
              </w:rPr>
              <w:t xml:space="preserve">energy </w:t>
            </w:r>
            <w:r w:rsidRPr="00D1795B">
              <w:rPr>
                <w:rFonts w:ascii="Times New Roman" w:eastAsia="Times New Roman" w:hAnsi="Times New Roman" w:cs="Times New Roman"/>
                <w:noProof/>
                <w:sz w:val="18"/>
                <w:szCs w:val="18"/>
              </w:rPr>
              <w:t xml:space="preserve">auditor </w:t>
            </w:r>
            <w:r w:rsidRPr="00D1795B">
              <w:rPr>
                <w:rFonts w:ascii="Times New Roman" w:hAnsi="Times New Roman" w:cs="Times New Roman"/>
                <w:noProof/>
                <w:sz w:val="18"/>
                <w:szCs w:val="18"/>
              </w:rPr>
              <w:t>on</w:t>
            </w:r>
            <w:r w:rsidRPr="00D1795B">
              <w:rPr>
                <w:rFonts w:ascii="Times New Roman" w:eastAsia="Times New Roman" w:hAnsi="Times New Roman" w:cs="Times New Roman"/>
                <w:noProof/>
                <w:sz w:val="18"/>
                <w:szCs w:val="18"/>
              </w:rPr>
              <w:t xml:space="preserve"> achieved </w:t>
            </w:r>
            <w:r w:rsidRPr="00D1795B">
              <w:rPr>
                <w:rFonts w:ascii="Times New Roman" w:hAnsi="Times New Roman" w:cs="Times New Roman"/>
                <w:noProof/>
                <w:sz w:val="18"/>
                <w:szCs w:val="18"/>
              </w:rPr>
              <w:t xml:space="preserve">energy </w:t>
            </w:r>
            <w:r w:rsidRPr="00D1795B">
              <w:rPr>
                <w:rFonts w:ascii="Times New Roman" w:eastAsia="Times New Roman" w:hAnsi="Times New Roman" w:cs="Times New Roman"/>
                <w:noProof/>
                <w:sz w:val="18"/>
                <w:szCs w:val="18"/>
              </w:rPr>
              <w:t xml:space="preserve">savings issued for 275 </w:t>
            </w:r>
            <w:r w:rsidRPr="00D1795B">
              <w:rPr>
                <w:rFonts w:ascii="Times New Roman" w:hAnsi="Times New Roman" w:cs="Times New Roman"/>
                <w:noProof/>
                <w:sz w:val="18"/>
                <w:szCs w:val="18"/>
              </w:rPr>
              <w:t xml:space="preserve">energy </w:t>
            </w:r>
            <w:r w:rsidRPr="00D1795B">
              <w:rPr>
                <w:rFonts w:ascii="Times New Roman" w:eastAsia="Times New Roman" w:hAnsi="Times New Roman" w:cs="Times New Roman"/>
                <w:noProof/>
                <w:sz w:val="18"/>
                <w:szCs w:val="18"/>
              </w:rPr>
              <w:t>saving projects</w:t>
            </w:r>
            <w:r w:rsidRPr="00D1795B">
              <w:rPr>
                <w:rFonts w:ascii="Times New Roman" w:hAnsi="Times New Roman" w:cs="Times New Roman"/>
                <w:noProof/>
                <w:sz w:val="18"/>
                <w:szCs w:val="18"/>
              </w:rPr>
              <w:t xml:space="preserve">. </w:t>
            </w:r>
          </w:p>
        </w:tc>
      </w:tr>
      <w:tr w:rsidR="00C02B59" w:rsidRPr="00D1795B" w14:paraId="1887E160" w14:textId="77777777" w:rsidTr="00C02B59">
        <w:trPr>
          <w:trHeight w:val="300"/>
          <w:jc w:val="center"/>
        </w:trPr>
        <w:tc>
          <w:tcPr>
            <w:tcW w:w="1134" w:type="dxa"/>
            <w:shd w:val="clear" w:color="auto" w:fill="C6EFCE"/>
            <w:noWrap/>
            <w:hideMark/>
          </w:tcPr>
          <w:p w14:paraId="1887E15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27</w:t>
            </w:r>
          </w:p>
        </w:tc>
        <w:tc>
          <w:tcPr>
            <w:tcW w:w="1418" w:type="dxa"/>
            <w:shd w:val="clear" w:color="auto" w:fill="C6EFCE"/>
            <w:noWrap/>
            <w:hideMark/>
          </w:tcPr>
          <w:p w14:paraId="1887E15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C2.1I2</w:t>
            </w:r>
          </w:p>
          <w:p w14:paraId="1887E15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Promoting renewables and individual energy efficiency measures in dwellings and tackling energy poverty in households with vulnerable electricity consumers </w:t>
            </w:r>
          </w:p>
        </w:tc>
        <w:tc>
          <w:tcPr>
            <w:tcW w:w="1134" w:type="dxa"/>
            <w:shd w:val="clear" w:color="auto" w:fill="C6EFCE"/>
            <w:noWrap/>
            <w:hideMark/>
          </w:tcPr>
          <w:p w14:paraId="1887E15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2" w:type="dxa"/>
            <w:shd w:val="clear" w:color="auto" w:fill="C6EFCE"/>
            <w:noWrap/>
            <w:hideMark/>
          </w:tcPr>
          <w:p w14:paraId="1887E15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First call for proposals for Promoting renewables and individual energy efficiency measures in dwellings </w:t>
            </w:r>
          </w:p>
        </w:tc>
        <w:tc>
          <w:tcPr>
            <w:tcW w:w="1418" w:type="dxa"/>
            <w:shd w:val="clear" w:color="auto" w:fill="C6EFCE"/>
            <w:noWrap/>
            <w:hideMark/>
          </w:tcPr>
          <w:p w14:paraId="1887E15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First call for proposals published</w:t>
            </w:r>
          </w:p>
        </w:tc>
        <w:tc>
          <w:tcPr>
            <w:tcW w:w="1281" w:type="dxa"/>
            <w:shd w:val="clear" w:color="auto" w:fill="C6EFCE"/>
            <w:noWrap/>
            <w:hideMark/>
          </w:tcPr>
          <w:p w14:paraId="1887E15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15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6EFCE"/>
            <w:noWrap/>
            <w:hideMark/>
          </w:tcPr>
          <w:p w14:paraId="1887E15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15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709" w:type="dxa"/>
            <w:shd w:val="clear" w:color="auto" w:fill="C6EFCE"/>
            <w:noWrap/>
            <w:hideMark/>
          </w:tcPr>
          <w:p w14:paraId="1887E15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2021</w:t>
            </w:r>
          </w:p>
        </w:tc>
        <w:tc>
          <w:tcPr>
            <w:tcW w:w="3315" w:type="dxa"/>
            <w:shd w:val="clear" w:color="auto" w:fill="C6EFCE"/>
            <w:noWrap/>
            <w:hideMark/>
          </w:tcPr>
          <w:p w14:paraId="1887E15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The first call for proposals for promoting renewables and individual energy efficiency measures in dwellings has been published on the RES and Energy Conservation Fund website. The investment shall aim at </w:t>
            </w:r>
            <w:r w:rsidRPr="00D1795B" w:rsidDel="00BB337E">
              <w:rPr>
                <w:rFonts w:ascii="Times New Roman" w:hAnsi="Times New Roman" w:cs="Times New Roman"/>
                <w:noProof/>
                <w:sz w:val="18"/>
                <w:szCs w:val="18"/>
              </w:rPr>
              <w:t xml:space="preserve">achieving on average at least a 30% </w:t>
            </w:r>
            <w:r w:rsidRPr="00D1795B">
              <w:rPr>
                <w:rFonts w:ascii="Times New Roman" w:hAnsi="Times New Roman" w:cs="Times New Roman"/>
                <w:noProof/>
                <w:sz w:val="18"/>
                <w:szCs w:val="18"/>
              </w:rPr>
              <w:t>primary energy demand</w:t>
            </w:r>
            <w:r w:rsidRPr="00D1795B" w:rsidDel="00BB337E">
              <w:rPr>
                <w:rFonts w:ascii="Times New Roman" w:hAnsi="Times New Roman" w:cs="Times New Roman"/>
                <w:noProof/>
                <w:sz w:val="18"/>
                <w:szCs w:val="18"/>
              </w:rPr>
              <w:t xml:space="preserve"> reduction</w:t>
            </w:r>
            <w:r w:rsidRPr="00D1795B">
              <w:rPr>
                <w:rFonts w:ascii="Times New Roman" w:hAnsi="Times New Roman" w:cs="Times New Roman"/>
                <w:noProof/>
                <w:sz w:val="18"/>
                <w:szCs w:val="18"/>
              </w:rPr>
              <w:t>.</w:t>
            </w:r>
          </w:p>
        </w:tc>
      </w:tr>
      <w:tr w:rsidR="00C02B59" w:rsidRPr="00D1795B" w14:paraId="1887E16D" w14:textId="77777777" w:rsidTr="00C02B59">
        <w:trPr>
          <w:trHeight w:val="300"/>
          <w:jc w:val="center"/>
        </w:trPr>
        <w:tc>
          <w:tcPr>
            <w:tcW w:w="1134" w:type="dxa"/>
            <w:shd w:val="clear" w:color="auto" w:fill="C6EFCE"/>
            <w:noWrap/>
            <w:hideMark/>
          </w:tcPr>
          <w:p w14:paraId="1887E16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28a</w:t>
            </w:r>
          </w:p>
        </w:tc>
        <w:tc>
          <w:tcPr>
            <w:tcW w:w="1418" w:type="dxa"/>
            <w:shd w:val="clear" w:color="auto" w:fill="C6EFCE"/>
            <w:noWrap/>
            <w:hideMark/>
          </w:tcPr>
          <w:p w14:paraId="1887E16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C2.1I2</w:t>
            </w:r>
          </w:p>
          <w:p w14:paraId="1887E16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Promoting renewables and individual energy efficiency measures in dwellings and tackling energy poverty in households with vulnerable electricity consumers </w:t>
            </w:r>
          </w:p>
        </w:tc>
        <w:tc>
          <w:tcPr>
            <w:tcW w:w="1134" w:type="dxa"/>
            <w:shd w:val="clear" w:color="auto" w:fill="C6EFCE"/>
            <w:noWrap/>
            <w:hideMark/>
          </w:tcPr>
          <w:p w14:paraId="1887E16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2" w:type="dxa"/>
            <w:shd w:val="clear" w:color="auto" w:fill="C6EFCE"/>
            <w:noWrap/>
            <w:hideMark/>
          </w:tcPr>
          <w:p w14:paraId="1887E16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Dwellings and households with vulnerable electricity consumers (including people with disabilities) having improved their energy performance </w:t>
            </w:r>
          </w:p>
        </w:tc>
        <w:tc>
          <w:tcPr>
            <w:tcW w:w="1418" w:type="dxa"/>
            <w:shd w:val="clear" w:color="auto" w:fill="C6EFCE"/>
            <w:noWrap/>
            <w:hideMark/>
          </w:tcPr>
          <w:p w14:paraId="1887E16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w:t>
            </w:r>
          </w:p>
        </w:tc>
        <w:tc>
          <w:tcPr>
            <w:tcW w:w="1281" w:type="dxa"/>
            <w:shd w:val="clear" w:color="auto" w:fill="C6EFCE"/>
            <w:noWrap/>
            <w:hideMark/>
          </w:tcPr>
          <w:p w14:paraId="1887E16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2" w:type="dxa"/>
            <w:shd w:val="clear" w:color="auto" w:fill="C6EFCE"/>
            <w:noWrap/>
            <w:hideMark/>
          </w:tcPr>
          <w:p w14:paraId="1887E16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76" w:type="dxa"/>
            <w:shd w:val="clear" w:color="auto" w:fill="C6EFCE"/>
            <w:noWrap/>
            <w:hideMark/>
          </w:tcPr>
          <w:p w14:paraId="1887E16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16 200</w:t>
            </w:r>
          </w:p>
        </w:tc>
        <w:tc>
          <w:tcPr>
            <w:tcW w:w="992" w:type="dxa"/>
            <w:shd w:val="clear" w:color="auto" w:fill="C6EFCE"/>
            <w:noWrap/>
            <w:hideMark/>
          </w:tcPr>
          <w:p w14:paraId="1887E16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709" w:type="dxa"/>
            <w:shd w:val="clear" w:color="auto" w:fill="C6EFCE"/>
            <w:noWrap/>
            <w:hideMark/>
          </w:tcPr>
          <w:p w14:paraId="1887E16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315" w:type="dxa"/>
            <w:shd w:val="clear" w:color="auto" w:fill="C6EFCE"/>
            <w:noWrap/>
            <w:hideMark/>
          </w:tcPr>
          <w:p w14:paraId="1887E16C"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At least 16 200 dwellings, including 1 600 households with vulnerable electricity consumers (including people with disabilities), have improved their energy performance due to the financial support provided, with an objective to </w:t>
            </w:r>
            <w:r w:rsidRPr="00D1795B" w:rsidDel="00C74666">
              <w:rPr>
                <w:rFonts w:ascii="Times New Roman" w:hAnsi="Times New Roman" w:cs="Times New Roman"/>
                <w:noProof/>
                <w:sz w:val="18"/>
                <w:szCs w:val="18"/>
              </w:rPr>
              <w:t xml:space="preserve">achieve on average at least a 30% </w:t>
            </w:r>
            <w:r w:rsidRPr="00D1795B">
              <w:rPr>
                <w:rFonts w:ascii="Times New Roman" w:hAnsi="Times New Roman" w:cs="Times New Roman"/>
                <w:noProof/>
                <w:sz w:val="18"/>
                <w:szCs w:val="18"/>
              </w:rPr>
              <w:t>primary energy demand</w:t>
            </w:r>
            <w:r w:rsidRPr="00D1795B" w:rsidDel="00C74666">
              <w:rPr>
                <w:rFonts w:ascii="Times New Roman" w:hAnsi="Times New Roman" w:cs="Times New Roman"/>
                <w:noProof/>
                <w:sz w:val="18"/>
                <w:szCs w:val="18"/>
              </w:rPr>
              <w:t xml:space="preserve"> reduction</w:t>
            </w:r>
            <w:r w:rsidRPr="00D1795B">
              <w:rPr>
                <w:rFonts w:ascii="Times New Roman" w:hAnsi="Times New Roman" w:cs="Times New Roman"/>
                <w:noProof/>
                <w:sz w:val="18"/>
                <w:szCs w:val="18"/>
              </w:rPr>
              <w:t>.</w:t>
            </w:r>
          </w:p>
        </w:tc>
      </w:tr>
      <w:tr w:rsidR="00C02B59" w:rsidRPr="00D1795B" w14:paraId="1887E17A" w14:textId="77777777" w:rsidTr="00C02B59">
        <w:trPr>
          <w:trHeight w:val="300"/>
          <w:jc w:val="center"/>
        </w:trPr>
        <w:tc>
          <w:tcPr>
            <w:tcW w:w="1134" w:type="dxa"/>
            <w:shd w:val="clear" w:color="auto" w:fill="C6EFCE"/>
            <w:noWrap/>
          </w:tcPr>
          <w:p w14:paraId="1887E16E" w14:textId="77777777" w:rsidR="00C02B59" w:rsidRPr="00D1795B" w:rsidRDefault="00C02B59" w:rsidP="00C02B59">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28b</w:t>
            </w:r>
          </w:p>
        </w:tc>
        <w:tc>
          <w:tcPr>
            <w:tcW w:w="1418" w:type="dxa"/>
            <w:shd w:val="clear" w:color="auto" w:fill="C6EFCE"/>
            <w:noWrap/>
          </w:tcPr>
          <w:p w14:paraId="1887E16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C2.1I2</w:t>
            </w:r>
          </w:p>
          <w:p w14:paraId="1887E170" w14:textId="77777777" w:rsidR="00C02B59" w:rsidRPr="00D1795B" w:rsidRDefault="00C02B59" w:rsidP="00C02B59">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Renewables and individual energy efficiency measures in dwellings and tackling energy poverty in households with vulnerable electricity consumers</w:t>
            </w:r>
          </w:p>
        </w:tc>
        <w:tc>
          <w:tcPr>
            <w:tcW w:w="1134" w:type="dxa"/>
            <w:shd w:val="clear" w:color="auto" w:fill="C6EFCE"/>
            <w:noWrap/>
          </w:tcPr>
          <w:p w14:paraId="1887E171" w14:textId="77777777" w:rsidR="00C02B59" w:rsidRPr="00D1795B" w:rsidRDefault="00C02B59" w:rsidP="00C02B59">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2" w:type="dxa"/>
            <w:shd w:val="clear" w:color="auto" w:fill="C6EFCE"/>
            <w:noWrap/>
          </w:tcPr>
          <w:p w14:paraId="1887E172" w14:textId="77777777" w:rsidR="00C02B59" w:rsidRPr="00D1795B" w:rsidRDefault="00C02B59" w:rsidP="00C02B59">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Energy efficiency measures in dwellings </w:t>
            </w:r>
          </w:p>
        </w:tc>
        <w:tc>
          <w:tcPr>
            <w:tcW w:w="1418" w:type="dxa"/>
            <w:shd w:val="clear" w:color="auto" w:fill="C6EFCE"/>
            <w:noWrap/>
          </w:tcPr>
          <w:p w14:paraId="1887E173" w14:textId="77777777" w:rsidR="00C02B59" w:rsidRPr="00D1795B" w:rsidRDefault="00C02B59" w:rsidP="00C02B59">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81" w:type="dxa"/>
            <w:shd w:val="clear" w:color="auto" w:fill="C6EFCE"/>
            <w:noWrap/>
          </w:tcPr>
          <w:p w14:paraId="1887E174" w14:textId="77777777" w:rsidR="00C02B59" w:rsidRPr="00D1795B" w:rsidRDefault="00C02B59" w:rsidP="00C02B59">
            <w:pPr>
              <w:spacing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2" w:type="dxa"/>
            <w:shd w:val="clear" w:color="auto" w:fill="C6EFCE"/>
            <w:noWrap/>
          </w:tcPr>
          <w:p w14:paraId="1887E175" w14:textId="77777777" w:rsidR="00C02B59" w:rsidRPr="00D1795B" w:rsidRDefault="00C02B59" w:rsidP="00C02B59">
            <w:pPr>
              <w:spacing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16 200</w:t>
            </w:r>
          </w:p>
        </w:tc>
        <w:tc>
          <w:tcPr>
            <w:tcW w:w="1276" w:type="dxa"/>
            <w:shd w:val="clear" w:color="auto" w:fill="C6EFCE"/>
            <w:noWrap/>
          </w:tcPr>
          <w:p w14:paraId="1887E176" w14:textId="77777777" w:rsidR="00C02B59" w:rsidRPr="00D1795B" w:rsidRDefault="00C02B59" w:rsidP="00C02B59">
            <w:pPr>
              <w:spacing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29 300</w:t>
            </w:r>
          </w:p>
        </w:tc>
        <w:tc>
          <w:tcPr>
            <w:tcW w:w="992" w:type="dxa"/>
            <w:shd w:val="clear" w:color="auto" w:fill="C6EFCE"/>
            <w:noWrap/>
          </w:tcPr>
          <w:p w14:paraId="1887E177" w14:textId="77777777" w:rsidR="00C02B59" w:rsidRPr="00D1795B" w:rsidRDefault="00C02B59" w:rsidP="00C02B59">
            <w:pPr>
              <w:spacing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709" w:type="dxa"/>
            <w:shd w:val="clear" w:color="auto" w:fill="C6EFCE"/>
            <w:noWrap/>
          </w:tcPr>
          <w:p w14:paraId="1887E178" w14:textId="77777777" w:rsidR="00C02B59" w:rsidRPr="00D1795B" w:rsidRDefault="00C02B59" w:rsidP="00C02B59">
            <w:pPr>
              <w:spacing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315" w:type="dxa"/>
            <w:shd w:val="clear" w:color="auto" w:fill="C6EFCE"/>
            <w:noWrap/>
          </w:tcPr>
          <w:p w14:paraId="1887E179" w14:textId="77777777" w:rsidR="00C02B59" w:rsidRPr="00D1795B" w:rsidRDefault="00C02B59" w:rsidP="00C02B59">
            <w:pPr>
              <w:spacing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Reducing primary energy demand on average by at least 30% in 29 300 dwellings.</w:t>
            </w:r>
          </w:p>
        </w:tc>
      </w:tr>
      <w:tr w:rsidR="00C02B59" w:rsidRPr="00D1795B" w14:paraId="1887E187" w14:textId="77777777" w:rsidTr="00C02B59">
        <w:trPr>
          <w:trHeight w:val="300"/>
          <w:jc w:val="center"/>
        </w:trPr>
        <w:tc>
          <w:tcPr>
            <w:tcW w:w="1134" w:type="dxa"/>
            <w:shd w:val="clear" w:color="auto" w:fill="C6EFCE"/>
            <w:noWrap/>
          </w:tcPr>
          <w:p w14:paraId="1887E17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30</w:t>
            </w:r>
          </w:p>
        </w:tc>
        <w:tc>
          <w:tcPr>
            <w:tcW w:w="1418" w:type="dxa"/>
            <w:shd w:val="clear" w:color="auto" w:fill="C6EFCE"/>
            <w:noWrap/>
          </w:tcPr>
          <w:p w14:paraId="1887E17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C2.1I3</w:t>
            </w:r>
          </w:p>
          <w:p w14:paraId="1887E17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Encouraging the use of renewables and energy savings by local/wider public authorities and facilitating the transition of local communities towards climate mitigation &amp; adaptation</w:t>
            </w:r>
          </w:p>
        </w:tc>
        <w:tc>
          <w:tcPr>
            <w:tcW w:w="1134" w:type="dxa"/>
            <w:shd w:val="clear" w:color="auto" w:fill="C6EFCE"/>
            <w:noWrap/>
          </w:tcPr>
          <w:p w14:paraId="1887E17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2" w:type="dxa"/>
            <w:shd w:val="clear" w:color="auto" w:fill="C6EFCE"/>
            <w:noWrap/>
          </w:tcPr>
          <w:p w14:paraId="1887E17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First call for proposals to support local authorities in energy efficiency measures </w:t>
            </w:r>
          </w:p>
        </w:tc>
        <w:tc>
          <w:tcPr>
            <w:tcW w:w="1418" w:type="dxa"/>
            <w:shd w:val="clear" w:color="auto" w:fill="C6EFCE"/>
            <w:noWrap/>
          </w:tcPr>
          <w:p w14:paraId="1887E18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Publish first call for proposals </w:t>
            </w:r>
          </w:p>
        </w:tc>
        <w:tc>
          <w:tcPr>
            <w:tcW w:w="1281" w:type="dxa"/>
            <w:shd w:val="clear" w:color="auto" w:fill="C6EFCE"/>
            <w:noWrap/>
          </w:tcPr>
          <w:p w14:paraId="1887E18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18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6EFCE"/>
            <w:noWrap/>
          </w:tcPr>
          <w:p w14:paraId="1887E18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18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Q3</w:t>
            </w:r>
          </w:p>
        </w:tc>
        <w:tc>
          <w:tcPr>
            <w:tcW w:w="709" w:type="dxa"/>
            <w:shd w:val="clear" w:color="auto" w:fill="C6EFCE"/>
            <w:noWrap/>
          </w:tcPr>
          <w:p w14:paraId="1887E18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2021</w:t>
            </w:r>
          </w:p>
        </w:tc>
        <w:tc>
          <w:tcPr>
            <w:tcW w:w="3315" w:type="dxa"/>
            <w:shd w:val="clear" w:color="auto" w:fill="C6EFCE"/>
            <w:noWrap/>
          </w:tcPr>
          <w:p w14:paraId="1887E186"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first call for proposals to support local authorities in energy efficiency measures has been published on the RES and Energy Conservation Fund Website. The investment shall aim at achieving on average at least a 30% primary energy demand reduction.</w:t>
            </w:r>
          </w:p>
        </w:tc>
      </w:tr>
      <w:tr w:rsidR="00C02B59" w:rsidRPr="00D1795B" w14:paraId="1887E194" w14:textId="77777777" w:rsidTr="00C02B59">
        <w:trPr>
          <w:trHeight w:val="300"/>
          <w:jc w:val="center"/>
        </w:trPr>
        <w:tc>
          <w:tcPr>
            <w:tcW w:w="1134" w:type="dxa"/>
            <w:shd w:val="clear" w:color="auto" w:fill="C6EFCE"/>
            <w:noWrap/>
          </w:tcPr>
          <w:p w14:paraId="1887E18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32c</w:t>
            </w:r>
          </w:p>
        </w:tc>
        <w:tc>
          <w:tcPr>
            <w:tcW w:w="1418" w:type="dxa"/>
            <w:shd w:val="clear" w:color="auto" w:fill="C6EFCE"/>
            <w:noWrap/>
          </w:tcPr>
          <w:p w14:paraId="1887E18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C2.1I3</w:t>
            </w:r>
          </w:p>
          <w:p w14:paraId="1887E18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Facilitating the transition of local communities towards climate investments</w:t>
            </w:r>
          </w:p>
        </w:tc>
        <w:tc>
          <w:tcPr>
            <w:tcW w:w="1134" w:type="dxa"/>
            <w:shd w:val="clear" w:color="auto" w:fill="C6EFCE"/>
            <w:noWrap/>
          </w:tcPr>
          <w:p w14:paraId="1887E18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2" w:type="dxa"/>
            <w:shd w:val="clear" w:color="auto" w:fill="C6EFCE"/>
            <w:noWrap/>
          </w:tcPr>
          <w:p w14:paraId="1887E18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Grant scheme to support climate adaptation investments </w:t>
            </w:r>
          </w:p>
        </w:tc>
        <w:tc>
          <w:tcPr>
            <w:tcW w:w="1418" w:type="dxa"/>
            <w:shd w:val="clear" w:color="auto" w:fill="C6EFCE"/>
            <w:noWrap/>
          </w:tcPr>
          <w:p w14:paraId="1887E18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1281" w:type="dxa"/>
            <w:shd w:val="clear" w:color="auto" w:fill="C6EFCE"/>
            <w:noWrap/>
          </w:tcPr>
          <w:p w14:paraId="1887E18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18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76" w:type="dxa"/>
            <w:shd w:val="clear" w:color="auto" w:fill="C6EFCE"/>
            <w:noWrap/>
          </w:tcPr>
          <w:p w14:paraId="1887E19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27</w:t>
            </w:r>
          </w:p>
        </w:tc>
        <w:tc>
          <w:tcPr>
            <w:tcW w:w="992" w:type="dxa"/>
            <w:shd w:val="clear" w:color="auto" w:fill="C6EFCE"/>
            <w:noWrap/>
          </w:tcPr>
          <w:p w14:paraId="1887E19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709" w:type="dxa"/>
            <w:shd w:val="clear" w:color="auto" w:fill="C6EFCE"/>
            <w:noWrap/>
          </w:tcPr>
          <w:p w14:paraId="1887E19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315" w:type="dxa"/>
            <w:shd w:val="clear" w:color="auto" w:fill="C6EFCE"/>
            <w:noWrap/>
          </w:tcPr>
          <w:p w14:paraId="1887E193"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Grants disbursed for at least 27 climate adaptation investments in Local (Community) Councils.</w:t>
            </w:r>
          </w:p>
        </w:tc>
      </w:tr>
      <w:tr w:rsidR="00C02B59" w:rsidRPr="00D1795B" w14:paraId="1887E1A1" w14:textId="77777777" w:rsidTr="00C02B59">
        <w:trPr>
          <w:trHeight w:val="300"/>
          <w:jc w:val="center"/>
        </w:trPr>
        <w:tc>
          <w:tcPr>
            <w:tcW w:w="1134" w:type="dxa"/>
            <w:shd w:val="clear" w:color="auto" w:fill="C6EFCE"/>
            <w:noWrap/>
          </w:tcPr>
          <w:p w14:paraId="1887E19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35</w:t>
            </w:r>
          </w:p>
        </w:tc>
        <w:tc>
          <w:tcPr>
            <w:tcW w:w="1418" w:type="dxa"/>
            <w:shd w:val="clear" w:color="auto" w:fill="C6EFCE"/>
            <w:noWrap/>
          </w:tcPr>
          <w:p w14:paraId="1887E19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C2.1I5</w:t>
            </w:r>
          </w:p>
          <w:p w14:paraId="1887E19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Energy Efficiency Upgrading of public buildings</w:t>
            </w:r>
          </w:p>
        </w:tc>
        <w:tc>
          <w:tcPr>
            <w:tcW w:w="1134" w:type="dxa"/>
            <w:shd w:val="clear" w:color="auto" w:fill="C6EFCE"/>
            <w:noWrap/>
          </w:tcPr>
          <w:p w14:paraId="1887E19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2" w:type="dxa"/>
            <w:shd w:val="clear" w:color="auto" w:fill="C6EFCE"/>
            <w:noWrap/>
          </w:tcPr>
          <w:p w14:paraId="1887E19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Thermal insulation and photovoltaic systems installed in schools</w:t>
            </w:r>
          </w:p>
        </w:tc>
        <w:tc>
          <w:tcPr>
            <w:tcW w:w="1418" w:type="dxa"/>
            <w:shd w:val="clear" w:color="auto" w:fill="C6EFCE"/>
            <w:noWrap/>
          </w:tcPr>
          <w:p w14:paraId="1887E19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w:t>
            </w:r>
          </w:p>
        </w:tc>
        <w:tc>
          <w:tcPr>
            <w:tcW w:w="1281" w:type="dxa"/>
            <w:shd w:val="clear" w:color="auto" w:fill="C6EFCE"/>
            <w:noWrap/>
          </w:tcPr>
          <w:p w14:paraId="1887E19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2" w:type="dxa"/>
            <w:shd w:val="clear" w:color="auto" w:fill="C6EFCE"/>
            <w:noWrap/>
          </w:tcPr>
          <w:p w14:paraId="1887E19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76" w:type="dxa"/>
            <w:shd w:val="clear" w:color="auto" w:fill="C6EFCE"/>
            <w:noWrap/>
          </w:tcPr>
          <w:p w14:paraId="1887E19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405</w:t>
            </w:r>
          </w:p>
        </w:tc>
        <w:tc>
          <w:tcPr>
            <w:tcW w:w="992" w:type="dxa"/>
            <w:shd w:val="clear" w:color="auto" w:fill="C6EFCE"/>
            <w:noWrap/>
          </w:tcPr>
          <w:p w14:paraId="1887E19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709" w:type="dxa"/>
            <w:shd w:val="clear" w:color="auto" w:fill="C6EFCE"/>
            <w:noWrap/>
          </w:tcPr>
          <w:p w14:paraId="1887E19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315" w:type="dxa"/>
            <w:shd w:val="clear" w:color="auto" w:fill="C6EFCE"/>
            <w:noWrap/>
          </w:tcPr>
          <w:p w14:paraId="1887E1A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Thermal insulation and photovoltaic systems installed in at least 405 schools with an objective to achieve on average at least a 30% primary energy demand reduction.</w:t>
            </w:r>
          </w:p>
        </w:tc>
      </w:tr>
      <w:tr w:rsidR="00C02B59" w:rsidRPr="00D1795B" w14:paraId="1887E1AE" w14:textId="77777777" w:rsidTr="00C02B59">
        <w:trPr>
          <w:trHeight w:val="300"/>
          <w:jc w:val="center"/>
        </w:trPr>
        <w:tc>
          <w:tcPr>
            <w:tcW w:w="1134" w:type="dxa"/>
            <w:shd w:val="clear" w:color="auto" w:fill="C6EFCE"/>
            <w:noWrap/>
            <w:hideMark/>
          </w:tcPr>
          <w:p w14:paraId="1887E1A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36</w:t>
            </w:r>
          </w:p>
        </w:tc>
        <w:tc>
          <w:tcPr>
            <w:tcW w:w="1418" w:type="dxa"/>
            <w:shd w:val="clear" w:color="auto" w:fill="C6EFCE"/>
            <w:noWrap/>
            <w:hideMark/>
          </w:tcPr>
          <w:p w14:paraId="1887E1A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C2.1I5</w:t>
            </w:r>
          </w:p>
          <w:p w14:paraId="1887E1A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Energy Efficiency Upgrading of public buildings</w:t>
            </w:r>
          </w:p>
        </w:tc>
        <w:tc>
          <w:tcPr>
            <w:tcW w:w="1134" w:type="dxa"/>
            <w:shd w:val="clear" w:color="auto" w:fill="C6EFCE"/>
            <w:noWrap/>
            <w:hideMark/>
          </w:tcPr>
          <w:p w14:paraId="1887E1A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2" w:type="dxa"/>
            <w:shd w:val="clear" w:color="auto" w:fill="C6EFCE"/>
            <w:noWrap/>
            <w:hideMark/>
          </w:tcPr>
          <w:p w14:paraId="1887E1A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Completion of set up and installation of photovoltaics system at the Nicosia General Hospital </w:t>
            </w:r>
          </w:p>
        </w:tc>
        <w:tc>
          <w:tcPr>
            <w:tcW w:w="1418" w:type="dxa"/>
            <w:shd w:val="clear" w:color="auto" w:fill="C6EFCE"/>
            <w:noWrap/>
            <w:hideMark/>
          </w:tcPr>
          <w:p w14:paraId="1887E1A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81" w:type="dxa"/>
            <w:shd w:val="clear" w:color="auto" w:fill="C6EFCE"/>
            <w:noWrap/>
            <w:hideMark/>
          </w:tcPr>
          <w:p w14:paraId="1887E1A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2" w:type="dxa"/>
            <w:shd w:val="clear" w:color="auto" w:fill="C6EFCE"/>
            <w:noWrap/>
            <w:hideMark/>
          </w:tcPr>
          <w:p w14:paraId="1887E1A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76" w:type="dxa"/>
            <w:shd w:val="clear" w:color="auto" w:fill="C6EFCE"/>
            <w:noWrap/>
            <w:hideMark/>
          </w:tcPr>
          <w:p w14:paraId="1887E1A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943</w:t>
            </w:r>
          </w:p>
        </w:tc>
        <w:tc>
          <w:tcPr>
            <w:tcW w:w="992" w:type="dxa"/>
            <w:shd w:val="clear" w:color="auto" w:fill="C6EFCE"/>
            <w:noWrap/>
            <w:hideMark/>
          </w:tcPr>
          <w:p w14:paraId="1887E1A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709" w:type="dxa"/>
            <w:shd w:val="clear" w:color="auto" w:fill="C6EFCE"/>
            <w:noWrap/>
            <w:hideMark/>
          </w:tcPr>
          <w:p w14:paraId="1887E1A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315" w:type="dxa"/>
            <w:shd w:val="clear" w:color="auto" w:fill="C6EFCE"/>
            <w:noWrap/>
            <w:hideMark/>
          </w:tcPr>
          <w:p w14:paraId="1887E1AD"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Completion of set up and installation of PV system at the Nicosia General Hospital of total capacity of 943KW.</w:t>
            </w:r>
          </w:p>
        </w:tc>
      </w:tr>
      <w:tr w:rsidR="00C02B59" w:rsidRPr="00D1795B" w14:paraId="1887E1BB" w14:textId="77777777" w:rsidTr="00C02B59">
        <w:trPr>
          <w:trHeight w:val="300"/>
          <w:jc w:val="center"/>
        </w:trPr>
        <w:tc>
          <w:tcPr>
            <w:tcW w:w="1134" w:type="dxa"/>
            <w:shd w:val="clear" w:color="auto" w:fill="C6EFCE"/>
            <w:noWrap/>
            <w:hideMark/>
          </w:tcPr>
          <w:p w14:paraId="1887E1A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37</w:t>
            </w:r>
          </w:p>
        </w:tc>
        <w:tc>
          <w:tcPr>
            <w:tcW w:w="1418" w:type="dxa"/>
            <w:shd w:val="clear" w:color="auto" w:fill="C6EFCE"/>
            <w:noWrap/>
            <w:hideMark/>
          </w:tcPr>
          <w:p w14:paraId="1887E1B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C2.1I5</w:t>
            </w:r>
          </w:p>
          <w:p w14:paraId="1887E1B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Energy Efficiency investments in public buildings</w:t>
            </w:r>
          </w:p>
        </w:tc>
        <w:tc>
          <w:tcPr>
            <w:tcW w:w="1134" w:type="dxa"/>
            <w:shd w:val="clear" w:color="auto" w:fill="C6EFCE"/>
            <w:noWrap/>
            <w:hideMark/>
          </w:tcPr>
          <w:p w14:paraId="1887E1B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2" w:type="dxa"/>
            <w:shd w:val="clear" w:color="auto" w:fill="C6EFCE"/>
            <w:noWrap/>
            <w:hideMark/>
          </w:tcPr>
          <w:p w14:paraId="1887E1B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Installation of photovoltaic systems in Fire Service Properties</w:t>
            </w:r>
          </w:p>
        </w:tc>
        <w:tc>
          <w:tcPr>
            <w:tcW w:w="1418" w:type="dxa"/>
            <w:shd w:val="clear" w:color="auto" w:fill="C6EFCE"/>
            <w:noWrap/>
            <w:hideMark/>
          </w:tcPr>
          <w:p w14:paraId="1887E1B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81" w:type="dxa"/>
            <w:shd w:val="clear" w:color="auto" w:fill="C6EFCE"/>
            <w:noWrap/>
            <w:hideMark/>
          </w:tcPr>
          <w:p w14:paraId="1887E1B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2" w:type="dxa"/>
            <w:shd w:val="clear" w:color="auto" w:fill="C6EFCE"/>
            <w:noWrap/>
            <w:hideMark/>
          </w:tcPr>
          <w:p w14:paraId="1887E1B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76" w:type="dxa"/>
            <w:shd w:val="clear" w:color="auto" w:fill="C6EFCE"/>
            <w:noWrap/>
            <w:hideMark/>
          </w:tcPr>
          <w:p w14:paraId="1887E1B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650</w:t>
            </w:r>
          </w:p>
        </w:tc>
        <w:tc>
          <w:tcPr>
            <w:tcW w:w="992" w:type="dxa"/>
            <w:shd w:val="clear" w:color="auto" w:fill="C6EFCE"/>
            <w:noWrap/>
            <w:hideMark/>
          </w:tcPr>
          <w:p w14:paraId="1887E1B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709" w:type="dxa"/>
            <w:shd w:val="clear" w:color="auto" w:fill="C6EFCE"/>
            <w:noWrap/>
            <w:hideMark/>
          </w:tcPr>
          <w:p w14:paraId="1887E1B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315" w:type="dxa"/>
            <w:shd w:val="clear" w:color="auto" w:fill="C6EFCE"/>
            <w:noWrap/>
            <w:hideMark/>
          </w:tcPr>
          <w:p w14:paraId="1887E1BA"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Installation of photovoltaic systems, of a total capacity of 650KW, in Fire Service Properties.</w:t>
            </w:r>
          </w:p>
        </w:tc>
      </w:tr>
      <w:tr w:rsidR="00C02B59" w:rsidRPr="00D1795B" w14:paraId="1887E1C8" w14:textId="77777777" w:rsidTr="00C02B59">
        <w:trPr>
          <w:trHeight w:val="300"/>
          <w:jc w:val="center"/>
        </w:trPr>
        <w:tc>
          <w:tcPr>
            <w:tcW w:w="1134" w:type="dxa"/>
            <w:shd w:val="clear" w:color="auto" w:fill="C6EFCE"/>
            <w:noWrap/>
            <w:hideMark/>
          </w:tcPr>
          <w:p w14:paraId="1887E1B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38</w:t>
            </w:r>
          </w:p>
        </w:tc>
        <w:tc>
          <w:tcPr>
            <w:tcW w:w="1418" w:type="dxa"/>
            <w:shd w:val="clear" w:color="auto" w:fill="C6EFCE"/>
            <w:noWrap/>
            <w:hideMark/>
          </w:tcPr>
          <w:p w14:paraId="1887E1B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C2.1I6</w:t>
            </w:r>
          </w:p>
          <w:p w14:paraId="1887E1B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Upgrading renewable energy and smart grids testing infrastructure at the University of Cyprus</w:t>
            </w:r>
          </w:p>
        </w:tc>
        <w:tc>
          <w:tcPr>
            <w:tcW w:w="1134" w:type="dxa"/>
            <w:shd w:val="clear" w:color="auto" w:fill="C6EFCE"/>
            <w:noWrap/>
            <w:hideMark/>
          </w:tcPr>
          <w:p w14:paraId="1887E1B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2" w:type="dxa"/>
            <w:shd w:val="clear" w:color="auto" w:fill="C6EFCE"/>
            <w:noWrap/>
            <w:hideMark/>
          </w:tcPr>
          <w:p w14:paraId="1887E1C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Signature of contracts for the installation of equipment to upgrade the electricity grid into a smart grid</w:t>
            </w:r>
          </w:p>
        </w:tc>
        <w:tc>
          <w:tcPr>
            <w:tcW w:w="1418" w:type="dxa"/>
            <w:shd w:val="clear" w:color="auto" w:fill="C6EFCE"/>
            <w:noWrap/>
            <w:hideMark/>
          </w:tcPr>
          <w:p w14:paraId="1887E1C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Contracts Signature </w:t>
            </w:r>
          </w:p>
        </w:tc>
        <w:tc>
          <w:tcPr>
            <w:tcW w:w="1281" w:type="dxa"/>
            <w:shd w:val="clear" w:color="auto" w:fill="C6EFCE"/>
            <w:noWrap/>
            <w:hideMark/>
          </w:tcPr>
          <w:p w14:paraId="1887E1C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1C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6EFCE"/>
            <w:noWrap/>
            <w:hideMark/>
          </w:tcPr>
          <w:p w14:paraId="1887E1C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1C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709" w:type="dxa"/>
            <w:shd w:val="clear" w:color="auto" w:fill="C6EFCE"/>
            <w:noWrap/>
            <w:hideMark/>
          </w:tcPr>
          <w:p w14:paraId="1887E1C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315" w:type="dxa"/>
            <w:shd w:val="clear" w:color="auto" w:fill="C6EFCE"/>
            <w:noWrap/>
            <w:hideMark/>
          </w:tcPr>
          <w:p w14:paraId="1887E1C7"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Signature of contracts for the installation of equipment to upgrade the electricity grid into a smart grid following a successful public procurement procedure.</w:t>
            </w:r>
          </w:p>
        </w:tc>
      </w:tr>
      <w:tr w:rsidR="00C02B59" w:rsidRPr="00D1795B" w14:paraId="1887E1D5" w14:textId="77777777" w:rsidTr="00C02B59">
        <w:trPr>
          <w:trHeight w:val="300"/>
          <w:jc w:val="center"/>
        </w:trPr>
        <w:tc>
          <w:tcPr>
            <w:tcW w:w="1134" w:type="dxa"/>
            <w:shd w:val="clear" w:color="auto" w:fill="C6EFCE"/>
            <w:noWrap/>
          </w:tcPr>
          <w:p w14:paraId="1887E1C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39</w:t>
            </w:r>
          </w:p>
        </w:tc>
        <w:tc>
          <w:tcPr>
            <w:tcW w:w="1418" w:type="dxa"/>
            <w:shd w:val="clear" w:color="auto" w:fill="C6EFCE"/>
            <w:noWrap/>
          </w:tcPr>
          <w:p w14:paraId="1887E1C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C2.1I6</w:t>
            </w:r>
          </w:p>
          <w:p w14:paraId="1887E1C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Expansion of the renewable energy and smart grids testing infrastructure at the University of Cyprus</w:t>
            </w:r>
          </w:p>
        </w:tc>
        <w:tc>
          <w:tcPr>
            <w:tcW w:w="1134" w:type="dxa"/>
            <w:shd w:val="clear" w:color="auto" w:fill="C6EFCE"/>
            <w:noWrap/>
          </w:tcPr>
          <w:p w14:paraId="1887E1C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2" w:type="dxa"/>
            <w:shd w:val="clear" w:color="auto" w:fill="C6EFCE"/>
            <w:noWrap/>
          </w:tcPr>
          <w:p w14:paraId="1887E1C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Acceptance of renewable energy and smart grids testing equipment</w:t>
            </w:r>
          </w:p>
        </w:tc>
        <w:tc>
          <w:tcPr>
            <w:tcW w:w="1418" w:type="dxa"/>
            <w:shd w:val="clear" w:color="auto" w:fill="C6EFCE"/>
            <w:noWrap/>
          </w:tcPr>
          <w:p w14:paraId="1887E1C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Issued acceptance certificate(s) </w:t>
            </w:r>
          </w:p>
        </w:tc>
        <w:tc>
          <w:tcPr>
            <w:tcW w:w="1281" w:type="dxa"/>
            <w:shd w:val="clear" w:color="auto" w:fill="C6EFCE"/>
            <w:noWrap/>
          </w:tcPr>
          <w:p w14:paraId="1887E1C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1D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6EFCE"/>
            <w:noWrap/>
          </w:tcPr>
          <w:p w14:paraId="1887E1D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1D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709" w:type="dxa"/>
            <w:shd w:val="clear" w:color="auto" w:fill="C6EFCE"/>
            <w:noWrap/>
          </w:tcPr>
          <w:p w14:paraId="1887E1D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315" w:type="dxa"/>
            <w:shd w:val="clear" w:color="auto" w:fill="C6EFCE"/>
            <w:noWrap/>
          </w:tcPr>
          <w:p w14:paraId="1887E1D4"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Acceptance certificate(s) issued, testifying commissioning and acceptance of the renewable energy and smart grids testing equipment.</w:t>
            </w:r>
          </w:p>
        </w:tc>
      </w:tr>
      <w:tr w:rsidR="00C02B59" w:rsidRPr="00D1795B" w14:paraId="1887E1E2" w14:textId="77777777" w:rsidTr="00C02B59">
        <w:trPr>
          <w:trHeight w:val="300"/>
          <w:jc w:val="center"/>
        </w:trPr>
        <w:tc>
          <w:tcPr>
            <w:tcW w:w="1134" w:type="dxa"/>
            <w:shd w:val="clear" w:color="auto" w:fill="C6EFCE"/>
            <w:noWrap/>
          </w:tcPr>
          <w:p w14:paraId="1887E1D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40</w:t>
            </w:r>
          </w:p>
        </w:tc>
        <w:tc>
          <w:tcPr>
            <w:tcW w:w="1418" w:type="dxa"/>
            <w:shd w:val="clear" w:color="auto" w:fill="C6EFCE"/>
            <w:noWrap/>
          </w:tcPr>
          <w:p w14:paraId="1887E1D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C2.1I7</w:t>
            </w:r>
          </w:p>
          <w:p w14:paraId="1887E1D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Mass installation by the Distribution System Operator (DSO) of Smart Metering Infrastructure (Advanced Metering Infrastructure)</w:t>
            </w:r>
          </w:p>
        </w:tc>
        <w:tc>
          <w:tcPr>
            <w:tcW w:w="1134" w:type="dxa"/>
            <w:shd w:val="clear" w:color="auto" w:fill="C6EFCE"/>
            <w:noWrap/>
          </w:tcPr>
          <w:p w14:paraId="1887E1D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2" w:type="dxa"/>
            <w:shd w:val="clear" w:color="auto" w:fill="C6EFCE"/>
            <w:noWrap/>
          </w:tcPr>
          <w:p w14:paraId="1887E1D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Contract Signature for smart electricity metering infrastructure </w:t>
            </w:r>
          </w:p>
        </w:tc>
        <w:tc>
          <w:tcPr>
            <w:tcW w:w="1418" w:type="dxa"/>
            <w:shd w:val="clear" w:color="auto" w:fill="C6EFCE"/>
            <w:noWrap/>
          </w:tcPr>
          <w:p w14:paraId="1887E1D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Contract Signature </w:t>
            </w:r>
          </w:p>
        </w:tc>
        <w:tc>
          <w:tcPr>
            <w:tcW w:w="1281" w:type="dxa"/>
            <w:shd w:val="clear" w:color="auto" w:fill="C6EFCE"/>
            <w:noWrap/>
          </w:tcPr>
          <w:p w14:paraId="1887E1D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1D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6EFCE"/>
            <w:noWrap/>
          </w:tcPr>
          <w:p w14:paraId="1887E1D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1D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709" w:type="dxa"/>
            <w:shd w:val="clear" w:color="auto" w:fill="C6EFCE"/>
            <w:noWrap/>
          </w:tcPr>
          <w:p w14:paraId="1887E1E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315" w:type="dxa"/>
            <w:shd w:val="clear" w:color="auto" w:fill="C6EFCE"/>
            <w:noWrap/>
          </w:tcPr>
          <w:p w14:paraId="1887E1E1"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Contract Signature for smart electricity metering infrastructure (Hardware, software, and support services).</w:t>
            </w:r>
          </w:p>
        </w:tc>
      </w:tr>
      <w:tr w:rsidR="00C02B59" w:rsidRPr="00D1795B" w14:paraId="1887E1F1" w14:textId="77777777" w:rsidTr="00C02B59">
        <w:trPr>
          <w:trHeight w:val="300"/>
          <w:jc w:val="center"/>
        </w:trPr>
        <w:tc>
          <w:tcPr>
            <w:tcW w:w="1134" w:type="dxa"/>
            <w:shd w:val="clear" w:color="auto" w:fill="C6EFCE"/>
            <w:noWrap/>
            <w:hideMark/>
          </w:tcPr>
          <w:p w14:paraId="1887E1E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42</w:t>
            </w:r>
          </w:p>
        </w:tc>
        <w:tc>
          <w:tcPr>
            <w:tcW w:w="1418" w:type="dxa"/>
            <w:shd w:val="clear" w:color="auto" w:fill="C6EFCE"/>
            <w:noWrap/>
            <w:hideMark/>
          </w:tcPr>
          <w:p w14:paraId="1887E1E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C2.1I7</w:t>
            </w:r>
          </w:p>
          <w:p w14:paraId="1887E1E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Mass installation by the Distribution System Operator (DSO) of Smart Metering Infrastructure (Advanced Metering Infrastructure)</w:t>
            </w:r>
          </w:p>
        </w:tc>
        <w:tc>
          <w:tcPr>
            <w:tcW w:w="1134" w:type="dxa"/>
            <w:shd w:val="clear" w:color="auto" w:fill="C6EFCE"/>
            <w:noWrap/>
            <w:hideMark/>
          </w:tcPr>
          <w:p w14:paraId="1887E1E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2" w:type="dxa"/>
            <w:shd w:val="clear" w:color="auto" w:fill="C6EFCE"/>
            <w:noWrap/>
            <w:hideMark/>
          </w:tcPr>
          <w:p w14:paraId="1887E1E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Acceptance and installation of smart meters</w:t>
            </w:r>
          </w:p>
        </w:tc>
        <w:tc>
          <w:tcPr>
            <w:tcW w:w="1418" w:type="dxa"/>
            <w:shd w:val="clear" w:color="auto" w:fill="C6EFCE"/>
            <w:noWrap/>
            <w:hideMark/>
          </w:tcPr>
          <w:p w14:paraId="1887E1E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w:t>
            </w:r>
          </w:p>
        </w:tc>
        <w:tc>
          <w:tcPr>
            <w:tcW w:w="1281" w:type="dxa"/>
            <w:shd w:val="clear" w:color="auto" w:fill="C6EFCE"/>
            <w:noWrap/>
            <w:hideMark/>
          </w:tcPr>
          <w:p w14:paraId="1887E1E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2" w:type="dxa"/>
            <w:shd w:val="clear" w:color="auto" w:fill="C6EFCE"/>
            <w:noWrap/>
            <w:hideMark/>
          </w:tcPr>
          <w:p w14:paraId="1887E1E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76" w:type="dxa"/>
            <w:shd w:val="clear" w:color="auto" w:fill="C6EFCE"/>
            <w:noWrap/>
            <w:hideMark/>
          </w:tcPr>
          <w:p w14:paraId="1887E1E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400 000 delivered to Electricity Authority of Cyprus</w:t>
            </w:r>
          </w:p>
          <w:p w14:paraId="1887E1EC" w14:textId="77777777" w:rsidR="00C02B59" w:rsidRPr="00D1795B" w:rsidRDefault="00C02B59" w:rsidP="00C02B59">
            <w:pPr>
              <w:spacing w:after="0" w:line="240" w:lineRule="auto"/>
              <w:jc w:val="center"/>
              <w:rPr>
                <w:rFonts w:ascii="Times New Roman" w:hAnsi="Times New Roman" w:cs="Times New Roman"/>
                <w:noProof/>
                <w:sz w:val="18"/>
                <w:szCs w:val="18"/>
              </w:rPr>
            </w:pPr>
          </w:p>
          <w:p w14:paraId="1887E1E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200 000 installed</w:t>
            </w:r>
          </w:p>
        </w:tc>
        <w:tc>
          <w:tcPr>
            <w:tcW w:w="992" w:type="dxa"/>
            <w:shd w:val="clear" w:color="auto" w:fill="C6EFCE"/>
            <w:noWrap/>
            <w:hideMark/>
          </w:tcPr>
          <w:p w14:paraId="1887E1E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709" w:type="dxa"/>
            <w:shd w:val="clear" w:color="auto" w:fill="C6EFCE"/>
            <w:noWrap/>
            <w:hideMark/>
          </w:tcPr>
          <w:p w14:paraId="1887E1E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315" w:type="dxa"/>
            <w:shd w:val="clear" w:color="auto" w:fill="C6EFCE"/>
            <w:noWrap/>
            <w:hideMark/>
          </w:tcPr>
          <w:p w14:paraId="1887E1F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Acceptance of 400 000 smart electricity meters by the Electricity Authority of Cyprus and installation of 200 000 of these.</w:t>
            </w:r>
          </w:p>
        </w:tc>
      </w:tr>
      <w:tr w:rsidR="00C02B59" w:rsidRPr="00D1795B" w14:paraId="1887E1FE" w14:textId="77777777" w:rsidTr="00C02B59">
        <w:trPr>
          <w:trHeight w:val="300"/>
          <w:jc w:val="center"/>
        </w:trPr>
        <w:tc>
          <w:tcPr>
            <w:tcW w:w="1134" w:type="dxa"/>
            <w:shd w:val="clear" w:color="auto" w:fill="C6EFCE"/>
            <w:noWrap/>
            <w:hideMark/>
          </w:tcPr>
          <w:p w14:paraId="1887E1F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43</w:t>
            </w:r>
          </w:p>
        </w:tc>
        <w:tc>
          <w:tcPr>
            <w:tcW w:w="1418" w:type="dxa"/>
            <w:shd w:val="clear" w:color="auto" w:fill="C6EFCE"/>
            <w:noWrap/>
            <w:hideMark/>
          </w:tcPr>
          <w:p w14:paraId="1887E1F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C2.1I8</w:t>
            </w:r>
          </w:p>
          <w:p w14:paraId="1887E1F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Monitoring and reduction of GHG emissions in agriculture</w:t>
            </w:r>
          </w:p>
        </w:tc>
        <w:tc>
          <w:tcPr>
            <w:tcW w:w="1134" w:type="dxa"/>
            <w:shd w:val="clear" w:color="auto" w:fill="C6EFCE"/>
            <w:noWrap/>
            <w:hideMark/>
          </w:tcPr>
          <w:p w14:paraId="1887E1F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2" w:type="dxa"/>
            <w:shd w:val="clear" w:color="auto" w:fill="C6EFCE"/>
            <w:noWrap/>
            <w:hideMark/>
          </w:tcPr>
          <w:p w14:paraId="1887E1F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Purchase and installation of monitoring units for measuring GHG emissions from agriculture</w:t>
            </w:r>
          </w:p>
        </w:tc>
        <w:tc>
          <w:tcPr>
            <w:tcW w:w="1418" w:type="dxa"/>
            <w:shd w:val="clear" w:color="auto" w:fill="C6EFCE"/>
            <w:noWrap/>
            <w:hideMark/>
          </w:tcPr>
          <w:p w14:paraId="1887E1F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Approval of the equipment and installation by the receiving committee </w:t>
            </w:r>
          </w:p>
        </w:tc>
        <w:tc>
          <w:tcPr>
            <w:tcW w:w="1281" w:type="dxa"/>
            <w:shd w:val="clear" w:color="auto" w:fill="C6EFCE"/>
            <w:noWrap/>
            <w:hideMark/>
          </w:tcPr>
          <w:p w14:paraId="1887E1F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1F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6EFCE"/>
            <w:noWrap/>
            <w:hideMark/>
          </w:tcPr>
          <w:p w14:paraId="1887E1F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1F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709" w:type="dxa"/>
            <w:shd w:val="clear" w:color="auto" w:fill="C6EFCE"/>
            <w:noWrap/>
            <w:hideMark/>
          </w:tcPr>
          <w:p w14:paraId="1887E1F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315" w:type="dxa"/>
            <w:shd w:val="clear" w:color="auto" w:fill="C6EFCE"/>
            <w:noWrap/>
            <w:hideMark/>
          </w:tcPr>
          <w:p w14:paraId="1887E1FD"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Purchase and installation of automobile unit and permanent monitoring units, for measuring GHG emissions from agriculture with the objective of implementing adequate policies to mitigate GHG emissions.</w:t>
            </w:r>
          </w:p>
        </w:tc>
      </w:tr>
      <w:tr w:rsidR="00C02B59" w:rsidRPr="00D1795B" w14:paraId="1887E20B" w14:textId="77777777" w:rsidTr="00C02B59">
        <w:trPr>
          <w:trHeight w:val="300"/>
          <w:jc w:val="center"/>
        </w:trPr>
        <w:tc>
          <w:tcPr>
            <w:tcW w:w="1134" w:type="dxa"/>
            <w:shd w:val="clear" w:color="auto" w:fill="C6EFCE"/>
            <w:noWrap/>
          </w:tcPr>
          <w:p w14:paraId="1887E1F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44</w:t>
            </w:r>
          </w:p>
        </w:tc>
        <w:tc>
          <w:tcPr>
            <w:tcW w:w="1418" w:type="dxa"/>
            <w:shd w:val="clear" w:color="auto" w:fill="C6EFCE"/>
            <w:noWrap/>
          </w:tcPr>
          <w:p w14:paraId="1887E20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C2.1I8</w:t>
            </w:r>
          </w:p>
          <w:p w14:paraId="1887E20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Monitoring and reduction of GHG emissions in agriculture</w:t>
            </w:r>
          </w:p>
        </w:tc>
        <w:tc>
          <w:tcPr>
            <w:tcW w:w="1134" w:type="dxa"/>
            <w:shd w:val="clear" w:color="auto" w:fill="C6EFCE"/>
            <w:noWrap/>
          </w:tcPr>
          <w:p w14:paraId="1887E20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2" w:type="dxa"/>
            <w:shd w:val="clear" w:color="auto" w:fill="C6EFCE"/>
            <w:noWrap/>
          </w:tcPr>
          <w:p w14:paraId="1887E20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Reduction of GHG emissions from agriculture</w:t>
            </w:r>
          </w:p>
        </w:tc>
        <w:tc>
          <w:tcPr>
            <w:tcW w:w="1418" w:type="dxa"/>
            <w:shd w:val="clear" w:color="auto" w:fill="C6EFCE"/>
            <w:noWrap/>
          </w:tcPr>
          <w:p w14:paraId="1887E20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81" w:type="dxa"/>
            <w:shd w:val="clear" w:color="auto" w:fill="C6EFCE"/>
            <w:noWrap/>
          </w:tcPr>
          <w:p w14:paraId="1887E20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 (Percentage)</w:t>
            </w:r>
          </w:p>
        </w:tc>
        <w:tc>
          <w:tcPr>
            <w:tcW w:w="992" w:type="dxa"/>
            <w:shd w:val="clear" w:color="auto" w:fill="C6EFCE"/>
            <w:noWrap/>
          </w:tcPr>
          <w:p w14:paraId="1887E20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76" w:type="dxa"/>
            <w:shd w:val="clear" w:color="auto" w:fill="C6EFCE"/>
            <w:noWrap/>
          </w:tcPr>
          <w:p w14:paraId="1887E20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10</w:t>
            </w:r>
          </w:p>
        </w:tc>
        <w:tc>
          <w:tcPr>
            <w:tcW w:w="992" w:type="dxa"/>
            <w:shd w:val="clear" w:color="auto" w:fill="C6EFCE"/>
            <w:noWrap/>
          </w:tcPr>
          <w:p w14:paraId="1887E20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709" w:type="dxa"/>
            <w:shd w:val="clear" w:color="auto" w:fill="C6EFCE"/>
            <w:noWrap/>
          </w:tcPr>
          <w:p w14:paraId="1887E20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315" w:type="dxa"/>
            <w:shd w:val="clear" w:color="auto" w:fill="C6EFCE"/>
            <w:noWrap/>
          </w:tcPr>
          <w:p w14:paraId="1887E20A"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Report confirming a 10% reduction of GHG emissions from agriculture. </w:t>
            </w:r>
          </w:p>
        </w:tc>
      </w:tr>
      <w:tr w:rsidR="00C02B59" w:rsidRPr="00D1795B" w14:paraId="1887E219" w14:textId="77777777" w:rsidTr="00C02B59">
        <w:trPr>
          <w:trHeight w:val="300"/>
          <w:jc w:val="center"/>
        </w:trPr>
        <w:tc>
          <w:tcPr>
            <w:tcW w:w="1134" w:type="dxa"/>
            <w:shd w:val="clear" w:color="auto" w:fill="C6EFCE"/>
            <w:noWrap/>
          </w:tcPr>
          <w:p w14:paraId="1887E20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45</w:t>
            </w:r>
          </w:p>
        </w:tc>
        <w:tc>
          <w:tcPr>
            <w:tcW w:w="1418" w:type="dxa"/>
            <w:shd w:val="clear" w:color="auto" w:fill="C6EFCE"/>
            <w:noWrap/>
          </w:tcPr>
          <w:p w14:paraId="1887E20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C2.1I9</w:t>
            </w:r>
          </w:p>
          <w:p w14:paraId="1887E20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Forests fire protection</w:t>
            </w:r>
          </w:p>
        </w:tc>
        <w:tc>
          <w:tcPr>
            <w:tcW w:w="1134" w:type="dxa"/>
            <w:shd w:val="clear" w:color="auto" w:fill="C6EFCE"/>
            <w:noWrap/>
          </w:tcPr>
          <w:p w14:paraId="1887E20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2" w:type="dxa"/>
            <w:shd w:val="clear" w:color="auto" w:fill="C6EFCE"/>
            <w:noWrap/>
          </w:tcPr>
          <w:p w14:paraId="1887E21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Signing of 8 Agreements/ Contract Signatures for the purchase of vehicles, equipment and provision of services and issue of call for tenders for the purchase of firefighting aircraft</w:t>
            </w:r>
          </w:p>
        </w:tc>
        <w:tc>
          <w:tcPr>
            <w:tcW w:w="1418" w:type="dxa"/>
            <w:shd w:val="clear" w:color="auto" w:fill="C6EFCE"/>
            <w:noWrap/>
          </w:tcPr>
          <w:p w14:paraId="1887E21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Signing of 8 Agreements/ Contract Signatures</w:t>
            </w:r>
          </w:p>
        </w:tc>
        <w:tc>
          <w:tcPr>
            <w:tcW w:w="1281" w:type="dxa"/>
            <w:shd w:val="clear" w:color="auto" w:fill="C6EFCE"/>
            <w:noWrap/>
          </w:tcPr>
          <w:p w14:paraId="1887E21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21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6EFCE"/>
            <w:noWrap/>
          </w:tcPr>
          <w:p w14:paraId="1887E21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21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709" w:type="dxa"/>
            <w:shd w:val="clear" w:color="auto" w:fill="C6EFCE"/>
            <w:noWrap/>
          </w:tcPr>
          <w:p w14:paraId="1887E21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315" w:type="dxa"/>
            <w:shd w:val="clear" w:color="auto" w:fill="C6EFCE"/>
            <w:noWrap/>
          </w:tcPr>
          <w:p w14:paraId="1887E218" w14:textId="0C92CE9E" w:rsidR="00C02B59" w:rsidRPr="00D1795B" w:rsidRDefault="00C02B59" w:rsidP="00C72339">
            <w:pPr>
              <w:spacing w:after="0" w:line="240" w:lineRule="auto"/>
              <w:jc w:val="both"/>
              <w:rPr>
                <w:rFonts w:ascii="Times New Roman" w:hAnsi="Times New Roman" w:cs="Times New Roman"/>
                <w:b/>
                <w:noProof/>
                <w:sz w:val="18"/>
                <w:szCs w:val="18"/>
              </w:rPr>
            </w:pPr>
            <w:r w:rsidRPr="00D1795B">
              <w:rPr>
                <w:rFonts w:ascii="Times New Roman" w:hAnsi="Times New Roman" w:cs="Times New Roman"/>
                <w:noProof/>
                <w:sz w:val="18"/>
                <w:szCs w:val="18"/>
              </w:rPr>
              <w:t>Signing of 8 Agreements/ Contracts Signatures with suppliers for the purchase of vehicles, equipment and provision of services and issue of call for tenders for the purchase of firefighting aircraft with the objective of contributing to climate change adaptation and to the reduction of the risk of explosion and expansion of forest fire and the strengthening protection against the risks faced by citizens, infrastructure and forests from a possible fire incident.</w:t>
            </w:r>
          </w:p>
        </w:tc>
      </w:tr>
      <w:tr w:rsidR="00C02B59" w:rsidRPr="00D1795B" w14:paraId="1887E226" w14:textId="77777777" w:rsidTr="00C02B59">
        <w:trPr>
          <w:trHeight w:val="300"/>
          <w:jc w:val="center"/>
        </w:trPr>
        <w:tc>
          <w:tcPr>
            <w:tcW w:w="1134" w:type="dxa"/>
            <w:shd w:val="clear" w:color="auto" w:fill="C6EFCE"/>
            <w:noWrap/>
            <w:hideMark/>
          </w:tcPr>
          <w:p w14:paraId="1887E21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47</w:t>
            </w:r>
          </w:p>
        </w:tc>
        <w:tc>
          <w:tcPr>
            <w:tcW w:w="1418" w:type="dxa"/>
            <w:shd w:val="clear" w:color="auto" w:fill="C6EFCE"/>
            <w:noWrap/>
            <w:hideMark/>
          </w:tcPr>
          <w:p w14:paraId="1887E21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C2.1I9</w:t>
            </w:r>
          </w:p>
          <w:p w14:paraId="1887E21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Fire protection</w:t>
            </w:r>
          </w:p>
        </w:tc>
        <w:tc>
          <w:tcPr>
            <w:tcW w:w="1134" w:type="dxa"/>
            <w:shd w:val="clear" w:color="auto" w:fill="C6EFCE"/>
            <w:noWrap/>
            <w:hideMark/>
          </w:tcPr>
          <w:p w14:paraId="1887E21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2" w:type="dxa"/>
            <w:shd w:val="clear" w:color="auto" w:fill="C6EFCE"/>
            <w:noWrap/>
            <w:hideMark/>
          </w:tcPr>
          <w:p w14:paraId="1887E21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Acceptance </w:t>
            </w:r>
            <w:r w:rsidRPr="00D1795B" w:rsidDel="00FF5ECD">
              <w:rPr>
                <w:rFonts w:ascii="Times New Roman" w:hAnsi="Times New Roman" w:cs="Times New Roman"/>
                <w:noProof/>
                <w:sz w:val="18"/>
                <w:szCs w:val="18"/>
              </w:rPr>
              <w:t>of firefighting</w:t>
            </w:r>
            <w:r w:rsidRPr="00D1795B">
              <w:rPr>
                <w:rFonts w:ascii="Times New Roman" w:hAnsi="Times New Roman" w:cs="Times New Roman"/>
                <w:noProof/>
                <w:sz w:val="18"/>
                <w:szCs w:val="18"/>
              </w:rPr>
              <w:t xml:space="preserve"> aircraft</w:t>
            </w:r>
            <w:r w:rsidRPr="00D1795B" w:rsidDel="00FF5ECD">
              <w:rPr>
                <w:rFonts w:ascii="Times New Roman" w:hAnsi="Times New Roman" w:cs="Times New Roman"/>
                <w:noProof/>
                <w:sz w:val="18"/>
                <w:szCs w:val="18"/>
              </w:rPr>
              <w:t xml:space="preserve"> vehicles and equipment</w:t>
            </w:r>
            <w:r w:rsidRPr="00D1795B">
              <w:rPr>
                <w:rFonts w:ascii="Times New Roman" w:hAnsi="Times New Roman" w:cs="Times New Roman"/>
                <w:noProof/>
                <w:sz w:val="18"/>
                <w:szCs w:val="18"/>
              </w:rPr>
              <w:t xml:space="preserve"> </w:t>
            </w:r>
          </w:p>
        </w:tc>
        <w:tc>
          <w:tcPr>
            <w:tcW w:w="1418" w:type="dxa"/>
            <w:shd w:val="clear" w:color="auto" w:fill="C6EFCE"/>
            <w:noWrap/>
            <w:hideMark/>
          </w:tcPr>
          <w:p w14:paraId="1887E21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Acceptance certificates issued for</w:t>
            </w:r>
            <w:r w:rsidRPr="00D1795B" w:rsidDel="00FF5ECD">
              <w:rPr>
                <w:rFonts w:ascii="Times New Roman" w:hAnsi="Times New Roman" w:cs="Times New Roman"/>
                <w:noProof/>
                <w:sz w:val="18"/>
                <w:szCs w:val="18"/>
              </w:rPr>
              <w:t xml:space="preserve"> the delivery of firefighting</w:t>
            </w:r>
            <w:r w:rsidRPr="00D1795B">
              <w:rPr>
                <w:rFonts w:ascii="Times New Roman" w:hAnsi="Times New Roman" w:cs="Times New Roman"/>
                <w:noProof/>
                <w:sz w:val="18"/>
                <w:szCs w:val="18"/>
              </w:rPr>
              <w:t xml:space="preserve"> aircraft</w:t>
            </w:r>
            <w:r w:rsidRPr="00D1795B" w:rsidDel="00FF5ECD">
              <w:rPr>
                <w:rFonts w:ascii="Times New Roman" w:hAnsi="Times New Roman" w:cs="Times New Roman"/>
                <w:noProof/>
                <w:sz w:val="18"/>
                <w:szCs w:val="18"/>
              </w:rPr>
              <w:t xml:space="preserve"> vehicles and equipment</w:t>
            </w:r>
            <w:r w:rsidRPr="00D1795B">
              <w:rPr>
                <w:rFonts w:ascii="Times New Roman" w:hAnsi="Times New Roman" w:cs="Times New Roman"/>
                <w:noProof/>
                <w:sz w:val="18"/>
                <w:szCs w:val="18"/>
              </w:rPr>
              <w:t xml:space="preserve"> </w:t>
            </w:r>
          </w:p>
        </w:tc>
        <w:tc>
          <w:tcPr>
            <w:tcW w:w="1281" w:type="dxa"/>
            <w:shd w:val="clear" w:color="auto" w:fill="C6EFCE"/>
            <w:noWrap/>
            <w:hideMark/>
          </w:tcPr>
          <w:p w14:paraId="1887E22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22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6EFCE"/>
            <w:noWrap/>
            <w:hideMark/>
          </w:tcPr>
          <w:p w14:paraId="1887E22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22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709" w:type="dxa"/>
            <w:shd w:val="clear" w:color="auto" w:fill="C6EFCE"/>
            <w:noWrap/>
            <w:hideMark/>
          </w:tcPr>
          <w:p w14:paraId="1887E22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315" w:type="dxa"/>
            <w:shd w:val="clear" w:color="auto" w:fill="C6EFCE"/>
            <w:noWrap/>
            <w:hideMark/>
          </w:tcPr>
          <w:p w14:paraId="1887E225"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Acceptance certificates issued for the delivery of firefighting aircraft, vehicles and equipment. </w:t>
            </w:r>
          </w:p>
        </w:tc>
      </w:tr>
      <w:tr w:rsidR="00C02B59" w:rsidRPr="00D1795B" w14:paraId="1887E233" w14:textId="77777777" w:rsidTr="00C02B59">
        <w:trPr>
          <w:trHeight w:val="300"/>
          <w:jc w:val="center"/>
        </w:trPr>
        <w:tc>
          <w:tcPr>
            <w:tcW w:w="1134" w:type="dxa"/>
            <w:shd w:val="clear" w:color="auto" w:fill="C6EFCE"/>
            <w:noWrap/>
            <w:hideMark/>
          </w:tcPr>
          <w:p w14:paraId="1887E22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48</w:t>
            </w:r>
          </w:p>
        </w:tc>
        <w:tc>
          <w:tcPr>
            <w:tcW w:w="1418" w:type="dxa"/>
            <w:shd w:val="clear" w:color="auto" w:fill="C6EFCE"/>
            <w:noWrap/>
            <w:hideMark/>
          </w:tcPr>
          <w:p w14:paraId="1887E22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C2.1I10</w:t>
            </w:r>
          </w:p>
          <w:p w14:paraId="1887E22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Market Management System (MMS) to facilitate the opening of the electricity market to competition</w:t>
            </w:r>
          </w:p>
        </w:tc>
        <w:tc>
          <w:tcPr>
            <w:tcW w:w="1134" w:type="dxa"/>
            <w:shd w:val="clear" w:color="auto" w:fill="C6EFCE"/>
            <w:noWrap/>
            <w:hideMark/>
          </w:tcPr>
          <w:p w14:paraId="1887E22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2" w:type="dxa"/>
            <w:shd w:val="clear" w:color="auto" w:fill="C6EFCE"/>
            <w:noWrap/>
            <w:hideMark/>
          </w:tcPr>
          <w:p w14:paraId="1887E22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Installation of the Market Management System </w:t>
            </w:r>
          </w:p>
        </w:tc>
        <w:tc>
          <w:tcPr>
            <w:tcW w:w="1418" w:type="dxa"/>
            <w:shd w:val="clear" w:color="auto" w:fill="C6EFCE"/>
            <w:noWrap/>
            <w:hideMark/>
          </w:tcPr>
          <w:p w14:paraId="1887E22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Issuing of Final Acceptance Certificate for the Market Management System. </w:t>
            </w:r>
          </w:p>
        </w:tc>
        <w:tc>
          <w:tcPr>
            <w:tcW w:w="1281" w:type="dxa"/>
            <w:shd w:val="clear" w:color="auto" w:fill="C6EFCE"/>
            <w:noWrap/>
            <w:hideMark/>
          </w:tcPr>
          <w:p w14:paraId="1887E22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22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6EFCE"/>
            <w:noWrap/>
            <w:hideMark/>
          </w:tcPr>
          <w:p w14:paraId="1887E22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23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709" w:type="dxa"/>
            <w:shd w:val="clear" w:color="auto" w:fill="C6EFCE"/>
            <w:noWrap/>
            <w:hideMark/>
          </w:tcPr>
          <w:p w14:paraId="1887E23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315" w:type="dxa"/>
            <w:shd w:val="clear" w:color="auto" w:fill="C6EFCE"/>
            <w:noWrap/>
            <w:hideMark/>
          </w:tcPr>
          <w:p w14:paraId="1887E23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Installation of the Market Management System (MMS) for the Cyprus Electricity Market.</w:t>
            </w:r>
          </w:p>
        </w:tc>
      </w:tr>
      <w:tr w:rsidR="00C02B59" w:rsidRPr="00D1795B" w14:paraId="1887E241" w14:textId="77777777" w:rsidTr="00C02B59">
        <w:trPr>
          <w:trHeight w:val="300"/>
          <w:jc w:val="center"/>
        </w:trPr>
        <w:tc>
          <w:tcPr>
            <w:tcW w:w="1134" w:type="dxa"/>
            <w:shd w:val="clear" w:color="auto" w:fill="C6EFCE"/>
            <w:noWrap/>
            <w:hideMark/>
          </w:tcPr>
          <w:p w14:paraId="1887E23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48a</w:t>
            </w:r>
          </w:p>
        </w:tc>
        <w:tc>
          <w:tcPr>
            <w:tcW w:w="1418" w:type="dxa"/>
            <w:shd w:val="clear" w:color="auto" w:fill="C6EFCE"/>
            <w:noWrap/>
            <w:hideMark/>
          </w:tcPr>
          <w:p w14:paraId="1887E23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C2.1I10</w:t>
            </w:r>
          </w:p>
          <w:p w14:paraId="1887E23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Market Management System (MMS) to facilitate the opening of the electricity market to competition</w:t>
            </w:r>
          </w:p>
        </w:tc>
        <w:tc>
          <w:tcPr>
            <w:tcW w:w="1134" w:type="dxa"/>
            <w:shd w:val="clear" w:color="auto" w:fill="C6EFCE"/>
            <w:noWrap/>
            <w:hideMark/>
          </w:tcPr>
          <w:p w14:paraId="1887E23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2" w:type="dxa"/>
            <w:shd w:val="clear" w:color="auto" w:fill="C6EFCE"/>
            <w:noWrap/>
            <w:hideMark/>
          </w:tcPr>
          <w:p w14:paraId="1887E23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First financial transactions of the MMS</w:t>
            </w:r>
          </w:p>
        </w:tc>
        <w:tc>
          <w:tcPr>
            <w:tcW w:w="1418" w:type="dxa"/>
            <w:shd w:val="clear" w:color="auto" w:fill="C6EFCE"/>
            <w:noWrap/>
            <w:hideMark/>
          </w:tcPr>
          <w:p w14:paraId="1887E23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CERA Decision declaring the first day of electricity market trading, results of the electricity market for the first week of trading. </w:t>
            </w:r>
          </w:p>
        </w:tc>
        <w:tc>
          <w:tcPr>
            <w:tcW w:w="1281" w:type="dxa"/>
            <w:shd w:val="clear" w:color="auto" w:fill="C6EFCE"/>
            <w:noWrap/>
            <w:hideMark/>
          </w:tcPr>
          <w:p w14:paraId="1887E23A"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992" w:type="dxa"/>
            <w:shd w:val="clear" w:color="auto" w:fill="C6EFCE"/>
            <w:noWrap/>
            <w:hideMark/>
          </w:tcPr>
          <w:p w14:paraId="1887E23B"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1276" w:type="dxa"/>
            <w:shd w:val="clear" w:color="auto" w:fill="C6EFCE"/>
            <w:noWrap/>
            <w:hideMark/>
          </w:tcPr>
          <w:p w14:paraId="1887E23C"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992" w:type="dxa"/>
            <w:shd w:val="clear" w:color="auto" w:fill="C6EFCE"/>
            <w:noWrap/>
            <w:hideMark/>
          </w:tcPr>
          <w:p w14:paraId="1887E23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Q3</w:t>
            </w:r>
          </w:p>
        </w:tc>
        <w:tc>
          <w:tcPr>
            <w:tcW w:w="709" w:type="dxa"/>
            <w:shd w:val="clear" w:color="auto" w:fill="C6EFCE"/>
            <w:noWrap/>
            <w:hideMark/>
          </w:tcPr>
          <w:p w14:paraId="1887E23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315" w:type="dxa"/>
            <w:shd w:val="clear" w:color="auto" w:fill="C6EFCE"/>
            <w:noWrap/>
            <w:hideMark/>
          </w:tcPr>
          <w:p w14:paraId="1887E240" w14:textId="4EFF5811"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Decision by CERA on the market operation evidenced by the first financial transactions performed through the MMS.</w:t>
            </w:r>
          </w:p>
        </w:tc>
      </w:tr>
    </w:tbl>
    <w:p w14:paraId="1887E242" w14:textId="77777777" w:rsidR="00C02B59" w:rsidRPr="00D1795B" w:rsidRDefault="00C02B59">
      <w:pPr>
        <w:rPr>
          <w:noProof/>
        </w:rPr>
        <w:sectPr w:rsidR="00C02B59" w:rsidRPr="00D1795B" w:rsidSect="00C02B59">
          <w:headerReference w:type="even" r:id="rId35"/>
          <w:headerReference w:type="default" r:id="rId36"/>
          <w:footerReference w:type="even" r:id="rId37"/>
          <w:footerReference w:type="default" r:id="rId38"/>
          <w:headerReference w:type="first" r:id="rId39"/>
          <w:footerReference w:type="first" r:id="rId40"/>
          <w:pgSz w:w="15840" w:h="12240" w:orient="landscape"/>
          <w:pgMar w:top="1134" w:right="1134" w:bottom="1134" w:left="1134" w:header="567" w:footer="567" w:gutter="0"/>
          <w:cols w:space="720"/>
          <w:docGrid w:linePitch="360"/>
        </w:sectPr>
      </w:pPr>
    </w:p>
    <w:p w14:paraId="1887E243" w14:textId="77777777" w:rsidR="00C02B59" w:rsidRPr="00D1795B" w:rsidRDefault="00C02B59" w:rsidP="00C02B59">
      <w:pPr>
        <w:keepNext/>
        <w:spacing w:before="360" w:after="120" w:line="240" w:lineRule="auto"/>
        <w:jc w:val="both"/>
        <w:outlineLvl w:val="0"/>
        <w:rPr>
          <w:rFonts w:ascii="Times New Roman" w:hAnsi="Times New Roman"/>
          <w:b/>
          <w:bCs/>
          <w:smallCaps/>
          <w:noProof/>
        </w:rPr>
      </w:pPr>
      <w:r w:rsidRPr="00D1795B">
        <w:rPr>
          <w:rFonts w:ascii="Times New Roman" w:hAnsi="Times New Roman"/>
          <w:b/>
          <w:bCs/>
          <w:smallCaps/>
          <w:noProof/>
        </w:rPr>
        <w:t>C. COMPONENT 2.2: Sustainable Transport</w:t>
      </w:r>
    </w:p>
    <w:p w14:paraId="1887E244"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This component of the Cyprus recovery and resilience plan aims </w:t>
      </w:r>
      <w:r w:rsidRPr="00D1795B">
        <w:rPr>
          <w:rFonts w:ascii="Times New Roman" w:eastAsia="Calibri" w:hAnsi="Times New Roman" w:cs="Times New Roman"/>
          <w:noProof/>
        </w:rPr>
        <w:t>to promote</w:t>
      </w:r>
      <w:r w:rsidRPr="00D1795B">
        <w:rPr>
          <w:rFonts w:ascii="Times New Roman" w:hAnsi="Times New Roman"/>
          <w:noProof/>
        </w:rPr>
        <w:t xml:space="preserve"> cleaner, smarter, safer, and fairer urban mobility by encouraging a modal shift to sustainable modes of transport, and to promote the use of zero or low-emission vehicles (LEVs) as well as the use of digital systems in the transport sector. </w:t>
      </w:r>
    </w:p>
    <w:p w14:paraId="1887E245"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component addresses the country-specific recommendations on investment in sustainable transport (Country-Specific Recommendation 4 of 2019 and Country-Specific Recommendation 3 of 2020).</w:t>
      </w:r>
    </w:p>
    <w:p w14:paraId="1887E246" w14:textId="77777777" w:rsidR="00C02B59" w:rsidRPr="00D1795B" w:rsidRDefault="00C02B59" w:rsidP="00C02B59">
      <w:pPr>
        <w:spacing w:before="120" w:after="120"/>
        <w:jc w:val="both"/>
        <w:rPr>
          <w:rFonts w:ascii="Times New Roman" w:hAnsi="Times New Roman"/>
          <w:i/>
          <w:noProof/>
        </w:rPr>
      </w:pPr>
      <w:r w:rsidRPr="00D1795B">
        <w:rPr>
          <w:rFonts w:ascii="Times New Roman" w:hAnsi="Times New Roman"/>
          <w:noProof/>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1887E247" w14:textId="77777777" w:rsidR="00C02B59" w:rsidRPr="00D1795B" w:rsidRDefault="00C02B59" w:rsidP="00C02B59">
      <w:pPr>
        <w:spacing w:before="120" w:after="120" w:line="240" w:lineRule="auto"/>
        <w:jc w:val="both"/>
        <w:rPr>
          <w:rFonts w:ascii="Times New Roman" w:hAnsi="Times New Roman"/>
          <w:noProof/>
        </w:rPr>
      </w:pPr>
    </w:p>
    <w:p w14:paraId="1887E248" w14:textId="77777777" w:rsidR="00C02B59" w:rsidRPr="00D1795B" w:rsidRDefault="00C02B59" w:rsidP="00C02B59">
      <w:pPr>
        <w:spacing w:before="120" w:after="120" w:line="240" w:lineRule="auto"/>
        <w:jc w:val="both"/>
        <w:rPr>
          <w:rFonts w:ascii="Times New Roman" w:hAnsi="Times New Roman"/>
          <w:b/>
          <w:i/>
          <w:noProof/>
        </w:rPr>
      </w:pPr>
      <w:r w:rsidRPr="00D1795B">
        <w:rPr>
          <w:rFonts w:ascii="Times New Roman" w:hAnsi="Times New Roman"/>
          <w:b/>
          <w:noProof/>
          <w:u w:val="single"/>
        </w:rPr>
        <w:t xml:space="preserve">C.1. </w:t>
      </w:r>
      <w:r w:rsidRPr="00D1795B">
        <w:rPr>
          <w:rFonts w:ascii="Times New Roman" w:hAnsi="Times New Roman"/>
          <w:noProof/>
        </w:rPr>
        <w:tab/>
      </w:r>
      <w:r w:rsidRPr="00D1795B">
        <w:rPr>
          <w:rFonts w:ascii="Times New Roman" w:hAnsi="Times New Roman"/>
          <w:b/>
          <w:noProof/>
          <w:u w:val="single"/>
        </w:rPr>
        <w:t>Description of the reforms and investments for non-repayable financial support</w:t>
      </w:r>
    </w:p>
    <w:p w14:paraId="1887E249"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 xml:space="preserve">Reform 1 (C2.2R1): </w:t>
      </w:r>
      <w:r w:rsidRPr="00D1795B">
        <w:rPr>
          <w:rFonts w:ascii="Times New Roman" w:eastAsia="Calibri" w:hAnsi="Times New Roman" w:cs="Times New Roman"/>
          <w:noProof/>
          <w:u w:val="single"/>
        </w:rPr>
        <w:t>Installation</w:t>
      </w:r>
      <w:r w:rsidRPr="00D1795B">
        <w:rPr>
          <w:rFonts w:ascii="Times New Roman" w:hAnsi="Times New Roman"/>
          <w:noProof/>
          <w:u w:val="single"/>
        </w:rPr>
        <w:t xml:space="preserve"> of an Intelligent Transport System using Digital Twin technologies</w:t>
      </w:r>
    </w:p>
    <w:p w14:paraId="1887E24A"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objective of </w:t>
      </w:r>
      <w:r w:rsidRPr="00D1795B">
        <w:rPr>
          <w:rFonts w:ascii="Times New Roman" w:eastAsia="Calibri" w:hAnsi="Times New Roman" w:cs="Times New Roman"/>
          <w:noProof/>
        </w:rPr>
        <w:t>this reform</w:t>
      </w:r>
      <w:r w:rsidRPr="00D1795B">
        <w:rPr>
          <w:rFonts w:ascii="Times New Roman" w:hAnsi="Times New Roman"/>
          <w:noProof/>
        </w:rPr>
        <w:t xml:space="preserve"> is to </w:t>
      </w:r>
      <w:r w:rsidRPr="00D1795B">
        <w:rPr>
          <w:rFonts w:ascii="Times New Roman" w:hAnsi="Times New Roman" w:cs="Times New Roman"/>
          <w:noProof/>
        </w:rPr>
        <w:t>introduce smart features to</w:t>
      </w:r>
      <w:r w:rsidRPr="00D1795B">
        <w:rPr>
          <w:rFonts w:ascii="Times New Roman" w:hAnsi="Times New Roman"/>
          <w:noProof/>
        </w:rPr>
        <w:t xml:space="preserve"> technological infrastructure</w:t>
      </w:r>
      <w:r w:rsidRPr="00D1795B">
        <w:rPr>
          <w:rFonts w:ascii="Times New Roman" w:eastAsia="Calibri" w:hAnsi="Times New Roman" w:cs="Times New Roman"/>
          <w:noProof/>
        </w:rPr>
        <w:t xml:space="preserve">. </w:t>
      </w:r>
    </w:p>
    <w:p w14:paraId="1887E24B" w14:textId="77777777" w:rsidR="00C02B59" w:rsidRPr="00D1795B" w:rsidRDefault="00C02B59" w:rsidP="00C02B59">
      <w:pPr>
        <w:spacing w:before="120" w:after="120" w:line="240" w:lineRule="auto"/>
        <w:jc w:val="both"/>
        <w:rPr>
          <w:rFonts w:ascii="Times New Roman" w:eastAsia="Calibri" w:hAnsi="Times New Roman" w:cs="Times New Roman"/>
          <w:noProof/>
        </w:rPr>
      </w:pPr>
      <w:r w:rsidRPr="00D1795B">
        <w:rPr>
          <w:rFonts w:ascii="Times New Roman" w:eastAsia="Calibri" w:hAnsi="Times New Roman" w:cs="Times New Roman"/>
          <w:noProof/>
        </w:rPr>
        <w:t xml:space="preserve">This measure consists in installing an Intelligent Transport System. </w:t>
      </w:r>
    </w:p>
    <w:p w14:paraId="1887E24C" w14:textId="77777777" w:rsidR="00C02B59" w:rsidRPr="00D1795B" w:rsidRDefault="00C02B59" w:rsidP="00C02B59">
      <w:pPr>
        <w:spacing w:before="120" w:after="120" w:line="240" w:lineRule="auto"/>
        <w:jc w:val="both"/>
        <w:rPr>
          <w:rFonts w:ascii="Times New Roman" w:eastAsia="Calibri" w:hAnsi="Times New Roman" w:cs="Times New Roman"/>
          <w:noProof/>
          <w:u w:val="single"/>
        </w:rPr>
      </w:pPr>
    </w:p>
    <w:p w14:paraId="1887E24D"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 xml:space="preserve">Reform 2 (C2.2R2): </w:t>
      </w:r>
      <w:r w:rsidRPr="00D1795B">
        <w:rPr>
          <w:rFonts w:ascii="Times New Roman" w:hAnsi="Times New Roman" w:cs="Times New Roman"/>
          <w:noProof/>
          <w:u w:val="single"/>
        </w:rPr>
        <w:t>Entry into force of legal act(s) regarding</w:t>
      </w:r>
      <w:r w:rsidRPr="00D1795B">
        <w:rPr>
          <w:rFonts w:ascii="Times New Roman" w:hAnsi="Times New Roman"/>
          <w:noProof/>
          <w:u w:val="single"/>
        </w:rPr>
        <w:t xml:space="preserve"> electric vehicle (EV) recharging infrastructure</w:t>
      </w:r>
    </w:p>
    <w:p w14:paraId="1887E24E"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objective of </w:t>
      </w:r>
      <w:r w:rsidRPr="00D1795B">
        <w:rPr>
          <w:rFonts w:ascii="Times New Roman" w:eastAsia="Calibri" w:hAnsi="Times New Roman" w:cs="Times New Roman"/>
          <w:noProof/>
        </w:rPr>
        <w:t>this reform</w:t>
      </w:r>
      <w:r w:rsidRPr="00D1795B">
        <w:rPr>
          <w:rFonts w:ascii="Times New Roman" w:hAnsi="Times New Roman"/>
          <w:noProof/>
        </w:rPr>
        <w:t xml:space="preserve"> is to </w:t>
      </w:r>
      <w:r w:rsidRPr="00D1795B">
        <w:rPr>
          <w:rFonts w:ascii="Times New Roman" w:eastAsia="Calibri" w:hAnsi="Times New Roman" w:cs="Times New Roman"/>
          <w:noProof/>
        </w:rPr>
        <w:t>establish</w:t>
      </w:r>
      <w:r w:rsidRPr="00D1795B">
        <w:rPr>
          <w:rFonts w:ascii="Times New Roman" w:hAnsi="Times New Roman"/>
          <w:noProof/>
        </w:rPr>
        <w:t xml:space="preserve"> electro-mobility infrastructure for recharging EVs.</w:t>
      </w:r>
    </w:p>
    <w:p w14:paraId="1887E24F"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eastAsia="Calibri" w:hAnsi="Times New Roman" w:cs="Times New Roman"/>
          <w:noProof/>
        </w:rPr>
        <w:t>This measure</w:t>
      </w:r>
      <w:r w:rsidRPr="00D1795B">
        <w:rPr>
          <w:rFonts w:ascii="Times New Roman" w:hAnsi="Times New Roman"/>
          <w:noProof/>
        </w:rPr>
        <w:t xml:space="preserve"> consists in the entry into force of </w:t>
      </w:r>
      <w:r w:rsidRPr="00D1795B">
        <w:rPr>
          <w:rFonts w:ascii="Times New Roman" w:hAnsi="Times New Roman" w:cs="Times New Roman"/>
          <w:noProof/>
        </w:rPr>
        <w:t>leg</w:t>
      </w:r>
      <w:r w:rsidRPr="00D1795B">
        <w:rPr>
          <w:rFonts w:ascii="Times New Roman" w:eastAsia="Calibri" w:hAnsi="Times New Roman" w:cs="Times New Roman"/>
          <w:noProof/>
        </w:rPr>
        <w:t>al act(s)</w:t>
      </w:r>
      <w:r w:rsidRPr="00D1795B">
        <w:rPr>
          <w:rFonts w:ascii="Times New Roman" w:hAnsi="Times New Roman"/>
          <w:noProof/>
        </w:rPr>
        <w:t xml:space="preserve"> on recharging infrastructure for EV. </w:t>
      </w:r>
    </w:p>
    <w:p w14:paraId="1887E250" w14:textId="77777777" w:rsidR="00C02B59" w:rsidRPr="00D1795B" w:rsidRDefault="00C02B59" w:rsidP="00C02B59">
      <w:pPr>
        <w:spacing w:before="120" w:after="120" w:line="240" w:lineRule="auto"/>
        <w:jc w:val="both"/>
        <w:rPr>
          <w:rFonts w:ascii="Times New Roman" w:hAnsi="Times New Roman"/>
          <w:noProof/>
        </w:rPr>
      </w:pPr>
    </w:p>
    <w:p w14:paraId="1887E251"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 xml:space="preserve">Reform 3 (C2.2R3): </w:t>
      </w:r>
      <w:r w:rsidRPr="00D1795B">
        <w:rPr>
          <w:rFonts w:ascii="Times New Roman" w:hAnsi="Times New Roman" w:cs="Times New Roman"/>
          <w:noProof/>
          <w:u w:val="single"/>
        </w:rPr>
        <w:t>Entry into force of legal act(s) for</w:t>
      </w:r>
      <w:r w:rsidRPr="00D1795B">
        <w:rPr>
          <w:rFonts w:ascii="Times New Roman" w:hAnsi="Times New Roman"/>
          <w:noProof/>
          <w:u w:val="single"/>
        </w:rPr>
        <w:t xml:space="preserve"> the </w:t>
      </w:r>
      <w:r w:rsidRPr="00D1795B">
        <w:rPr>
          <w:rFonts w:ascii="Times New Roman" w:hAnsi="Times New Roman" w:cs="Times New Roman"/>
          <w:noProof/>
          <w:u w:val="single"/>
        </w:rPr>
        <w:t>exclusion of</w:t>
      </w:r>
      <w:r w:rsidRPr="00D1795B">
        <w:rPr>
          <w:rFonts w:ascii="Times New Roman" w:hAnsi="Times New Roman"/>
          <w:noProof/>
          <w:u w:val="single"/>
        </w:rPr>
        <w:t xml:space="preserve"> polluting vehicles</w:t>
      </w:r>
    </w:p>
    <w:p w14:paraId="1887E252"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objective of </w:t>
      </w:r>
      <w:r w:rsidRPr="00D1795B">
        <w:rPr>
          <w:rFonts w:ascii="Times New Roman" w:eastAsia="Calibri" w:hAnsi="Times New Roman" w:cs="Times New Roman"/>
          <w:noProof/>
        </w:rPr>
        <w:t>this</w:t>
      </w:r>
      <w:r w:rsidRPr="00D1795B">
        <w:rPr>
          <w:rFonts w:ascii="Times New Roman" w:hAnsi="Times New Roman"/>
          <w:noProof/>
        </w:rPr>
        <w:t xml:space="preserve"> reform is to provide the regulatory framework to create </w:t>
      </w:r>
      <w:r w:rsidRPr="00D1795B">
        <w:rPr>
          <w:rFonts w:ascii="Times New Roman" w:eastAsia="Calibri" w:hAnsi="Times New Roman" w:cs="Times New Roman"/>
          <w:noProof/>
        </w:rPr>
        <w:t>incentives</w:t>
      </w:r>
      <w:r w:rsidRPr="00D1795B">
        <w:rPr>
          <w:rFonts w:ascii="Times New Roman" w:hAnsi="Times New Roman"/>
          <w:noProof/>
        </w:rPr>
        <w:t xml:space="preserve"> for replacing old and polluting </w:t>
      </w:r>
      <w:r w:rsidRPr="00D1795B">
        <w:rPr>
          <w:rFonts w:ascii="Times New Roman" w:eastAsia="Calibri" w:hAnsi="Times New Roman" w:cs="Times New Roman"/>
          <w:noProof/>
        </w:rPr>
        <w:t>vehicles</w:t>
      </w:r>
      <w:r w:rsidRPr="00D1795B">
        <w:rPr>
          <w:rFonts w:ascii="Times New Roman" w:hAnsi="Times New Roman"/>
          <w:noProof/>
        </w:rPr>
        <w:t>, and for using sustainable commuting and mobility solutions.</w:t>
      </w:r>
    </w:p>
    <w:p w14:paraId="1887E253"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This </w:t>
      </w:r>
      <w:r w:rsidRPr="00D1795B">
        <w:rPr>
          <w:rFonts w:ascii="Times New Roman" w:eastAsia="Calibri" w:hAnsi="Times New Roman" w:cs="Times New Roman"/>
          <w:noProof/>
        </w:rPr>
        <w:t xml:space="preserve">measure consists in </w:t>
      </w:r>
      <w:r w:rsidRPr="00D1795B">
        <w:rPr>
          <w:rFonts w:ascii="Times New Roman" w:hAnsi="Times New Roman"/>
          <w:noProof/>
        </w:rPr>
        <w:t xml:space="preserve">the </w:t>
      </w:r>
      <w:r w:rsidRPr="00D1795B">
        <w:rPr>
          <w:rFonts w:ascii="Times New Roman" w:eastAsia="Calibri" w:hAnsi="Times New Roman" w:cs="Times New Roman"/>
          <w:noProof/>
        </w:rPr>
        <w:t xml:space="preserve">entry into force of </w:t>
      </w:r>
      <w:r w:rsidRPr="00D1795B">
        <w:rPr>
          <w:rFonts w:ascii="Times New Roman" w:hAnsi="Times New Roman"/>
          <w:noProof/>
        </w:rPr>
        <w:t xml:space="preserve">legal </w:t>
      </w:r>
      <w:r w:rsidRPr="00D1795B">
        <w:rPr>
          <w:rFonts w:ascii="Times New Roman" w:hAnsi="Times New Roman" w:cs="Times New Roman"/>
          <w:noProof/>
        </w:rPr>
        <w:t>act(s)</w:t>
      </w:r>
      <w:r w:rsidRPr="00D1795B">
        <w:rPr>
          <w:rFonts w:ascii="Times New Roman" w:hAnsi="Times New Roman"/>
          <w:noProof/>
        </w:rPr>
        <w:t xml:space="preserve"> allowing </w:t>
      </w:r>
      <w:r w:rsidRPr="00D1795B">
        <w:rPr>
          <w:rFonts w:ascii="Times New Roman" w:eastAsia="Calibri" w:hAnsi="Times New Roman" w:cs="Times New Roman"/>
          <w:noProof/>
        </w:rPr>
        <w:t xml:space="preserve">for </w:t>
      </w:r>
      <w:r w:rsidRPr="00D1795B">
        <w:rPr>
          <w:rFonts w:ascii="Times New Roman" w:hAnsi="Times New Roman"/>
          <w:noProof/>
        </w:rPr>
        <w:t xml:space="preserve">the </w:t>
      </w:r>
      <w:r w:rsidRPr="00D1795B">
        <w:rPr>
          <w:rFonts w:ascii="Times New Roman" w:eastAsia="Calibri" w:hAnsi="Times New Roman" w:cs="Times New Roman"/>
          <w:noProof/>
        </w:rPr>
        <w:t>adoption</w:t>
      </w:r>
      <w:r w:rsidRPr="00D1795B">
        <w:rPr>
          <w:rFonts w:ascii="Times New Roman" w:hAnsi="Times New Roman"/>
          <w:noProof/>
        </w:rPr>
        <w:t xml:space="preserve"> of measures </w:t>
      </w:r>
      <w:r w:rsidRPr="00D1795B">
        <w:rPr>
          <w:rFonts w:ascii="Times New Roman" w:eastAsia="Calibri" w:hAnsi="Times New Roman" w:cs="Times New Roman"/>
          <w:noProof/>
        </w:rPr>
        <w:t>linked to</w:t>
      </w:r>
      <w:r w:rsidRPr="00D1795B">
        <w:rPr>
          <w:rFonts w:ascii="Times New Roman" w:hAnsi="Times New Roman"/>
          <w:noProof/>
        </w:rPr>
        <w:t xml:space="preserve"> the exclusion of polluting vehicles from certain areas</w:t>
      </w:r>
      <w:r w:rsidRPr="00D1795B">
        <w:rPr>
          <w:rFonts w:ascii="Times New Roman" w:hAnsi="Times New Roman" w:cs="Times New Roman"/>
          <w:noProof/>
        </w:rPr>
        <w:t>.</w:t>
      </w:r>
      <w:r w:rsidRPr="00D1795B">
        <w:rPr>
          <w:rFonts w:ascii="Times New Roman" w:eastAsia="Calibri" w:hAnsi="Times New Roman" w:cs="Times New Roman"/>
          <w:noProof/>
        </w:rPr>
        <w:t xml:space="preserve"> </w:t>
      </w:r>
    </w:p>
    <w:p w14:paraId="1887E254" w14:textId="77777777" w:rsidR="00C02B59" w:rsidRPr="00D1795B" w:rsidRDefault="00C02B59" w:rsidP="00C02B59">
      <w:pPr>
        <w:spacing w:before="120" w:after="120" w:line="240" w:lineRule="auto"/>
        <w:jc w:val="both"/>
        <w:rPr>
          <w:rFonts w:ascii="Times New Roman" w:hAnsi="Times New Roman"/>
          <w:noProof/>
        </w:rPr>
      </w:pPr>
    </w:p>
    <w:p w14:paraId="1887E255"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Investment 2 (C2.2I2): Creation of electro-mobility infrastructure</w:t>
      </w:r>
    </w:p>
    <w:p w14:paraId="1887E256"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eastAsia="Calibri" w:hAnsi="Times New Roman" w:cs="Times New Roman"/>
          <w:noProof/>
        </w:rPr>
        <w:t>The objective</w:t>
      </w:r>
      <w:r w:rsidRPr="00D1795B">
        <w:rPr>
          <w:rFonts w:ascii="Times New Roman" w:hAnsi="Times New Roman"/>
          <w:noProof/>
        </w:rPr>
        <w:t xml:space="preserve"> of </w:t>
      </w:r>
      <w:r w:rsidRPr="00D1795B">
        <w:rPr>
          <w:rFonts w:ascii="Times New Roman" w:eastAsia="Calibri" w:hAnsi="Times New Roman" w:cs="Times New Roman"/>
          <w:noProof/>
        </w:rPr>
        <w:t xml:space="preserve">this investment is </w:t>
      </w:r>
      <w:r w:rsidRPr="00D1795B">
        <w:rPr>
          <w:rFonts w:ascii="Times New Roman" w:hAnsi="Times New Roman"/>
          <w:noProof/>
        </w:rPr>
        <w:t>to create the necessary infrastructure to facilitate the transition to electro-mobility.</w:t>
      </w:r>
    </w:p>
    <w:p w14:paraId="1887E257" w14:textId="77777777" w:rsidR="00C02B59" w:rsidRPr="00D1795B" w:rsidRDefault="00C02B59" w:rsidP="00C02B59">
      <w:pPr>
        <w:spacing w:before="120" w:after="120" w:line="240" w:lineRule="auto"/>
        <w:jc w:val="both"/>
        <w:rPr>
          <w:rFonts w:ascii="Times New Roman" w:eastAsia="Calibri" w:hAnsi="Times New Roman" w:cs="Times New Roman"/>
          <w:noProof/>
        </w:rPr>
      </w:pPr>
      <w:r w:rsidRPr="00D1795B">
        <w:rPr>
          <w:rFonts w:ascii="Times New Roman" w:eastAsia="Calibri" w:hAnsi="Times New Roman" w:cs="Times New Roman"/>
          <w:noProof/>
        </w:rPr>
        <w:t>This measure is composed of three sub-measures:</w:t>
      </w:r>
    </w:p>
    <w:p w14:paraId="1887E258" w14:textId="77777777" w:rsidR="00C02B59" w:rsidRPr="00D1795B" w:rsidRDefault="00C02B59" w:rsidP="00C02B59">
      <w:pPr>
        <w:spacing w:before="120" w:after="120" w:line="240" w:lineRule="auto"/>
        <w:ind w:left="709" w:firstLine="11"/>
        <w:jc w:val="both"/>
        <w:rPr>
          <w:rFonts w:ascii="Times New Roman" w:hAnsi="Times New Roman"/>
          <w:noProof/>
          <w:u w:val="single"/>
        </w:rPr>
      </w:pPr>
      <w:r w:rsidRPr="00D1795B">
        <w:rPr>
          <w:rFonts w:ascii="Times New Roman" w:hAnsi="Times New Roman"/>
          <w:noProof/>
          <w:u w:val="single"/>
        </w:rPr>
        <w:t xml:space="preserve">Sub-measure 1: installation of publicly accessible EV charging stations and delivery of charging points used for EVs of the public sector fleet </w:t>
      </w:r>
    </w:p>
    <w:p w14:paraId="1887E259"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eastAsia="Calibri" w:hAnsi="Times New Roman" w:cs="Times New Roman"/>
          <w:noProof/>
        </w:rPr>
        <w:t>This</w:t>
      </w:r>
      <w:r w:rsidRPr="00D1795B">
        <w:rPr>
          <w:rFonts w:ascii="Times New Roman" w:hAnsi="Times New Roman"/>
          <w:noProof/>
        </w:rPr>
        <w:t xml:space="preserve"> investment consists in the installation of publicly accessible EV charging </w:t>
      </w:r>
      <w:r w:rsidRPr="00D1795B">
        <w:rPr>
          <w:rFonts w:ascii="Times New Roman" w:eastAsia="Calibri" w:hAnsi="Times New Roman" w:cs="Times New Roman"/>
          <w:noProof/>
        </w:rPr>
        <w:t>stations and the delivery of charging points used for EVs of the public sector fleet.</w:t>
      </w:r>
      <w:r w:rsidRPr="00D1795B">
        <w:rPr>
          <w:rFonts w:ascii="Times New Roman" w:hAnsi="Times New Roman"/>
          <w:noProof/>
        </w:rPr>
        <w:t xml:space="preserve"> </w:t>
      </w:r>
    </w:p>
    <w:p w14:paraId="1887E25A" w14:textId="77777777" w:rsidR="00C02B59" w:rsidRPr="00D1795B" w:rsidRDefault="00C02B59" w:rsidP="00C02B59">
      <w:pPr>
        <w:spacing w:before="120" w:after="120" w:line="240" w:lineRule="auto"/>
        <w:ind w:left="720"/>
        <w:jc w:val="both"/>
        <w:rPr>
          <w:rFonts w:ascii="Times New Roman" w:hAnsi="Times New Roman"/>
          <w:noProof/>
          <w:u w:val="single"/>
        </w:rPr>
      </w:pPr>
      <w:r w:rsidRPr="00D1795B">
        <w:rPr>
          <w:rFonts w:ascii="Times New Roman" w:hAnsi="Times New Roman"/>
          <w:noProof/>
          <w:u w:val="single"/>
        </w:rPr>
        <w:t xml:space="preserve">Sub-measure 2: a grant scheme for the installation of publicly accessible charging points in the premises of businesses </w:t>
      </w:r>
      <w:r w:rsidRPr="00D1795B">
        <w:rPr>
          <w:rFonts w:ascii="Times New Roman" w:eastAsia="Calibri" w:hAnsi="Times New Roman" w:cs="Times New Roman"/>
          <w:noProof/>
          <w:u w:val="single"/>
        </w:rPr>
        <w:t>or</w:t>
      </w:r>
      <w:r w:rsidRPr="00D1795B">
        <w:rPr>
          <w:rFonts w:ascii="Times New Roman" w:hAnsi="Times New Roman"/>
          <w:noProof/>
          <w:u w:val="single"/>
        </w:rPr>
        <w:t xml:space="preserve"> local authorities</w:t>
      </w:r>
    </w:p>
    <w:p w14:paraId="1887E25B"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eastAsia="Calibri" w:hAnsi="Times New Roman" w:cs="Times New Roman"/>
          <w:noProof/>
        </w:rPr>
        <w:t>This</w:t>
      </w:r>
      <w:r w:rsidRPr="00D1795B">
        <w:rPr>
          <w:rFonts w:ascii="Times New Roman" w:hAnsi="Times New Roman"/>
          <w:noProof/>
        </w:rPr>
        <w:t xml:space="preserve"> scheme </w:t>
      </w:r>
      <w:r w:rsidRPr="00D1795B">
        <w:rPr>
          <w:rFonts w:ascii="Times New Roman" w:eastAsia="Calibri" w:hAnsi="Times New Roman" w:cs="Times New Roman"/>
          <w:noProof/>
        </w:rPr>
        <w:t>consists in support for</w:t>
      </w:r>
      <w:r w:rsidRPr="00D1795B">
        <w:rPr>
          <w:rFonts w:ascii="Times New Roman" w:hAnsi="Times New Roman"/>
          <w:noProof/>
        </w:rPr>
        <w:t xml:space="preserve"> the installation of charging points in </w:t>
      </w:r>
      <w:r w:rsidRPr="00D1795B">
        <w:rPr>
          <w:rFonts w:ascii="Times New Roman" w:eastAsia="Calibri" w:hAnsi="Times New Roman" w:cs="Times New Roman"/>
          <w:noProof/>
        </w:rPr>
        <w:t>the premises of</w:t>
      </w:r>
      <w:r w:rsidRPr="00D1795B">
        <w:rPr>
          <w:rFonts w:ascii="Times New Roman" w:hAnsi="Times New Roman"/>
          <w:noProof/>
        </w:rPr>
        <w:t xml:space="preserve"> businesses or </w:t>
      </w:r>
      <w:r w:rsidRPr="00D1795B">
        <w:rPr>
          <w:rFonts w:ascii="Times New Roman" w:eastAsia="Calibri" w:hAnsi="Times New Roman" w:cs="Times New Roman"/>
          <w:noProof/>
        </w:rPr>
        <w:t>local</w:t>
      </w:r>
      <w:r w:rsidRPr="00D1795B">
        <w:rPr>
          <w:rFonts w:ascii="Times New Roman" w:hAnsi="Times New Roman"/>
          <w:noProof/>
        </w:rPr>
        <w:t xml:space="preserve"> authorities. </w:t>
      </w:r>
    </w:p>
    <w:p w14:paraId="1887E25C" w14:textId="77777777" w:rsidR="00C02B59" w:rsidRPr="00D1795B" w:rsidRDefault="00C02B59" w:rsidP="00C02B59">
      <w:pPr>
        <w:spacing w:before="120" w:after="120" w:line="240" w:lineRule="auto"/>
        <w:ind w:left="720"/>
        <w:jc w:val="both"/>
        <w:rPr>
          <w:rFonts w:ascii="Times New Roman" w:hAnsi="Times New Roman"/>
          <w:noProof/>
          <w:u w:val="single"/>
        </w:rPr>
      </w:pPr>
      <w:r w:rsidRPr="00D1795B">
        <w:rPr>
          <w:rFonts w:ascii="Times New Roman" w:hAnsi="Times New Roman"/>
          <w:noProof/>
          <w:u w:val="single"/>
        </w:rPr>
        <w:t>Sub-measure 3: a grant scheme for charging EVs from RES</w:t>
      </w:r>
    </w:p>
    <w:p w14:paraId="1887E25D"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eastAsia="Calibri" w:hAnsi="Times New Roman" w:cs="Times New Roman"/>
          <w:noProof/>
        </w:rPr>
        <w:t>This</w:t>
      </w:r>
      <w:r w:rsidRPr="00D1795B">
        <w:rPr>
          <w:rFonts w:ascii="Times New Roman" w:hAnsi="Times New Roman"/>
          <w:noProof/>
        </w:rPr>
        <w:t xml:space="preserve"> scheme </w:t>
      </w:r>
      <w:r w:rsidRPr="00D1795B">
        <w:rPr>
          <w:rFonts w:ascii="Times New Roman" w:eastAsia="Calibri" w:hAnsi="Times New Roman" w:cs="Times New Roman"/>
          <w:noProof/>
        </w:rPr>
        <w:t>consists in providing</w:t>
      </w:r>
      <w:r w:rsidRPr="00D1795B">
        <w:rPr>
          <w:rFonts w:ascii="Times New Roman" w:hAnsi="Times New Roman"/>
          <w:noProof/>
        </w:rPr>
        <w:t xml:space="preserve"> financial incentives to </w:t>
      </w:r>
      <w:r w:rsidRPr="00D1795B">
        <w:rPr>
          <w:rFonts w:ascii="Times New Roman" w:eastAsia="Calibri" w:hAnsi="Times New Roman" w:cs="Times New Roman"/>
          <w:noProof/>
        </w:rPr>
        <w:t>support</w:t>
      </w:r>
      <w:r w:rsidRPr="00D1795B">
        <w:rPr>
          <w:rFonts w:ascii="Times New Roman" w:hAnsi="Times New Roman"/>
          <w:noProof/>
        </w:rPr>
        <w:t xml:space="preserve"> charging of EVs from RES</w:t>
      </w:r>
      <w:r w:rsidRPr="00D1795B">
        <w:rPr>
          <w:rFonts w:ascii="Times New Roman" w:eastAsia="Calibri" w:hAnsi="Times New Roman" w:cs="Times New Roman"/>
          <w:noProof/>
        </w:rPr>
        <w:t>, including</w:t>
      </w:r>
      <w:r w:rsidRPr="00D1795B">
        <w:rPr>
          <w:rFonts w:ascii="Times New Roman" w:hAnsi="Times New Roman"/>
          <w:noProof/>
        </w:rPr>
        <w:t xml:space="preserve"> the installation of photovoltaic systems and charging equipment</w:t>
      </w:r>
      <w:r w:rsidRPr="00D1795B">
        <w:rPr>
          <w:rFonts w:ascii="Times New Roman" w:eastAsia="Calibri" w:hAnsi="Times New Roman" w:cs="Times New Roman"/>
          <w:noProof/>
        </w:rPr>
        <w:t xml:space="preserve">. </w:t>
      </w:r>
    </w:p>
    <w:p w14:paraId="1887E25E" w14:textId="77777777" w:rsidR="00C02B59" w:rsidRPr="00D1795B" w:rsidRDefault="00C02B59" w:rsidP="00C02B59">
      <w:pPr>
        <w:spacing w:before="120" w:after="120" w:line="240" w:lineRule="auto"/>
        <w:jc w:val="both"/>
        <w:rPr>
          <w:rFonts w:ascii="Times New Roman" w:hAnsi="Times New Roman"/>
          <w:noProof/>
        </w:rPr>
      </w:pPr>
    </w:p>
    <w:p w14:paraId="1887E25F"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 xml:space="preserve">Investment 3 (C2.2I3): </w:t>
      </w:r>
      <w:r w:rsidRPr="00D1795B">
        <w:rPr>
          <w:rFonts w:ascii="Times New Roman" w:eastAsia="Calibri" w:hAnsi="Times New Roman" w:cs="Times New Roman"/>
          <w:noProof/>
          <w:u w:val="single"/>
        </w:rPr>
        <w:t xml:space="preserve">Advance the </w:t>
      </w:r>
      <w:r w:rsidRPr="00D1795B">
        <w:rPr>
          <w:rFonts w:ascii="Times New Roman" w:hAnsi="Times New Roman"/>
          <w:noProof/>
          <w:u w:val="single"/>
        </w:rPr>
        <w:t>use of Electric Vehicles (EVs)</w:t>
      </w:r>
    </w:p>
    <w:p w14:paraId="1887E260"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objective of </w:t>
      </w:r>
      <w:r w:rsidRPr="00D1795B">
        <w:rPr>
          <w:rFonts w:ascii="Times New Roman" w:eastAsia="Calibri" w:hAnsi="Times New Roman" w:cs="Times New Roman"/>
          <w:noProof/>
        </w:rPr>
        <w:t>this investment</w:t>
      </w:r>
      <w:r w:rsidRPr="00D1795B">
        <w:rPr>
          <w:rFonts w:ascii="Times New Roman" w:hAnsi="Times New Roman" w:cs="Times New Roman"/>
          <w:noProof/>
        </w:rPr>
        <w:t xml:space="preserve"> </w:t>
      </w:r>
      <w:r w:rsidRPr="00D1795B">
        <w:rPr>
          <w:rFonts w:ascii="Times New Roman" w:hAnsi="Times New Roman"/>
          <w:noProof/>
        </w:rPr>
        <w:t>is the purchase of EVs, LEVs</w:t>
      </w:r>
      <w:r w:rsidRPr="00D1795B">
        <w:rPr>
          <w:rFonts w:ascii="Times New Roman" w:eastAsia="Calibri" w:hAnsi="Times New Roman" w:cs="Times New Roman"/>
          <w:noProof/>
        </w:rPr>
        <w:t>,</w:t>
      </w:r>
      <w:r w:rsidRPr="00D1795B">
        <w:rPr>
          <w:rFonts w:ascii="Times New Roman" w:hAnsi="Times New Roman"/>
          <w:noProof/>
        </w:rPr>
        <w:t xml:space="preserve"> electric bicycles and public or non-motorised modes of transport</w:t>
      </w:r>
      <w:r w:rsidRPr="00D1795B">
        <w:rPr>
          <w:rFonts w:ascii="Times New Roman" w:eastAsia="Calibri" w:hAnsi="Times New Roman" w:cs="Times New Roman"/>
          <w:noProof/>
        </w:rPr>
        <w:t>,</w:t>
      </w:r>
      <w:r w:rsidRPr="00D1795B">
        <w:rPr>
          <w:rFonts w:ascii="Times New Roman" w:hAnsi="Times New Roman"/>
          <w:noProof/>
        </w:rPr>
        <w:t xml:space="preserve"> while progressively phasing out older polluting vehicles from circulation. </w:t>
      </w:r>
    </w:p>
    <w:p w14:paraId="1887E261" w14:textId="77777777" w:rsidR="00C02B59" w:rsidRPr="00D1795B" w:rsidRDefault="00C02B59" w:rsidP="00C02B59">
      <w:pPr>
        <w:spacing w:before="120" w:after="120" w:line="240" w:lineRule="auto"/>
        <w:ind w:firstLine="720"/>
        <w:jc w:val="both"/>
        <w:rPr>
          <w:rFonts w:ascii="Times New Roman" w:hAnsi="Times New Roman"/>
          <w:noProof/>
          <w:u w:val="single"/>
        </w:rPr>
      </w:pPr>
      <w:r w:rsidRPr="00D1795B">
        <w:rPr>
          <w:rFonts w:ascii="Times New Roman" w:hAnsi="Times New Roman"/>
          <w:noProof/>
          <w:u w:val="single"/>
        </w:rPr>
        <w:t xml:space="preserve">Sub-measure 1: kick-start the transition to electro-mobility in the public sector and local authorities </w:t>
      </w:r>
    </w:p>
    <w:p w14:paraId="1887E262" w14:textId="77777777" w:rsidR="00C02B59" w:rsidRPr="00D1795B" w:rsidRDefault="00C02B59" w:rsidP="00C02B59">
      <w:pPr>
        <w:spacing w:before="120" w:after="120" w:line="240" w:lineRule="auto"/>
        <w:jc w:val="both"/>
        <w:rPr>
          <w:rFonts w:ascii="Times New Roman" w:eastAsia="Calibri" w:hAnsi="Times New Roman" w:cs="Times New Roman"/>
          <w:noProof/>
        </w:rPr>
      </w:pPr>
      <w:r w:rsidRPr="00D1795B">
        <w:rPr>
          <w:rFonts w:ascii="Times New Roman" w:eastAsia="Calibri" w:hAnsi="Times New Roman" w:cs="Times New Roman"/>
          <w:noProof/>
        </w:rPr>
        <w:t>This investment consists in the purchase of electric vehicles for the public sector.</w:t>
      </w:r>
    </w:p>
    <w:p w14:paraId="1887E263" w14:textId="77777777" w:rsidR="00C02B59" w:rsidRPr="00D1795B" w:rsidRDefault="00C02B59" w:rsidP="00C02B59">
      <w:pPr>
        <w:spacing w:before="120" w:after="120" w:line="240" w:lineRule="auto"/>
        <w:jc w:val="both"/>
        <w:rPr>
          <w:rFonts w:ascii="Times New Roman" w:hAnsi="Times New Roman"/>
          <w:noProof/>
        </w:rPr>
      </w:pPr>
    </w:p>
    <w:p w14:paraId="1887E264" w14:textId="77777777" w:rsidR="00C02B59" w:rsidRPr="00D1795B" w:rsidRDefault="00C02B59" w:rsidP="00C02B59">
      <w:pPr>
        <w:keepNext/>
        <w:spacing w:before="120" w:after="120" w:line="240" w:lineRule="auto"/>
        <w:ind w:firstLine="720"/>
        <w:jc w:val="both"/>
        <w:rPr>
          <w:rFonts w:ascii="Times New Roman" w:hAnsi="Times New Roman"/>
          <w:noProof/>
          <w:u w:val="single"/>
        </w:rPr>
      </w:pPr>
      <w:r w:rsidRPr="00D1795B">
        <w:rPr>
          <w:rFonts w:ascii="Times New Roman" w:hAnsi="Times New Roman"/>
          <w:noProof/>
          <w:u w:val="single"/>
        </w:rPr>
        <w:t>Sub-measure 2: a support scheme for the purchase of EVs</w:t>
      </w:r>
    </w:p>
    <w:p w14:paraId="1887E265"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eastAsia="Calibri" w:hAnsi="Times New Roman" w:cs="Times New Roman"/>
          <w:noProof/>
        </w:rPr>
        <w:t>This</w:t>
      </w:r>
      <w:r w:rsidRPr="00D1795B">
        <w:rPr>
          <w:rFonts w:ascii="Times New Roman" w:hAnsi="Times New Roman"/>
          <w:noProof/>
        </w:rPr>
        <w:t xml:space="preserve"> scheme </w:t>
      </w:r>
      <w:r w:rsidRPr="00D1795B">
        <w:rPr>
          <w:rFonts w:ascii="Times New Roman" w:eastAsia="Calibri" w:hAnsi="Times New Roman" w:cs="Times New Roman"/>
          <w:noProof/>
        </w:rPr>
        <w:t xml:space="preserve">consists in </w:t>
      </w:r>
      <w:r w:rsidRPr="00D1795B">
        <w:rPr>
          <w:rFonts w:ascii="Times New Roman" w:hAnsi="Times New Roman"/>
          <w:noProof/>
        </w:rPr>
        <w:t xml:space="preserve">the purchase or registration of electric vehicles and electric bicycles. </w:t>
      </w:r>
    </w:p>
    <w:p w14:paraId="1887E266" w14:textId="77777777" w:rsidR="00C02B59" w:rsidRPr="00D1795B" w:rsidRDefault="00C02B59" w:rsidP="00C02B59">
      <w:pPr>
        <w:spacing w:before="120" w:after="120" w:line="240" w:lineRule="auto"/>
        <w:jc w:val="both"/>
        <w:rPr>
          <w:rFonts w:ascii="Times New Roman" w:hAnsi="Times New Roman"/>
          <w:noProof/>
        </w:rPr>
      </w:pPr>
    </w:p>
    <w:p w14:paraId="1887E267" w14:textId="77777777" w:rsidR="00C02B59" w:rsidRPr="00D1795B" w:rsidRDefault="00C02B59" w:rsidP="00C02B59">
      <w:pPr>
        <w:spacing w:before="120" w:after="120" w:line="240" w:lineRule="auto"/>
        <w:ind w:left="720"/>
        <w:jc w:val="both"/>
        <w:rPr>
          <w:rFonts w:ascii="Times New Roman" w:hAnsi="Times New Roman"/>
          <w:noProof/>
          <w:u w:val="single"/>
        </w:rPr>
      </w:pPr>
      <w:r w:rsidRPr="00D1795B">
        <w:rPr>
          <w:rFonts w:ascii="Times New Roman" w:hAnsi="Times New Roman"/>
          <w:noProof/>
          <w:u w:val="single"/>
        </w:rPr>
        <w:t>Sub-measure 3: a scrapping scheme for the most polluting vehicles combined with incentives for non/low emission mobility options</w:t>
      </w:r>
    </w:p>
    <w:p w14:paraId="1887E268" w14:textId="350E5D24" w:rsidR="00C02B59" w:rsidRPr="00D1795B" w:rsidRDefault="00C02B59" w:rsidP="00C02B59">
      <w:pPr>
        <w:spacing w:before="120" w:after="120" w:line="240" w:lineRule="auto"/>
        <w:jc w:val="both"/>
        <w:rPr>
          <w:rFonts w:ascii="Times New Roman" w:hAnsi="Times New Roman"/>
          <w:noProof/>
        </w:rPr>
      </w:pPr>
      <w:r w:rsidRPr="00D1795B">
        <w:rPr>
          <w:rFonts w:ascii="Times New Roman" w:eastAsia="Calibri" w:hAnsi="Times New Roman" w:cs="Times New Roman"/>
          <w:noProof/>
        </w:rPr>
        <w:t>This</w:t>
      </w:r>
      <w:r w:rsidRPr="00D1795B">
        <w:rPr>
          <w:rFonts w:ascii="Times New Roman" w:hAnsi="Times New Roman"/>
          <w:noProof/>
        </w:rPr>
        <w:t xml:space="preserve"> scheme </w:t>
      </w:r>
      <w:r w:rsidRPr="00D1795B">
        <w:rPr>
          <w:rFonts w:ascii="Times New Roman" w:eastAsia="Calibri" w:hAnsi="Times New Roman" w:cs="Times New Roman"/>
          <w:noProof/>
        </w:rPr>
        <w:t>incentivises</w:t>
      </w:r>
      <w:r w:rsidRPr="00D1795B">
        <w:rPr>
          <w:rFonts w:ascii="Times New Roman" w:hAnsi="Times New Roman"/>
          <w:noProof/>
        </w:rPr>
        <w:t xml:space="preserve"> motorists to give up </w:t>
      </w:r>
      <w:r w:rsidRPr="00D1795B">
        <w:rPr>
          <w:rFonts w:ascii="Times New Roman" w:eastAsia="Calibri" w:hAnsi="Times New Roman" w:cs="Times New Roman"/>
          <w:noProof/>
        </w:rPr>
        <w:t>combustion engine</w:t>
      </w:r>
      <w:r w:rsidRPr="00D1795B">
        <w:rPr>
          <w:rFonts w:ascii="Times New Roman" w:hAnsi="Times New Roman"/>
          <w:noProof/>
        </w:rPr>
        <w:t xml:space="preserve"> vehicles in exchange for alternative mobility options, for example the purchase of a LEV or of an electric bicycle and/or free annual bus</w:t>
      </w:r>
      <w:r w:rsidR="00D1795B">
        <w:rPr>
          <w:rFonts w:ascii="Times New Roman" w:hAnsi="Times New Roman"/>
          <w:noProof/>
        </w:rPr>
        <w:t xml:space="preserve"> </w:t>
      </w:r>
      <w:r w:rsidRPr="00D1795B">
        <w:rPr>
          <w:rFonts w:ascii="Times New Roman" w:hAnsi="Times New Roman"/>
          <w:noProof/>
        </w:rPr>
        <w:t xml:space="preserve">tickets. </w:t>
      </w:r>
      <w:r w:rsidRPr="00D1795B">
        <w:rPr>
          <w:rFonts w:ascii="Times New Roman" w:eastAsia="Calibri" w:hAnsi="Times New Roman" w:cs="Times New Roman"/>
          <w:noProof/>
        </w:rPr>
        <w:t>It also incentivises recycling of scrapped vehicles.</w:t>
      </w:r>
    </w:p>
    <w:p w14:paraId="1887E269" w14:textId="77777777" w:rsidR="00C02B59" w:rsidRPr="00D1795B" w:rsidRDefault="00C02B59" w:rsidP="00C02B59">
      <w:pPr>
        <w:rPr>
          <w:rFonts w:ascii="Times New Roman" w:hAnsi="Times New Roman"/>
          <w:noProof/>
        </w:rPr>
      </w:pPr>
    </w:p>
    <w:p w14:paraId="1887E26A"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noProof/>
          <w:u w:val="single"/>
        </w:rPr>
        <w:t xml:space="preserve">Investment 1 (C2.2I1): </w:t>
      </w:r>
      <w:r w:rsidRPr="00D1795B">
        <w:rPr>
          <w:rFonts w:ascii="Times New Roman" w:hAnsi="Times New Roman" w:cs="Times New Roman"/>
          <w:noProof/>
          <w:u w:val="single"/>
        </w:rPr>
        <w:t>Sustainable Urban Mobility Projects (SUMP) and accessibility-enhancing measures</w:t>
      </w:r>
    </w:p>
    <w:p w14:paraId="1887E26B" w14:textId="77777777" w:rsidR="00C02B59" w:rsidRPr="00D1795B" w:rsidRDefault="00C02B59" w:rsidP="00C02B59">
      <w:pPr>
        <w:spacing w:before="120" w:after="120" w:line="240" w:lineRule="auto"/>
        <w:jc w:val="both"/>
        <w:rPr>
          <w:rFonts w:ascii="Times New Roman" w:eastAsia="Calibri" w:hAnsi="Times New Roman" w:cs="Times New Roman"/>
          <w:noProof/>
        </w:rPr>
      </w:pPr>
      <w:r w:rsidRPr="00D1795B">
        <w:rPr>
          <w:rFonts w:ascii="Times New Roman" w:hAnsi="Times New Roman" w:cs="Times New Roman"/>
          <w:noProof/>
        </w:rPr>
        <w:t xml:space="preserve">The objectives of </w:t>
      </w:r>
      <w:r w:rsidRPr="00D1795B">
        <w:rPr>
          <w:rFonts w:ascii="Times New Roman" w:eastAsia="Calibri" w:hAnsi="Times New Roman" w:cs="Times New Roman"/>
          <w:noProof/>
        </w:rPr>
        <w:t>this investment are</w:t>
      </w:r>
      <w:r w:rsidRPr="00D1795B">
        <w:rPr>
          <w:rFonts w:ascii="Times New Roman" w:hAnsi="Times New Roman" w:cs="Times New Roman"/>
          <w:noProof/>
        </w:rPr>
        <w:t xml:space="preserve"> to create the necessary infrastructure to enhance urban mobility with more environmentally friendly options</w:t>
      </w:r>
      <w:r w:rsidRPr="00D1795B">
        <w:rPr>
          <w:rFonts w:ascii="Times New Roman" w:eastAsia="Calibri" w:hAnsi="Times New Roman" w:cs="Times New Roman"/>
          <w:noProof/>
        </w:rPr>
        <w:t xml:space="preserve"> and to increase</w:t>
      </w:r>
      <w:r w:rsidRPr="00D1795B">
        <w:rPr>
          <w:rFonts w:ascii="Times New Roman" w:hAnsi="Times New Roman" w:cs="Times New Roman"/>
          <w:noProof/>
        </w:rPr>
        <w:t xml:space="preserve"> the city environment and road safety</w:t>
      </w:r>
      <w:r w:rsidRPr="00D1795B">
        <w:rPr>
          <w:rFonts w:ascii="Times New Roman" w:eastAsia="Calibri" w:hAnsi="Times New Roman" w:cs="Times New Roman"/>
          <w:noProof/>
        </w:rPr>
        <w:t xml:space="preserve">. </w:t>
      </w:r>
    </w:p>
    <w:p w14:paraId="1887E26C" w14:textId="77777777" w:rsidR="00C02B59" w:rsidRPr="00D1795B" w:rsidRDefault="00C02B59" w:rsidP="00C02B59">
      <w:pPr>
        <w:spacing w:before="120" w:after="120" w:line="240" w:lineRule="auto"/>
        <w:jc w:val="both"/>
        <w:rPr>
          <w:rFonts w:ascii="Times New Roman" w:hAnsi="Times New Roman" w:cs="Times New Roman"/>
          <w:noProof/>
        </w:rPr>
        <w:sectPr w:rsidR="00C02B59" w:rsidRPr="00D1795B" w:rsidSect="00C02B59">
          <w:headerReference w:type="even" r:id="rId41"/>
          <w:headerReference w:type="default" r:id="rId42"/>
          <w:footerReference w:type="even" r:id="rId43"/>
          <w:footerReference w:type="default" r:id="rId44"/>
          <w:headerReference w:type="first" r:id="rId45"/>
          <w:footerReference w:type="first" r:id="rId46"/>
          <w:pgSz w:w="12240" w:h="15840"/>
          <w:pgMar w:top="1134" w:right="1134" w:bottom="1134" w:left="1134" w:header="567" w:footer="567" w:gutter="0"/>
          <w:cols w:space="720"/>
          <w:docGrid w:linePitch="360"/>
        </w:sectPr>
      </w:pPr>
      <w:r w:rsidRPr="00D1795B">
        <w:rPr>
          <w:rFonts w:ascii="Times New Roman" w:eastAsia="Calibri" w:hAnsi="Times New Roman" w:cs="Times New Roman"/>
          <w:noProof/>
        </w:rPr>
        <w:t>These</w:t>
      </w:r>
      <w:r w:rsidRPr="00D1795B">
        <w:rPr>
          <w:rFonts w:ascii="Times New Roman" w:hAnsi="Times New Roman" w:cs="Times New Roman"/>
          <w:noProof/>
        </w:rPr>
        <w:t xml:space="preserve"> measures </w:t>
      </w:r>
      <w:r w:rsidRPr="00D1795B">
        <w:rPr>
          <w:rFonts w:ascii="Times New Roman" w:eastAsia="Calibri" w:hAnsi="Times New Roman" w:cs="Times New Roman"/>
          <w:noProof/>
        </w:rPr>
        <w:t>consist in</w:t>
      </w:r>
      <w:r w:rsidRPr="00D1795B">
        <w:rPr>
          <w:rFonts w:ascii="Times New Roman" w:hAnsi="Times New Roman" w:cs="Times New Roman"/>
          <w:noProof/>
        </w:rPr>
        <w:t xml:space="preserve"> investments for the accessibility and safe movement of pedestrians, cyclists, and persons with disabilities in urban centres.</w:t>
      </w:r>
    </w:p>
    <w:p w14:paraId="1887E26D" w14:textId="77777777" w:rsidR="00C02B59" w:rsidRPr="00D1795B" w:rsidRDefault="00C02B59" w:rsidP="00C02B59">
      <w:pPr>
        <w:spacing w:before="120" w:after="240" w:line="240" w:lineRule="auto"/>
        <w:jc w:val="both"/>
        <w:rPr>
          <w:rFonts w:ascii="Times New Roman" w:hAnsi="Times New Roman"/>
          <w:b/>
          <w:noProof/>
          <w:u w:val="single"/>
        </w:rPr>
      </w:pPr>
      <w:r w:rsidRPr="00D1795B">
        <w:rPr>
          <w:rFonts w:ascii="Times New Roman" w:hAnsi="Times New Roman"/>
          <w:b/>
          <w:noProof/>
          <w:u w:val="single"/>
        </w:rPr>
        <w:t xml:space="preserve">C.2. </w:t>
      </w:r>
      <w:r w:rsidRPr="00D1795B">
        <w:rPr>
          <w:rFonts w:ascii="Times New Roman" w:hAnsi="Times New Roman"/>
          <w:noProof/>
        </w:rPr>
        <w:tab/>
      </w:r>
      <w:r w:rsidRPr="00D1795B">
        <w:rPr>
          <w:rFonts w:ascii="Times New Roman" w:hAnsi="Times New Roman"/>
          <w:b/>
          <w:noProof/>
          <w:u w:val="single"/>
        </w:rPr>
        <w:t>Milestones, targets, indicators, and timetable for monitoring and implementation for non-repayable financial support</w:t>
      </w:r>
    </w:p>
    <w:tbl>
      <w:tblPr>
        <w:tblW w:w="14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1593"/>
        <w:gridCol w:w="1217"/>
        <w:gridCol w:w="1625"/>
        <w:gridCol w:w="1382"/>
        <w:gridCol w:w="954"/>
        <w:gridCol w:w="1052"/>
        <w:gridCol w:w="720"/>
        <w:gridCol w:w="1043"/>
        <w:gridCol w:w="731"/>
        <w:gridCol w:w="3437"/>
      </w:tblGrid>
      <w:tr w:rsidR="00C02B59" w:rsidRPr="00D1795B" w14:paraId="1887E277" w14:textId="77777777">
        <w:trPr>
          <w:trHeight w:val="300"/>
          <w:tblHeader/>
          <w:jc w:val="center"/>
        </w:trPr>
        <w:tc>
          <w:tcPr>
            <w:tcW w:w="1131" w:type="dxa"/>
            <w:vMerge w:val="restart"/>
            <w:shd w:val="clear" w:color="auto" w:fill="BDD7EE"/>
            <w:vAlign w:val="center"/>
            <w:hideMark/>
          </w:tcPr>
          <w:p w14:paraId="1887E26E"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1593" w:type="dxa"/>
            <w:vMerge w:val="restart"/>
            <w:shd w:val="clear" w:color="auto" w:fill="BDD7EE"/>
            <w:vAlign w:val="center"/>
            <w:hideMark/>
          </w:tcPr>
          <w:p w14:paraId="1887E26F"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Related Measure</w:t>
            </w:r>
          </w:p>
          <w:p w14:paraId="1887E270"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(Reform or Investment)</w:t>
            </w:r>
          </w:p>
        </w:tc>
        <w:tc>
          <w:tcPr>
            <w:tcW w:w="1217" w:type="dxa"/>
            <w:vMerge w:val="restart"/>
            <w:shd w:val="clear" w:color="auto" w:fill="BDD7EE"/>
            <w:vAlign w:val="center"/>
            <w:hideMark/>
          </w:tcPr>
          <w:p w14:paraId="1887E271"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Milestone / Target</w:t>
            </w:r>
          </w:p>
        </w:tc>
        <w:tc>
          <w:tcPr>
            <w:tcW w:w="1625" w:type="dxa"/>
            <w:vMerge w:val="restart"/>
            <w:shd w:val="clear" w:color="auto" w:fill="BDD7EE"/>
            <w:vAlign w:val="center"/>
            <w:hideMark/>
          </w:tcPr>
          <w:p w14:paraId="1887E272"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Name</w:t>
            </w:r>
          </w:p>
        </w:tc>
        <w:tc>
          <w:tcPr>
            <w:tcW w:w="1382" w:type="dxa"/>
            <w:vMerge w:val="restart"/>
            <w:shd w:val="clear" w:color="auto" w:fill="BDD7EE"/>
            <w:vAlign w:val="center"/>
            <w:hideMark/>
          </w:tcPr>
          <w:p w14:paraId="1887E273"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Qualitative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milestones)</w:t>
            </w:r>
          </w:p>
        </w:tc>
        <w:tc>
          <w:tcPr>
            <w:tcW w:w="2726" w:type="dxa"/>
            <w:gridSpan w:val="3"/>
            <w:shd w:val="clear" w:color="auto" w:fill="BDD7EE"/>
            <w:vAlign w:val="center"/>
            <w:hideMark/>
          </w:tcPr>
          <w:p w14:paraId="1887E274"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Quantitative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targets)</w:t>
            </w:r>
          </w:p>
        </w:tc>
        <w:tc>
          <w:tcPr>
            <w:tcW w:w="1774" w:type="dxa"/>
            <w:gridSpan w:val="2"/>
            <w:shd w:val="clear" w:color="auto" w:fill="BDD7EE"/>
            <w:vAlign w:val="center"/>
            <w:hideMark/>
          </w:tcPr>
          <w:p w14:paraId="1887E275"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Indicative timeline for completion</w:t>
            </w:r>
          </w:p>
        </w:tc>
        <w:tc>
          <w:tcPr>
            <w:tcW w:w="3437" w:type="dxa"/>
            <w:vMerge w:val="restart"/>
            <w:shd w:val="clear" w:color="auto" w:fill="BDD7EE"/>
            <w:vAlign w:val="center"/>
            <w:hideMark/>
          </w:tcPr>
          <w:p w14:paraId="1887E276"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Description of each milestone and target</w:t>
            </w:r>
          </w:p>
        </w:tc>
      </w:tr>
      <w:tr w:rsidR="00C02B59" w:rsidRPr="00D1795B" w14:paraId="1887E283" w14:textId="77777777">
        <w:trPr>
          <w:trHeight w:val="300"/>
          <w:tblHeader/>
          <w:jc w:val="center"/>
        </w:trPr>
        <w:tc>
          <w:tcPr>
            <w:tcW w:w="1131" w:type="dxa"/>
            <w:vMerge/>
            <w:vAlign w:val="center"/>
            <w:hideMark/>
          </w:tcPr>
          <w:p w14:paraId="1887E278" w14:textId="77777777" w:rsidR="00C02B59" w:rsidRPr="00D1795B" w:rsidRDefault="00C02B59">
            <w:pPr>
              <w:spacing w:after="0" w:line="240" w:lineRule="auto"/>
              <w:jc w:val="center"/>
              <w:rPr>
                <w:rFonts w:ascii="Times New Roman" w:hAnsi="Times New Roman" w:cs="Times New Roman"/>
                <w:b/>
                <w:noProof/>
                <w:sz w:val="18"/>
                <w:szCs w:val="18"/>
              </w:rPr>
            </w:pPr>
          </w:p>
        </w:tc>
        <w:tc>
          <w:tcPr>
            <w:tcW w:w="1593" w:type="dxa"/>
            <w:vMerge/>
            <w:vAlign w:val="center"/>
            <w:hideMark/>
          </w:tcPr>
          <w:p w14:paraId="1887E279" w14:textId="77777777" w:rsidR="00C02B59" w:rsidRPr="00D1795B" w:rsidRDefault="00C02B59">
            <w:pPr>
              <w:spacing w:after="0" w:line="240" w:lineRule="auto"/>
              <w:jc w:val="center"/>
              <w:rPr>
                <w:rFonts w:ascii="Times New Roman" w:hAnsi="Times New Roman" w:cs="Times New Roman"/>
                <w:b/>
                <w:noProof/>
                <w:sz w:val="18"/>
                <w:szCs w:val="18"/>
              </w:rPr>
            </w:pPr>
          </w:p>
        </w:tc>
        <w:tc>
          <w:tcPr>
            <w:tcW w:w="1217" w:type="dxa"/>
            <w:vMerge/>
            <w:vAlign w:val="center"/>
            <w:hideMark/>
          </w:tcPr>
          <w:p w14:paraId="1887E27A" w14:textId="77777777" w:rsidR="00C02B59" w:rsidRPr="00D1795B" w:rsidRDefault="00C02B59">
            <w:pPr>
              <w:spacing w:after="0" w:line="240" w:lineRule="auto"/>
              <w:jc w:val="center"/>
              <w:rPr>
                <w:rFonts w:ascii="Times New Roman" w:hAnsi="Times New Roman" w:cs="Times New Roman"/>
                <w:b/>
                <w:noProof/>
                <w:sz w:val="18"/>
                <w:szCs w:val="18"/>
              </w:rPr>
            </w:pPr>
          </w:p>
        </w:tc>
        <w:tc>
          <w:tcPr>
            <w:tcW w:w="1625" w:type="dxa"/>
            <w:vMerge/>
            <w:vAlign w:val="center"/>
            <w:hideMark/>
          </w:tcPr>
          <w:p w14:paraId="1887E27B" w14:textId="77777777" w:rsidR="00C02B59" w:rsidRPr="00D1795B" w:rsidRDefault="00C02B59">
            <w:pPr>
              <w:spacing w:after="0" w:line="240" w:lineRule="auto"/>
              <w:jc w:val="center"/>
              <w:rPr>
                <w:rFonts w:ascii="Times New Roman" w:hAnsi="Times New Roman" w:cs="Times New Roman"/>
                <w:b/>
                <w:noProof/>
                <w:sz w:val="18"/>
                <w:szCs w:val="18"/>
              </w:rPr>
            </w:pPr>
          </w:p>
        </w:tc>
        <w:tc>
          <w:tcPr>
            <w:tcW w:w="1382" w:type="dxa"/>
            <w:vMerge/>
            <w:vAlign w:val="center"/>
            <w:hideMark/>
          </w:tcPr>
          <w:p w14:paraId="1887E27C" w14:textId="77777777" w:rsidR="00C02B59" w:rsidRPr="00D1795B" w:rsidRDefault="00C02B59">
            <w:pPr>
              <w:spacing w:after="0" w:line="240" w:lineRule="auto"/>
              <w:jc w:val="center"/>
              <w:rPr>
                <w:rFonts w:ascii="Times New Roman" w:hAnsi="Times New Roman" w:cs="Times New Roman"/>
                <w:b/>
                <w:noProof/>
                <w:sz w:val="18"/>
                <w:szCs w:val="18"/>
              </w:rPr>
            </w:pPr>
          </w:p>
        </w:tc>
        <w:tc>
          <w:tcPr>
            <w:tcW w:w="954" w:type="dxa"/>
            <w:tcBorders>
              <w:bottom w:val="single" w:sz="4" w:space="0" w:color="auto"/>
            </w:tcBorders>
            <w:shd w:val="clear" w:color="auto" w:fill="BDD7EE"/>
            <w:vAlign w:val="center"/>
            <w:hideMark/>
          </w:tcPr>
          <w:p w14:paraId="1887E27D"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Unit of measure</w:t>
            </w:r>
          </w:p>
        </w:tc>
        <w:tc>
          <w:tcPr>
            <w:tcW w:w="1052" w:type="dxa"/>
            <w:tcBorders>
              <w:bottom w:val="single" w:sz="4" w:space="0" w:color="auto"/>
            </w:tcBorders>
            <w:shd w:val="clear" w:color="auto" w:fill="BDD7EE"/>
            <w:vAlign w:val="center"/>
            <w:hideMark/>
          </w:tcPr>
          <w:p w14:paraId="1887E27E"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Baseline</w:t>
            </w:r>
          </w:p>
        </w:tc>
        <w:tc>
          <w:tcPr>
            <w:tcW w:w="720" w:type="dxa"/>
            <w:tcBorders>
              <w:bottom w:val="single" w:sz="4" w:space="0" w:color="auto"/>
            </w:tcBorders>
            <w:shd w:val="clear" w:color="auto" w:fill="BDD7EE"/>
            <w:vAlign w:val="center"/>
            <w:hideMark/>
          </w:tcPr>
          <w:p w14:paraId="1887E27F"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Goal</w:t>
            </w:r>
          </w:p>
        </w:tc>
        <w:tc>
          <w:tcPr>
            <w:tcW w:w="1043" w:type="dxa"/>
            <w:tcBorders>
              <w:bottom w:val="single" w:sz="4" w:space="0" w:color="auto"/>
            </w:tcBorders>
            <w:shd w:val="clear" w:color="auto" w:fill="BDD7EE"/>
            <w:vAlign w:val="center"/>
            <w:hideMark/>
          </w:tcPr>
          <w:p w14:paraId="1887E280"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Quarter</w:t>
            </w:r>
          </w:p>
        </w:tc>
        <w:tc>
          <w:tcPr>
            <w:tcW w:w="731" w:type="dxa"/>
            <w:tcBorders>
              <w:bottom w:val="single" w:sz="4" w:space="0" w:color="auto"/>
            </w:tcBorders>
            <w:shd w:val="clear" w:color="auto" w:fill="BDD7EE"/>
            <w:vAlign w:val="center"/>
            <w:hideMark/>
          </w:tcPr>
          <w:p w14:paraId="1887E281"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Year</w:t>
            </w:r>
          </w:p>
        </w:tc>
        <w:tc>
          <w:tcPr>
            <w:tcW w:w="3437" w:type="dxa"/>
            <w:vMerge/>
            <w:hideMark/>
          </w:tcPr>
          <w:p w14:paraId="1887E282" w14:textId="77777777" w:rsidR="00C02B59" w:rsidRPr="00D1795B" w:rsidRDefault="00C02B59">
            <w:pPr>
              <w:spacing w:after="0" w:line="240" w:lineRule="auto"/>
              <w:rPr>
                <w:rFonts w:ascii="Times New Roman" w:hAnsi="Times New Roman" w:cs="Times New Roman"/>
                <w:b/>
                <w:noProof/>
                <w:sz w:val="18"/>
                <w:szCs w:val="18"/>
              </w:rPr>
            </w:pPr>
          </w:p>
        </w:tc>
      </w:tr>
      <w:tr w:rsidR="00C02B59" w:rsidRPr="00D1795B" w14:paraId="1887E290" w14:textId="77777777">
        <w:trPr>
          <w:trHeight w:val="300"/>
          <w:jc w:val="center"/>
        </w:trPr>
        <w:tc>
          <w:tcPr>
            <w:tcW w:w="1131" w:type="dxa"/>
            <w:shd w:val="clear" w:color="auto" w:fill="C6EFCE"/>
            <w:noWrap/>
          </w:tcPr>
          <w:p w14:paraId="1887E284"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52</w:t>
            </w:r>
          </w:p>
        </w:tc>
        <w:tc>
          <w:tcPr>
            <w:tcW w:w="1593" w:type="dxa"/>
            <w:shd w:val="clear" w:color="auto" w:fill="C6EFCE"/>
            <w:noWrap/>
          </w:tcPr>
          <w:p w14:paraId="1887E285"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C2.2R1</w:t>
            </w:r>
          </w:p>
          <w:p w14:paraId="1887E286"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Installation of an Intelligent Transport System using Digital Twin technologies</w:t>
            </w:r>
          </w:p>
        </w:tc>
        <w:tc>
          <w:tcPr>
            <w:tcW w:w="1217" w:type="dxa"/>
            <w:shd w:val="clear" w:color="auto" w:fill="C6EFCE"/>
            <w:noWrap/>
          </w:tcPr>
          <w:p w14:paraId="1887E287"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625" w:type="dxa"/>
            <w:shd w:val="clear" w:color="auto" w:fill="C6EFCE"/>
            <w:noWrap/>
          </w:tcPr>
          <w:p w14:paraId="1887E288"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Installation and connection to the National Access Point of at least 150 sensors</w:t>
            </w:r>
          </w:p>
        </w:tc>
        <w:tc>
          <w:tcPr>
            <w:tcW w:w="1382" w:type="dxa"/>
            <w:shd w:val="clear" w:color="auto" w:fill="C6EFCE"/>
            <w:noWrap/>
          </w:tcPr>
          <w:p w14:paraId="1887E289"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54" w:type="dxa"/>
            <w:shd w:val="clear" w:color="auto" w:fill="C6EFCE"/>
            <w:noWrap/>
          </w:tcPr>
          <w:p w14:paraId="1887E28A"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1052" w:type="dxa"/>
            <w:shd w:val="clear" w:color="auto" w:fill="C6EFCE"/>
            <w:noWrap/>
          </w:tcPr>
          <w:p w14:paraId="1887E28B"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720" w:type="dxa"/>
            <w:shd w:val="clear" w:color="auto" w:fill="C6EFCE"/>
            <w:noWrap/>
          </w:tcPr>
          <w:p w14:paraId="1887E28C"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150</w:t>
            </w:r>
          </w:p>
        </w:tc>
        <w:tc>
          <w:tcPr>
            <w:tcW w:w="1043" w:type="dxa"/>
            <w:shd w:val="clear" w:color="auto" w:fill="C6EFCE"/>
            <w:noWrap/>
          </w:tcPr>
          <w:p w14:paraId="1887E28D"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731" w:type="dxa"/>
            <w:shd w:val="clear" w:color="auto" w:fill="C6EFCE"/>
            <w:noWrap/>
          </w:tcPr>
          <w:p w14:paraId="1887E28E"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437" w:type="dxa"/>
            <w:shd w:val="clear" w:color="auto" w:fill="C6EFCE"/>
            <w:noWrap/>
          </w:tcPr>
          <w:p w14:paraId="1887E28F"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Acceptance certificates verifying the installation and connection to the National Access Point of a total of 150 traffic sensors </w:t>
            </w:r>
          </w:p>
        </w:tc>
      </w:tr>
      <w:tr w:rsidR="00C02B59" w:rsidRPr="00D1795B" w14:paraId="1887E29D" w14:textId="77777777">
        <w:trPr>
          <w:trHeight w:val="300"/>
          <w:jc w:val="center"/>
        </w:trPr>
        <w:tc>
          <w:tcPr>
            <w:tcW w:w="1131" w:type="dxa"/>
            <w:shd w:val="clear" w:color="auto" w:fill="C6EFCE"/>
            <w:noWrap/>
            <w:hideMark/>
          </w:tcPr>
          <w:p w14:paraId="1887E291"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53</w:t>
            </w:r>
          </w:p>
        </w:tc>
        <w:tc>
          <w:tcPr>
            <w:tcW w:w="1593" w:type="dxa"/>
            <w:shd w:val="clear" w:color="auto" w:fill="C6EFCE"/>
            <w:noWrap/>
            <w:hideMark/>
          </w:tcPr>
          <w:p w14:paraId="1887E292"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C2.2R1</w:t>
            </w:r>
          </w:p>
          <w:p w14:paraId="1887E293"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Installation of an Intelligent Transport System using Digital Twin technologies</w:t>
            </w:r>
          </w:p>
        </w:tc>
        <w:tc>
          <w:tcPr>
            <w:tcW w:w="1217" w:type="dxa"/>
            <w:shd w:val="clear" w:color="auto" w:fill="C6EFCE"/>
            <w:noWrap/>
            <w:hideMark/>
          </w:tcPr>
          <w:p w14:paraId="1887E294"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625" w:type="dxa"/>
            <w:shd w:val="clear" w:color="auto" w:fill="C6EFCE"/>
            <w:noWrap/>
            <w:hideMark/>
          </w:tcPr>
          <w:p w14:paraId="1887E295"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Installation and connection to the National Access Point of a total of 300 sensors</w:t>
            </w:r>
          </w:p>
        </w:tc>
        <w:tc>
          <w:tcPr>
            <w:tcW w:w="1382" w:type="dxa"/>
            <w:shd w:val="clear" w:color="auto" w:fill="C6EFCE"/>
            <w:noWrap/>
            <w:hideMark/>
          </w:tcPr>
          <w:p w14:paraId="1887E296"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54" w:type="dxa"/>
            <w:shd w:val="clear" w:color="auto" w:fill="C6EFCE"/>
            <w:noWrap/>
            <w:hideMark/>
          </w:tcPr>
          <w:p w14:paraId="1887E297"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1052" w:type="dxa"/>
            <w:shd w:val="clear" w:color="auto" w:fill="C6EFCE"/>
            <w:noWrap/>
            <w:hideMark/>
          </w:tcPr>
          <w:p w14:paraId="1887E298"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150</w:t>
            </w:r>
          </w:p>
        </w:tc>
        <w:tc>
          <w:tcPr>
            <w:tcW w:w="720" w:type="dxa"/>
            <w:shd w:val="clear" w:color="auto" w:fill="C6EFCE"/>
            <w:noWrap/>
            <w:hideMark/>
          </w:tcPr>
          <w:p w14:paraId="1887E299"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300</w:t>
            </w:r>
          </w:p>
        </w:tc>
        <w:tc>
          <w:tcPr>
            <w:tcW w:w="1043" w:type="dxa"/>
            <w:shd w:val="clear" w:color="auto" w:fill="C6EFCE"/>
            <w:noWrap/>
            <w:hideMark/>
          </w:tcPr>
          <w:p w14:paraId="1887E29A"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731" w:type="dxa"/>
            <w:shd w:val="clear" w:color="auto" w:fill="C6EFCE"/>
            <w:noWrap/>
            <w:hideMark/>
          </w:tcPr>
          <w:p w14:paraId="1887E29B"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437" w:type="dxa"/>
            <w:shd w:val="clear" w:color="auto" w:fill="C6EFCE"/>
            <w:noWrap/>
            <w:hideMark/>
          </w:tcPr>
          <w:p w14:paraId="1887E29C"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Acceptance certificates verifying the installation and connection to the National Access Point of a total of 300 traffic sensors.</w:t>
            </w:r>
          </w:p>
        </w:tc>
      </w:tr>
      <w:tr w:rsidR="00C02B59" w:rsidRPr="00D1795B" w14:paraId="1887E2AB" w14:textId="77777777">
        <w:trPr>
          <w:trHeight w:val="300"/>
          <w:jc w:val="center"/>
        </w:trPr>
        <w:tc>
          <w:tcPr>
            <w:tcW w:w="1131" w:type="dxa"/>
            <w:shd w:val="clear" w:color="auto" w:fill="C6EFCE"/>
            <w:noWrap/>
            <w:hideMark/>
          </w:tcPr>
          <w:p w14:paraId="1887E29E"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54</w:t>
            </w:r>
          </w:p>
        </w:tc>
        <w:tc>
          <w:tcPr>
            <w:tcW w:w="1593" w:type="dxa"/>
            <w:shd w:val="clear" w:color="auto" w:fill="C6EFCE"/>
            <w:noWrap/>
            <w:hideMark/>
          </w:tcPr>
          <w:p w14:paraId="1887E29F"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C2.2R2</w:t>
            </w:r>
          </w:p>
          <w:p w14:paraId="1887E2A0"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legal act(s) regarding electric vehicle (EV) recharging infrastructure </w:t>
            </w:r>
          </w:p>
        </w:tc>
        <w:tc>
          <w:tcPr>
            <w:tcW w:w="1217" w:type="dxa"/>
            <w:shd w:val="clear" w:color="auto" w:fill="C6EFCE"/>
            <w:noWrap/>
            <w:hideMark/>
          </w:tcPr>
          <w:p w14:paraId="1887E2A1"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625" w:type="dxa"/>
            <w:shd w:val="clear" w:color="auto" w:fill="C6EFCE"/>
            <w:noWrap/>
            <w:hideMark/>
          </w:tcPr>
          <w:p w14:paraId="1887E2A2"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force of legal act(s) related to electric vehicle charging points</w:t>
            </w:r>
          </w:p>
        </w:tc>
        <w:tc>
          <w:tcPr>
            <w:tcW w:w="1382" w:type="dxa"/>
            <w:shd w:val="clear" w:color="auto" w:fill="C6EFCE"/>
            <w:noWrap/>
            <w:hideMark/>
          </w:tcPr>
          <w:p w14:paraId="1887E2A3"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legal act(s)</w:t>
            </w:r>
          </w:p>
        </w:tc>
        <w:tc>
          <w:tcPr>
            <w:tcW w:w="954" w:type="dxa"/>
            <w:shd w:val="clear" w:color="auto" w:fill="C6EFCE"/>
            <w:noWrap/>
            <w:hideMark/>
          </w:tcPr>
          <w:p w14:paraId="1887E2A4"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52" w:type="dxa"/>
            <w:shd w:val="clear" w:color="auto" w:fill="C6EFCE"/>
            <w:noWrap/>
            <w:hideMark/>
          </w:tcPr>
          <w:p w14:paraId="1887E2A5"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20" w:type="dxa"/>
            <w:shd w:val="clear" w:color="auto" w:fill="C6EFCE"/>
            <w:noWrap/>
            <w:hideMark/>
          </w:tcPr>
          <w:p w14:paraId="1887E2A6"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3" w:type="dxa"/>
            <w:shd w:val="clear" w:color="auto" w:fill="C6EFCE"/>
            <w:noWrap/>
            <w:hideMark/>
          </w:tcPr>
          <w:p w14:paraId="1887E2A7"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731" w:type="dxa"/>
            <w:shd w:val="clear" w:color="auto" w:fill="C6EFCE"/>
            <w:noWrap/>
            <w:hideMark/>
          </w:tcPr>
          <w:p w14:paraId="1887E2A8"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437" w:type="dxa"/>
            <w:shd w:val="clear" w:color="auto" w:fill="C6EFCE"/>
            <w:noWrap/>
            <w:hideMark/>
          </w:tcPr>
          <w:p w14:paraId="1887E2A9"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legal act(s) regarding electric vehicle (EV) recharging infrastructure. </w:t>
            </w:r>
          </w:p>
          <w:p w14:paraId="1887E2AA"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The legal act(s) shall include a mechanism for the monitoring of the electric vehicle recharging infrastructure. </w:t>
            </w:r>
          </w:p>
        </w:tc>
      </w:tr>
      <w:tr w:rsidR="00C02B59" w:rsidRPr="00D1795B" w14:paraId="1887E2B9" w14:textId="77777777">
        <w:trPr>
          <w:trHeight w:val="300"/>
          <w:jc w:val="center"/>
        </w:trPr>
        <w:tc>
          <w:tcPr>
            <w:tcW w:w="1131" w:type="dxa"/>
            <w:shd w:val="clear" w:color="auto" w:fill="C6EFCE"/>
            <w:noWrap/>
            <w:hideMark/>
          </w:tcPr>
          <w:p w14:paraId="1887E2AC"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55</w:t>
            </w:r>
          </w:p>
        </w:tc>
        <w:tc>
          <w:tcPr>
            <w:tcW w:w="1593" w:type="dxa"/>
            <w:shd w:val="clear" w:color="auto" w:fill="C6EFCE"/>
            <w:noWrap/>
            <w:hideMark/>
          </w:tcPr>
          <w:p w14:paraId="1887E2AD"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C2.2R3</w:t>
            </w:r>
          </w:p>
          <w:p w14:paraId="1887E2AE"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Progressively phase out the most polluting vehicles, especially in polluted urban areas</w:t>
            </w:r>
          </w:p>
        </w:tc>
        <w:tc>
          <w:tcPr>
            <w:tcW w:w="1217" w:type="dxa"/>
            <w:shd w:val="clear" w:color="auto" w:fill="C6EFCE"/>
            <w:noWrap/>
            <w:hideMark/>
          </w:tcPr>
          <w:p w14:paraId="1887E2AF"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625" w:type="dxa"/>
            <w:shd w:val="clear" w:color="auto" w:fill="C6EFCE"/>
            <w:noWrap/>
            <w:hideMark/>
          </w:tcPr>
          <w:p w14:paraId="1887E2B0"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legislative act related to the phasing out of the most polluting vehicles</w:t>
            </w:r>
          </w:p>
        </w:tc>
        <w:tc>
          <w:tcPr>
            <w:tcW w:w="1382" w:type="dxa"/>
            <w:shd w:val="clear" w:color="auto" w:fill="C6EFCE"/>
            <w:noWrap/>
          </w:tcPr>
          <w:p w14:paraId="1887E2B1"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Provision in the legislative act indicating the entry into force of the legislation</w:t>
            </w:r>
          </w:p>
        </w:tc>
        <w:tc>
          <w:tcPr>
            <w:tcW w:w="954" w:type="dxa"/>
            <w:shd w:val="clear" w:color="auto" w:fill="C6EFCE"/>
            <w:noWrap/>
            <w:hideMark/>
          </w:tcPr>
          <w:p w14:paraId="1887E2B2"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52" w:type="dxa"/>
            <w:shd w:val="clear" w:color="auto" w:fill="C6EFCE"/>
            <w:noWrap/>
            <w:hideMark/>
          </w:tcPr>
          <w:p w14:paraId="1887E2B3"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20" w:type="dxa"/>
            <w:shd w:val="clear" w:color="auto" w:fill="C6EFCE"/>
            <w:noWrap/>
            <w:hideMark/>
          </w:tcPr>
          <w:p w14:paraId="1887E2B4"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3" w:type="dxa"/>
            <w:shd w:val="clear" w:color="auto" w:fill="C6EFCE"/>
            <w:noWrap/>
            <w:hideMark/>
          </w:tcPr>
          <w:p w14:paraId="1887E2B5"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731" w:type="dxa"/>
            <w:shd w:val="clear" w:color="auto" w:fill="C6EFCE"/>
            <w:noWrap/>
            <w:hideMark/>
          </w:tcPr>
          <w:p w14:paraId="1887E2B6"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437" w:type="dxa"/>
            <w:shd w:val="clear" w:color="auto" w:fill="C6EFCE"/>
            <w:noWrap/>
            <w:hideMark/>
          </w:tcPr>
          <w:p w14:paraId="1887E2B7"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the legislative act regarding the exclusion of polluting vehicles from areas or operations. </w:t>
            </w:r>
          </w:p>
          <w:p w14:paraId="1887E2B8"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The legislative act shall create the legal basis to enforce the adoption of restrictive measures related to the circulation of motor vehicles, with the aim to progressively phase out the most polluting vehicles.</w:t>
            </w:r>
          </w:p>
        </w:tc>
      </w:tr>
      <w:tr w:rsidR="00C02B59" w:rsidRPr="00D1795B" w14:paraId="1887E2C6" w14:textId="77777777">
        <w:trPr>
          <w:trHeight w:val="300"/>
          <w:jc w:val="center"/>
        </w:trPr>
        <w:tc>
          <w:tcPr>
            <w:tcW w:w="1131" w:type="dxa"/>
            <w:shd w:val="clear" w:color="auto" w:fill="C6EFCE"/>
            <w:noWrap/>
          </w:tcPr>
          <w:p w14:paraId="1887E2BA"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61</w:t>
            </w:r>
          </w:p>
        </w:tc>
        <w:tc>
          <w:tcPr>
            <w:tcW w:w="1593" w:type="dxa"/>
            <w:shd w:val="clear" w:color="auto" w:fill="C6EFCE"/>
            <w:noWrap/>
          </w:tcPr>
          <w:p w14:paraId="1887E2BB"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C2.2I2</w:t>
            </w:r>
          </w:p>
          <w:p w14:paraId="1887E2BC"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Creation of electro-mobility infrastructure</w:t>
            </w:r>
          </w:p>
        </w:tc>
        <w:tc>
          <w:tcPr>
            <w:tcW w:w="1217" w:type="dxa"/>
            <w:shd w:val="clear" w:color="auto" w:fill="C6EFCE"/>
            <w:noWrap/>
          </w:tcPr>
          <w:p w14:paraId="1887E2BD"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625" w:type="dxa"/>
            <w:shd w:val="clear" w:color="auto" w:fill="C6EFCE"/>
            <w:noWrap/>
          </w:tcPr>
          <w:p w14:paraId="1887E2BE"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Installation or delivery of charging points </w:t>
            </w:r>
          </w:p>
        </w:tc>
        <w:tc>
          <w:tcPr>
            <w:tcW w:w="1382" w:type="dxa"/>
            <w:shd w:val="clear" w:color="auto" w:fill="C6EFCE"/>
            <w:noWrap/>
          </w:tcPr>
          <w:p w14:paraId="1887E2BF"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54" w:type="dxa"/>
            <w:shd w:val="clear" w:color="auto" w:fill="C6EFCE"/>
            <w:noWrap/>
          </w:tcPr>
          <w:p w14:paraId="1887E2C0"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1052" w:type="dxa"/>
            <w:shd w:val="clear" w:color="auto" w:fill="C6EFCE"/>
            <w:noWrap/>
          </w:tcPr>
          <w:p w14:paraId="1887E2C1"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720" w:type="dxa"/>
            <w:shd w:val="clear" w:color="auto" w:fill="C6EFCE"/>
            <w:noWrap/>
          </w:tcPr>
          <w:p w14:paraId="1887E2C2"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1 000</w:t>
            </w:r>
          </w:p>
        </w:tc>
        <w:tc>
          <w:tcPr>
            <w:tcW w:w="1043" w:type="dxa"/>
            <w:shd w:val="clear" w:color="auto" w:fill="C6EFCE"/>
            <w:noWrap/>
          </w:tcPr>
          <w:p w14:paraId="1887E2C3"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731" w:type="dxa"/>
            <w:shd w:val="clear" w:color="auto" w:fill="C6EFCE"/>
            <w:noWrap/>
          </w:tcPr>
          <w:p w14:paraId="1887E2C4"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437" w:type="dxa"/>
            <w:shd w:val="clear" w:color="auto" w:fill="C6EFCE"/>
            <w:noWrap/>
          </w:tcPr>
          <w:p w14:paraId="1887E2C5"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Acceptance certificate or certificate of electrical installation, issued by the Electrical authority of Cyprus for the installation or delivery for at least 1 000 charging points.</w:t>
            </w:r>
          </w:p>
        </w:tc>
      </w:tr>
      <w:tr w:rsidR="00C02B59" w:rsidRPr="00D1795B" w14:paraId="1887E2D3" w14:textId="77777777">
        <w:trPr>
          <w:trHeight w:val="300"/>
          <w:jc w:val="center"/>
        </w:trPr>
        <w:tc>
          <w:tcPr>
            <w:tcW w:w="1131" w:type="dxa"/>
            <w:shd w:val="clear" w:color="auto" w:fill="C6EFCE"/>
            <w:noWrap/>
          </w:tcPr>
          <w:p w14:paraId="1887E2C7"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63a</w:t>
            </w:r>
          </w:p>
        </w:tc>
        <w:tc>
          <w:tcPr>
            <w:tcW w:w="1593" w:type="dxa"/>
            <w:shd w:val="clear" w:color="auto" w:fill="C6EFCE"/>
            <w:noWrap/>
          </w:tcPr>
          <w:p w14:paraId="1887E2C8"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C2.2I3</w:t>
            </w:r>
          </w:p>
          <w:p w14:paraId="1887E2C9"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Advance the use of Electric Vehicles (EVs)</w:t>
            </w:r>
          </w:p>
        </w:tc>
        <w:tc>
          <w:tcPr>
            <w:tcW w:w="1217" w:type="dxa"/>
            <w:shd w:val="clear" w:color="auto" w:fill="C6EFCE"/>
            <w:noWrap/>
          </w:tcPr>
          <w:p w14:paraId="1887E2CA"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625" w:type="dxa"/>
            <w:shd w:val="clear" w:color="auto" w:fill="C6EFCE"/>
            <w:noWrap/>
          </w:tcPr>
          <w:p w14:paraId="1887E2CB"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Purchase or registration of electric vehicles and electric bicycles</w:t>
            </w:r>
          </w:p>
        </w:tc>
        <w:tc>
          <w:tcPr>
            <w:tcW w:w="1382" w:type="dxa"/>
            <w:shd w:val="clear" w:color="auto" w:fill="C6EFCE"/>
            <w:noWrap/>
          </w:tcPr>
          <w:p w14:paraId="1887E2CC"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54" w:type="dxa"/>
            <w:shd w:val="clear" w:color="auto" w:fill="C6EFCE"/>
            <w:noWrap/>
          </w:tcPr>
          <w:p w14:paraId="1887E2CD"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1052" w:type="dxa"/>
            <w:shd w:val="clear" w:color="auto" w:fill="C6EFCE"/>
            <w:noWrap/>
          </w:tcPr>
          <w:p w14:paraId="1887E2CE"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720" w:type="dxa"/>
            <w:shd w:val="clear" w:color="auto" w:fill="C6EFCE"/>
            <w:noWrap/>
          </w:tcPr>
          <w:p w14:paraId="1887E2CF"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4 412</w:t>
            </w:r>
          </w:p>
        </w:tc>
        <w:tc>
          <w:tcPr>
            <w:tcW w:w="1043" w:type="dxa"/>
            <w:shd w:val="clear" w:color="auto" w:fill="C6EFCE"/>
            <w:noWrap/>
          </w:tcPr>
          <w:p w14:paraId="1887E2D0"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731" w:type="dxa"/>
            <w:shd w:val="clear" w:color="auto" w:fill="C6EFCE"/>
            <w:noWrap/>
          </w:tcPr>
          <w:p w14:paraId="1887E2D1"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437" w:type="dxa"/>
            <w:shd w:val="clear" w:color="auto" w:fill="C6EFCE"/>
            <w:noWrap/>
          </w:tcPr>
          <w:p w14:paraId="1887E2D2"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Purchase or registration of at least 4 412 electric vehicles of categories M1, M2-3, N, L1e-L7e and electric bicycles.</w:t>
            </w:r>
          </w:p>
        </w:tc>
      </w:tr>
      <w:tr w:rsidR="00C02B59" w:rsidRPr="00D1795B" w14:paraId="1887E2E0" w14:textId="77777777">
        <w:trPr>
          <w:trHeight w:val="300"/>
          <w:jc w:val="center"/>
        </w:trPr>
        <w:tc>
          <w:tcPr>
            <w:tcW w:w="1131" w:type="dxa"/>
            <w:shd w:val="clear" w:color="auto" w:fill="C6EFCE"/>
            <w:noWrap/>
          </w:tcPr>
          <w:p w14:paraId="1887E2D4"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65</w:t>
            </w:r>
          </w:p>
        </w:tc>
        <w:tc>
          <w:tcPr>
            <w:tcW w:w="1593" w:type="dxa"/>
            <w:shd w:val="clear" w:color="auto" w:fill="C6EFCE"/>
            <w:noWrap/>
          </w:tcPr>
          <w:p w14:paraId="1887E2D5"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C2.2I3</w:t>
            </w:r>
          </w:p>
          <w:p w14:paraId="1887E2D6"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Advance the use of Electric Vehicles (EVs)</w:t>
            </w:r>
          </w:p>
        </w:tc>
        <w:tc>
          <w:tcPr>
            <w:tcW w:w="1217" w:type="dxa"/>
            <w:shd w:val="clear" w:color="auto" w:fill="C6EFCE"/>
            <w:noWrap/>
          </w:tcPr>
          <w:p w14:paraId="1887E2D7"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625" w:type="dxa"/>
            <w:shd w:val="clear" w:color="auto" w:fill="C6EFCE"/>
            <w:noWrap/>
          </w:tcPr>
          <w:p w14:paraId="1887E2D8"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Scrapping of high emission vehicles</w:t>
            </w:r>
          </w:p>
        </w:tc>
        <w:tc>
          <w:tcPr>
            <w:tcW w:w="1382" w:type="dxa"/>
            <w:shd w:val="clear" w:color="auto" w:fill="C6EFCE"/>
            <w:noWrap/>
          </w:tcPr>
          <w:p w14:paraId="1887E2D9"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54" w:type="dxa"/>
            <w:shd w:val="clear" w:color="auto" w:fill="C6EFCE"/>
            <w:noWrap/>
          </w:tcPr>
          <w:p w14:paraId="1887E2DA"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1052" w:type="dxa"/>
            <w:shd w:val="clear" w:color="auto" w:fill="C6EFCE"/>
            <w:noWrap/>
          </w:tcPr>
          <w:p w14:paraId="1887E2DB"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720" w:type="dxa"/>
            <w:shd w:val="clear" w:color="auto" w:fill="C6EFCE"/>
            <w:noWrap/>
          </w:tcPr>
          <w:p w14:paraId="1887E2DC"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1 393</w:t>
            </w:r>
          </w:p>
        </w:tc>
        <w:tc>
          <w:tcPr>
            <w:tcW w:w="1043" w:type="dxa"/>
            <w:shd w:val="clear" w:color="auto" w:fill="C6EFCE"/>
            <w:noWrap/>
          </w:tcPr>
          <w:p w14:paraId="1887E2DD"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731" w:type="dxa"/>
            <w:shd w:val="clear" w:color="auto" w:fill="C6EFCE"/>
            <w:noWrap/>
          </w:tcPr>
          <w:p w14:paraId="1887E2DE"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437" w:type="dxa"/>
            <w:shd w:val="clear" w:color="auto" w:fill="C6EFCE"/>
            <w:noWrap/>
          </w:tcPr>
          <w:p w14:paraId="1887E2DF"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Completion certificate confirming the scrapping of at least 1 393 combustion engine vehicles replaced by electric bicycles, annual bus ticket(s) and low emission vehicles.</w:t>
            </w:r>
          </w:p>
        </w:tc>
      </w:tr>
      <w:tr w:rsidR="00C02B59" w:rsidRPr="00D1795B" w14:paraId="1887E2ED" w14:textId="77777777">
        <w:trPr>
          <w:trHeight w:val="300"/>
          <w:jc w:val="center"/>
        </w:trPr>
        <w:tc>
          <w:tcPr>
            <w:tcW w:w="1131" w:type="dxa"/>
            <w:shd w:val="clear" w:color="auto" w:fill="C6EFCE"/>
            <w:noWrap/>
          </w:tcPr>
          <w:p w14:paraId="1887E2E1"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58</w:t>
            </w:r>
          </w:p>
        </w:tc>
        <w:tc>
          <w:tcPr>
            <w:tcW w:w="1593" w:type="dxa"/>
            <w:shd w:val="clear" w:color="auto" w:fill="C6EFCE"/>
            <w:noWrap/>
          </w:tcPr>
          <w:p w14:paraId="1887E2E2"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C2.2I1</w:t>
            </w:r>
          </w:p>
          <w:p w14:paraId="1887E2E3"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Sustainable Urban Mobility Projects (SUMP) and accessibility enhancing measures</w:t>
            </w:r>
          </w:p>
        </w:tc>
        <w:tc>
          <w:tcPr>
            <w:tcW w:w="1217" w:type="dxa"/>
            <w:shd w:val="clear" w:color="auto" w:fill="C6EFCE"/>
            <w:noWrap/>
          </w:tcPr>
          <w:p w14:paraId="1887E2E4"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625" w:type="dxa"/>
            <w:shd w:val="clear" w:color="auto" w:fill="C6EFCE"/>
            <w:noWrap/>
          </w:tcPr>
          <w:p w14:paraId="1887E2E5"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Construction work for at least 35km of sustainable transport routes</w:t>
            </w:r>
          </w:p>
        </w:tc>
        <w:tc>
          <w:tcPr>
            <w:tcW w:w="1382" w:type="dxa"/>
            <w:shd w:val="clear" w:color="auto" w:fill="C6EFCE"/>
            <w:noWrap/>
          </w:tcPr>
          <w:p w14:paraId="1887E2E6"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54" w:type="dxa"/>
            <w:shd w:val="clear" w:color="auto" w:fill="C6EFCE"/>
            <w:noWrap/>
          </w:tcPr>
          <w:p w14:paraId="1887E2E7"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1052" w:type="dxa"/>
            <w:shd w:val="clear" w:color="auto" w:fill="C6EFCE"/>
            <w:noWrap/>
          </w:tcPr>
          <w:p w14:paraId="1887E2E8"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720" w:type="dxa"/>
            <w:shd w:val="clear" w:color="auto" w:fill="C6EFCE"/>
            <w:noWrap/>
          </w:tcPr>
          <w:p w14:paraId="1887E2E9"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35</w:t>
            </w:r>
          </w:p>
        </w:tc>
        <w:tc>
          <w:tcPr>
            <w:tcW w:w="1043" w:type="dxa"/>
            <w:shd w:val="clear" w:color="auto" w:fill="C6EFCE"/>
            <w:noWrap/>
          </w:tcPr>
          <w:p w14:paraId="1887E2EA"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731" w:type="dxa"/>
            <w:shd w:val="clear" w:color="auto" w:fill="C6EFCE"/>
            <w:noWrap/>
          </w:tcPr>
          <w:p w14:paraId="1887E2EB"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437" w:type="dxa"/>
            <w:shd w:val="clear" w:color="auto" w:fill="C6EFCE"/>
            <w:noWrap/>
          </w:tcPr>
          <w:p w14:paraId="1887E2EC"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Taking over certificates issued by the Contracting Authority confirming construction work for at least 35km of sustainable transport routes.</w:t>
            </w:r>
          </w:p>
        </w:tc>
      </w:tr>
    </w:tbl>
    <w:p w14:paraId="1887E2EE" w14:textId="77777777" w:rsidR="00C02B59" w:rsidRPr="00D1795B" w:rsidRDefault="00C02B59" w:rsidP="00C02B59">
      <w:pPr>
        <w:spacing w:before="120" w:after="120" w:line="240" w:lineRule="auto"/>
        <w:jc w:val="both"/>
        <w:rPr>
          <w:rFonts w:ascii="Times New Roman" w:hAnsi="Times New Roman" w:cs="Times New Roman"/>
          <w:noProof/>
        </w:rPr>
      </w:pPr>
    </w:p>
    <w:p w14:paraId="1887E2EF" w14:textId="77777777" w:rsidR="00C02B59" w:rsidRPr="00D1795B" w:rsidRDefault="00C02B59" w:rsidP="00C02B59">
      <w:pPr>
        <w:ind w:firstLine="720"/>
        <w:rPr>
          <w:rFonts w:ascii="Times New Roman" w:hAnsi="Times New Roman" w:cs="Times New Roman"/>
          <w:noProof/>
        </w:rPr>
      </w:pPr>
    </w:p>
    <w:p w14:paraId="1887E2F0" w14:textId="77777777" w:rsidR="00C02B59" w:rsidRPr="00D1795B" w:rsidRDefault="00C02B59" w:rsidP="00C02B59">
      <w:pPr>
        <w:rPr>
          <w:rFonts w:ascii="Times New Roman" w:hAnsi="Times New Roman" w:cs="Times New Roman"/>
          <w:noProof/>
        </w:rPr>
        <w:sectPr w:rsidR="00C02B59" w:rsidRPr="00D1795B" w:rsidSect="00C02B59">
          <w:headerReference w:type="even" r:id="rId47"/>
          <w:headerReference w:type="default" r:id="rId48"/>
          <w:footerReference w:type="even" r:id="rId49"/>
          <w:footerReference w:type="default" r:id="rId50"/>
          <w:headerReference w:type="first" r:id="rId51"/>
          <w:footerReference w:type="first" r:id="rId52"/>
          <w:pgSz w:w="15840" w:h="12240" w:orient="landscape"/>
          <w:pgMar w:top="1134" w:right="1134" w:bottom="1134" w:left="1134" w:header="567" w:footer="567" w:gutter="0"/>
          <w:cols w:space="720"/>
          <w:docGrid w:linePitch="360"/>
        </w:sectPr>
      </w:pPr>
    </w:p>
    <w:p w14:paraId="1887E2F1" w14:textId="77777777" w:rsidR="00C02B59" w:rsidRPr="00D1795B" w:rsidRDefault="00C02B59" w:rsidP="00C02B59">
      <w:pPr>
        <w:keepNext/>
        <w:spacing w:before="360" w:after="120" w:line="240" w:lineRule="auto"/>
        <w:jc w:val="both"/>
        <w:outlineLvl w:val="0"/>
        <w:rPr>
          <w:rFonts w:ascii="Times New Roman" w:hAnsi="Times New Roman"/>
          <w:b/>
          <w:bCs/>
          <w:smallCaps/>
          <w:noProof/>
        </w:rPr>
      </w:pPr>
      <w:r w:rsidRPr="00D1795B">
        <w:rPr>
          <w:rFonts w:ascii="Times New Roman" w:hAnsi="Times New Roman"/>
          <w:b/>
          <w:bCs/>
          <w:smallCaps/>
          <w:noProof/>
        </w:rPr>
        <w:t xml:space="preserve">D. COMPONENT 2.3: Smart and Sustainable Water Management </w:t>
      </w:r>
    </w:p>
    <w:p w14:paraId="1887E2F2" w14:textId="77777777" w:rsidR="00C02B59" w:rsidRPr="00D1795B" w:rsidRDefault="00C02B59" w:rsidP="00C02B59">
      <w:pPr>
        <w:spacing w:before="120" w:after="120" w:line="240" w:lineRule="auto"/>
        <w:jc w:val="both"/>
        <w:rPr>
          <w:rFonts w:ascii="Times New Roman" w:hAnsi="Times New Roman"/>
          <w:noProof/>
          <w:color w:val="000000" w:themeColor="text1"/>
        </w:rPr>
      </w:pPr>
      <w:r w:rsidRPr="00D1795B">
        <w:rPr>
          <w:rFonts w:ascii="Times New Roman" w:hAnsi="Times New Roman"/>
          <w:noProof/>
          <w:color w:val="000000" w:themeColor="text1"/>
        </w:rPr>
        <w:t>This component of the Cypriot recovery and resilience plan addresses inefficiencies in water management. The objectives of this component are to ensure supply of good quality drinking water, maximising the infrastructure for sewerage collection systems, sewerage treatment and reuse of treated effluent in agriculture, reducing water loss, non-revenue water and groundwater abstraction, improving anti-flood infrastructure, improving operational efficiency of the services being provided to the consumers through technological advances and establishing transparency in financial transactions.</w:t>
      </w:r>
    </w:p>
    <w:p w14:paraId="1887E2F3"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component addresses the Country Specific Recommendation on water management (Country-Specific Recommendation 3 of 2020 and Country-Specific Recommendation 4 of 2019). </w:t>
      </w:r>
    </w:p>
    <w:p w14:paraId="1887E2F4" w14:textId="77777777" w:rsidR="00C02B59" w:rsidRPr="00D1795B" w:rsidRDefault="00C02B59" w:rsidP="00C02B59">
      <w:pPr>
        <w:pStyle w:val="Text1"/>
        <w:ind w:left="0"/>
        <w:rPr>
          <w:noProof/>
          <w:lang w:val="en-GB"/>
        </w:rPr>
      </w:pPr>
      <w:r w:rsidRPr="00D1795B">
        <w:rPr>
          <w:noProof/>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1887E2F5" w14:textId="77777777" w:rsidR="00C02B59" w:rsidRPr="00D1795B" w:rsidRDefault="00C02B59" w:rsidP="00C02B59">
      <w:pPr>
        <w:pStyle w:val="Text1"/>
        <w:ind w:left="0"/>
        <w:rPr>
          <w:i/>
          <w:iCs/>
          <w:noProof/>
          <w:lang w:val="en-GB"/>
        </w:rPr>
      </w:pPr>
    </w:p>
    <w:p w14:paraId="1887E2F6" w14:textId="77777777" w:rsidR="00C02B59" w:rsidRPr="00D1795B" w:rsidRDefault="00C02B59" w:rsidP="00C02B59">
      <w:pPr>
        <w:spacing w:before="120" w:after="120" w:line="240" w:lineRule="auto"/>
        <w:jc w:val="both"/>
        <w:rPr>
          <w:rFonts w:ascii="Times New Roman" w:hAnsi="Times New Roman"/>
          <w:b/>
          <w:i/>
          <w:noProof/>
        </w:rPr>
      </w:pPr>
      <w:r w:rsidRPr="00D1795B">
        <w:rPr>
          <w:rFonts w:ascii="Times New Roman" w:hAnsi="Times New Roman"/>
          <w:b/>
          <w:noProof/>
          <w:u w:val="single"/>
        </w:rPr>
        <w:t xml:space="preserve">D.1. </w:t>
      </w:r>
      <w:r w:rsidRPr="00D1795B">
        <w:rPr>
          <w:noProof/>
        </w:rPr>
        <w:tab/>
      </w:r>
      <w:r w:rsidRPr="00D1795B">
        <w:rPr>
          <w:rFonts w:ascii="Times New Roman" w:hAnsi="Times New Roman"/>
          <w:b/>
          <w:noProof/>
          <w:u w:val="single"/>
        </w:rPr>
        <w:t>Description of the reforms and investments for non-repayable financial support</w:t>
      </w:r>
    </w:p>
    <w:p w14:paraId="1887E2F7"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Reform 1 (C2.3R1): Water Resource Management Reform</w:t>
      </w:r>
    </w:p>
    <w:p w14:paraId="1887E2F8" w14:textId="77777777" w:rsidR="00C02B59" w:rsidRPr="00D1795B" w:rsidRDefault="00C02B59" w:rsidP="00C02B59">
      <w:pPr>
        <w:spacing w:before="120" w:after="120" w:line="240" w:lineRule="auto"/>
        <w:jc w:val="both"/>
        <w:rPr>
          <w:rFonts w:ascii="Times New Roman" w:hAnsi="Times New Roman"/>
          <w:noProof/>
          <w:highlight w:val="yellow"/>
        </w:rPr>
      </w:pPr>
      <w:r w:rsidRPr="00D1795B">
        <w:rPr>
          <w:rFonts w:ascii="Times New Roman" w:hAnsi="Times New Roman"/>
          <w:noProof/>
        </w:rPr>
        <w:t xml:space="preserve">The objective of this investment is to define actions addressing structural weaknesses in the water resource management in Cyprus. </w:t>
      </w:r>
    </w:p>
    <w:p w14:paraId="1887E2F9" w14:textId="77777777" w:rsidR="00C02B59" w:rsidRPr="00D1795B" w:rsidDel="004B21C8"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reform consists in the adoption of an action plan on water resource management. </w:t>
      </w:r>
    </w:p>
    <w:p w14:paraId="1887E2FA" w14:textId="77777777" w:rsidR="00C02B59" w:rsidRPr="00D1795B" w:rsidRDefault="00C02B59" w:rsidP="00C02B59">
      <w:pPr>
        <w:spacing w:before="120" w:after="120" w:line="240" w:lineRule="auto"/>
        <w:jc w:val="both"/>
        <w:textAlignment w:val="baseline"/>
        <w:rPr>
          <w:rFonts w:ascii="Times New Roman" w:hAnsi="Times New Roman"/>
          <w:noProof/>
        </w:rPr>
      </w:pPr>
    </w:p>
    <w:p w14:paraId="1887E2FB"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Investment 2 (C2.3I2): Water Treatment Plants</w:t>
      </w:r>
    </w:p>
    <w:p w14:paraId="1887E2FC"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this investment is to support projects in water treatment plants.</w:t>
      </w:r>
    </w:p>
    <w:p w14:paraId="1887E2FD"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measure consists in projects in the water treatment plants of Limassol, Asprokremmos, Tersefanou, Kornos and Kannaviou. </w:t>
      </w:r>
    </w:p>
    <w:p w14:paraId="1887E2FE" w14:textId="77777777" w:rsidR="00C02B59" w:rsidRPr="00D1795B" w:rsidRDefault="00C02B59" w:rsidP="00C02B59">
      <w:pPr>
        <w:spacing w:before="120" w:after="120" w:line="240" w:lineRule="auto"/>
        <w:jc w:val="both"/>
        <w:rPr>
          <w:rFonts w:ascii="Times New Roman" w:hAnsi="Times New Roman"/>
          <w:noProof/>
        </w:rPr>
      </w:pPr>
    </w:p>
    <w:p w14:paraId="1887E2FF"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Investment 3 (C2.3I3): Integrated Monitoring and Control Management System for the Water Development Department’s infrastructure</w:t>
      </w:r>
    </w:p>
    <w:p w14:paraId="1887E300"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this investment</w:t>
      </w:r>
      <w:r w:rsidRPr="00D1795B">
        <w:rPr>
          <w:rFonts w:ascii="Times New Roman" w:hAnsi="Times New Roman"/>
          <w:b/>
          <w:noProof/>
        </w:rPr>
        <w:t xml:space="preserve"> </w:t>
      </w:r>
      <w:r w:rsidRPr="00D1795B">
        <w:rPr>
          <w:rFonts w:ascii="Times New Roman" w:hAnsi="Times New Roman"/>
          <w:noProof/>
        </w:rPr>
        <w:t xml:space="preserve">is to support the Water Development Department (WDD). </w:t>
      </w:r>
    </w:p>
    <w:p w14:paraId="1887E301"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measure consists in a Monitoring and Control Management System for the WDD.</w:t>
      </w:r>
    </w:p>
    <w:p w14:paraId="1887E302" w14:textId="77777777" w:rsidR="00C02B59" w:rsidRPr="00D1795B" w:rsidRDefault="00C02B59" w:rsidP="00C02B59">
      <w:pPr>
        <w:spacing w:before="120" w:after="120" w:line="240" w:lineRule="auto"/>
        <w:jc w:val="both"/>
        <w:rPr>
          <w:rFonts w:ascii="Times New Roman" w:hAnsi="Times New Roman"/>
          <w:noProof/>
        </w:rPr>
      </w:pPr>
    </w:p>
    <w:p w14:paraId="1887E303"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Investment 4 (C2.3I4): Smart Water and Sewerage Networks Management</w:t>
      </w:r>
    </w:p>
    <w:p w14:paraId="1887E304"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this investment is to support management and energy efficiency of the water network of Larnaca and Limassol.</w:t>
      </w:r>
    </w:p>
    <w:p w14:paraId="1887E305"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measure consists in </w:t>
      </w:r>
      <w:r w:rsidRPr="00D1795B">
        <w:rPr>
          <w:rFonts w:ascii="Times New Roman" w:eastAsiaTheme="minorHAnsi" w:hAnsi="Times New Roman"/>
          <w:noProof/>
        </w:rPr>
        <w:t xml:space="preserve">sensors, smart meters, and </w:t>
      </w:r>
      <w:r w:rsidRPr="00D1795B">
        <w:rPr>
          <w:rFonts w:ascii="Times New Roman" w:hAnsi="Times New Roman"/>
          <w:noProof/>
        </w:rPr>
        <w:t xml:space="preserve">digital </w:t>
      </w:r>
      <w:r w:rsidRPr="00D1795B">
        <w:rPr>
          <w:rFonts w:ascii="Times New Roman" w:eastAsiaTheme="minorHAnsi" w:hAnsi="Times New Roman"/>
          <w:noProof/>
        </w:rPr>
        <w:t>t</w:t>
      </w:r>
      <w:r w:rsidRPr="00D1795B">
        <w:rPr>
          <w:rFonts w:ascii="Times New Roman" w:hAnsi="Times New Roman"/>
          <w:noProof/>
        </w:rPr>
        <w:t>win decision support system</w:t>
      </w:r>
      <w:r w:rsidRPr="00D1795B">
        <w:rPr>
          <w:rFonts w:ascii="Times New Roman" w:eastAsiaTheme="minorHAnsi" w:hAnsi="Times New Roman"/>
          <w:noProof/>
        </w:rPr>
        <w:t>(s)</w:t>
      </w:r>
      <w:r w:rsidRPr="00D1795B">
        <w:rPr>
          <w:rFonts w:ascii="Times New Roman" w:hAnsi="Times New Roman"/>
          <w:noProof/>
        </w:rPr>
        <w:t xml:space="preserve">. </w:t>
      </w:r>
    </w:p>
    <w:p w14:paraId="1887E306" w14:textId="77777777" w:rsidR="00C02B59" w:rsidRPr="00D1795B" w:rsidRDefault="00C02B59" w:rsidP="00C02B59">
      <w:pPr>
        <w:spacing w:before="120" w:after="120" w:line="240" w:lineRule="auto"/>
        <w:jc w:val="both"/>
        <w:rPr>
          <w:rFonts w:ascii="Times New Roman" w:hAnsi="Times New Roman" w:cs="Times New Roman"/>
          <w:noProof/>
        </w:rPr>
      </w:pPr>
    </w:p>
    <w:p w14:paraId="1887E307"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Investment 5 (C2.3I5): Anti-flood and water collection measures</w:t>
      </w:r>
    </w:p>
    <w:p w14:paraId="1887E308"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objective of this investment is to mitigate the negative effects from flooding events. </w:t>
      </w:r>
    </w:p>
    <w:p w14:paraId="1887E309" w14:textId="77777777" w:rsidR="00C02B59" w:rsidRPr="00D1795B" w:rsidRDefault="00C02B59" w:rsidP="00C02B59">
      <w:pPr>
        <w:autoSpaceDE w:val="0"/>
        <w:autoSpaceDN w:val="0"/>
        <w:adjustRightInd w:val="0"/>
        <w:spacing w:after="0" w:line="240" w:lineRule="auto"/>
        <w:jc w:val="both"/>
        <w:rPr>
          <w:rFonts w:ascii="Times New Roman" w:hAnsi="Times New Roman"/>
          <w:noProof/>
        </w:rPr>
      </w:pPr>
      <w:r w:rsidRPr="00D1795B">
        <w:rPr>
          <w:rFonts w:ascii="Times New Roman" w:hAnsi="Times New Roman"/>
          <w:noProof/>
        </w:rPr>
        <w:t xml:space="preserve">The measure consists in anti-flood work(s) or reconstruction or construction of streets and pavements, and in landscaping of flood channel(s). </w:t>
      </w:r>
    </w:p>
    <w:p w14:paraId="1887E30A" w14:textId="77777777" w:rsidR="00C02B59" w:rsidRPr="00D1795B" w:rsidRDefault="00C02B59" w:rsidP="00C02B59">
      <w:pPr>
        <w:autoSpaceDE w:val="0"/>
        <w:autoSpaceDN w:val="0"/>
        <w:adjustRightInd w:val="0"/>
        <w:spacing w:after="0" w:line="240" w:lineRule="auto"/>
        <w:jc w:val="both"/>
        <w:rPr>
          <w:rFonts w:ascii="Times New Roman" w:hAnsi="Times New Roman"/>
          <w:noProof/>
        </w:rPr>
      </w:pPr>
    </w:p>
    <w:p w14:paraId="1887E30B" w14:textId="77777777" w:rsidR="00C02B59" w:rsidRPr="00D1795B" w:rsidRDefault="00C02B59" w:rsidP="00C02B59">
      <w:pPr>
        <w:keepNext/>
        <w:spacing w:before="120" w:after="120" w:line="240" w:lineRule="auto"/>
        <w:jc w:val="both"/>
        <w:rPr>
          <w:rFonts w:ascii="Times New Roman" w:hAnsi="Times New Roman"/>
          <w:noProof/>
          <w:u w:val="single"/>
        </w:rPr>
      </w:pPr>
      <w:r w:rsidRPr="00D1795B">
        <w:rPr>
          <w:rFonts w:ascii="Times New Roman" w:hAnsi="Times New Roman"/>
          <w:noProof/>
          <w:u w:val="single"/>
        </w:rPr>
        <w:t>Investment 6 (C2.3I6): Water security projects</w:t>
      </w:r>
    </w:p>
    <w:p w14:paraId="1887E30C" w14:textId="77777777" w:rsidR="00C02B59" w:rsidRPr="00D1795B" w:rsidRDefault="00C02B59" w:rsidP="00C02B59">
      <w:pPr>
        <w:spacing w:before="120" w:after="120" w:line="240" w:lineRule="auto"/>
        <w:jc w:val="both"/>
        <w:rPr>
          <w:rFonts w:ascii="Times New Roman" w:hAnsi="Times New Roman"/>
          <w:b/>
          <w:bCs/>
          <w:noProof/>
        </w:rPr>
      </w:pPr>
      <w:r w:rsidRPr="00D1795B">
        <w:rPr>
          <w:rFonts w:ascii="Times New Roman" w:hAnsi="Times New Roman"/>
          <w:noProof/>
        </w:rPr>
        <w:t xml:space="preserve">The objective of this investment is ensuring water security of Nicosia, Limassol and </w:t>
      </w:r>
      <w:r w:rsidRPr="00D1795B">
        <w:rPr>
          <w:rFonts w:ascii="Times New Roman" w:eastAsia="Times New Roman" w:hAnsi="Times New Roman" w:cs="Times New Roman"/>
          <w:noProof/>
          <w:color w:val="000000" w:themeColor="text1"/>
        </w:rPr>
        <w:t>Klavdia</w:t>
      </w:r>
      <w:r w:rsidRPr="00D1795B">
        <w:rPr>
          <w:rFonts w:ascii="Times New Roman" w:hAnsi="Times New Roman"/>
          <w:noProof/>
        </w:rPr>
        <w:t>.</w:t>
      </w:r>
    </w:p>
    <w:p w14:paraId="1887E30D" w14:textId="77777777" w:rsidR="00C02B59" w:rsidRPr="00D1795B" w:rsidRDefault="00C02B59" w:rsidP="00C02B59">
      <w:pPr>
        <w:spacing w:after="0" w:line="240" w:lineRule="auto"/>
        <w:jc w:val="both"/>
        <w:rPr>
          <w:noProof/>
        </w:rPr>
      </w:pPr>
      <w:r w:rsidRPr="00D1795B">
        <w:rPr>
          <w:rFonts w:ascii="Times New Roman" w:hAnsi="Times New Roman"/>
          <w:noProof/>
        </w:rPr>
        <w:t>The measure consists in water reservoir(s) and a water treatment plant.</w:t>
      </w:r>
    </w:p>
    <w:p w14:paraId="1887E30E" w14:textId="77777777" w:rsidR="00C02B59" w:rsidRPr="00D1795B" w:rsidRDefault="00C02B59" w:rsidP="00C02B59">
      <w:pPr>
        <w:spacing w:before="120" w:after="120" w:line="240" w:lineRule="auto"/>
        <w:jc w:val="both"/>
        <w:rPr>
          <w:rFonts w:ascii="Times New Roman" w:hAnsi="Times New Roman"/>
          <w:noProof/>
          <w:u w:val="single"/>
        </w:rPr>
      </w:pPr>
    </w:p>
    <w:p w14:paraId="1887E30F"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Investment 8 (C2.3I8) Protection of the marine ecosystem from hazards through oil spills</w:t>
      </w:r>
    </w:p>
    <w:p w14:paraId="1887E310"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the measure is to protect marine ecosystems through an upgrade of the operational capacity of the Department of Fisheries and Marine Research to respond promptly, adequately, and effectively to incidents from oil pollution to marine pollution.</w:t>
      </w:r>
    </w:p>
    <w:p w14:paraId="1887E311"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measure consists of the purchase of three antipollution vessels with the possibility of autonomous oil recovery operations, two of which shall operate close to the shoreline and the larger one on the high seas, as well as the purchase of two autonomous oil dispersant air spraying units.</w:t>
      </w:r>
    </w:p>
    <w:p w14:paraId="1887E312"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implementation of the investment shall be completed by 31 December 2025.</w:t>
      </w:r>
    </w:p>
    <w:p w14:paraId="1887E313" w14:textId="77777777" w:rsidR="00C02B59" w:rsidRPr="00D1795B" w:rsidRDefault="00C02B59" w:rsidP="00C02B59">
      <w:pPr>
        <w:spacing w:before="120" w:after="120" w:line="240" w:lineRule="auto"/>
        <w:jc w:val="both"/>
        <w:rPr>
          <w:rFonts w:ascii="Times New Roman" w:hAnsi="Times New Roman"/>
          <w:noProof/>
        </w:rPr>
        <w:sectPr w:rsidR="00C02B59" w:rsidRPr="00D1795B" w:rsidSect="00C02B59">
          <w:headerReference w:type="even" r:id="rId53"/>
          <w:headerReference w:type="default" r:id="rId54"/>
          <w:footerReference w:type="even" r:id="rId55"/>
          <w:footerReference w:type="default" r:id="rId56"/>
          <w:headerReference w:type="first" r:id="rId57"/>
          <w:footerReference w:type="first" r:id="rId58"/>
          <w:pgSz w:w="12240" w:h="15840"/>
          <w:pgMar w:top="1134" w:right="1134" w:bottom="1134" w:left="1134" w:header="567" w:footer="567" w:gutter="0"/>
          <w:cols w:space="720"/>
          <w:docGrid w:linePitch="360"/>
        </w:sectPr>
      </w:pPr>
    </w:p>
    <w:p w14:paraId="1887E314" w14:textId="77777777" w:rsidR="00C02B59" w:rsidRPr="00D1795B" w:rsidRDefault="00C02B59" w:rsidP="00C02B59">
      <w:pPr>
        <w:spacing w:before="120" w:after="120" w:line="240" w:lineRule="auto"/>
        <w:jc w:val="center"/>
        <w:rPr>
          <w:rFonts w:ascii="Times New Roman" w:hAnsi="Times New Roman"/>
          <w:b/>
          <w:noProof/>
          <w:u w:val="single"/>
        </w:rPr>
      </w:pPr>
      <w:r w:rsidRPr="00D1795B">
        <w:rPr>
          <w:rFonts w:ascii="Times New Roman" w:hAnsi="Times New Roman"/>
          <w:b/>
          <w:noProof/>
          <w:u w:val="single"/>
        </w:rPr>
        <w:t xml:space="preserve">D.2. </w:t>
      </w:r>
      <w:r w:rsidRPr="00D1795B">
        <w:rPr>
          <w:noProof/>
        </w:rPr>
        <w:tab/>
      </w:r>
      <w:r w:rsidRPr="00D1795B">
        <w:rPr>
          <w:rFonts w:ascii="Times New Roman" w:hAnsi="Times New Roman"/>
          <w:b/>
          <w:noProof/>
          <w:u w:val="single"/>
        </w:rPr>
        <w:t>Milestones, targets, indicators, and timetable for monitoring and implementation for non-repayable financial support</w:t>
      </w:r>
    </w:p>
    <w:tbl>
      <w:tblPr>
        <w:tblW w:w="15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1418"/>
        <w:gridCol w:w="1133"/>
        <w:gridCol w:w="1545"/>
        <w:gridCol w:w="1575"/>
        <w:gridCol w:w="1133"/>
        <w:gridCol w:w="992"/>
        <w:gridCol w:w="992"/>
        <w:gridCol w:w="992"/>
        <w:gridCol w:w="851"/>
        <w:gridCol w:w="3540"/>
      </w:tblGrid>
      <w:tr w:rsidR="00C02B59" w:rsidRPr="00D1795B" w14:paraId="1887E31D" w14:textId="77777777" w:rsidTr="00C02B59">
        <w:trPr>
          <w:trHeight w:val="300"/>
          <w:tblHeader/>
          <w:jc w:val="center"/>
        </w:trPr>
        <w:tc>
          <w:tcPr>
            <w:tcW w:w="1149" w:type="dxa"/>
            <w:vMerge w:val="restart"/>
            <w:tcBorders>
              <w:top w:val="single" w:sz="4" w:space="0" w:color="auto"/>
              <w:bottom w:val="single" w:sz="4" w:space="0" w:color="auto"/>
              <w:right w:val="single" w:sz="4" w:space="0" w:color="auto"/>
            </w:tcBorders>
            <w:shd w:val="clear" w:color="auto" w:fill="BDD7EE"/>
            <w:vAlign w:val="center"/>
            <w:hideMark/>
          </w:tcPr>
          <w:p w14:paraId="1887E315"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316"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317"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Milestone / Target</w:t>
            </w:r>
          </w:p>
        </w:tc>
        <w:tc>
          <w:tcPr>
            <w:tcW w:w="15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318"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Name</w:t>
            </w:r>
          </w:p>
        </w:tc>
        <w:tc>
          <w:tcPr>
            <w:tcW w:w="15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319" w14:textId="77777777" w:rsidR="00C02B59" w:rsidRPr="00D1795B" w:rsidRDefault="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Qualitative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milestones)</w:t>
            </w:r>
          </w:p>
        </w:tc>
        <w:tc>
          <w:tcPr>
            <w:tcW w:w="311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887E31A"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Quantitative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targets)</w:t>
            </w:r>
          </w:p>
        </w:tc>
        <w:tc>
          <w:tcPr>
            <w:tcW w:w="1843" w:type="dxa"/>
            <w:gridSpan w:val="2"/>
            <w:tcBorders>
              <w:top w:val="single" w:sz="4" w:space="0" w:color="auto"/>
              <w:left w:val="single" w:sz="4" w:space="0" w:color="auto"/>
              <w:bottom w:val="single" w:sz="4" w:space="0" w:color="auto"/>
            </w:tcBorders>
            <w:shd w:val="clear" w:color="auto" w:fill="BDD7EE"/>
            <w:vAlign w:val="center"/>
            <w:hideMark/>
          </w:tcPr>
          <w:p w14:paraId="1887E31B"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Indicative timeline for completion</w:t>
            </w:r>
          </w:p>
        </w:tc>
        <w:tc>
          <w:tcPr>
            <w:tcW w:w="3540" w:type="dxa"/>
            <w:vMerge w:val="restart"/>
            <w:tcBorders>
              <w:top w:val="single" w:sz="4" w:space="0" w:color="auto"/>
            </w:tcBorders>
            <w:shd w:val="clear" w:color="auto" w:fill="BDD7EE"/>
            <w:vAlign w:val="center"/>
            <w:hideMark/>
          </w:tcPr>
          <w:p w14:paraId="1887E31C"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Description of each milestone and target</w:t>
            </w:r>
          </w:p>
        </w:tc>
      </w:tr>
      <w:tr w:rsidR="00C02B59" w:rsidRPr="00D1795B" w14:paraId="1887E329" w14:textId="77777777" w:rsidTr="00C02B59">
        <w:trPr>
          <w:trHeight w:val="300"/>
          <w:tblHeader/>
          <w:jc w:val="center"/>
        </w:trPr>
        <w:tc>
          <w:tcPr>
            <w:tcW w:w="1149" w:type="dxa"/>
            <w:vMerge/>
            <w:tcBorders>
              <w:top w:val="single" w:sz="4" w:space="0" w:color="auto"/>
              <w:right w:val="single" w:sz="4" w:space="0" w:color="auto"/>
            </w:tcBorders>
            <w:vAlign w:val="center"/>
            <w:hideMark/>
          </w:tcPr>
          <w:p w14:paraId="1887E31E" w14:textId="77777777" w:rsidR="00C02B59" w:rsidRPr="00D1795B" w:rsidRDefault="00C02B59">
            <w:pPr>
              <w:spacing w:after="0" w:line="240" w:lineRule="auto"/>
              <w:jc w:val="center"/>
              <w:rPr>
                <w:rFonts w:ascii="Times New Roman" w:hAnsi="Times New Roman" w:cs="Times New Roman"/>
                <w:b/>
                <w:noProof/>
                <w:sz w:val="18"/>
                <w:szCs w:val="18"/>
              </w:rPr>
            </w:pPr>
          </w:p>
        </w:tc>
        <w:tc>
          <w:tcPr>
            <w:tcW w:w="1418" w:type="dxa"/>
            <w:vMerge/>
            <w:tcBorders>
              <w:top w:val="single" w:sz="4" w:space="0" w:color="auto"/>
              <w:left w:val="single" w:sz="4" w:space="0" w:color="auto"/>
              <w:right w:val="single" w:sz="4" w:space="0" w:color="auto"/>
            </w:tcBorders>
            <w:vAlign w:val="center"/>
            <w:hideMark/>
          </w:tcPr>
          <w:p w14:paraId="1887E31F" w14:textId="77777777" w:rsidR="00C02B59" w:rsidRPr="00D1795B" w:rsidRDefault="00C02B59">
            <w:pPr>
              <w:spacing w:after="0" w:line="240" w:lineRule="auto"/>
              <w:jc w:val="center"/>
              <w:rPr>
                <w:rFonts w:ascii="Times New Roman" w:hAnsi="Times New Roman" w:cs="Times New Roman"/>
                <w:b/>
                <w:noProof/>
                <w:sz w:val="18"/>
                <w:szCs w:val="18"/>
              </w:rPr>
            </w:pPr>
          </w:p>
        </w:tc>
        <w:tc>
          <w:tcPr>
            <w:tcW w:w="1133" w:type="dxa"/>
            <w:vMerge/>
            <w:tcBorders>
              <w:top w:val="single" w:sz="4" w:space="0" w:color="auto"/>
              <w:left w:val="single" w:sz="4" w:space="0" w:color="auto"/>
              <w:right w:val="single" w:sz="4" w:space="0" w:color="auto"/>
            </w:tcBorders>
            <w:vAlign w:val="center"/>
            <w:hideMark/>
          </w:tcPr>
          <w:p w14:paraId="1887E320" w14:textId="77777777" w:rsidR="00C02B59" w:rsidRPr="00D1795B" w:rsidRDefault="00C02B59">
            <w:pPr>
              <w:spacing w:after="0" w:line="240" w:lineRule="auto"/>
              <w:jc w:val="center"/>
              <w:rPr>
                <w:rFonts w:ascii="Times New Roman" w:hAnsi="Times New Roman" w:cs="Times New Roman"/>
                <w:b/>
                <w:noProof/>
                <w:sz w:val="18"/>
                <w:szCs w:val="18"/>
              </w:rPr>
            </w:pPr>
          </w:p>
        </w:tc>
        <w:tc>
          <w:tcPr>
            <w:tcW w:w="1545" w:type="dxa"/>
            <w:vMerge/>
            <w:tcBorders>
              <w:top w:val="single" w:sz="4" w:space="0" w:color="auto"/>
              <w:left w:val="single" w:sz="4" w:space="0" w:color="auto"/>
              <w:right w:val="single" w:sz="4" w:space="0" w:color="auto"/>
            </w:tcBorders>
            <w:vAlign w:val="center"/>
            <w:hideMark/>
          </w:tcPr>
          <w:p w14:paraId="1887E321" w14:textId="77777777" w:rsidR="00C02B59" w:rsidRPr="00D1795B" w:rsidRDefault="00C02B59">
            <w:pPr>
              <w:spacing w:after="0" w:line="240" w:lineRule="auto"/>
              <w:jc w:val="center"/>
              <w:rPr>
                <w:rFonts w:ascii="Times New Roman" w:hAnsi="Times New Roman" w:cs="Times New Roman"/>
                <w:b/>
                <w:noProof/>
                <w:sz w:val="18"/>
                <w:szCs w:val="18"/>
              </w:rPr>
            </w:pPr>
          </w:p>
        </w:tc>
        <w:tc>
          <w:tcPr>
            <w:tcW w:w="1575" w:type="dxa"/>
            <w:vMerge/>
            <w:tcBorders>
              <w:top w:val="single" w:sz="4" w:space="0" w:color="auto"/>
              <w:left w:val="single" w:sz="4" w:space="0" w:color="auto"/>
              <w:right w:val="single" w:sz="4" w:space="0" w:color="auto"/>
            </w:tcBorders>
            <w:vAlign w:val="center"/>
            <w:hideMark/>
          </w:tcPr>
          <w:p w14:paraId="1887E322" w14:textId="77777777" w:rsidR="00C02B59" w:rsidRPr="00D1795B" w:rsidRDefault="00C02B59">
            <w:pPr>
              <w:spacing w:after="0" w:line="240" w:lineRule="auto"/>
              <w:jc w:val="center"/>
              <w:rPr>
                <w:rFonts w:ascii="Times New Roman" w:hAnsi="Times New Roman" w:cs="Times New Roman"/>
                <w:b/>
                <w:noProof/>
                <w:sz w:val="18"/>
                <w:szCs w:val="18"/>
              </w:rPr>
            </w:pPr>
          </w:p>
        </w:tc>
        <w:tc>
          <w:tcPr>
            <w:tcW w:w="1133" w:type="dxa"/>
            <w:tcBorders>
              <w:top w:val="single" w:sz="4" w:space="0" w:color="auto"/>
              <w:left w:val="single" w:sz="4" w:space="0" w:color="auto"/>
              <w:right w:val="single" w:sz="4" w:space="0" w:color="auto"/>
            </w:tcBorders>
            <w:shd w:val="clear" w:color="auto" w:fill="BDD7EE"/>
            <w:vAlign w:val="center"/>
            <w:hideMark/>
          </w:tcPr>
          <w:p w14:paraId="1887E323"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Unit of measure</w:t>
            </w:r>
          </w:p>
        </w:tc>
        <w:tc>
          <w:tcPr>
            <w:tcW w:w="992" w:type="dxa"/>
            <w:tcBorders>
              <w:top w:val="single" w:sz="4" w:space="0" w:color="auto"/>
              <w:left w:val="single" w:sz="4" w:space="0" w:color="auto"/>
              <w:right w:val="single" w:sz="4" w:space="0" w:color="auto"/>
            </w:tcBorders>
            <w:shd w:val="clear" w:color="auto" w:fill="BDD7EE"/>
            <w:vAlign w:val="center"/>
            <w:hideMark/>
          </w:tcPr>
          <w:p w14:paraId="1887E324"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Baseline</w:t>
            </w:r>
          </w:p>
        </w:tc>
        <w:tc>
          <w:tcPr>
            <w:tcW w:w="992" w:type="dxa"/>
            <w:tcBorders>
              <w:top w:val="single" w:sz="4" w:space="0" w:color="auto"/>
              <w:left w:val="single" w:sz="4" w:space="0" w:color="auto"/>
              <w:right w:val="single" w:sz="4" w:space="0" w:color="auto"/>
            </w:tcBorders>
            <w:shd w:val="clear" w:color="auto" w:fill="BDD7EE"/>
            <w:vAlign w:val="center"/>
            <w:hideMark/>
          </w:tcPr>
          <w:p w14:paraId="1887E325"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Goal</w:t>
            </w:r>
          </w:p>
        </w:tc>
        <w:tc>
          <w:tcPr>
            <w:tcW w:w="992" w:type="dxa"/>
            <w:tcBorders>
              <w:top w:val="single" w:sz="4" w:space="0" w:color="auto"/>
              <w:left w:val="single" w:sz="4" w:space="0" w:color="auto"/>
              <w:right w:val="single" w:sz="4" w:space="0" w:color="auto"/>
            </w:tcBorders>
            <w:shd w:val="clear" w:color="auto" w:fill="BDD7EE"/>
            <w:vAlign w:val="center"/>
            <w:hideMark/>
          </w:tcPr>
          <w:p w14:paraId="1887E326"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Quarter</w:t>
            </w:r>
          </w:p>
        </w:tc>
        <w:tc>
          <w:tcPr>
            <w:tcW w:w="851" w:type="dxa"/>
            <w:tcBorders>
              <w:top w:val="single" w:sz="4" w:space="0" w:color="auto"/>
              <w:left w:val="single" w:sz="4" w:space="0" w:color="auto"/>
            </w:tcBorders>
            <w:shd w:val="clear" w:color="auto" w:fill="BDD7EE"/>
            <w:vAlign w:val="center"/>
            <w:hideMark/>
          </w:tcPr>
          <w:p w14:paraId="1887E327"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Year</w:t>
            </w:r>
          </w:p>
        </w:tc>
        <w:tc>
          <w:tcPr>
            <w:tcW w:w="3540" w:type="dxa"/>
            <w:vMerge/>
            <w:hideMark/>
          </w:tcPr>
          <w:p w14:paraId="1887E328" w14:textId="77777777" w:rsidR="00C02B59" w:rsidRPr="00D1795B" w:rsidRDefault="00C02B59" w:rsidP="00C02B59">
            <w:pPr>
              <w:spacing w:after="0" w:line="240" w:lineRule="auto"/>
              <w:jc w:val="both"/>
              <w:rPr>
                <w:rFonts w:ascii="Times New Roman" w:hAnsi="Times New Roman" w:cs="Times New Roman"/>
                <w:b/>
                <w:noProof/>
                <w:sz w:val="18"/>
                <w:szCs w:val="18"/>
              </w:rPr>
            </w:pPr>
          </w:p>
        </w:tc>
      </w:tr>
      <w:tr w:rsidR="00C02B59" w:rsidRPr="00D1795B" w:rsidDel="00D31E47" w14:paraId="1887E336" w14:textId="77777777" w:rsidTr="00C02B59">
        <w:trPr>
          <w:trHeight w:val="300"/>
          <w:jc w:val="center"/>
        </w:trPr>
        <w:tc>
          <w:tcPr>
            <w:tcW w:w="1149" w:type="dxa"/>
            <w:shd w:val="clear" w:color="auto" w:fill="C6EFCE"/>
            <w:noWrap/>
            <w:hideMark/>
          </w:tcPr>
          <w:p w14:paraId="1887E32A" w14:textId="77777777" w:rsidR="00C02B59" w:rsidRPr="00D1795B" w:rsidDel="00D31E47"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66</w:t>
            </w:r>
          </w:p>
        </w:tc>
        <w:tc>
          <w:tcPr>
            <w:tcW w:w="1418" w:type="dxa"/>
            <w:shd w:val="clear" w:color="auto" w:fill="C6EFCE"/>
            <w:noWrap/>
            <w:hideMark/>
          </w:tcPr>
          <w:p w14:paraId="1887E32B"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C2.3R1 </w:t>
            </w:r>
          </w:p>
          <w:p w14:paraId="1887E32C" w14:textId="77777777" w:rsidR="00C02B59" w:rsidRPr="00D1795B" w:rsidDel="00D31E47"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Water Resource Management Reform</w:t>
            </w:r>
          </w:p>
        </w:tc>
        <w:tc>
          <w:tcPr>
            <w:tcW w:w="1133" w:type="dxa"/>
            <w:shd w:val="clear" w:color="auto" w:fill="C6EFCE"/>
            <w:noWrap/>
            <w:hideMark/>
          </w:tcPr>
          <w:p w14:paraId="1887E32D" w14:textId="77777777" w:rsidR="00C02B59" w:rsidRPr="00D1795B" w:rsidDel="00D31E47"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545" w:type="dxa"/>
            <w:shd w:val="clear" w:color="auto" w:fill="C6EFCE"/>
            <w:noWrap/>
          </w:tcPr>
          <w:p w14:paraId="1887E32E" w14:textId="77777777" w:rsidR="00C02B59" w:rsidRPr="00D1795B" w:rsidDel="00D31E47"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Adoption and publication of an action plan on water resource management</w:t>
            </w:r>
          </w:p>
        </w:tc>
        <w:tc>
          <w:tcPr>
            <w:tcW w:w="1575" w:type="dxa"/>
            <w:shd w:val="clear" w:color="auto" w:fill="C6EFCE"/>
            <w:noWrap/>
            <w:hideMark/>
          </w:tcPr>
          <w:p w14:paraId="1887E32F" w14:textId="77777777" w:rsidR="00C02B59" w:rsidRPr="00D1795B" w:rsidDel="00D31E47"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Adoption and publication of the action plan on the website of the Ministry of Agriculture, Rural Development and Environment</w:t>
            </w:r>
          </w:p>
        </w:tc>
        <w:tc>
          <w:tcPr>
            <w:tcW w:w="1133" w:type="dxa"/>
            <w:shd w:val="clear" w:color="auto" w:fill="C6EFCE"/>
            <w:noWrap/>
          </w:tcPr>
          <w:p w14:paraId="1887E330" w14:textId="77777777" w:rsidR="00C02B59" w:rsidRPr="00D1795B" w:rsidDel="00D31E47"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331" w14:textId="77777777" w:rsidR="00C02B59" w:rsidRPr="00D1795B" w:rsidDel="00D31E47"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332" w14:textId="77777777" w:rsidR="00C02B59" w:rsidRPr="00D1795B" w:rsidDel="00D31E47"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333" w14:textId="77777777" w:rsidR="00C02B59" w:rsidRPr="00D1795B" w:rsidDel="00D31E47"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1" w:type="dxa"/>
            <w:shd w:val="clear" w:color="auto" w:fill="C6EFCE"/>
            <w:noWrap/>
            <w:hideMark/>
          </w:tcPr>
          <w:p w14:paraId="1887E334" w14:textId="77777777" w:rsidR="00C02B59" w:rsidRPr="00D1795B" w:rsidDel="00D31E47"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540" w:type="dxa"/>
            <w:shd w:val="clear" w:color="auto" w:fill="C6EFCE"/>
            <w:noWrap/>
            <w:hideMark/>
          </w:tcPr>
          <w:p w14:paraId="1887E335" w14:textId="77777777" w:rsidR="00C02B59" w:rsidRPr="00D1795B" w:rsidDel="00D31E47"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Adoption by the Council of Ministers and publication on the website of the Ministry of Agriculture, Rural Development and Environment of an action plan on water resource management. </w:t>
            </w:r>
          </w:p>
        </w:tc>
      </w:tr>
      <w:tr w:rsidR="00C02B59" w:rsidRPr="00D1795B" w14:paraId="1887E346" w14:textId="77777777" w:rsidTr="00C02B59">
        <w:trPr>
          <w:trHeight w:val="300"/>
          <w:jc w:val="center"/>
        </w:trPr>
        <w:tc>
          <w:tcPr>
            <w:tcW w:w="1149" w:type="dxa"/>
            <w:shd w:val="clear" w:color="auto" w:fill="C6EFCE"/>
            <w:noWrap/>
          </w:tcPr>
          <w:p w14:paraId="1887E337"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70</w:t>
            </w:r>
          </w:p>
        </w:tc>
        <w:tc>
          <w:tcPr>
            <w:tcW w:w="1418" w:type="dxa"/>
            <w:shd w:val="clear" w:color="auto" w:fill="C6EFCE"/>
            <w:noWrap/>
          </w:tcPr>
          <w:p w14:paraId="1887E338"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C2.3I2 </w:t>
            </w:r>
          </w:p>
          <w:p w14:paraId="1887E339"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Water Treatment Plants </w:t>
            </w:r>
          </w:p>
        </w:tc>
        <w:tc>
          <w:tcPr>
            <w:tcW w:w="1133" w:type="dxa"/>
            <w:shd w:val="clear" w:color="auto" w:fill="C6EFCE"/>
            <w:noWrap/>
          </w:tcPr>
          <w:p w14:paraId="1887E33A"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545" w:type="dxa"/>
            <w:shd w:val="clear" w:color="auto" w:fill="C6EFCE"/>
            <w:noWrap/>
          </w:tcPr>
          <w:p w14:paraId="1887E33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Projects in Water Treatments Plant(s)</w:t>
            </w:r>
          </w:p>
        </w:tc>
        <w:tc>
          <w:tcPr>
            <w:tcW w:w="1575" w:type="dxa"/>
            <w:shd w:val="clear" w:color="auto" w:fill="C6EFCE"/>
            <w:noWrap/>
          </w:tcPr>
          <w:p w14:paraId="1887E33C"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Issued acceptance certificates</w:t>
            </w:r>
          </w:p>
        </w:tc>
        <w:tc>
          <w:tcPr>
            <w:tcW w:w="1133" w:type="dxa"/>
            <w:shd w:val="clear" w:color="auto" w:fill="C6EFCE"/>
            <w:noWrap/>
          </w:tcPr>
          <w:p w14:paraId="1887E33D"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3E"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3F"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4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851" w:type="dxa"/>
            <w:shd w:val="clear" w:color="auto" w:fill="C6EFCE"/>
            <w:noWrap/>
          </w:tcPr>
          <w:p w14:paraId="1887E34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540" w:type="dxa"/>
            <w:shd w:val="clear" w:color="auto" w:fill="C6EFCE"/>
            <w:noWrap/>
          </w:tcPr>
          <w:p w14:paraId="1887E34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Projects in Water Treatment Plant(s) as follows:</w:t>
            </w:r>
          </w:p>
          <w:p w14:paraId="1887E343" w14:textId="77777777" w:rsidR="00C02B59" w:rsidRPr="00D1795B" w:rsidRDefault="00C02B59" w:rsidP="00C02B59">
            <w:pPr>
              <w:spacing w:after="0" w:line="240" w:lineRule="auto"/>
              <w:jc w:val="both"/>
              <w:rPr>
                <w:rFonts w:ascii="Times New Roman" w:eastAsiaTheme="minorHAnsi" w:hAnsi="Times New Roman" w:cs="Times New Roman"/>
                <w:noProof/>
                <w:sz w:val="18"/>
                <w:szCs w:val="18"/>
              </w:rPr>
            </w:pPr>
            <w:r w:rsidRPr="00D1795B">
              <w:rPr>
                <w:rFonts w:ascii="Times New Roman" w:hAnsi="Times New Roman" w:cs="Times New Roman"/>
                <w:noProof/>
                <w:sz w:val="18"/>
                <w:szCs w:val="18"/>
              </w:rPr>
              <w:t>Installation of activated carbon filtration system(s) in Tersefanou, Asprokremmos and Limassol</w:t>
            </w:r>
          </w:p>
          <w:p w14:paraId="1887E344" w14:textId="77777777" w:rsidR="00C02B59" w:rsidRPr="00D1795B" w:rsidRDefault="00C02B59" w:rsidP="00C02B59">
            <w:pPr>
              <w:spacing w:after="0" w:line="240" w:lineRule="auto"/>
              <w:jc w:val="both"/>
              <w:rPr>
                <w:rFonts w:ascii="Times New Roman" w:eastAsiaTheme="minorHAnsi" w:hAnsi="Times New Roman" w:cs="Times New Roman"/>
                <w:noProof/>
                <w:sz w:val="18"/>
                <w:szCs w:val="18"/>
              </w:rPr>
            </w:pPr>
            <w:r w:rsidRPr="00D1795B">
              <w:rPr>
                <w:rFonts w:ascii="Times New Roman" w:hAnsi="Times New Roman" w:cs="Times New Roman"/>
                <w:noProof/>
                <w:sz w:val="18"/>
                <w:szCs w:val="18"/>
              </w:rPr>
              <w:t>Insta</w:t>
            </w:r>
            <w:r w:rsidRPr="00D1795B">
              <w:rPr>
                <w:rFonts w:ascii="Times New Roman" w:eastAsiaTheme="minorHAnsi" w:hAnsi="Times New Roman" w:cs="Times New Roman"/>
                <w:noProof/>
                <w:sz w:val="18"/>
                <w:szCs w:val="18"/>
              </w:rPr>
              <w:t>llation of on-site chlorine</w:t>
            </w:r>
            <w:r w:rsidRPr="00D1795B">
              <w:rPr>
                <w:rFonts w:ascii="Times New Roman" w:hAnsi="Times New Roman" w:cs="Times New Roman"/>
                <w:noProof/>
                <w:sz w:val="18"/>
                <w:szCs w:val="18"/>
              </w:rPr>
              <w:t xml:space="preserve"> d</w:t>
            </w:r>
            <w:r w:rsidRPr="00D1795B">
              <w:rPr>
                <w:rFonts w:ascii="Times New Roman" w:eastAsiaTheme="minorHAnsi" w:hAnsi="Times New Roman" w:cs="Times New Roman"/>
                <w:noProof/>
                <w:sz w:val="18"/>
                <w:szCs w:val="18"/>
              </w:rPr>
              <w:t>ioxide generation system(s) in Limassol, Asprokremm</w:t>
            </w:r>
            <w:r w:rsidRPr="00D1795B">
              <w:rPr>
                <w:rFonts w:ascii="Times New Roman" w:hAnsi="Times New Roman" w:cs="Times New Roman"/>
                <w:noProof/>
                <w:sz w:val="18"/>
                <w:szCs w:val="18"/>
              </w:rPr>
              <w:t>os, Tersefanou, Kornos and Kannaviou</w:t>
            </w:r>
          </w:p>
          <w:p w14:paraId="1887E345"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Installation of filtration system for the expansion of the Asprokremmos Water Treatment Plant including the motor control center. </w:t>
            </w:r>
          </w:p>
        </w:tc>
      </w:tr>
      <w:tr w:rsidR="00C02B59" w:rsidRPr="00D1795B" w14:paraId="1887E353" w14:textId="77777777" w:rsidTr="00C02B59">
        <w:trPr>
          <w:trHeight w:val="300"/>
          <w:jc w:val="center"/>
        </w:trPr>
        <w:tc>
          <w:tcPr>
            <w:tcW w:w="1149" w:type="dxa"/>
            <w:shd w:val="clear" w:color="auto" w:fill="C6EFCE"/>
            <w:noWrap/>
          </w:tcPr>
          <w:p w14:paraId="1887E34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71</w:t>
            </w:r>
          </w:p>
        </w:tc>
        <w:tc>
          <w:tcPr>
            <w:tcW w:w="1418" w:type="dxa"/>
            <w:shd w:val="clear" w:color="auto" w:fill="C6EFCE"/>
            <w:noWrap/>
          </w:tcPr>
          <w:p w14:paraId="1887E348"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C2.3I3 </w:t>
            </w:r>
          </w:p>
          <w:p w14:paraId="1887E349"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Integrated Monitoring and Control Management System for the Water Development Department’s infrastructure</w:t>
            </w:r>
          </w:p>
        </w:tc>
        <w:tc>
          <w:tcPr>
            <w:tcW w:w="1133" w:type="dxa"/>
            <w:shd w:val="clear" w:color="auto" w:fill="C6EFCE"/>
            <w:noWrap/>
          </w:tcPr>
          <w:p w14:paraId="1887E34A"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545" w:type="dxa"/>
            <w:shd w:val="clear" w:color="auto" w:fill="C6EFCE"/>
            <w:noWrap/>
          </w:tcPr>
          <w:p w14:paraId="1887E34B"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Completion of the detailed requirements analysis and system design document</w:t>
            </w:r>
          </w:p>
        </w:tc>
        <w:tc>
          <w:tcPr>
            <w:tcW w:w="1575" w:type="dxa"/>
            <w:shd w:val="clear" w:color="auto" w:fill="C6EFCE"/>
            <w:noWrap/>
          </w:tcPr>
          <w:p w14:paraId="1887E34C"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Approval of detailed requirements analysis and system design document by the Steering Committee of the Water Development Department </w:t>
            </w:r>
          </w:p>
        </w:tc>
        <w:tc>
          <w:tcPr>
            <w:tcW w:w="1133" w:type="dxa"/>
            <w:shd w:val="clear" w:color="auto" w:fill="C6EFCE"/>
            <w:noWrap/>
          </w:tcPr>
          <w:p w14:paraId="1887E34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34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34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35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1" w:type="dxa"/>
            <w:shd w:val="clear" w:color="auto" w:fill="C6EFCE"/>
            <w:noWrap/>
          </w:tcPr>
          <w:p w14:paraId="1887E35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540" w:type="dxa"/>
            <w:shd w:val="clear" w:color="auto" w:fill="C6EFCE"/>
            <w:noWrap/>
          </w:tcPr>
          <w:p w14:paraId="1887E35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requirements analysis and system design document shall describe all the aspects, features, and functionalities of the system, including quality sensors, operational sensors (such as flow, level, and pressure), energy meters, communications devices, IT equipment (hardware, software). The detailed requirements analysis and system design shall determine the exact number and type of equipment required for this project.</w:t>
            </w:r>
          </w:p>
        </w:tc>
      </w:tr>
      <w:tr w:rsidR="00C02B59" w:rsidRPr="00D1795B" w14:paraId="1887E360" w14:textId="77777777" w:rsidTr="00C02B59">
        <w:trPr>
          <w:trHeight w:val="300"/>
          <w:jc w:val="center"/>
        </w:trPr>
        <w:tc>
          <w:tcPr>
            <w:tcW w:w="1149" w:type="dxa"/>
            <w:tcBorders>
              <w:bottom w:val="single" w:sz="4" w:space="0" w:color="auto"/>
            </w:tcBorders>
            <w:shd w:val="clear" w:color="auto" w:fill="C6EFCE"/>
            <w:noWrap/>
          </w:tcPr>
          <w:p w14:paraId="1887E35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74a</w:t>
            </w:r>
          </w:p>
        </w:tc>
        <w:tc>
          <w:tcPr>
            <w:tcW w:w="1418" w:type="dxa"/>
            <w:tcBorders>
              <w:bottom w:val="single" w:sz="4" w:space="0" w:color="auto"/>
            </w:tcBorders>
            <w:shd w:val="clear" w:color="auto" w:fill="C6EFCE"/>
            <w:noWrap/>
          </w:tcPr>
          <w:p w14:paraId="1887E355"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C2.3I4</w:t>
            </w:r>
          </w:p>
          <w:p w14:paraId="1887E356"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Smart Water and Sewerage Networks Management</w:t>
            </w:r>
          </w:p>
        </w:tc>
        <w:tc>
          <w:tcPr>
            <w:tcW w:w="1133" w:type="dxa"/>
            <w:tcBorders>
              <w:bottom w:val="single" w:sz="4" w:space="0" w:color="auto"/>
            </w:tcBorders>
            <w:shd w:val="clear" w:color="auto" w:fill="C6EFCE"/>
            <w:noWrap/>
          </w:tcPr>
          <w:p w14:paraId="1887E357"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545" w:type="dxa"/>
            <w:tcBorders>
              <w:bottom w:val="single" w:sz="4" w:space="0" w:color="auto"/>
            </w:tcBorders>
            <w:shd w:val="clear" w:color="auto" w:fill="C6EFCE"/>
            <w:noWrap/>
          </w:tcPr>
          <w:p w14:paraId="1887E358"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Delivery and installation of photovoltaics at the Larnaca Wastewater Treatment Plant</w:t>
            </w:r>
          </w:p>
        </w:tc>
        <w:tc>
          <w:tcPr>
            <w:tcW w:w="1575" w:type="dxa"/>
            <w:tcBorders>
              <w:bottom w:val="single" w:sz="4" w:space="0" w:color="auto"/>
            </w:tcBorders>
            <w:shd w:val="clear" w:color="auto" w:fill="C6EFCE"/>
            <w:noWrap/>
          </w:tcPr>
          <w:p w14:paraId="1887E359" w14:textId="77777777" w:rsidR="00C02B59" w:rsidRPr="00D1795B" w:rsidRDefault="00C02B59">
            <w:pPr>
              <w:spacing w:after="0" w:line="240" w:lineRule="auto"/>
              <w:rPr>
                <w:rFonts w:ascii="Times New Roman" w:hAnsi="Times New Roman" w:cs="Times New Roman"/>
                <w:noProof/>
                <w:sz w:val="18"/>
                <w:szCs w:val="18"/>
              </w:rPr>
            </w:pPr>
          </w:p>
        </w:tc>
        <w:tc>
          <w:tcPr>
            <w:tcW w:w="1133" w:type="dxa"/>
            <w:tcBorders>
              <w:bottom w:val="single" w:sz="4" w:space="0" w:color="auto"/>
            </w:tcBorders>
            <w:shd w:val="clear" w:color="auto" w:fill="C6EFCE"/>
            <w:noWrap/>
          </w:tcPr>
          <w:p w14:paraId="1887E35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2" w:type="dxa"/>
            <w:tcBorders>
              <w:bottom w:val="single" w:sz="4" w:space="0" w:color="auto"/>
            </w:tcBorders>
            <w:shd w:val="clear" w:color="auto" w:fill="C6EFCE"/>
            <w:noWrap/>
          </w:tcPr>
          <w:p w14:paraId="1887E35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992" w:type="dxa"/>
            <w:tcBorders>
              <w:bottom w:val="single" w:sz="4" w:space="0" w:color="auto"/>
            </w:tcBorders>
            <w:shd w:val="clear" w:color="auto" w:fill="C6EFCE"/>
            <w:noWrap/>
          </w:tcPr>
          <w:p w14:paraId="1887E35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700</w:t>
            </w:r>
          </w:p>
        </w:tc>
        <w:tc>
          <w:tcPr>
            <w:tcW w:w="992" w:type="dxa"/>
            <w:tcBorders>
              <w:bottom w:val="single" w:sz="4" w:space="0" w:color="auto"/>
            </w:tcBorders>
            <w:shd w:val="clear" w:color="auto" w:fill="C6EFCE"/>
            <w:noWrap/>
          </w:tcPr>
          <w:p w14:paraId="1887E35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851" w:type="dxa"/>
            <w:tcBorders>
              <w:bottom w:val="single" w:sz="4" w:space="0" w:color="auto"/>
            </w:tcBorders>
            <w:shd w:val="clear" w:color="auto" w:fill="C6EFCE"/>
            <w:noWrap/>
          </w:tcPr>
          <w:p w14:paraId="1887E35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540" w:type="dxa"/>
            <w:tcBorders>
              <w:bottom w:val="single" w:sz="4" w:space="0" w:color="auto"/>
            </w:tcBorders>
            <w:shd w:val="clear" w:color="auto" w:fill="C6EFCE"/>
            <w:noWrap/>
          </w:tcPr>
          <w:p w14:paraId="1887E35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Delivery and installation of photovoltaic equipment at the Larnaca Wastewater Treatment Plant generating power of at least 700KW.</w:t>
            </w:r>
          </w:p>
        </w:tc>
      </w:tr>
      <w:tr w:rsidR="00C02B59" w:rsidRPr="00D1795B" w14:paraId="1887E370" w14:textId="77777777" w:rsidTr="00C02B59">
        <w:trPr>
          <w:trHeight w:val="300"/>
          <w:jc w:val="center"/>
        </w:trPr>
        <w:tc>
          <w:tcPr>
            <w:tcW w:w="1149" w:type="dxa"/>
            <w:tcBorders>
              <w:top w:val="single" w:sz="4" w:space="0" w:color="auto"/>
              <w:left w:val="single" w:sz="4" w:space="0" w:color="auto"/>
              <w:bottom w:val="single" w:sz="4" w:space="0" w:color="auto"/>
              <w:right w:val="single" w:sz="4" w:space="0" w:color="auto"/>
            </w:tcBorders>
            <w:shd w:val="clear" w:color="auto" w:fill="C6EFCE"/>
            <w:noWrap/>
          </w:tcPr>
          <w:p w14:paraId="1887E361"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76b</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887E362"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C2.3I4</w:t>
            </w:r>
          </w:p>
          <w:p w14:paraId="1887E363"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Smart Water and Sewerage Networks Management</w:t>
            </w:r>
          </w:p>
        </w:tc>
        <w:tc>
          <w:tcPr>
            <w:tcW w:w="1133" w:type="dxa"/>
            <w:tcBorders>
              <w:top w:val="single" w:sz="4" w:space="0" w:color="auto"/>
              <w:left w:val="single" w:sz="4" w:space="0" w:color="auto"/>
              <w:bottom w:val="single" w:sz="4" w:space="0" w:color="auto"/>
              <w:right w:val="single" w:sz="4" w:space="0" w:color="auto"/>
            </w:tcBorders>
            <w:shd w:val="clear" w:color="auto" w:fill="C6EFCE"/>
            <w:noWrap/>
          </w:tcPr>
          <w:p w14:paraId="1887E364"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545" w:type="dxa"/>
            <w:tcBorders>
              <w:top w:val="single" w:sz="4" w:space="0" w:color="auto"/>
              <w:left w:val="single" w:sz="4" w:space="0" w:color="auto"/>
              <w:bottom w:val="single" w:sz="4" w:space="0" w:color="auto"/>
              <w:right w:val="single" w:sz="4" w:space="0" w:color="auto"/>
            </w:tcBorders>
            <w:shd w:val="clear" w:color="auto" w:fill="C6EFCE"/>
            <w:noWrap/>
          </w:tcPr>
          <w:p w14:paraId="1887E36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Projects in Larnaca and Limassol</w:t>
            </w:r>
          </w:p>
        </w:tc>
        <w:tc>
          <w:tcPr>
            <w:tcW w:w="1575" w:type="dxa"/>
            <w:tcBorders>
              <w:top w:val="single" w:sz="4" w:space="0" w:color="auto"/>
              <w:left w:val="single" w:sz="4" w:space="0" w:color="auto"/>
              <w:bottom w:val="single" w:sz="4" w:space="0" w:color="auto"/>
              <w:right w:val="single" w:sz="4" w:space="0" w:color="auto"/>
            </w:tcBorders>
            <w:shd w:val="clear" w:color="auto" w:fill="C6EFCE"/>
            <w:noWrap/>
          </w:tcPr>
          <w:p w14:paraId="1887E366"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Issued acceptance certificates </w:t>
            </w:r>
          </w:p>
        </w:tc>
        <w:tc>
          <w:tcPr>
            <w:tcW w:w="1133" w:type="dxa"/>
            <w:tcBorders>
              <w:top w:val="single" w:sz="4" w:space="0" w:color="auto"/>
              <w:left w:val="single" w:sz="4" w:space="0" w:color="auto"/>
              <w:bottom w:val="single" w:sz="4" w:space="0" w:color="auto"/>
              <w:right w:val="single" w:sz="4" w:space="0" w:color="auto"/>
            </w:tcBorders>
            <w:shd w:val="clear" w:color="auto" w:fill="C6EFCE"/>
            <w:noWrap/>
          </w:tcPr>
          <w:p w14:paraId="1887E36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887E36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887E36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887E36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887E36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540" w:type="dxa"/>
            <w:tcBorders>
              <w:top w:val="single" w:sz="4" w:space="0" w:color="auto"/>
              <w:left w:val="single" w:sz="4" w:space="0" w:color="auto"/>
              <w:bottom w:val="single" w:sz="4" w:space="0" w:color="auto"/>
              <w:right w:val="single" w:sz="4" w:space="0" w:color="auto"/>
            </w:tcBorders>
            <w:shd w:val="clear" w:color="auto" w:fill="C6EFCE"/>
            <w:noWrap/>
          </w:tcPr>
          <w:p w14:paraId="1887E36C"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Projects as follows:</w:t>
            </w:r>
          </w:p>
          <w:p w14:paraId="1887E36D" w14:textId="77777777" w:rsidR="00C02B59" w:rsidRPr="00D1795B" w:rsidRDefault="00C02B59" w:rsidP="00C02B59">
            <w:pPr>
              <w:numPr>
                <w:ilvl w:val="0"/>
                <w:numId w:val="23"/>
              </w:num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At least 200 quality and pressure sensors and at least 100 000 smart meters for consumption reading. </w:t>
            </w:r>
          </w:p>
          <w:p w14:paraId="1887E36E" w14:textId="77777777" w:rsidR="00C02B59" w:rsidRPr="00D1795B" w:rsidRDefault="00C02B59" w:rsidP="00C02B59">
            <w:pPr>
              <w:numPr>
                <w:ilvl w:val="0"/>
                <w:numId w:val="24"/>
              </w:num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Digital Twin decision support system and smart water living lab in Limassol.</w:t>
            </w:r>
          </w:p>
          <w:p w14:paraId="1887E36F" w14:textId="77777777" w:rsidR="00C02B59" w:rsidRPr="00D1795B" w:rsidRDefault="00C02B59" w:rsidP="00C02B59">
            <w:pPr>
              <w:numPr>
                <w:ilvl w:val="0"/>
                <w:numId w:val="24"/>
              </w:num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Digital Twin decision support system in Larnaca. </w:t>
            </w:r>
          </w:p>
        </w:tc>
      </w:tr>
      <w:tr w:rsidR="00C02B59" w:rsidRPr="00D1795B" w14:paraId="1887E37D" w14:textId="77777777" w:rsidTr="00C02B59">
        <w:trPr>
          <w:trHeight w:val="300"/>
          <w:jc w:val="center"/>
        </w:trPr>
        <w:tc>
          <w:tcPr>
            <w:tcW w:w="1149" w:type="dxa"/>
            <w:tcBorders>
              <w:top w:val="single" w:sz="4" w:space="0" w:color="auto"/>
            </w:tcBorders>
            <w:shd w:val="clear" w:color="auto" w:fill="C6EFCE"/>
            <w:noWrap/>
          </w:tcPr>
          <w:p w14:paraId="1887E37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77a</w:t>
            </w:r>
          </w:p>
        </w:tc>
        <w:tc>
          <w:tcPr>
            <w:tcW w:w="1418" w:type="dxa"/>
            <w:tcBorders>
              <w:top w:val="single" w:sz="4" w:space="0" w:color="auto"/>
            </w:tcBorders>
            <w:shd w:val="clear" w:color="auto" w:fill="C6EFCE"/>
            <w:noWrap/>
          </w:tcPr>
          <w:p w14:paraId="1887E372"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C2.3I5</w:t>
            </w:r>
          </w:p>
          <w:p w14:paraId="1887E373"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Anti-flood and water collection measures</w:t>
            </w:r>
          </w:p>
        </w:tc>
        <w:tc>
          <w:tcPr>
            <w:tcW w:w="1133" w:type="dxa"/>
            <w:tcBorders>
              <w:top w:val="single" w:sz="4" w:space="0" w:color="auto"/>
            </w:tcBorders>
            <w:shd w:val="clear" w:color="auto" w:fill="C6EFCE"/>
            <w:noWrap/>
          </w:tcPr>
          <w:p w14:paraId="1887E374"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545" w:type="dxa"/>
            <w:tcBorders>
              <w:top w:val="single" w:sz="4" w:space="0" w:color="auto"/>
            </w:tcBorders>
            <w:shd w:val="clear" w:color="auto" w:fill="C6EFCE"/>
            <w:noWrap/>
          </w:tcPr>
          <w:p w14:paraId="1887E375"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Completion of construction works of drainage network and reconstruction of streets and pavements in areas of Nicosia</w:t>
            </w:r>
          </w:p>
        </w:tc>
        <w:tc>
          <w:tcPr>
            <w:tcW w:w="1575" w:type="dxa"/>
            <w:tcBorders>
              <w:top w:val="single" w:sz="4" w:space="0" w:color="auto"/>
            </w:tcBorders>
            <w:shd w:val="clear" w:color="auto" w:fill="C6EFCE"/>
            <w:noWrap/>
          </w:tcPr>
          <w:p w14:paraId="1887E376"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Project management team certifies the completion of the construction</w:t>
            </w:r>
          </w:p>
        </w:tc>
        <w:tc>
          <w:tcPr>
            <w:tcW w:w="1133" w:type="dxa"/>
            <w:tcBorders>
              <w:top w:val="single" w:sz="4" w:space="0" w:color="auto"/>
            </w:tcBorders>
            <w:shd w:val="clear" w:color="auto" w:fill="C6EFCE"/>
            <w:noWrap/>
          </w:tcPr>
          <w:p w14:paraId="1887E37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tcBorders>
              <w:top w:val="single" w:sz="4" w:space="0" w:color="auto"/>
            </w:tcBorders>
            <w:shd w:val="clear" w:color="auto" w:fill="C6EFCE"/>
            <w:noWrap/>
          </w:tcPr>
          <w:p w14:paraId="1887E37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tcBorders>
              <w:top w:val="single" w:sz="4" w:space="0" w:color="auto"/>
            </w:tcBorders>
            <w:shd w:val="clear" w:color="auto" w:fill="C6EFCE"/>
            <w:noWrap/>
          </w:tcPr>
          <w:p w14:paraId="1887E37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tcBorders>
              <w:top w:val="single" w:sz="4" w:space="0" w:color="auto"/>
            </w:tcBorders>
            <w:shd w:val="clear" w:color="auto" w:fill="C6EFCE"/>
            <w:noWrap/>
          </w:tcPr>
          <w:p w14:paraId="1887E37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851" w:type="dxa"/>
            <w:tcBorders>
              <w:top w:val="single" w:sz="4" w:space="0" w:color="auto"/>
            </w:tcBorders>
            <w:shd w:val="clear" w:color="auto" w:fill="C6EFCE"/>
            <w:noWrap/>
          </w:tcPr>
          <w:p w14:paraId="1887E37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540" w:type="dxa"/>
            <w:tcBorders>
              <w:top w:val="single" w:sz="4" w:space="0" w:color="auto"/>
            </w:tcBorders>
            <w:shd w:val="clear" w:color="auto" w:fill="C6EFCE"/>
            <w:noWrap/>
          </w:tcPr>
          <w:p w14:paraId="1887E37C"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Completion of construction of drainage network and reconstruction of streets and pavements in Agios Antonios, Old city, Likavitos and Agioi Omologites areas of Nicosia with a total length of approx. 6.5km.</w:t>
            </w:r>
          </w:p>
        </w:tc>
      </w:tr>
      <w:tr w:rsidR="00C02B59" w:rsidRPr="00D1795B" w:rsidDel="00FF0B16" w14:paraId="1887E38B" w14:textId="77777777" w:rsidTr="00C02B59">
        <w:trPr>
          <w:trHeight w:val="300"/>
          <w:jc w:val="center"/>
        </w:trPr>
        <w:tc>
          <w:tcPr>
            <w:tcW w:w="1149" w:type="dxa"/>
            <w:shd w:val="clear" w:color="auto" w:fill="C6EFCE"/>
            <w:noWrap/>
          </w:tcPr>
          <w:p w14:paraId="1887E37E" w14:textId="77777777" w:rsidR="00C02B59" w:rsidRPr="00D1795B" w:rsidDel="00FF0B16"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77b</w:t>
            </w:r>
          </w:p>
        </w:tc>
        <w:tc>
          <w:tcPr>
            <w:tcW w:w="1418" w:type="dxa"/>
            <w:shd w:val="clear" w:color="auto" w:fill="C6EFCE"/>
            <w:noWrap/>
          </w:tcPr>
          <w:p w14:paraId="1887E37F" w14:textId="77777777" w:rsidR="00C02B59" w:rsidRPr="00D1795B" w:rsidDel="00FF0B16"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C2.3I5</w:t>
            </w:r>
          </w:p>
          <w:p w14:paraId="1887E380" w14:textId="77777777" w:rsidR="00C02B59" w:rsidRPr="00D1795B" w:rsidDel="00FF0B16"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Anti-flood and water collection measures</w:t>
            </w:r>
          </w:p>
        </w:tc>
        <w:tc>
          <w:tcPr>
            <w:tcW w:w="1133" w:type="dxa"/>
            <w:shd w:val="clear" w:color="auto" w:fill="C6EFCE"/>
            <w:noWrap/>
          </w:tcPr>
          <w:p w14:paraId="1887E381" w14:textId="77777777" w:rsidR="00C02B59" w:rsidRPr="00D1795B" w:rsidDel="00FF0B16"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545" w:type="dxa"/>
            <w:shd w:val="clear" w:color="auto" w:fill="C6EFCE"/>
            <w:noWrap/>
          </w:tcPr>
          <w:p w14:paraId="1887E382" w14:textId="77777777" w:rsidR="00C02B59" w:rsidRPr="00D1795B" w:rsidDel="00FF0B16"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Anti-flood work(s) </w:t>
            </w:r>
          </w:p>
          <w:p w14:paraId="1887E383" w14:textId="77777777" w:rsidR="00C02B59" w:rsidRPr="00D1795B" w:rsidDel="00FF0B16"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or reconstruction or construction of streets and pavements in Nicosia and Limmasol</w:t>
            </w:r>
          </w:p>
        </w:tc>
        <w:tc>
          <w:tcPr>
            <w:tcW w:w="1575" w:type="dxa"/>
            <w:shd w:val="clear" w:color="auto" w:fill="C6EFCE"/>
            <w:noWrap/>
          </w:tcPr>
          <w:p w14:paraId="1887E384" w14:textId="77777777" w:rsidR="00C02B59" w:rsidRPr="00D1795B" w:rsidDel="00FF0B16"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color w:val="000000" w:themeColor="text1"/>
                <w:sz w:val="18"/>
                <w:szCs w:val="18"/>
              </w:rPr>
              <w:t>Taking over certificates</w:t>
            </w:r>
          </w:p>
        </w:tc>
        <w:tc>
          <w:tcPr>
            <w:tcW w:w="1133" w:type="dxa"/>
            <w:shd w:val="clear" w:color="auto" w:fill="C6EFCE"/>
            <w:noWrap/>
          </w:tcPr>
          <w:p w14:paraId="1887E385" w14:textId="77777777" w:rsidR="00C02B59" w:rsidRPr="00D1795B" w:rsidDel="00FF0B16"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386" w14:textId="77777777" w:rsidR="00C02B59" w:rsidRPr="00D1795B" w:rsidDel="00FF0B16"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387" w14:textId="77777777" w:rsidR="00C02B59" w:rsidRPr="00D1795B" w:rsidDel="00FF0B16"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388" w14:textId="77777777" w:rsidR="00C02B59" w:rsidRPr="00D1795B" w:rsidDel="00FF0B16"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1" w:type="dxa"/>
            <w:shd w:val="clear" w:color="auto" w:fill="C6EFCE"/>
            <w:noWrap/>
          </w:tcPr>
          <w:p w14:paraId="1887E389" w14:textId="77777777" w:rsidR="00C02B59" w:rsidRPr="00D1795B" w:rsidDel="00FF0B16"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540" w:type="dxa"/>
            <w:shd w:val="clear" w:color="auto" w:fill="C6EFCE"/>
            <w:noWrap/>
          </w:tcPr>
          <w:p w14:paraId="1887E38A" w14:textId="77777777" w:rsidR="00C02B59" w:rsidRPr="00D1795B" w:rsidDel="00FF0B16"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Anti-flood work(s) or reconstruction or construction of streets and pavements in Nicosia and Limassol.</w:t>
            </w:r>
          </w:p>
        </w:tc>
      </w:tr>
      <w:tr w:rsidR="00C02B59" w:rsidRPr="00D1795B" w14:paraId="1887E398" w14:textId="77777777" w:rsidTr="00C02B59">
        <w:trPr>
          <w:trHeight w:val="300"/>
          <w:jc w:val="center"/>
        </w:trPr>
        <w:tc>
          <w:tcPr>
            <w:tcW w:w="1149" w:type="dxa"/>
            <w:shd w:val="clear" w:color="auto" w:fill="C6EFCE"/>
            <w:noWrap/>
          </w:tcPr>
          <w:p w14:paraId="1887E38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78</w:t>
            </w:r>
          </w:p>
        </w:tc>
        <w:tc>
          <w:tcPr>
            <w:tcW w:w="1418" w:type="dxa"/>
            <w:shd w:val="clear" w:color="auto" w:fill="C6EFCE"/>
            <w:noWrap/>
          </w:tcPr>
          <w:p w14:paraId="1887E38D"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C2.3I5</w:t>
            </w:r>
          </w:p>
          <w:p w14:paraId="1887E38E"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Anti-flood and water collection measures</w:t>
            </w:r>
          </w:p>
        </w:tc>
        <w:tc>
          <w:tcPr>
            <w:tcW w:w="1133" w:type="dxa"/>
            <w:shd w:val="clear" w:color="auto" w:fill="C6EFCE"/>
            <w:noWrap/>
          </w:tcPr>
          <w:p w14:paraId="1887E38F"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545" w:type="dxa"/>
            <w:shd w:val="clear" w:color="auto" w:fill="C6EFCE"/>
            <w:noWrap/>
          </w:tcPr>
          <w:p w14:paraId="1887E390"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Construction works for rainwater collection and recycling in Kladeri area</w:t>
            </w:r>
          </w:p>
        </w:tc>
        <w:tc>
          <w:tcPr>
            <w:tcW w:w="1575" w:type="dxa"/>
            <w:shd w:val="clear" w:color="auto" w:fill="C6EFCE"/>
            <w:noWrap/>
          </w:tcPr>
          <w:p w14:paraId="1887E391"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Taking over certificates</w:t>
            </w:r>
          </w:p>
        </w:tc>
        <w:tc>
          <w:tcPr>
            <w:tcW w:w="1133" w:type="dxa"/>
            <w:shd w:val="clear" w:color="auto" w:fill="C6EFCE"/>
            <w:noWrap/>
          </w:tcPr>
          <w:p w14:paraId="1887E39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39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39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39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1" w:type="dxa"/>
            <w:shd w:val="clear" w:color="auto" w:fill="C6EFCE"/>
            <w:noWrap/>
          </w:tcPr>
          <w:p w14:paraId="1887E39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540" w:type="dxa"/>
            <w:shd w:val="clear" w:color="auto" w:fill="C6EFCE"/>
            <w:noWrap/>
          </w:tcPr>
          <w:p w14:paraId="1887E397"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Construction of rainwater collection and recycling system in Kladeri area.</w:t>
            </w:r>
          </w:p>
        </w:tc>
      </w:tr>
      <w:tr w:rsidR="00C02B59" w:rsidRPr="00D1795B" w14:paraId="1887E3A5" w14:textId="77777777" w:rsidTr="00C02B59">
        <w:trPr>
          <w:trHeight w:val="300"/>
          <w:jc w:val="center"/>
        </w:trPr>
        <w:tc>
          <w:tcPr>
            <w:tcW w:w="1149" w:type="dxa"/>
            <w:shd w:val="clear" w:color="auto" w:fill="C6EFCE"/>
            <w:noWrap/>
          </w:tcPr>
          <w:p w14:paraId="1887E399"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79</w:t>
            </w:r>
          </w:p>
        </w:tc>
        <w:tc>
          <w:tcPr>
            <w:tcW w:w="1418" w:type="dxa"/>
            <w:shd w:val="clear" w:color="auto" w:fill="C6EFCE"/>
            <w:noWrap/>
          </w:tcPr>
          <w:p w14:paraId="1887E39A"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C2.3I5</w:t>
            </w:r>
          </w:p>
          <w:p w14:paraId="1887E39B"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Anti-flood and water collection measures</w:t>
            </w:r>
          </w:p>
        </w:tc>
        <w:tc>
          <w:tcPr>
            <w:tcW w:w="1133" w:type="dxa"/>
            <w:shd w:val="clear" w:color="auto" w:fill="C6EFCE"/>
            <w:noWrap/>
          </w:tcPr>
          <w:p w14:paraId="1887E39C"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545" w:type="dxa"/>
            <w:shd w:val="clear" w:color="auto" w:fill="C6EFCE"/>
            <w:noWrap/>
          </w:tcPr>
          <w:p w14:paraId="1887E39D"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Landscaping of flood channel(s) in Livadia</w:t>
            </w:r>
          </w:p>
        </w:tc>
        <w:tc>
          <w:tcPr>
            <w:tcW w:w="1575" w:type="dxa"/>
            <w:shd w:val="clear" w:color="auto" w:fill="C6EFCE"/>
            <w:noWrap/>
          </w:tcPr>
          <w:p w14:paraId="1887E39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eastAsia="Times New Roman" w:hAnsi="Times New Roman" w:cs="Times New Roman"/>
                <w:noProof/>
                <w:sz w:val="18"/>
                <w:szCs w:val="18"/>
                <w:lang w:eastAsia="en-GB"/>
              </w:rPr>
              <w:t>Taking over certificate</w:t>
            </w:r>
          </w:p>
        </w:tc>
        <w:tc>
          <w:tcPr>
            <w:tcW w:w="1133" w:type="dxa"/>
            <w:shd w:val="clear" w:color="auto" w:fill="C6EFCE"/>
            <w:noWrap/>
          </w:tcPr>
          <w:p w14:paraId="1887E39F"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A0"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A1"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1887E3A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851" w:type="dxa"/>
            <w:shd w:val="clear" w:color="auto" w:fill="C6EFCE"/>
            <w:noWrap/>
          </w:tcPr>
          <w:p w14:paraId="1887E3A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540" w:type="dxa"/>
            <w:shd w:val="clear" w:color="auto" w:fill="C6EFCE"/>
            <w:noWrap/>
          </w:tcPr>
          <w:p w14:paraId="1887E3A4"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Landscaping of flood channel(s) in Livadia. </w:t>
            </w:r>
          </w:p>
        </w:tc>
      </w:tr>
      <w:tr w:rsidR="00C02B59" w:rsidRPr="00D1795B" w14:paraId="1887E3B2" w14:textId="77777777" w:rsidTr="00C02B59">
        <w:trPr>
          <w:trHeight w:val="300"/>
          <w:jc w:val="center"/>
        </w:trPr>
        <w:tc>
          <w:tcPr>
            <w:tcW w:w="1149" w:type="dxa"/>
            <w:shd w:val="clear" w:color="auto" w:fill="C6EFCE"/>
            <w:noWrap/>
          </w:tcPr>
          <w:p w14:paraId="1887E3A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80</w:t>
            </w:r>
          </w:p>
        </w:tc>
        <w:tc>
          <w:tcPr>
            <w:tcW w:w="1418" w:type="dxa"/>
            <w:shd w:val="clear" w:color="auto" w:fill="C6EFCE"/>
            <w:noWrap/>
          </w:tcPr>
          <w:p w14:paraId="1887E3A7"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C2.3I6</w:t>
            </w:r>
          </w:p>
          <w:p w14:paraId="1887E3A8"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Water security projects</w:t>
            </w:r>
          </w:p>
        </w:tc>
        <w:tc>
          <w:tcPr>
            <w:tcW w:w="1133" w:type="dxa"/>
            <w:shd w:val="clear" w:color="auto" w:fill="C6EFCE"/>
            <w:noWrap/>
          </w:tcPr>
          <w:p w14:paraId="1887E3A9"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545" w:type="dxa"/>
            <w:shd w:val="clear" w:color="auto" w:fill="C6EFCE"/>
            <w:noWrap/>
          </w:tcPr>
          <w:p w14:paraId="1887E3AA"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Construction of two glass lined steel reservoirs in Nicosia district</w:t>
            </w:r>
          </w:p>
        </w:tc>
        <w:tc>
          <w:tcPr>
            <w:tcW w:w="1575" w:type="dxa"/>
            <w:shd w:val="clear" w:color="auto" w:fill="C6EFCE"/>
            <w:noWrap/>
          </w:tcPr>
          <w:p w14:paraId="1887E3AB" w14:textId="77777777" w:rsidR="00C02B59" w:rsidRPr="00D1795B" w:rsidRDefault="00C02B59">
            <w:pPr>
              <w:spacing w:after="0" w:line="240" w:lineRule="auto"/>
              <w:rPr>
                <w:rFonts w:ascii="Times New Roman" w:hAnsi="Times New Roman" w:cs="Times New Roman"/>
                <w:noProof/>
                <w:sz w:val="18"/>
                <w:szCs w:val="18"/>
              </w:rPr>
            </w:pPr>
          </w:p>
        </w:tc>
        <w:tc>
          <w:tcPr>
            <w:tcW w:w="1133" w:type="dxa"/>
            <w:shd w:val="clear" w:color="auto" w:fill="C6EFCE"/>
            <w:noWrap/>
          </w:tcPr>
          <w:p w14:paraId="1887E3A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m3</w:t>
            </w:r>
          </w:p>
        </w:tc>
        <w:tc>
          <w:tcPr>
            <w:tcW w:w="992" w:type="dxa"/>
            <w:shd w:val="clear" w:color="auto" w:fill="C6EFCE"/>
            <w:noWrap/>
          </w:tcPr>
          <w:p w14:paraId="1887E3A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992" w:type="dxa"/>
            <w:shd w:val="clear" w:color="auto" w:fill="C6EFCE"/>
            <w:noWrap/>
          </w:tcPr>
          <w:p w14:paraId="1887E3A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16 000</w:t>
            </w:r>
          </w:p>
        </w:tc>
        <w:tc>
          <w:tcPr>
            <w:tcW w:w="992" w:type="dxa"/>
            <w:shd w:val="clear" w:color="auto" w:fill="C6EFCE"/>
            <w:noWrap/>
          </w:tcPr>
          <w:p w14:paraId="1887E3A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1" w:type="dxa"/>
            <w:shd w:val="clear" w:color="auto" w:fill="C6EFCE"/>
            <w:noWrap/>
          </w:tcPr>
          <w:p w14:paraId="1887E3B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540" w:type="dxa"/>
            <w:shd w:val="clear" w:color="auto" w:fill="C6EFCE"/>
            <w:noWrap/>
          </w:tcPr>
          <w:p w14:paraId="1887E3B1"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Construction of two glass lined steel reservoirs in Nicosia District of a total capacity of 16 000m</w:t>
            </w:r>
            <w:r w:rsidRPr="00D1795B">
              <w:rPr>
                <w:rFonts w:ascii="Times New Roman" w:hAnsi="Times New Roman" w:cs="Times New Roman"/>
                <w:noProof/>
                <w:sz w:val="18"/>
                <w:szCs w:val="18"/>
                <w:vertAlign w:val="superscript"/>
              </w:rPr>
              <w:t>3</w:t>
            </w:r>
            <w:r w:rsidRPr="00D1795B">
              <w:rPr>
                <w:rFonts w:ascii="Times New Roman" w:hAnsi="Times New Roman" w:cs="Times New Roman"/>
                <w:noProof/>
                <w:sz w:val="18"/>
                <w:szCs w:val="18"/>
              </w:rPr>
              <w:t>.</w:t>
            </w:r>
          </w:p>
        </w:tc>
      </w:tr>
      <w:tr w:rsidR="00C02B59" w:rsidRPr="00D1795B" w14:paraId="1887E3C3" w14:textId="77777777" w:rsidTr="00C02B59">
        <w:trPr>
          <w:trHeight w:val="300"/>
          <w:jc w:val="center"/>
        </w:trPr>
        <w:tc>
          <w:tcPr>
            <w:tcW w:w="1149" w:type="dxa"/>
            <w:shd w:val="clear" w:color="auto" w:fill="C6EFCE"/>
            <w:noWrap/>
          </w:tcPr>
          <w:p w14:paraId="1887E3B3"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81</w:t>
            </w:r>
          </w:p>
        </w:tc>
        <w:tc>
          <w:tcPr>
            <w:tcW w:w="1418" w:type="dxa"/>
            <w:shd w:val="clear" w:color="auto" w:fill="C6EFCE"/>
            <w:noWrap/>
          </w:tcPr>
          <w:p w14:paraId="1887E3B4"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C2.3I6</w:t>
            </w:r>
          </w:p>
          <w:p w14:paraId="1887E3B5"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Water security projects</w:t>
            </w:r>
          </w:p>
        </w:tc>
        <w:tc>
          <w:tcPr>
            <w:tcW w:w="1133" w:type="dxa"/>
            <w:shd w:val="clear" w:color="auto" w:fill="C6EFCE"/>
            <w:noWrap/>
          </w:tcPr>
          <w:p w14:paraId="1887E3B6"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545" w:type="dxa"/>
            <w:shd w:val="clear" w:color="auto" w:fill="C6EFCE"/>
            <w:noWrap/>
          </w:tcPr>
          <w:p w14:paraId="1887E3B7"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Water reservoir(s) and water treatment plant</w:t>
            </w:r>
          </w:p>
        </w:tc>
        <w:tc>
          <w:tcPr>
            <w:tcW w:w="1575" w:type="dxa"/>
            <w:shd w:val="clear" w:color="auto" w:fill="C6EFCE"/>
            <w:noWrap/>
          </w:tcPr>
          <w:p w14:paraId="1887E3B8" w14:textId="77777777" w:rsidR="00C02B59" w:rsidRPr="00D1795B" w:rsidRDefault="00C02B59">
            <w:pPr>
              <w:spacing w:after="0" w:line="240" w:lineRule="auto"/>
              <w:rPr>
                <w:rFonts w:ascii="Times New Roman" w:hAnsi="Times New Roman" w:cs="Times New Roman"/>
                <w:noProof/>
                <w:sz w:val="18"/>
                <w:szCs w:val="18"/>
              </w:rPr>
            </w:pPr>
          </w:p>
        </w:tc>
        <w:tc>
          <w:tcPr>
            <w:tcW w:w="1133" w:type="dxa"/>
            <w:shd w:val="clear" w:color="auto" w:fill="C6EFCE"/>
            <w:noWrap/>
          </w:tcPr>
          <w:p w14:paraId="1887E3B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m3</w:t>
            </w:r>
          </w:p>
        </w:tc>
        <w:tc>
          <w:tcPr>
            <w:tcW w:w="992" w:type="dxa"/>
            <w:shd w:val="clear" w:color="auto" w:fill="C6EFCE"/>
            <w:noWrap/>
          </w:tcPr>
          <w:p w14:paraId="1887E3B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16 000</w:t>
            </w:r>
          </w:p>
        </w:tc>
        <w:tc>
          <w:tcPr>
            <w:tcW w:w="992" w:type="dxa"/>
            <w:shd w:val="clear" w:color="auto" w:fill="C6EFCE"/>
            <w:noWrap/>
          </w:tcPr>
          <w:p w14:paraId="1887E3B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52 800</w:t>
            </w:r>
          </w:p>
        </w:tc>
        <w:tc>
          <w:tcPr>
            <w:tcW w:w="992" w:type="dxa"/>
            <w:shd w:val="clear" w:color="auto" w:fill="C6EFCE"/>
            <w:noWrap/>
          </w:tcPr>
          <w:p w14:paraId="1887E3B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1" w:type="dxa"/>
            <w:shd w:val="clear" w:color="auto" w:fill="C6EFCE"/>
            <w:noWrap/>
          </w:tcPr>
          <w:p w14:paraId="1887E3B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540" w:type="dxa"/>
            <w:shd w:val="clear" w:color="auto" w:fill="C6EFCE"/>
            <w:noWrap/>
          </w:tcPr>
          <w:p w14:paraId="1887E3BE" w14:textId="77777777" w:rsidR="00C02B59" w:rsidRPr="00D1795B" w:rsidRDefault="00C02B59" w:rsidP="00C02B59">
            <w:pPr>
              <w:pStyle w:val="ListParagraph"/>
              <w:numPr>
                <w:ilvl w:val="0"/>
                <w:numId w:val="25"/>
              </w:numPr>
              <w:spacing w:after="0" w:line="240" w:lineRule="auto"/>
              <w:jc w:val="both"/>
              <w:rPr>
                <w:rFonts w:ascii="Times New Roman" w:hAnsi="Times New Roman" w:cs="Times New Roman"/>
                <w:noProof/>
                <w:sz w:val="18"/>
                <w:szCs w:val="18"/>
                <w:lang w:val="en-GB"/>
              </w:rPr>
            </w:pPr>
            <w:r w:rsidRPr="00D1795B">
              <w:rPr>
                <w:rFonts w:ascii="Times New Roman" w:hAnsi="Times New Roman" w:cs="Times New Roman"/>
                <w:noProof/>
                <w:sz w:val="18"/>
                <w:szCs w:val="18"/>
                <w:lang w:val="en-GB"/>
              </w:rPr>
              <w:t xml:space="preserve">Two glass-lined steel water reservoirs in Nicosia </w:t>
            </w:r>
          </w:p>
          <w:p w14:paraId="1887E3BF" w14:textId="77777777" w:rsidR="00C02B59" w:rsidRPr="00D1795B" w:rsidRDefault="00C02B59" w:rsidP="00C02B59">
            <w:pPr>
              <w:pStyle w:val="ListParagraph"/>
              <w:numPr>
                <w:ilvl w:val="0"/>
                <w:numId w:val="25"/>
              </w:numPr>
              <w:spacing w:after="0" w:line="240" w:lineRule="auto"/>
              <w:jc w:val="both"/>
              <w:rPr>
                <w:rFonts w:ascii="Times New Roman" w:eastAsiaTheme="minorEastAsia" w:hAnsi="Times New Roman" w:cs="Times New Roman"/>
                <w:noProof/>
                <w:sz w:val="18"/>
                <w:szCs w:val="18"/>
                <w:lang w:val="en-GB" w:eastAsia="ja-JP"/>
              </w:rPr>
            </w:pPr>
            <w:r w:rsidRPr="00D1795B">
              <w:rPr>
                <w:rFonts w:ascii="Times New Roman" w:hAnsi="Times New Roman" w:cs="Times New Roman"/>
                <w:noProof/>
                <w:sz w:val="18"/>
                <w:szCs w:val="18"/>
                <w:lang w:val="en-GB"/>
              </w:rPr>
              <w:t xml:space="preserve">one concrete water reservoir in </w:t>
            </w:r>
            <w:r w:rsidRPr="00D1795B">
              <w:rPr>
                <w:rFonts w:ascii="Times New Roman" w:eastAsia="Times New Roman" w:hAnsi="Times New Roman" w:cs="Times New Roman"/>
                <w:noProof/>
                <w:color w:val="000000" w:themeColor="text1"/>
                <w:sz w:val="18"/>
                <w:szCs w:val="18"/>
                <w:lang w:val="en-GB"/>
              </w:rPr>
              <w:t>Klavdia</w:t>
            </w:r>
            <w:r w:rsidRPr="00D1795B">
              <w:rPr>
                <w:rFonts w:ascii="Times New Roman" w:hAnsi="Times New Roman" w:cs="Times New Roman"/>
                <w:noProof/>
                <w:sz w:val="18"/>
                <w:szCs w:val="18"/>
                <w:lang w:val="en-GB"/>
              </w:rPr>
              <w:t xml:space="preserve"> </w:t>
            </w:r>
          </w:p>
          <w:p w14:paraId="1887E3C0" w14:textId="77777777" w:rsidR="00C02B59" w:rsidRPr="00D1795B" w:rsidRDefault="00C02B59" w:rsidP="00C02B59">
            <w:pPr>
              <w:pStyle w:val="ListParagraph"/>
              <w:numPr>
                <w:ilvl w:val="0"/>
                <w:numId w:val="25"/>
              </w:numPr>
              <w:spacing w:after="0" w:line="240" w:lineRule="auto"/>
              <w:jc w:val="both"/>
              <w:rPr>
                <w:rFonts w:ascii="Times New Roman" w:eastAsiaTheme="minorEastAsia" w:hAnsi="Times New Roman" w:cs="Times New Roman"/>
                <w:noProof/>
                <w:sz w:val="18"/>
                <w:szCs w:val="18"/>
                <w:lang w:val="en-GB" w:eastAsia="ja-JP"/>
              </w:rPr>
            </w:pPr>
            <w:r w:rsidRPr="00D1795B">
              <w:rPr>
                <w:rFonts w:ascii="Times New Roman" w:hAnsi="Times New Roman" w:cs="Times New Roman"/>
                <w:noProof/>
                <w:sz w:val="18"/>
                <w:szCs w:val="18"/>
                <w:lang w:val="en-GB"/>
              </w:rPr>
              <w:t>three water reservoirs in Limassol</w:t>
            </w:r>
          </w:p>
          <w:p w14:paraId="1887E3C1" w14:textId="77777777" w:rsidR="00C02B59" w:rsidRPr="00D1795B" w:rsidRDefault="00C02B59" w:rsidP="00C02B59">
            <w:pPr>
              <w:pStyle w:val="ListParagraph"/>
              <w:numPr>
                <w:ilvl w:val="0"/>
                <w:numId w:val="25"/>
              </w:numPr>
              <w:spacing w:after="0" w:line="240" w:lineRule="auto"/>
              <w:jc w:val="both"/>
              <w:rPr>
                <w:rFonts w:ascii="Times New Roman" w:eastAsiaTheme="minorEastAsia" w:hAnsi="Times New Roman" w:cs="Times New Roman"/>
                <w:noProof/>
                <w:sz w:val="18"/>
                <w:szCs w:val="18"/>
                <w:lang w:val="en-GB" w:eastAsia="ja-JP"/>
              </w:rPr>
            </w:pPr>
            <w:r w:rsidRPr="00D1795B">
              <w:rPr>
                <w:rFonts w:ascii="Times New Roman" w:hAnsi="Times New Roman" w:cs="Times New Roman"/>
                <w:noProof/>
                <w:sz w:val="18"/>
                <w:szCs w:val="18"/>
                <w:lang w:val="en-GB"/>
              </w:rPr>
              <w:t>water treatment plant in Limassol.</w:t>
            </w:r>
          </w:p>
          <w:p w14:paraId="1887E3C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total capacity of the water reservoirs in Nicosia, Larnaca and Limassol shall be at least 52 800m3.</w:t>
            </w:r>
          </w:p>
        </w:tc>
      </w:tr>
      <w:tr w:rsidR="00C02B59" w:rsidRPr="00D1795B" w14:paraId="1887E3D0" w14:textId="77777777" w:rsidTr="00C02B59">
        <w:trPr>
          <w:trHeight w:val="300"/>
          <w:jc w:val="center"/>
        </w:trPr>
        <w:tc>
          <w:tcPr>
            <w:tcW w:w="1149" w:type="dxa"/>
            <w:shd w:val="clear" w:color="auto" w:fill="C6EFCE"/>
            <w:noWrap/>
          </w:tcPr>
          <w:p w14:paraId="1887E3C4" w14:textId="77777777" w:rsidR="00C02B59" w:rsidRPr="00D1795B" w:rsidRDefault="00C02B59" w:rsidP="00C02B59">
            <w:pPr>
              <w:spacing w:after="0" w:line="240" w:lineRule="auto"/>
              <w:rPr>
                <w:rFonts w:ascii="Times New Roman" w:hAnsi="Times New Roman" w:cs="Times New Roman"/>
                <w:noProof/>
                <w:sz w:val="18"/>
                <w:szCs w:val="18"/>
                <w:highlight w:val="yellow"/>
              </w:rPr>
            </w:pPr>
            <w:r w:rsidRPr="00D1795B">
              <w:rPr>
                <w:rFonts w:ascii="Times New Roman" w:hAnsi="Times New Roman" w:cs="Times New Roman"/>
                <w:noProof/>
                <w:sz w:val="18"/>
                <w:szCs w:val="18"/>
              </w:rPr>
              <w:t>84</w:t>
            </w:r>
          </w:p>
        </w:tc>
        <w:tc>
          <w:tcPr>
            <w:tcW w:w="1418" w:type="dxa"/>
            <w:shd w:val="clear" w:color="auto" w:fill="C6EFCE"/>
            <w:noWrap/>
          </w:tcPr>
          <w:p w14:paraId="1887E3C5"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C2.3I8 </w:t>
            </w:r>
          </w:p>
          <w:p w14:paraId="1887E3C6"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Protection of the marine ecosystem from hazards through oil spills</w:t>
            </w:r>
          </w:p>
        </w:tc>
        <w:tc>
          <w:tcPr>
            <w:tcW w:w="1133" w:type="dxa"/>
            <w:shd w:val="clear" w:color="auto" w:fill="C6EFCE"/>
            <w:noWrap/>
          </w:tcPr>
          <w:p w14:paraId="1887E3C7"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545" w:type="dxa"/>
            <w:shd w:val="clear" w:color="auto" w:fill="C6EFCE"/>
            <w:noWrap/>
          </w:tcPr>
          <w:p w14:paraId="1887E3C8"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Delivery, quality inspection to verify their operational effectiveness and acceptance of three vessels and two aerial spraying systems</w:t>
            </w:r>
          </w:p>
        </w:tc>
        <w:tc>
          <w:tcPr>
            <w:tcW w:w="1575" w:type="dxa"/>
            <w:shd w:val="clear" w:color="auto" w:fill="C6EFCE"/>
            <w:noWrap/>
          </w:tcPr>
          <w:p w14:paraId="1887E3C9" w14:textId="77777777" w:rsidR="00C02B59" w:rsidRPr="00D1795B" w:rsidRDefault="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Expert’s reporting and issuance of quality certificate of the operational effectiveness and acceptance of vessels and aerial spraying systems</w:t>
            </w:r>
          </w:p>
        </w:tc>
        <w:tc>
          <w:tcPr>
            <w:tcW w:w="1133" w:type="dxa"/>
            <w:shd w:val="clear" w:color="auto" w:fill="C6EFCE"/>
            <w:noWrap/>
          </w:tcPr>
          <w:p w14:paraId="1887E3C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3C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3C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tcPr>
          <w:p w14:paraId="1887E3C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851" w:type="dxa"/>
            <w:shd w:val="clear" w:color="auto" w:fill="C6EFCE"/>
            <w:noWrap/>
          </w:tcPr>
          <w:p w14:paraId="1887E3C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540" w:type="dxa"/>
            <w:shd w:val="clear" w:color="auto" w:fill="C6EFCE"/>
            <w:noWrap/>
          </w:tcPr>
          <w:p w14:paraId="1887E3C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Delivery, quality inspection to verify their operational effectiveness and acceptance of three vessels (one vessel of 25m in length approximately to operate within the Cypriot Exclusive Economic Zone and two vessels of 8-11m in length approximately to operate within coastal waters and two aerial spraying systems). </w:t>
            </w:r>
          </w:p>
        </w:tc>
      </w:tr>
    </w:tbl>
    <w:p w14:paraId="1887E3D1" w14:textId="77777777" w:rsidR="00C02B59" w:rsidRPr="00D1795B" w:rsidDel="00170020" w:rsidRDefault="00C02B59" w:rsidP="00C02B59">
      <w:pPr>
        <w:tabs>
          <w:tab w:val="left" w:pos="1481"/>
        </w:tabs>
        <w:rPr>
          <w:rFonts w:ascii="Times New Roman" w:eastAsia="Times New Roman" w:hAnsi="Times New Roman" w:cs="Times New Roman"/>
          <w:noProof/>
        </w:rPr>
        <w:sectPr w:rsidR="00C02B59" w:rsidRPr="00D1795B" w:rsidDel="00170020" w:rsidSect="00C02B59">
          <w:headerReference w:type="even" r:id="rId59"/>
          <w:headerReference w:type="default" r:id="rId60"/>
          <w:footerReference w:type="even" r:id="rId61"/>
          <w:footerReference w:type="default" r:id="rId62"/>
          <w:headerReference w:type="first" r:id="rId63"/>
          <w:footerReference w:type="first" r:id="rId64"/>
          <w:pgSz w:w="16839" w:h="11907" w:orient="landscape"/>
          <w:pgMar w:top="1134" w:right="1134" w:bottom="1134" w:left="1134" w:header="567" w:footer="567" w:gutter="0"/>
          <w:cols w:space="720"/>
          <w:docGrid w:linePitch="360"/>
        </w:sectPr>
      </w:pPr>
    </w:p>
    <w:p w14:paraId="1887E3D2" w14:textId="77777777" w:rsidR="00C02B59" w:rsidRPr="00D1795B" w:rsidRDefault="00C02B59" w:rsidP="00C02B59">
      <w:pPr>
        <w:keepNext/>
        <w:tabs>
          <w:tab w:val="left" w:pos="850"/>
        </w:tabs>
        <w:spacing w:before="360" w:after="120" w:line="240" w:lineRule="auto"/>
        <w:jc w:val="both"/>
        <w:outlineLvl w:val="0"/>
        <w:rPr>
          <w:rFonts w:ascii="Times New Roman" w:hAnsi="Times New Roman"/>
          <w:b/>
          <w:bCs/>
          <w:smallCaps/>
          <w:noProof/>
          <w:sz w:val="20"/>
          <w:szCs w:val="20"/>
        </w:rPr>
      </w:pPr>
      <w:r w:rsidRPr="00D1795B">
        <w:rPr>
          <w:rFonts w:ascii="Times New Roman" w:hAnsi="Times New Roman"/>
          <w:b/>
          <w:bCs/>
          <w:smallCaps/>
          <w:noProof/>
        </w:rPr>
        <w:t>E. COMPONENT 3.1: New growth model and diversification of the economy</w:t>
      </w:r>
    </w:p>
    <w:p w14:paraId="1887E3D3"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component addresses the challenges of the Cypriot economy with regards to competitiveness, productivity, and investment, as well as overreliance on certain economic sectors, such as tourism. </w:t>
      </w:r>
    </w:p>
    <w:p w14:paraId="1887E3D4"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the component is to help the economy to transit to a new economic growth model (Sustainable Business and Trade Centre of Europe) by addressing sectoral challenges as follows:</w:t>
      </w:r>
    </w:p>
    <w:p w14:paraId="1887E3D5"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Primary Sector: the objective is to develop a competitive agriculture sector primarily through agri-tech and strong collaboration with business, higher-education institutions, and research centres to excel.</w:t>
      </w:r>
    </w:p>
    <w:p w14:paraId="1887E3D6"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Secondary Sector: the objective is to develop a competitive light manufacturing sector that includes a focus on areas such as green-tech and agri-tech. </w:t>
      </w:r>
    </w:p>
    <w:p w14:paraId="1887E3D7"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Sustainable Tourism: the objective is to develop a strong agri-tourism and sustainable hospitality infrastructure and attracting health &amp; wellness tourists through competitive and reputable healthcare.</w:t>
      </w:r>
    </w:p>
    <w:p w14:paraId="1887E3D8"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Circular economy (with emphasis on waste management): the objective is to help move towards a circular economy by making better use of raw materials, reducing waste, raising awareness for sustainable development and switching to renewable energy in order to mitigate the climate crisis, protect social well-being and build a resilient economy. The component contributes to addressing the country specific recommendation related to “focus investment on the green and digital transition” and “on waste and water management” (Country-Specific Recommendation 3 of 2020), “focus investment-related economic policy on sustainable transport, environment” and “on environment, in particular waste and water management” (Country-Specific Recommendation 4 of 2019)</w:t>
      </w:r>
    </w:p>
    <w:p w14:paraId="1887E3D9" w14:textId="77777777" w:rsidR="00C02B59" w:rsidRPr="00D1795B" w:rsidRDefault="00C02B59" w:rsidP="00C02B59">
      <w:pPr>
        <w:pStyle w:val="Text1"/>
        <w:ind w:left="0"/>
        <w:rPr>
          <w:noProof/>
          <w:lang w:val="en-GB"/>
        </w:rPr>
      </w:pPr>
      <w:r w:rsidRPr="00D1795B">
        <w:rPr>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887E3DA" w14:textId="77777777" w:rsidR="00C02B59" w:rsidRPr="00D1795B" w:rsidRDefault="00C02B59" w:rsidP="00C02B59">
      <w:pPr>
        <w:pStyle w:val="Text1"/>
        <w:ind w:left="0"/>
        <w:rPr>
          <w:i/>
          <w:iCs/>
          <w:noProof/>
          <w:lang w:val="en-GB"/>
        </w:rPr>
      </w:pPr>
    </w:p>
    <w:p w14:paraId="1887E3DB" w14:textId="77777777" w:rsidR="00C02B59" w:rsidRPr="00D1795B" w:rsidRDefault="00C02B59" w:rsidP="00C02B59">
      <w:pPr>
        <w:spacing w:before="120" w:after="120" w:line="240" w:lineRule="auto"/>
        <w:jc w:val="both"/>
        <w:rPr>
          <w:rFonts w:ascii="Times New Roman" w:hAnsi="Times New Roman"/>
          <w:b/>
          <w:noProof/>
          <w:u w:val="single"/>
        </w:rPr>
      </w:pPr>
      <w:r w:rsidRPr="00D1795B">
        <w:rPr>
          <w:rFonts w:ascii="Times New Roman" w:hAnsi="Times New Roman"/>
          <w:b/>
          <w:noProof/>
          <w:u w:val="single"/>
        </w:rPr>
        <w:t xml:space="preserve">E.1. </w:t>
      </w:r>
      <w:r w:rsidRPr="00D1795B">
        <w:rPr>
          <w:noProof/>
        </w:rPr>
        <w:tab/>
      </w:r>
      <w:r w:rsidRPr="00D1795B">
        <w:rPr>
          <w:rFonts w:ascii="Times New Roman" w:hAnsi="Times New Roman"/>
          <w:b/>
          <w:noProof/>
          <w:u w:val="single"/>
        </w:rPr>
        <w:t>Description of the reforms and investments for non-repayable financial support</w:t>
      </w:r>
    </w:p>
    <w:p w14:paraId="1887E3DC" w14:textId="77777777" w:rsidR="00C02B59" w:rsidRPr="00D1795B" w:rsidRDefault="00C02B59" w:rsidP="00C02B59">
      <w:pPr>
        <w:spacing w:before="120" w:after="120" w:line="240" w:lineRule="auto"/>
        <w:jc w:val="both"/>
        <w:rPr>
          <w:rFonts w:ascii="Times New Roman" w:hAnsi="Times New Roman"/>
          <w:b/>
          <w:noProof/>
          <w:u w:val="single"/>
        </w:rPr>
      </w:pPr>
      <w:r w:rsidRPr="00D1795B">
        <w:rPr>
          <w:rFonts w:ascii="Times New Roman" w:hAnsi="Times New Roman"/>
          <w:b/>
          <w:noProof/>
          <w:u w:val="single"/>
        </w:rPr>
        <w:t>Sub-Component 3.1.1 Resilient and competitive primary sector</w:t>
      </w:r>
    </w:p>
    <w:p w14:paraId="1887E3DD" w14:textId="77777777" w:rsidR="00C02B59" w:rsidRPr="00D1795B" w:rsidRDefault="00C02B59" w:rsidP="00C02B59">
      <w:pPr>
        <w:spacing w:before="120" w:after="120" w:line="240" w:lineRule="auto"/>
        <w:jc w:val="both"/>
        <w:rPr>
          <w:rFonts w:ascii="Times New Roman" w:hAnsi="Times New Roman"/>
          <w:b/>
          <w:noProof/>
          <w:u w:val="single"/>
        </w:rPr>
      </w:pPr>
    </w:p>
    <w:p w14:paraId="1887E3DE"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u w:val="single"/>
        </w:rPr>
        <w:t>Reform 1 (C3.1R1): Move agricultural practices from the 20th century to the 21st century by investing in a national centre for excellence in agri-tech</w:t>
      </w:r>
    </w:p>
    <w:p w14:paraId="1887E3DF"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objective of the reform is to address challenges in the primary sector, including low productivity and lack of technological knowledge, by establishing a centralised operating model through strong collaboration between the Agricultural Research Institute and higher education institution(s). </w:t>
      </w:r>
    </w:p>
    <w:p w14:paraId="1887E3E0"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reform aims to establish Cyprus’s Agricultural Research Institute as the country’s centre of excellence in agriculture, animal husbandry and environmental protection and to strengthen the cooperation between the Agricultural Research Institute and higher education institution(s) to develop new curriculum/a. </w:t>
      </w:r>
    </w:p>
    <w:p w14:paraId="1887E3E1"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implementation of the reform shall be completed by 30 June 2023.</w:t>
      </w:r>
    </w:p>
    <w:p w14:paraId="1887E3E2" w14:textId="77777777" w:rsidR="00C02B59" w:rsidRPr="00D1795B" w:rsidRDefault="00C02B59" w:rsidP="00C02B59">
      <w:pPr>
        <w:spacing w:before="120" w:after="120" w:line="240" w:lineRule="auto"/>
        <w:jc w:val="both"/>
        <w:rPr>
          <w:rFonts w:ascii="Times New Roman" w:hAnsi="Times New Roman"/>
          <w:noProof/>
          <w:u w:val="single"/>
        </w:rPr>
      </w:pPr>
    </w:p>
    <w:p w14:paraId="1887E3E3" w14:textId="77777777" w:rsidR="00C02B59" w:rsidRPr="00D1795B" w:rsidRDefault="00C02B59" w:rsidP="00C02B59">
      <w:pPr>
        <w:keepNext/>
        <w:spacing w:before="120" w:after="120" w:line="240" w:lineRule="auto"/>
        <w:jc w:val="both"/>
        <w:rPr>
          <w:rFonts w:ascii="Times New Roman" w:hAnsi="Times New Roman"/>
          <w:noProof/>
          <w:u w:val="single"/>
        </w:rPr>
      </w:pPr>
      <w:r w:rsidRPr="00D1795B">
        <w:rPr>
          <w:rFonts w:ascii="Times New Roman" w:hAnsi="Times New Roman"/>
          <w:noProof/>
          <w:u w:val="single"/>
        </w:rPr>
        <w:t>Reform 2 (C3.1R2): On-line platform for trade and information symmetry in the fresh produce supply chain</w:t>
      </w:r>
    </w:p>
    <w:p w14:paraId="1887E3E4"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the reform is to address long-standing drawbacks of the fresh produce supply chain.</w:t>
      </w:r>
    </w:p>
    <w:p w14:paraId="1887E3E5"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reform consists in </w:t>
      </w:r>
      <w:bookmarkStart w:id="6" w:name="_Hlk213779189"/>
      <w:r w:rsidRPr="00D1795B">
        <w:rPr>
          <w:rFonts w:ascii="Times New Roman" w:hAnsi="Times New Roman"/>
          <w:noProof/>
        </w:rPr>
        <w:t xml:space="preserve">the </w:t>
      </w:r>
      <w:bookmarkEnd w:id="6"/>
      <w:r w:rsidRPr="00D1795B">
        <w:rPr>
          <w:rFonts w:ascii="Times New Roman" w:hAnsi="Times New Roman"/>
          <w:noProof/>
        </w:rPr>
        <w:t>entry into force of a law on unfair practices in transactions in the local fresh produce market. A Platform shall be offered to Producers’ Organisations in the fresh produce market.</w:t>
      </w:r>
    </w:p>
    <w:p w14:paraId="1887E3E6" w14:textId="77777777" w:rsidR="00C02B59" w:rsidRPr="00D1795B" w:rsidRDefault="00C02B59" w:rsidP="00C02B59">
      <w:pPr>
        <w:spacing w:before="120" w:after="120" w:line="240" w:lineRule="auto"/>
        <w:jc w:val="both"/>
        <w:rPr>
          <w:rFonts w:ascii="Times New Roman" w:hAnsi="Times New Roman"/>
          <w:noProof/>
          <w:u w:val="single"/>
        </w:rPr>
      </w:pPr>
    </w:p>
    <w:p w14:paraId="1887E3E7" w14:textId="02B70062"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 xml:space="preserve">Reform 3 (C3.1R3): Genetic improvement of the Cyprus sheep and goat population </w:t>
      </w:r>
    </w:p>
    <w:p w14:paraId="1887E3E8"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this reform is to enhance the productivity and sustainability of the primary sector.</w:t>
      </w:r>
    </w:p>
    <w:p w14:paraId="1887E3E9"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reform consists in the support to farmers for the </w:t>
      </w:r>
      <w:r w:rsidRPr="00D1795B">
        <w:rPr>
          <w:rFonts w:ascii="Times New Roman" w:eastAsia="Times New Roman" w:hAnsi="Times New Roman" w:cs="Times New Roman"/>
          <w:noProof/>
        </w:rPr>
        <w:t>upgrade</w:t>
      </w:r>
      <w:r w:rsidRPr="00D1795B">
        <w:rPr>
          <w:rFonts w:ascii="Times New Roman" w:hAnsi="Times New Roman"/>
          <w:noProof/>
        </w:rPr>
        <w:t xml:space="preserve"> of the collection of data related to dairy production and the genomic identification of their sheep and goats. </w:t>
      </w:r>
    </w:p>
    <w:p w14:paraId="1887E3EA" w14:textId="77777777" w:rsidR="00C02B59" w:rsidRPr="00D1795B" w:rsidRDefault="00C02B59" w:rsidP="00C02B59">
      <w:pPr>
        <w:spacing w:before="120" w:after="120" w:line="240" w:lineRule="auto"/>
        <w:jc w:val="both"/>
        <w:rPr>
          <w:rFonts w:ascii="Times New Roman" w:hAnsi="Times New Roman"/>
          <w:noProof/>
          <w:u w:val="single"/>
        </w:rPr>
      </w:pPr>
    </w:p>
    <w:p w14:paraId="1887E3EB" w14:textId="77777777" w:rsidR="00C02B59" w:rsidRPr="00D1795B" w:rsidRDefault="00C02B59" w:rsidP="00C02B59">
      <w:pPr>
        <w:spacing w:before="120" w:after="120" w:line="240" w:lineRule="auto"/>
        <w:jc w:val="both"/>
        <w:rPr>
          <w:rFonts w:ascii="Times New Roman" w:hAnsi="Times New Roman"/>
          <w:noProof/>
          <w:u w:val="single"/>
        </w:rPr>
      </w:pPr>
      <w:bookmarkStart w:id="7" w:name="_Hlk189474712"/>
      <w:r w:rsidRPr="00D1795B">
        <w:rPr>
          <w:rFonts w:ascii="Times New Roman" w:hAnsi="Times New Roman"/>
          <w:noProof/>
          <w:u w:val="single"/>
        </w:rPr>
        <w:t xml:space="preserve">Investment 2 (C3.1I2): Support of isotopic database of Cypriot </w:t>
      </w:r>
      <w:bookmarkEnd w:id="7"/>
      <w:r w:rsidRPr="00D1795B">
        <w:rPr>
          <w:rFonts w:ascii="Times New Roman" w:hAnsi="Times New Roman"/>
          <w:noProof/>
          <w:u w:val="single"/>
        </w:rPr>
        <w:t xml:space="preserve">food or drink products </w:t>
      </w:r>
    </w:p>
    <w:p w14:paraId="1887E3EC"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objective of this investment is to create a blockchain-based verification methodology for the authentication of local products by using isotopic database(s). </w:t>
      </w:r>
    </w:p>
    <w:p w14:paraId="1887E3ED" w14:textId="07E91305" w:rsidR="00C02B59" w:rsidRPr="00D1795B" w:rsidRDefault="00C02B59" w:rsidP="00C02B59">
      <w:pPr>
        <w:spacing w:before="120" w:after="120" w:line="240" w:lineRule="auto"/>
        <w:jc w:val="both"/>
        <w:textAlignment w:val="baseline"/>
        <w:rPr>
          <w:rFonts w:ascii="Times New Roman" w:hAnsi="Times New Roman"/>
          <w:noProof/>
        </w:rPr>
      </w:pPr>
      <w:r w:rsidRPr="00D1795B">
        <w:rPr>
          <w:rFonts w:ascii="Times New Roman" w:hAnsi="Times New Roman" w:cs="Times New Roman"/>
          <w:noProof/>
        </w:rPr>
        <w:t xml:space="preserve">The measure consists in the purchase and </w:t>
      </w:r>
      <w:r w:rsidR="004902A5" w:rsidRPr="00D1795B">
        <w:rPr>
          <w:rFonts w:ascii="Times New Roman" w:hAnsi="Times New Roman" w:cs="Times New Roman"/>
          <w:noProof/>
        </w:rPr>
        <w:t>installation</w:t>
      </w:r>
      <w:r w:rsidRPr="00D1795B">
        <w:rPr>
          <w:rFonts w:ascii="Times New Roman" w:hAnsi="Times New Roman"/>
          <w:noProof/>
        </w:rPr>
        <w:t xml:space="preserve"> of new Liquid Chromatography - Isotopic Ratio Mass Spectrometer (LC-IRMS) for isotopic characterisation; integrated isotopic DataBase(s) and blockchain system are connected for at least ten Cypriot food or drinks products. </w:t>
      </w:r>
    </w:p>
    <w:p w14:paraId="1887E3EE" w14:textId="77777777" w:rsidR="00C02B59" w:rsidRPr="00D1795B" w:rsidRDefault="00C02B59" w:rsidP="00C02B59">
      <w:pPr>
        <w:spacing w:before="120" w:after="120" w:line="240" w:lineRule="auto"/>
        <w:jc w:val="both"/>
        <w:textAlignment w:val="baseline"/>
        <w:rPr>
          <w:rFonts w:ascii="Times New Roman" w:hAnsi="Times New Roman"/>
          <w:noProof/>
        </w:rPr>
      </w:pPr>
    </w:p>
    <w:p w14:paraId="1887E3EF"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Investment 3 (C3.1I3): Upskill the existing farming community and professionalise future labour force by investing in human capital</w:t>
      </w:r>
    </w:p>
    <w:p w14:paraId="1887E3F0" w14:textId="77777777" w:rsidR="00C02B59" w:rsidRPr="00D1795B" w:rsidRDefault="00C02B59" w:rsidP="00C02B59">
      <w:pPr>
        <w:spacing w:after="0" w:line="240" w:lineRule="auto"/>
        <w:jc w:val="both"/>
        <w:textAlignment w:val="baseline"/>
        <w:rPr>
          <w:rFonts w:ascii="Times New Roman" w:hAnsi="Times New Roman"/>
          <w:noProof/>
        </w:rPr>
      </w:pPr>
      <w:r w:rsidRPr="00D1795B">
        <w:rPr>
          <w:rFonts w:ascii="Times New Roman" w:hAnsi="Times New Roman"/>
          <w:noProof/>
        </w:rPr>
        <w:t xml:space="preserve">The objective of the measure is the upskilling of the farming community, through knowledge transfer and the promotion of innovation. In this way, it aims at fostering a more competitive agricultural sector with higher potential, through capacity building and knowledge transfer. </w:t>
      </w:r>
    </w:p>
    <w:p w14:paraId="1887E3F1" w14:textId="77777777" w:rsidR="00C02B59" w:rsidRPr="00D1795B" w:rsidRDefault="00C02B59" w:rsidP="00C02B59">
      <w:pPr>
        <w:spacing w:after="0" w:line="240" w:lineRule="auto"/>
        <w:jc w:val="both"/>
        <w:textAlignment w:val="baseline"/>
        <w:rPr>
          <w:rFonts w:ascii="Times New Roman" w:hAnsi="Times New Roman"/>
          <w:noProof/>
        </w:rPr>
      </w:pPr>
    </w:p>
    <w:p w14:paraId="1887E3F2" w14:textId="77777777" w:rsidR="00C02B59" w:rsidRPr="00D1795B" w:rsidRDefault="00C02B59" w:rsidP="00C02B59">
      <w:pPr>
        <w:spacing w:after="0" w:line="240" w:lineRule="auto"/>
        <w:jc w:val="both"/>
        <w:textAlignment w:val="baseline"/>
        <w:rPr>
          <w:rFonts w:ascii="Times New Roman" w:hAnsi="Times New Roman"/>
          <w:noProof/>
        </w:rPr>
      </w:pPr>
      <w:r w:rsidRPr="00D1795B">
        <w:rPr>
          <w:rFonts w:ascii="Times New Roman" w:hAnsi="Times New Roman"/>
          <w:noProof/>
        </w:rPr>
        <w:t>The investment shall consist in</w:t>
      </w:r>
      <w:r w:rsidRPr="00D1795B">
        <w:rPr>
          <w:rFonts w:ascii="Times New Roman" w:hAnsi="Times New Roman"/>
          <w:b/>
          <w:noProof/>
        </w:rPr>
        <w:t xml:space="preserve"> </w:t>
      </w:r>
      <w:r w:rsidRPr="00D1795B">
        <w:rPr>
          <w:rFonts w:ascii="Times New Roman" w:hAnsi="Times New Roman"/>
          <w:noProof/>
        </w:rPr>
        <w:t xml:space="preserve">the granting of ten scholarships in the agricultural sector, of EUR 10 000 each, for supporting the development of the future labour force in the sector. It shall also support transfer of knowledge and innovation within the existing labour force, through the use of the Agricultural Knowledge and Innovation System with links to academia, bridging the gap between practical application on the one hand and knowledge, science, experience, and research on the other. </w:t>
      </w:r>
    </w:p>
    <w:p w14:paraId="1887E3F3" w14:textId="77777777" w:rsidR="00C02B59" w:rsidRPr="00D1795B" w:rsidRDefault="00C02B59" w:rsidP="00C02B59">
      <w:pPr>
        <w:spacing w:before="120" w:after="120" w:line="240" w:lineRule="auto"/>
        <w:jc w:val="both"/>
        <w:textAlignment w:val="baseline"/>
        <w:rPr>
          <w:rFonts w:ascii="Times New Roman" w:hAnsi="Times New Roman"/>
          <w:b/>
          <w:noProof/>
          <w:u w:val="single"/>
        </w:rPr>
      </w:pPr>
      <w:r w:rsidRPr="00D1795B">
        <w:rPr>
          <w:rFonts w:ascii="Times New Roman" w:hAnsi="Times New Roman"/>
          <w:noProof/>
        </w:rPr>
        <w:t>The implementation of the investment shall be completed by 31 December 2022.</w:t>
      </w:r>
    </w:p>
    <w:p w14:paraId="1887E3F4" w14:textId="77777777" w:rsidR="00C02B59" w:rsidRPr="00D1795B" w:rsidRDefault="00C02B59" w:rsidP="00C02B59">
      <w:pPr>
        <w:spacing w:before="120" w:after="120" w:line="240" w:lineRule="auto"/>
        <w:jc w:val="both"/>
        <w:rPr>
          <w:rFonts w:ascii="Times New Roman" w:hAnsi="Times New Roman"/>
          <w:b/>
          <w:noProof/>
          <w:u w:val="single"/>
        </w:rPr>
      </w:pPr>
    </w:p>
    <w:p w14:paraId="1887E3F5" w14:textId="77777777" w:rsidR="00C02B59" w:rsidRPr="00D1795B" w:rsidRDefault="00C02B59" w:rsidP="00C02B59">
      <w:pPr>
        <w:spacing w:before="120" w:after="120" w:line="240" w:lineRule="auto"/>
        <w:jc w:val="both"/>
        <w:rPr>
          <w:rFonts w:ascii="Times New Roman" w:hAnsi="Times New Roman"/>
          <w:b/>
          <w:noProof/>
          <w:u w:val="single"/>
        </w:rPr>
      </w:pPr>
      <w:r w:rsidRPr="00D1795B">
        <w:rPr>
          <w:rFonts w:ascii="Times New Roman" w:hAnsi="Times New Roman"/>
          <w:b/>
          <w:noProof/>
          <w:u w:val="single"/>
        </w:rPr>
        <w:t>Sub-Component 3.1.2 Innovative and competitive secondary sector</w:t>
      </w:r>
    </w:p>
    <w:p w14:paraId="1887E3F6"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Investment 5 (C3.1I5): Creation of a National Commercial Identity and promotion of the traditional product “halloumi”</w:t>
      </w:r>
    </w:p>
    <w:p w14:paraId="1887E3F7"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the measure is to establish a brand name for the Cypriot products in order to promote their export.</w:t>
      </w:r>
    </w:p>
    <w:p w14:paraId="1887E3F8"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investment shall consist in the development of action plans based on two studies: (a) one on the creation of a National Commercial Identity “Made in Cyprus” (branding) focusing on the quality and structural characteristics of Cypriot products and services combined with elements of the tradition and history of the island, and (b) a study for implementing a strategy for halloumi cheese in order to increase its distinctiveness as an authentic Cyprus product and designing a promotional and awareness campaign.</w:t>
      </w:r>
    </w:p>
    <w:p w14:paraId="1887E3F9" w14:textId="77777777" w:rsidR="00C02B59" w:rsidRPr="00D1795B" w:rsidRDefault="00C02B59" w:rsidP="00C02B59">
      <w:pPr>
        <w:spacing w:before="120" w:after="120" w:line="240" w:lineRule="auto"/>
        <w:jc w:val="both"/>
        <w:textAlignment w:val="baseline"/>
        <w:rPr>
          <w:rFonts w:ascii="Times New Roman" w:hAnsi="Times New Roman"/>
          <w:noProof/>
        </w:rPr>
      </w:pPr>
      <w:r w:rsidRPr="00D1795B">
        <w:rPr>
          <w:rFonts w:ascii="Times New Roman" w:hAnsi="Times New Roman"/>
          <w:noProof/>
        </w:rPr>
        <w:t>The implementation of the investment shall be completed by 31 March 2022.</w:t>
      </w:r>
    </w:p>
    <w:p w14:paraId="1887E3FA" w14:textId="77777777" w:rsidR="00C02B59" w:rsidRPr="00D1795B" w:rsidRDefault="00C02B59" w:rsidP="00C02B59">
      <w:pPr>
        <w:spacing w:before="120" w:after="120" w:line="240" w:lineRule="auto"/>
        <w:jc w:val="both"/>
        <w:textAlignment w:val="baseline"/>
        <w:rPr>
          <w:rFonts w:ascii="Times New Roman" w:hAnsi="Times New Roman"/>
          <w:noProof/>
        </w:rPr>
      </w:pPr>
    </w:p>
    <w:p w14:paraId="1887E3FB"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Investment 6 (C3.1I6): Scheme for supporting the production of enterprises in the agricultural sector</w:t>
      </w:r>
    </w:p>
    <w:p w14:paraId="1887E3FC"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this investment is to support the resilience of the agricultural sector, diversification of economic activity, and incentivise investments in new businesses or in the technological advancement of existing businesses.</w:t>
      </w:r>
    </w:p>
    <w:p w14:paraId="1887E3FD"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noProof/>
        </w:rPr>
        <w:t>The measure consists in providing grants to enterprises in the agricultural sector to finance investments in their production capabilities.</w:t>
      </w:r>
    </w:p>
    <w:p w14:paraId="1887E3FE" w14:textId="77777777" w:rsidR="00C02B59" w:rsidRPr="00D1795B" w:rsidRDefault="00C02B59" w:rsidP="00C02B59">
      <w:pPr>
        <w:spacing w:before="120" w:after="120" w:line="240" w:lineRule="auto"/>
        <w:jc w:val="both"/>
        <w:textAlignment w:val="baseline"/>
        <w:rPr>
          <w:rFonts w:ascii="Times New Roman" w:hAnsi="Times New Roman" w:cs="Times New Roman"/>
          <w:noProof/>
        </w:rPr>
      </w:pPr>
    </w:p>
    <w:p w14:paraId="1887E3FF"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Investment 7 (C3.1I7): Scheme for the competitiveness and/or the energy efficiency of large enterprises in Cyprus</w:t>
      </w:r>
    </w:p>
    <w:p w14:paraId="1887E400"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this investment is to support investments by large enterprises, including production process, technological and energy efficiency.</w:t>
      </w:r>
    </w:p>
    <w:p w14:paraId="1887E401" w14:textId="77777777" w:rsidR="00C02B59" w:rsidRPr="00D1795B" w:rsidRDefault="00C02B59" w:rsidP="00C02B59">
      <w:pPr>
        <w:spacing w:before="120" w:after="120" w:line="240" w:lineRule="auto"/>
        <w:jc w:val="both"/>
        <w:textAlignment w:val="baseline"/>
        <w:rPr>
          <w:rFonts w:ascii="Times New Roman" w:hAnsi="Times New Roman"/>
          <w:noProof/>
        </w:rPr>
      </w:pPr>
      <w:r w:rsidRPr="00D1795B">
        <w:rPr>
          <w:rFonts w:ascii="Times New Roman" w:hAnsi="Times New Roman"/>
          <w:noProof/>
        </w:rPr>
        <w:t xml:space="preserve">The measure consists in the publication of the call for proposals and the signature of grant agreements with at least 10 enterprises. </w:t>
      </w:r>
    </w:p>
    <w:p w14:paraId="1887E402" w14:textId="77777777" w:rsidR="00C02B59" w:rsidRPr="00D1795B" w:rsidRDefault="00C02B59" w:rsidP="00C02B59">
      <w:pPr>
        <w:spacing w:before="120" w:after="120" w:line="240" w:lineRule="auto"/>
        <w:jc w:val="both"/>
        <w:rPr>
          <w:rFonts w:ascii="Times New Roman" w:hAnsi="Times New Roman"/>
          <w:noProof/>
        </w:rPr>
      </w:pPr>
    </w:p>
    <w:p w14:paraId="1887E403" w14:textId="77777777" w:rsidR="00C02B59" w:rsidRPr="00D1795B" w:rsidRDefault="00C02B59" w:rsidP="00C02B59">
      <w:pPr>
        <w:spacing w:before="120" w:after="120" w:line="240" w:lineRule="auto"/>
        <w:jc w:val="both"/>
        <w:rPr>
          <w:rFonts w:ascii="Times New Roman" w:hAnsi="Times New Roman"/>
          <w:b/>
          <w:noProof/>
          <w:u w:val="single"/>
        </w:rPr>
      </w:pPr>
      <w:r w:rsidRPr="00D1795B">
        <w:rPr>
          <w:rFonts w:ascii="Times New Roman" w:hAnsi="Times New Roman"/>
          <w:b/>
          <w:noProof/>
          <w:u w:val="single"/>
        </w:rPr>
        <w:t>Sub-component 3.1.3 Sustainable, high value-added tourism</w:t>
      </w:r>
    </w:p>
    <w:p w14:paraId="1887E404"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 xml:space="preserve">Investment 8 (C3.1I8): Added value of tourism </w:t>
      </w:r>
    </w:p>
    <w:p w14:paraId="1887E405"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objective of this investment is to support tourism, attract new markets, reduce seasonality, and improve the built environment, especially in the countryside, mountainous and remote areas. </w:t>
      </w:r>
    </w:p>
    <w:p w14:paraId="1887E406"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This measure consists in signing grant agreements and issuing acceptance certificates or proof of payments for renovation works and equipment in the hospitality sector. </w:t>
      </w:r>
    </w:p>
    <w:p w14:paraId="1887E407" w14:textId="77777777" w:rsidR="00C02B59" w:rsidRPr="00D1795B" w:rsidRDefault="00C02B59" w:rsidP="00C02B59">
      <w:pPr>
        <w:spacing w:before="120" w:after="120" w:line="240" w:lineRule="auto"/>
        <w:jc w:val="both"/>
        <w:rPr>
          <w:rFonts w:ascii="Times New Roman" w:hAnsi="Times New Roman"/>
          <w:noProof/>
          <w:u w:val="single"/>
        </w:rPr>
      </w:pPr>
    </w:p>
    <w:p w14:paraId="1887E408"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Investment 9 (C3.1I9): Circular economy in hotels</w:t>
      </w:r>
    </w:p>
    <w:p w14:paraId="1887E409"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objective of this investment is to facilitate the transition of hotels’ business model to circular, or to launch circular products or services. </w:t>
      </w:r>
    </w:p>
    <w:p w14:paraId="1887E40A"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This measure consists in certification. </w:t>
      </w:r>
    </w:p>
    <w:p w14:paraId="1887E40B" w14:textId="77777777" w:rsidR="00C02B59" w:rsidRPr="00D1795B" w:rsidRDefault="00C02B59" w:rsidP="00C02B59">
      <w:pPr>
        <w:spacing w:before="120" w:after="120" w:line="240" w:lineRule="auto"/>
        <w:jc w:val="both"/>
        <w:rPr>
          <w:rFonts w:ascii="Times New Roman" w:hAnsi="Times New Roman"/>
          <w:noProof/>
          <w:u w:val="single"/>
        </w:rPr>
      </w:pPr>
    </w:p>
    <w:p w14:paraId="1887E40C"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u w:val="single"/>
        </w:rPr>
        <w:t xml:space="preserve">Investment 10 (C3.1I10): Enrichment of tourism </w:t>
      </w:r>
    </w:p>
    <w:p w14:paraId="1887E40D"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this investment is to support the economy in rural, mountainous, and remote areas and to diversify tourism.</w:t>
      </w:r>
    </w:p>
    <w:p w14:paraId="1887E40E"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This measure consists in (i) the construction of the Aphrodite Route, and (ii) investments including, but not limited to, construction works, equipment, information and communication technologies, and advisory services for enterprises or local community boards. </w:t>
      </w:r>
    </w:p>
    <w:p w14:paraId="1887E40F" w14:textId="77777777" w:rsidR="00C02B59" w:rsidRPr="00D1795B" w:rsidRDefault="00C02B59" w:rsidP="00C02B59">
      <w:pPr>
        <w:spacing w:before="120" w:after="120" w:line="240" w:lineRule="auto"/>
        <w:jc w:val="both"/>
        <w:rPr>
          <w:rFonts w:ascii="Times New Roman" w:hAnsi="Times New Roman"/>
          <w:noProof/>
          <w:u w:val="single"/>
        </w:rPr>
      </w:pPr>
    </w:p>
    <w:p w14:paraId="1887E410" w14:textId="77777777" w:rsidR="00C02B59" w:rsidRPr="00D1795B" w:rsidRDefault="00C02B59" w:rsidP="00C02B59">
      <w:pPr>
        <w:spacing w:before="120" w:after="120" w:line="240" w:lineRule="auto"/>
        <w:jc w:val="both"/>
        <w:rPr>
          <w:rFonts w:ascii="Times New Roman" w:hAnsi="Times New Roman"/>
          <w:b/>
          <w:noProof/>
          <w:u w:val="single"/>
        </w:rPr>
      </w:pPr>
      <w:r w:rsidRPr="00D1795B">
        <w:rPr>
          <w:rFonts w:ascii="Times New Roman" w:hAnsi="Times New Roman"/>
          <w:b/>
          <w:noProof/>
          <w:u w:val="single"/>
        </w:rPr>
        <w:t>Sub-component 3.1.4 Circular economy</w:t>
      </w:r>
    </w:p>
    <w:p w14:paraId="1887E411"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 xml:space="preserve">Reform 4 (C3.1R4): Circular economy </w:t>
      </w:r>
    </w:p>
    <w:p w14:paraId="1887E412"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objective of this reform is to support the circular economy model in the country. </w:t>
      </w:r>
    </w:p>
    <w:p w14:paraId="1887E413"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measure consists of an Action Plan and a grant scheme for business investment in the circular economy.</w:t>
      </w:r>
    </w:p>
    <w:p w14:paraId="1887E414" w14:textId="77777777" w:rsidR="00C02B59" w:rsidRPr="00D1795B" w:rsidRDefault="00C02B59" w:rsidP="00C02B59">
      <w:pPr>
        <w:spacing w:before="120" w:after="120" w:line="240" w:lineRule="auto"/>
        <w:jc w:val="both"/>
        <w:rPr>
          <w:rFonts w:ascii="Times New Roman" w:hAnsi="Times New Roman"/>
          <w:noProof/>
        </w:rPr>
      </w:pPr>
    </w:p>
    <w:p w14:paraId="1887E415"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 xml:space="preserve">Reform 5 (C3.1R5): Waste management coordination unit in the Department of Environment </w:t>
      </w:r>
    </w:p>
    <w:p w14:paraId="1887E416"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objective of this reform is to monitor municipal waste management. </w:t>
      </w:r>
    </w:p>
    <w:p w14:paraId="1887E417" w14:textId="77777777" w:rsidR="00C02B59" w:rsidRPr="00D1795B" w:rsidRDefault="00C02B59" w:rsidP="00C02B59">
      <w:pPr>
        <w:spacing w:before="120" w:after="120" w:line="240" w:lineRule="auto"/>
        <w:jc w:val="both"/>
        <w:rPr>
          <w:rFonts w:ascii="Times New Roman" w:eastAsia="Times New Roman" w:hAnsi="Times New Roman" w:cs="Times New Roman"/>
          <w:noProof/>
        </w:rPr>
      </w:pPr>
      <w:r w:rsidRPr="00D1795B">
        <w:rPr>
          <w:rFonts w:ascii="Times New Roman" w:eastAsia="Times New Roman" w:hAnsi="Times New Roman" w:cs="Times New Roman"/>
          <w:noProof/>
          <w:color w:val="000000" w:themeColor="text1"/>
        </w:rPr>
        <w:t>This measure consists in a decision by the Council of Ministers on the framework for a unit for waste management coordination in the Department of Environment.</w:t>
      </w:r>
    </w:p>
    <w:p w14:paraId="1887E418" w14:textId="77777777" w:rsidR="00C02B59" w:rsidRPr="00D1795B" w:rsidRDefault="00C02B59" w:rsidP="00C02B59">
      <w:pPr>
        <w:spacing w:before="120" w:after="120" w:line="240" w:lineRule="auto"/>
        <w:jc w:val="both"/>
        <w:rPr>
          <w:rFonts w:ascii="Times New Roman" w:hAnsi="Times New Roman"/>
          <w:noProof/>
        </w:rPr>
      </w:pPr>
    </w:p>
    <w:p w14:paraId="1887E419"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Investment 12 (C3.1I12): Waste management towards circular economy</w:t>
      </w:r>
    </w:p>
    <w:p w14:paraId="1887E41A"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this investment is to contribute to recycling of dry recyclables. This measure consists in the installation of 50 green kiosks for dry recyclables to help local authorities in remote areas to improve their waste management schemes.</w:t>
      </w:r>
    </w:p>
    <w:p w14:paraId="1887E41B" w14:textId="77777777" w:rsidR="00C02B59" w:rsidRPr="00D1795B" w:rsidRDefault="00C02B59" w:rsidP="00C02B59">
      <w:pPr>
        <w:spacing w:before="120" w:after="120" w:line="240" w:lineRule="auto"/>
        <w:jc w:val="both"/>
        <w:rPr>
          <w:rFonts w:ascii="Times New Roman" w:hAnsi="Times New Roman"/>
          <w:noProof/>
        </w:rPr>
      </w:pPr>
    </w:p>
    <w:p w14:paraId="1887E41C" w14:textId="0F770962"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 xml:space="preserve">Investment 11 (C3.1I11): Extension of the Cyprus Green Points Network </w:t>
      </w:r>
    </w:p>
    <w:p w14:paraId="1887E41D"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objective of this investment is the management of solid waste and the protection of the environment and public health. </w:t>
      </w:r>
    </w:p>
    <w:p w14:paraId="1887E41E" w14:textId="18F5E7E6"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This measure consists in the </w:t>
      </w:r>
      <w:r w:rsidR="01580449" w:rsidRPr="00D1795B">
        <w:rPr>
          <w:rFonts w:ascii="Times New Roman" w:hAnsi="Times New Roman"/>
          <w:noProof/>
        </w:rPr>
        <w:t>construction</w:t>
      </w:r>
      <w:r w:rsidR="001977D1" w:rsidRPr="00D1795B">
        <w:rPr>
          <w:rFonts w:ascii="Times New Roman" w:hAnsi="Times New Roman"/>
          <w:noProof/>
        </w:rPr>
        <w:t xml:space="preserve"> </w:t>
      </w:r>
      <w:r w:rsidR="00435FB2" w:rsidRPr="00D1795B">
        <w:rPr>
          <w:rFonts w:ascii="Times New Roman" w:hAnsi="Times New Roman"/>
          <w:noProof/>
        </w:rPr>
        <w:t xml:space="preserve">or extension </w:t>
      </w:r>
      <w:r w:rsidRPr="00D1795B">
        <w:rPr>
          <w:rFonts w:ascii="Times New Roman" w:hAnsi="Times New Roman"/>
          <w:noProof/>
        </w:rPr>
        <w:t xml:space="preserve">of six Green Points to deposit specific household </w:t>
      </w:r>
      <w:r w:rsidR="003A6B23" w:rsidRPr="00D1795B">
        <w:rPr>
          <w:rFonts w:ascii="Times New Roman" w:hAnsi="Times New Roman"/>
          <w:noProof/>
        </w:rPr>
        <w:t xml:space="preserve">or </w:t>
      </w:r>
      <w:r w:rsidRPr="00D1795B">
        <w:rPr>
          <w:rFonts w:ascii="Times New Roman" w:hAnsi="Times New Roman"/>
          <w:noProof/>
        </w:rPr>
        <w:t xml:space="preserve">municipal waste streams. </w:t>
      </w:r>
    </w:p>
    <w:p w14:paraId="1887E41F" w14:textId="77777777" w:rsidR="00C02B59" w:rsidRPr="00D1795B" w:rsidRDefault="00C02B59">
      <w:pPr>
        <w:rPr>
          <w:noProof/>
        </w:rPr>
        <w:sectPr w:rsidR="00C02B59" w:rsidRPr="00D1795B" w:rsidSect="00C02B59">
          <w:headerReference w:type="even" r:id="rId65"/>
          <w:headerReference w:type="default" r:id="rId66"/>
          <w:footerReference w:type="even" r:id="rId67"/>
          <w:footerReference w:type="default" r:id="rId68"/>
          <w:headerReference w:type="first" r:id="rId69"/>
          <w:footerReference w:type="first" r:id="rId70"/>
          <w:pgSz w:w="11906" w:h="16838"/>
          <w:pgMar w:top="1134" w:right="1134" w:bottom="1134" w:left="1134" w:header="567" w:footer="567" w:gutter="0"/>
          <w:cols w:space="708"/>
          <w:docGrid w:linePitch="360"/>
        </w:sectPr>
      </w:pPr>
    </w:p>
    <w:p w14:paraId="1887E420" w14:textId="77777777" w:rsidR="00C02B59" w:rsidRPr="00D1795B" w:rsidRDefault="00C02B59" w:rsidP="00C02B59">
      <w:pPr>
        <w:spacing w:before="120" w:after="240" w:line="240" w:lineRule="auto"/>
        <w:jc w:val="center"/>
        <w:rPr>
          <w:rFonts w:ascii="Times New Roman" w:hAnsi="Times New Roman"/>
          <w:b/>
          <w:noProof/>
          <w:u w:val="single"/>
        </w:rPr>
      </w:pPr>
      <w:r w:rsidRPr="00D1795B">
        <w:rPr>
          <w:rFonts w:ascii="Times New Roman" w:hAnsi="Times New Roman"/>
          <w:b/>
          <w:bCs/>
          <w:noProof/>
          <w:u w:val="single"/>
        </w:rPr>
        <w:t xml:space="preserve">E.2. </w:t>
      </w:r>
      <w:r w:rsidRPr="00D1795B">
        <w:rPr>
          <w:noProof/>
        </w:rPr>
        <w:tab/>
      </w:r>
      <w:r w:rsidRPr="00D1795B">
        <w:rPr>
          <w:rFonts w:ascii="Times New Roman" w:hAnsi="Times New Roman"/>
          <w:b/>
          <w:noProof/>
          <w:u w:val="single"/>
        </w:rPr>
        <w:t>Milestones, targets, indicators, and timetable for monitoring and implementation for non-repayable financial support</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4"/>
        <w:gridCol w:w="1564"/>
        <w:gridCol w:w="1134"/>
        <w:gridCol w:w="1843"/>
        <w:gridCol w:w="1947"/>
        <w:gridCol w:w="1029"/>
        <w:gridCol w:w="993"/>
        <w:gridCol w:w="708"/>
        <w:gridCol w:w="993"/>
        <w:gridCol w:w="850"/>
        <w:gridCol w:w="3241"/>
      </w:tblGrid>
      <w:tr w:rsidR="00C02B59" w:rsidRPr="00D1795B" w14:paraId="1887E429" w14:textId="77777777" w:rsidTr="6B29DC81">
        <w:trPr>
          <w:trHeight w:val="300"/>
          <w:tblHeader/>
          <w:jc w:val="center"/>
        </w:trPr>
        <w:tc>
          <w:tcPr>
            <w:tcW w:w="1144" w:type="dxa"/>
            <w:vMerge w:val="restart"/>
            <w:shd w:val="clear" w:color="auto" w:fill="BDD7EE"/>
            <w:vAlign w:val="center"/>
            <w:hideMark/>
          </w:tcPr>
          <w:p w14:paraId="1887E421"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1564" w:type="dxa"/>
            <w:vMerge w:val="restart"/>
            <w:shd w:val="clear" w:color="auto" w:fill="BDD7EE"/>
            <w:vAlign w:val="center"/>
            <w:hideMark/>
          </w:tcPr>
          <w:p w14:paraId="1887E422"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1134" w:type="dxa"/>
            <w:vMerge w:val="restart"/>
            <w:shd w:val="clear" w:color="auto" w:fill="BDD7EE"/>
            <w:vAlign w:val="center"/>
            <w:hideMark/>
          </w:tcPr>
          <w:p w14:paraId="1887E423"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Milestone / Target</w:t>
            </w:r>
          </w:p>
        </w:tc>
        <w:tc>
          <w:tcPr>
            <w:tcW w:w="1843" w:type="dxa"/>
            <w:vMerge w:val="restart"/>
            <w:shd w:val="clear" w:color="auto" w:fill="BDD7EE"/>
            <w:vAlign w:val="center"/>
            <w:hideMark/>
          </w:tcPr>
          <w:p w14:paraId="1887E424"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Name</w:t>
            </w:r>
          </w:p>
        </w:tc>
        <w:tc>
          <w:tcPr>
            <w:tcW w:w="1947" w:type="dxa"/>
            <w:vMerge w:val="restart"/>
            <w:shd w:val="clear" w:color="auto" w:fill="BDD7EE"/>
            <w:vAlign w:val="center"/>
            <w:hideMark/>
          </w:tcPr>
          <w:p w14:paraId="1887E425"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Qualitative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milestones)</w:t>
            </w:r>
          </w:p>
        </w:tc>
        <w:tc>
          <w:tcPr>
            <w:tcW w:w="2730" w:type="dxa"/>
            <w:gridSpan w:val="3"/>
            <w:shd w:val="clear" w:color="auto" w:fill="BDD7EE"/>
            <w:vAlign w:val="center"/>
            <w:hideMark/>
          </w:tcPr>
          <w:p w14:paraId="1887E426"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Quantitative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targets)</w:t>
            </w:r>
          </w:p>
        </w:tc>
        <w:tc>
          <w:tcPr>
            <w:tcW w:w="1843" w:type="dxa"/>
            <w:gridSpan w:val="2"/>
            <w:shd w:val="clear" w:color="auto" w:fill="BDD7EE"/>
            <w:vAlign w:val="center"/>
            <w:hideMark/>
          </w:tcPr>
          <w:p w14:paraId="1887E427"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Indicative timeline for completion</w:t>
            </w:r>
          </w:p>
        </w:tc>
        <w:tc>
          <w:tcPr>
            <w:tcW w:w="3241" w:type="dxa"/>
            <w:vMerge w:val="restart"/>
            <w:shd w:val="clear" w:color="auto" w:fill="BDD7EE"/>
            <w:vAlign w:val="center"/>
            <w:hideMark/>
          </w:tcPr>
          <w:p w14:paraId="1887E428"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Description of each milestone and target</w:t>
            </w:r>
          </w:p>
        </w:tc>
      </w:tr>
      <w:tr w:rsidR="00C02B59" w:rsidRPr="00D1795B" w14:paraId="1887E435" w14:textId="77777777" w:rsidTr="6B29DC81">
        <w:trPr>
          <w:trHeight w:val="300"/>
          <w:tblHeader/>
          <w:jc w:val="center"/>
        </w:trPr>
        <w:tc>
          <w:tcPr>
            <w:tcW w:w="1144" w:type="dxa"/>
            <w:vMerge/>
            <w:hideMark/>
          </w:tcPr>
          <w:p w14:paraId="1887E42A"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564" w:type="dxa"/>
            <w:vMerge/>
            <w:hideMark/>
          </w:tcPr>
          <w:p w14:paraId="1887E42B"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134" w:type="dxa"/>
            <w:vMerge/>
            <w:hideMark/>
          </w:tcPr>
          <w:p w14:paraId="1887E42C"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843" w:type="dxa"/>
            <w:vMerge/>
            <w:hideMark/>
          </w:tcPr>
          <w:p w14:paraId="1887E42D"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947" w:type="dxa"/>
            <w:vMerge/>
            <w:hideMark/>
          </w:tcPr>
          <w:p w14:paraId="1887E42E"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029" w:type="dxa"/>
            <w:shd w:val="clear" w:color="auto" w:fill="BDD7EE"/>
            <w:vAlign w:val="center"/>
            <w:hideMark/>
          </w:tcPr>
          <w:p w14:paraId="1887E42F"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Unit of measure</w:t>
            </w:r>
          </w:p>
        </w:tc>
        <w:tc>
          <w:tcPr>
            <w:tcW w:w="993" w:type="dxa"/>
            <w:shd w:val="clear" w:color="auto" w:fill="BDD7EE"/>
            <w:vAlign w:val="center"/>
            <w:hideMark/>
          </w:tcPr>
          <w:p w14:paraId="1887E430"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Baseline</w:t>
            </w:r>
          </w:p>
        </w:tc>
        <w:tc>
          <w:tcPr>
            <w:tcW w:w="708" w:type="dxa"/>
            <w:shd w:val="clear" w:color="auto" w:fill="BDD7EE"/>
            <w:vAlign w:val="center"/>
            <w:hideMark/>
          </w:tcPr>
          <w:p w14:paraId="1887E431"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Goal</w:t>
            </w:r>
          </w:p>
        </w:tc>
        <w:tc>
          <w:tcPr>
            <w:tcW w:w="993" w:type="dxa"/>
            <w:shd w:val="clear" w:color="auto" w:fill="BDD7EE"/>
            <w:vAlign w:val="center"/>
            <w:hideMark/>
          </w:tcPr>
          <w:p w14:paraId="1887E432"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Quarter</w:t>
            </w:r>
          </w:p>
        </w:tc>
        <w:tc>
          <w:tcPr>
            <w:tcW w:w="850" w:type="dxa"/>
            <w:shd w:val="clear" w:color="auto" w:fill="BDD7EE"/>
            <w:vAlign w:val="center"/>
            <w:hideMark/>
          </w:tcPr>
          <w:p w14:paraId="1887E433"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Year</w:t>
            </w:r>
          </w:p>
        </w:tc>
        <w:tc>
          <w:tcPr>
            <w:tcW w:w="3241" w:type="dxa"/>
            <w:vMerge/>
            <w:hideMark/>
          </w:tcPr>
          <w:p w14:paraId="1887E434" w14:textId="77777777" w:rsidR="00C02B59" w:rsidRPr="00D1795B" w:rsidRDefault="00C02B59" w:rsidP="00C02B59">
            <w:pPr>
              <w:spacing w:after="0" w:line="240" w:lineRule="auto"/>
              <w:jc w:val="both"/>
              <w:rPr>
                <w:rFonts w:ascii="Times New Roman" w:hAnsi="Times New Roman" w:cs="Times New Roman"/>
                <w:b/>
                <w:noProof/>
                <w:sz w:val="18"/>
                <w:szCs w:val="18"/>
              </w:rPr>
            </w:pPr>
          </w:p>
        </w:tc>
      </w:tr>
      <w:tr w:rsidR="00C02B59" w:rsidRPr="00D1795B" w14:paraId="1887E443" w14:textId="77777777" w:rsidTr="6B29DC81">
        <w:trPr>
          <w:trHeight w:val="300"/>
          <w:jc w:val="center"/>
        </w:trPr>
        <w:tc>
          <w:tcPr>
            <w:tcW w:w="1144" w:type="dxa"/>
            <w:shd w:val="clear" w:color="auto" w:fill="C6EFCE"/>
            <w:noWrap/>
            <w:hideMark/>
          </w:tcPr>
          <w:p w14:paraId="1887E43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85</w:t>
            </w:r>
          </w:p>
        </w:tc>
        <w:tc>
          <w:tcPr>
            <w:tcW w:w="1564" w:type="dxa"/>
            <w:shd w:val="clear" w:color="auto" w:fill="C6EFCE"/>
            <w:noWrap/>
            <w:hideMark/>
          </w:tcPr>
          <w:p w14:paraId="1887E43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C3.1R1</w:t>
            </w:r>
          </w:p>
          <w:p w14:paraId="1887E43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Move agricultural practices from the 20th century to the 21st century by investing in a national centre for excellence in agri-tech</w:t>
            </w:r>
          </w:p>
        </w:tc>
        <w:tc>
          <w:tcPr>
            <w:tcW w:w="1134" w:type="dxa"/>
            <w:shd w:val="clear" w:color="auto" w:fill="C6EFCE"/>
            <w:noWrap/>
            <w:hideMark/>
          </w:tcPr>
          <w:p w14:paraId="1887E43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3" w:type="dxa"/>
            <w:shd w:val="clear" w:color="auto" w:fill="C6EFCE"/>
            <w:noWrap/>
            <w:hideMark/>
          </w:tcPr>
          <w:p w14:paraId="1887E43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Cooperation between the Agricultural </w:t>
            </w:r>
          </w:p>
          <w:p w14:paraId="1887E43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Research Institute and higher education institution(s), for at least one MSc programme</w:t>
            </w:r>
          </w:p>
        </w:tc>
        <w:tc>
          <w:tcPr>
            <w:tcW w:w="1947" w:type="dxa"/>
            <w:shd w:val="clear" w:color="auto" w:fill="C6EFCE"/>
            <w:noWrap/>
            <w:hideMark/>
          </w:tcPr>
          <w:p w14:paraId="1887E43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force of signed cooperation agreement(s)</w:t>
            </w:r>
          </w:p>
        </w:tc>
        <w:tc>
          <w:tcPr>
            <w:tcW w:w="1029" w:type="dxa"/>
            <w:shd w:val="clear" w:color="auto" w:fill="C6EFCE"/>
            <w:noWrap/>
            <w:hideMark/>
          </w:tcPr>
          <w:p w14:paraId="1887E43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6EFCE"/>
            <w:noWrap/>
            <w:hideMark/>
          </w:tcPr>
          <w:p w14:paraId="1887E43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08" w:type="dxa"/>
            <w:shd w:val="clear" w:color="auto" w:fill="C6EFCE"/>
            <w:noWrap/>
            <w:hideMark/>
          </w:tcPr>
          <w:p w14:paraId="1887E43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6EFCE"/>
            <w:noWrap/>
            <w:hideMark/>
          </w:tcPr>
          <w:p w14:paraId="1887E44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850" w:type="dxa"/>
            <w:shd w:val="clear" w:color="auto" w:fill="C6EFCE"/>
            <w:noWrap/>
            <w:hideMark/>
          </w:tcPr>
          <w:p w14:paraId="1887E44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241" w:type="dxa"/>
            <w:shd w:val="clear" w:color="auto" w:fill="C6EFCE"/>
            <w:noWrap/>
            <w:hideMark/>
          </w:tcPr>
          <w:p w14:paraId="1887E44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legally binding document(s) establishing the collaboration for at least one MSc programme signed between the Agricultural Research Institute and higher education institution(s).</w:t>
            </w:r>
          </w:p>
        </w:tc>
      </w:tr>
      <w:tr w:rsidR="00C02B59" w:rsidRPr="00D1795B" w14:paraId="1887E450" w14:textId="77777777" w:rsidTr="6B29DC81">
        <w:trPr>
          <w:trHeight w:val="300"/>
          <w:jc w:val="center"/>
        </w:trPr>
        <w:tc>
          <w:tcPr>
            <w:tcW w:w="1144" w:type="dxa"/>
            <w:shd w:val="clear" w:color="auto" w:fill="C6EFCE"/>
            <w:noWrap/>
            <w:hideMark/>
          </w:tcPr>
          <w:p w14:paraId="1887E44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86</w:t>
            </w:r>
          </w:p>
        </w:tc>
        <w:tc>
          <w:tcPr>
            <w:tcW w:w="1564" w:type="dxa"/>
            <w:shd w:val="clear" w:color="auto" w:fill="C6EFCE"/>
            <w:noWrap/>
            <w:hideMark/>
          </w:tcPr>
          <w:p w14:paraId="1887E44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C3.1R1</w:t>
            </w:r>
          </w:p>
          <w:p w14:paraId="1887E44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Move agricultural practices from the 20th century to the 21st century by investing in a national centre for excellence in agri-tech</w:t>
            </w:r>
          </w:p>
        </w:tc>
        <w:tc>
          <w:tcPr>
            <w:tcW w:w="1134" w:type="dxa"/>
            <w:shd w:val="clear" w:color="auto" w:fill="C6EFCE"/>
            <w:noWrap/>
            <w:hideMark/>
          </w:tcPr>
          <w:p w14:paraId="1887E44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3" w:type="dxa"/>
            <w:shd w:val="clear" w:color="auto" w:fill="C6EFCE"/>
            <w:noWrap/>
            <w:hideMark/>
          </w:tcPr>
          <w:p w14:paraId="1887E44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Master in the wider domain of Agriculture</w:t>
            </w:r>
          </w:p>
        </w:tc>
        <w:tc>
          <w:tcPr>
            <w:tcW w:w="1947" w:type="dxa"/>
            <w:shd w:val="clear" w:color="auto" w:fill="C6EFCE"/>
            <w:noWrap/>
            <w:hideMark/>
          </w:tcPr>
          <w:p w14:paraId="1887E44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Media announcement and communication by competent authorities </w:t>
            </w:r>
          </w:p>
        </w:tc>
        <w:tc>
          <w:tcPr>
            <w:tcW w:w="1029" w:type="dxa"/>
            <w:shd w:val="clear" w:color="auto" w:fill="C6EFCE"/>
            <w:noWrap/>
            <w:hideMark/>
          </w:tcPr>
          <w:p w14:paraId="1887E44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6EFCE"/>
            <w:noWrap/>
            <w:hideMark/>
          </w:tcPr>
          <w:p w14:paraId="1887E44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08" w:type="dxa"/>
            <w:shd w:val="clear" w:color="auto" w:fill="C6EFCE"/>
            <w:noWrap/>
            <w:hideMark/>
          </w:tcPr>
          <w:p w14:paraId="1887E44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6EFCE"/>
            <w:noWrap/>
            <w:hideMark/>
          </w:tcPr>
          <w:p w14:paraId="1887E44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0" w:type="dxa"/>
            <w:shd w:val="clear" w:color="auto" w:fill="C6EFCE"/>
            <w:noWrap/>
            <w:hideMark/>
          </w:tcPr>
          <w:p w14:paraId="1887E44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241" w:type="dxa"/>
            <w:shd w:val="clear" w:color="auto" w:fill="C6EFCE"/>
            <w:noWrap/>
            <w:hideMark/>
          </w:tcPr>
          <w:p w14:paraId="1887E44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Enrolment of students and start of a Master in the wider domain of Agriculture.</w:t>
            </w:r>
          </w:p>
        </w:tc>
      </w:tr>
      <w:tr w:rsidR="00C02B59" w:rsidRPr="00D1795B" w14:paraId="1887E45D" w14:textId="77777777" w:rsidTr="6B29DC81">
        <w:trPr>
          <w:trHeight w:val="300"/>
          <w:jc w:val="center"/>
        </w:trPr>
        <w:tc>
          <w:tcPr>
            <w:tcW w:w="1144" w:type="dxa"/>
            <w:shd w:val="clear" w:color="auto" w:fill="C6EFCE"/>
            <w:noWrap/>
            <w:hideMark/>
          </w:tcPr>
          <w:p w14:paraId="1887E45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87</w:t>
            </w:r>
          </w:p>
        </w:tc>
        <w:tc>
          <w:tcPr>
            <w:tcW w:w="1564" w:type="dxa"/>
            <w:shd w:val="clear" w:color="auto" w:fill="C6EFCE"/>
            <w:noWrap/>
            <w:hideMark/>
          </w:tcPr>
          <w:p w14:paraId="1887E45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C3.1R2</w:t>
            </w:r>
          </w:p>
          <w:p w14:paraId="1887E45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On-line platform for improving the trade and information symmetry in the fresh produce supply chain</w:t>
            </w:r>
          </w:p>
        </w:tc>
        <w:tc>
          <w:tcPr>
            <w:tcW w:w="1134" w:type="dxa"/>
            <w:shd w:val="clear" w:color="auto" w:fill="C6EFCE"/>
            <w:noWrap/>
            <w:hideMark/>
          </w:tcPr>
          <w:p w14:paraId="1887E45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3" w:type="dxa"/>
            <w:shd w:val="clear" w:color="auto" w:fill="C6EFCE"/>
            <w:noWrap/>
            <w:hideMark/>
          </w:tcPr>
          <w:p w14:paraId="1887E45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Law on unfair practices in transactions in the local fresh produce market</w:t>
            </w:r>
          </w:p>
        </w:tc>
        <w:tc>
          <w:tcPr>
            <w:tcW w:w="1947" w:type="dxa"/>
            <w:shd w:val="clear" w:color="auto" w:fill="C6EFCE"/>
            <w:noWrap/>
            <w:hideMark/>
          </w:tcPr>
          <w:p w14:paraId="1887E45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Provision in the law indicating the entry into force of the new law on unfair practices in transactions in the local fresh produce market</w:t>
            </w:r>
          </w:p>
        </w:tc>
        <w:tc>
          <w:tcPr>
            <w:tcW w:w="1029" w:type="dxa"/>
            <w:shd w:val="clear" w:color="auto" w:fill="C6EFCE"/>
            <w:noWrap/>
            <w:hideMark/>
          </w:tcPr>
          <w:p w14:paraId="1887E45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6EFCE"/>
            <w:noWrap/>
            <w:hideMark/>
          </w:tcPr>
          <w:p w14:paraId="1887E45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08" w:type="dxa"/>
            <w:shd w:val="clear" w:color="auto" w:fill="C6EFCE"/>
            <w:noWrap/>
            <w:hideMark/>
          </w:tcPr>
          <w:p w14:paraId="1887E45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6EFCE"/>
            <w:noWrap/>
            <w:hideMark/>
          </w:tcPr>
          <w:p w14:paraId="1887E45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0" w:type="dxa"/>
            <w:shd w:val="clear" w:color="auto" w:fill="C6EFCE"/>
            <w:noWrap/>
            <w:hideMark/>
          </w:tcPr>
          <w:p w14:paraId="1887E45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241" w:type="dxa"/>
            <w:shd w:val="clear" w:color="auto" w:fill="C6EFCE"/>
            <w:noWrap/>
            <w:hideMark/>
          </w:tcPr>
          <w:p w14:paraId="1887E45C"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a new law which shall address unfair trading practices in transactions in the local fresh produce market, such as unilateral and retroactive amendments to contracts, last-minute cancellations, payment deadlines longer than 30 days, payment for damaged or unsold products and other actions affecting those involved in the production and distribution chain of agricultural products.</w:t>
            </w:r>
          </w:p>
        </w:tc>
      </w:tr>
      <w:tr w:rsidR="00C02B59" w:rsidRPr="00D1795B" w14:paraId="1887E46A" w14:textId="77777777" w:rsidTr="6B29DC81">
        <w:trPr>
          <w:trHeight w:val="300"/>
          <w:jc w:val="center"/>
        </w:trPr>
        <w:tc>
          <w:tcPr>
            <w:tcW w:w="1144" w:type="dxa"/>
            <w:shd w:val="clear" w:color="auto" w:fill="C6EFCE"/>
            <w:noWrap/>
            <w:hideMark/>
          </w:tcPr>
          <w:p w14:paraId="1887E45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88</w:t>
            </w:r>
          </w:p>
        </w:tc>
        <w:tc>
          <w:tcPr>
            <w:tcW w:w="1564" w:type="dxa"/>
            <w:shd w:val="clear" w:color="auto" w:fill="C6EFCE"/>
            <w:noWrap/>
            <w:hideMark/>
          </w:tcPr>
          <w:p w14:paraId="1887E45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C3.1R2</w:t>
            </w:r>
          </w:p>
          <w:p w14:paraId="1887E46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On-line platform for trade and information symmetry in the fresh produce supply chain</w:t>
            </w:r>
          </w:p>
        </w:tc>
        <w:tc>
          <w:tcPr>
            <w:tcW w:w="1134" w:type="dxa"/>
            <w:shd w:val="clear" w:color="auto" w:fill="C6EFCE"/>
            <w:noWrap/>
            <w:hideMark/>
          </w:tcPr>
          <w:p w14:paraId="1887E46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3" w:type="dxa"/>
            <w:shd w:val="clear" w:color="auto" w:fill="C6EFCE"/>
            <w:noWrap/>
            <w:hideMark/>
          </w:tcPr>
          <w:p w14:paraId="1887E46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Platform for recording transactions in the local fresh produce market</w:t>
            </w:r>
          </w:p>
        </w:tc>
        <w:tc>
          <w:tcPr>
            <w:tcW w:w="1947" w:type="dxa"/>
            <w:shd w:val="clear" w:color="auto" w:fill="C6EFCE"/>
            <w:noWrap/>
            <w:hideMark/>
          </w:tcPr>
          <w:p w14:paraId="1887E46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Platform available to Producers’ Organisations</w:t>
            </w:r>
          </w:p>
        </w:tc>
        <w:tc>
          <w:tcPr>
            <w:tcW w:w="1029" w:type="dxa"/>
            <w:shd w:val="clear" w:color="auto" w:fill="C6EFCE"/>
            <w:noWrap/>
            <w:hideMark/>
          </w:tcPr>
          <w:p w14:paraId="1887E46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6EFCE"/>
            <w:noWrap/>
            <w:hideMark/>
          </w:tcPr>
          <w:p w14:paraId="1887E46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08" w:type="dxa"/>
            <w:shd w:val="clear" w:color="auto" w:fill="C6EFCE"/>
            <w:noWrap/>
            <w:hideMark/>
          </w:tcPr>
          <w:p w14:paraId="1887E46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6EFCE"/>
            <w:noWrap/>
            <w:hideMark/>
          </w:tcPr>
          <w:p w14:paraId="1887E46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0" w:type="dxa"/>
            <w:shd w:val="clear" w:color="auto" w:fill="C6EFCE"/>
            <w:noWrap/>
            <w:hideMark/>
          </w:tcPr>
          <w:p w14:paraId="1887E46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241" w:type="dxa"/>
            <w:shd w:val="clear" w:color="auto" w:fill="C6EFCE"/>
            <w:noWrap/>
            <w:hideMark/>
          </w:tcPr>
          <w:p w14:paraId="1887E469"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Online Platform for recording transactions in the fresh produce market shall be available to Producers’ Organisations.</w:t>
            </w:r>
          </w:p>
        </w:tc>
      </w:tr>
      <w:tr w:rsidR="00C02B59" w:rsidRPr="00D1795B" w14:paraId="1887E477" w14:textId="77777777" w:rsidTr="6B29DC81">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6B" w14:textId="41965B36"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90</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6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C3.1R3</w:t>
            </w:r>
          </w:p>
          <w:p w14:paraId="1887E46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Genetic improvement of the Cyprus sheep and goat population</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6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6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Genomic identifications registered in ARI database.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Aid disbursed and genomic identifications registered in ARI database. </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1"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2"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3"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76"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Aid has been disbursed to farmers for the upgrade of the collection of data related to dairy production. Genomic identifications for at least 15 000 unique sheep and goats have been registered in ARI (Agricultural Research Institute) database.</w:t>
            </w:r>
          </w:p>
        </w:tc>
      </w:tr>
      <w:tr w:rsidR="00C02B59" w:rsidRPr="00D1795B" w14:paraId="1887E484" w14:textId="77777777" w:rsidTr="6B29DC81">
        <w:trPr>
          <w:trHeight w:val="300"/>
          <w:jc w:val="center"/>
        </w:trPr>
        <w:tc>
          <w:tcPr>
            <w:tcW w:w="1144" w:type="dxa"/>
            <w:shd w:val="clear" w:color="auto" w:fill="C6EFCE"/>
            <w:noWrap/>
          </w:tcPr>
          <w:p w14:paraId="1887E47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93</w:t>
            </w:r>
          </w:p>
        </w:tc>
        <w:tc>
          <w:tcPr>
            <w:tcW w:w="1564" w:type="dxa"/>
            <w:shd w:val="clear" w:color="auto" w:fill="C6EFCE"/>
            <w:noWrap/>
          </w:tcPr>
          <w:p w14:paraId="1887E47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C3.1I2</w:t>
            </w:r>
          </w:p>
          <w:p w14:paraId="1887E47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Enhancement of isotopic database of traditional Cypriot products</w:t>
            </w:r>
          </w:p>
        </w:tc>
        <w:tc>
          <w:tcPr>
            <w:tcW w:w="1134" w:type="dxa"/>
            <w:shd w:val="clear" w:color="auto" w:fill="C6EFCE"/>
            <w:noWrap/>
          </w:tcPr>
          <w:p w14:paraId="1887E47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3" w:type="dxa"/>
            <w:shd w:val="clear" w:color="auto" w:fill="C6EFCE"/>
            <w:noWrap/>
          </w:tcPr>
          <w:p w14:paraId="1887E47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Liquid Chromatography- Isotopic Ratio Mass Spectrometer (LC-IRMS) equipment</w:t>
            </w:r>
          </w:p>
        </w:tc>
        <w:tc>
          <w:tcPr>
            <w:tcW w:w="1947" w:type="dxa"/>
            <w:shd w:val="clear" w:color="auto" w:fill="C6EFCE"/>
            <w:noWrap/>
          </w:tcPr>
          <w:p w14:paraId="1887E47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Signed statement of the acceptance of equipment to the standard quality and time specified in the tender documents and the signed contract</w:t>
            </w:r>
          </w:p>
        </w:tc>
        <w:tc>
          <w:tcPr>
            <w:tcW w:w="1029" w:type="dxa"/>
            <w:shd w:val="clear" w:color="auto" w:fill="C6EFCE"/>
            <w:noWrap/>
          </w:tcPr>
          <w:p w14:paraId="1887E47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6EFCE"/>
            <w:noWrap/>
          </w:tcPr>
          <w:p w14:paraId="1887E47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08" w:type="dxa"/>
            <w:shd w:val="clear" w:color="auto" w:fill="C6EFCE"/>
            <w:noWrap/>
          </w:tcPr>
          <w:p w14:paraId="1887E48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6EFCE"/>
            <w:noWrap/>
          </w:tcPr>
          <w:p w14:paraId="1887E48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850" w:type="dxa"/>
            <w:shd w:val="clear" w:color="auto" w:fill="C6EFCE"/>
            <w:noWrap/>
          </w:tcPr>
          <w:p w14:paraId="1887E48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2021</w:t>
            </w:r>
          </w:p>
        </w:tc>
        <w:tc>
          <w:tcPr>
            <w:tcW w:w="3241" w:type="dxa"/>
            <w:shd w:val="clear" w:color="auto" w:fill="C6EFCE"/>
            <w:noWrap/>
          </w:tcPr>
          <w:p w14:paraId="1887E483"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Purchase and Install New Liquid Chromatography- Isotopic Ratio Mass Spectrometer (LC-IRMS) equipment for isotopic characterisation.</w:t>
            </w:r>
          </w:p>
        </w:tc>
      </w:tr>
      <w:tr w:rsidR="00C02B59" w:rsidRPr="00D1795B" w14:paraId="1887E491" w14:textId="77777777" w:rsidTr="6B29DC81">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94</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C3.1I2</w:t>
            </w:r>
          </w:p>
          <w:p w14:paraId="1887E48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Support of isotopic database of Cypriot food or drink products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Products connected to the system</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8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9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Integrated Isotopic DataBase(s) and blockchain system are connected for at least ten Cypriot food or drinks products. </w:t>
            </w:r>
          </w:p>
        </w:tc>
      </w:tr>
      <w:tr w:rsidR="00C02B59" w:rsidRPr="00D1795B" w14:paraId="1887E49E" w14:textId="77777777" w:rsidTr="6B29DC81">
        <w:trPr>
          <w:trHeight w:val="300"/>
          <w:jc w:val="center"/>
        </w:trPr>
        <w:tc>
          <w:tcPr>
            <w:tcW w:w="1144" w:type="dxa"/>
            <w:shd w:val="clear" w:color="auto" w:fill="C6EFCE"/>
            <w:noWrap/>
          </w:tcPr>
          <w:p w14:paraId="1887E49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95</w:t>
            </w:r>
          </w:p>
        </w:tc>
        <w:tc>
          <w:tcPr>
            <w:tcW w:w="1564" w:type="dxa"/>
            <w:shd w:val="clear" w:color="auto" w:fill="C6EFCE"/>
            <w:noWrap/>
          </w:tcPr>
          <w:p w14:paraId="1887E49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C3.1I3</w:t>
            </w:r>
          </w:p>
          <w:p w14:paraId="1887E49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Upskill existing and future farmers</w:t>
            </w:r>
          </w:p>
        </w:tc>
        <w:tc>
          <w:tcPr>
            <w:tcW w:w="1134" w:type="dxa"/>
            <w:shd w:val="clear" w:color="auto" w:fill="C6EFCE"/>
            <w:noWrap/>
          </w:tcPr>
          <w:p w14:paraId="1887E49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3" w:type="dxa"/>
            <w:shd w:val="clear" w:color="auto" w:fill="C6EFCE"/>
            <w:noWrap/>
          </w:tcPr>
          <w:p w14:paraId="1887E49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Scholarships granted</w:t>
            </w:r>
          </w:p>
        </w:tc>
        <w:tc>
          <w:tcPr>
            <w:tcW w:w="1947" w:type="dxa"/>
            <w:shd w:val="clear" w:color="auto" w:fill="C6EFCE"/>
            <w:noWrap/>
          </w:tcPr>
          <w:p w14:paraId="1887E49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29" w:type="dxa"/>
            <w:shd w:val="clear" w:color="auto" w:fill="C6EFCE"/>
            <w:noWrap/>
          </w:tcPr>
          <w:p w14:paraId="1887E49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3" w:type="dxa"/>
            <w:shd w:val="clear" w:color="auto" w:fill="C6EFCE"/>
            <w:noWrap/>
          </w:tcPr>
          <w:p w14:paraId="1887E49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708" w:type="dxa"/>
            <w:shd w:val="clear" w:color="auto" w:fill="C6EFCE"/>
            <w:noWrap/>
          </w:tcPr>
          <w:p w14:paraId="1887E49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5</w:t>
            </w:r>
          </w:p>
        </w:tc>
        <w:tc>
          <w:tcPr>
            <w:tcW w:w="993" w:type="dxa"/>
            <w:shd w:val="clear" w:color="auto" w:fill="C6EFCE"/>
            <w:noWrap/>
          </w:tcPr>
          <w:p w14:paraId="1887E49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850" w:type="dxa"/>
            <w:shd w:val="clear" w:color="auto" w:fill="C6EFCE"/>
            <w:noWrap/>
          </w:tcPr>
          <w:p w14:paraId="1887E49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241" w:type="dxa"/>
            <w:shd w:val="clear" w:color="auto" w:fill="C6EFCE"/>
            <w:noWrap/>
          </w:tcPr>
          <w:p w14:paraId="1887E49D"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At least five scholarships granted to secondary school graduates to study degree courses related to agriculture, in cooperation with the Department of Agriculture, the Agricultural Research Institute and local universities.</w:t>
            </w:r>
          </w:p>
        </w:tc>
      </w:tr>
      <w:tr w:rsidR="00C02B59" w:rsidRPr="00D1795B" w14:paraId="1887E4AD" w14:textId="77777777" w:rsidTr="6B29DC81">
        <w:trPr>
          <w:trHeight w:val="300"/>
          <w:jc w:val="center"/>
        </w:trPr>
        <w:tc>
          <w:tcPr>
            <w:tcW w:w="1144" w:type="dxa"/>
            <w:shd w:val="clear" w:color="auto" w:fill="C6EFCE"/>
            <w:noWrap/>
          </w:tcPr>
          <w:p w14:paraId="1887E49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97</w:t>
            </w:r>
          </w:p>
        </w:tc>
        <w:tc>
          <w:tcPr>
            <w:tcW w:w="1564" w:type="dxa"/>
            <w:shd w:val="clear" w:color="auto" w:fill="C6EFCE"/>
            <w:noWrap/>
          </w:tcPr>
          <w:p w14:paraId="1887E4A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C3.1I5</w:t>
            </w:r>
          </w:p>
          <w:p w14:paraId="1887E4A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Creation of a National Commercial Identity and promotion of the traditional product “halloumi”</w:t>
            </w:r>
          </w:p>
        </w:tc>
        <w:tc>
          <w:tcPr>
            <w:tcW w:w="1134" w:type="dxa"/>
            <w:shd w:val="clear" w:color="auto" w:fill="C6EFCE"/>
            <w:noWrap/>
          </w:tcPr>
          <w:p w14:paraId="1887E4A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3" w:type="dxa"/>
            <w:shd w:val="clear" w:color="auto" w:fill="C6EFCE"/>
            <w:noWrap/>
          </w:tcPr>
          <w:p w14:paraId="1887E4A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Action Plans for (a) the “made in Cyprus” branding, and (b) for the promotion of the halloumi cheese</w:t>
            </w:r>
          </w:p>
        </w:tc>
        <w:tc>
          <w:tcPr>
            <w:tcW w:w="1947" w:type="dxa"/>
            <w:shd w:val="clear" w:color="auto" w:fill="C6EFCE"/>
            <w:noWrap/>
          </w:tcPr>
          <w:p w14:paraId="1887E4A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Publication of the Council of Ministers’ decision and of the action plan</w:t>
            </w:r>
          </w:p>
        </w:tc>
        <w:tc>
          <w:tcPr>
            <w:tcW w:w="1029" w:type="dxa"/>
            <w:shd w:val="clear" w:color="auto" w:fill="C6EFCE"/>
            <w:noWrap/>
          </w:tcPr>
          <w:p w14:paraId="1887E4A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6EFCE"/>
            <w:noWrap/>
          </w:tcPr>
          <w:p w14:paraId="1887E4A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08" w:type="dxa"/>
            <w:shd w:val="clear" w:color="auto" w:fill="C6EFCE"/>
            <w:noWrap/>
          </w:tcPr>
          <w:p w14:paraId="1887E4A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6EFCE"/>
            <w:noWrap/>
          </w:tcPr>
          <w:p w14:paraId="1887E4A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850" w:type="dxa"/>
            <w:shd w:val="clear" w:color="auto" w:fill="C6EFCE"/>
            <w:noWrap/>
          </w:tcPr>
          <w:p w14:paraId="1887E4A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241" w:type="dxa"/>
            <w:shd w:val="clear" w:color="auto" w:fill="C6EFCE"/>
            <w:noWrap/>
          </w:tcPr>
          <w:p w14:paraId="1887E4AA"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Adoption by the Council of Ministers of Action Plans that shall consist of: </w:t>
            </w:r>
          </w:p>
          <w:p w14:paraId="1887E4AB"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(1) assisting businesses to promote their products and services on the basis of the “made in Cyprus” branding, and</w:t>
            </w:r>
          </w:p>
          <w:p w14:paraId="1887E4AC"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(2) increasing the distinctiveness of the halloumi cheese as an authentic Cyprus product and designing a promotional and awareness campaign for it.</w:t>
            </w:r>
          </w:p>
        </w:tc>
      </w:tr>
      <w:tr w:rsidR="00C02B59" w:rsidRPr="00D1795B" w14:paraId="1887E4C6" w14:textId="77777777" w:rsidTr="6B29DC81">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B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99</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B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C3.1I6</w:t>
            </w:r>
          </w:p>
          <w:p w14:paraId="1887E4B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Scheme for supporting the production of enterprises in agricultural sector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B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B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Grant agreements signed with enterprises in the agricultural sector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B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120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C5"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Signature of grant agreements with at least 120 enterprises in the agricultural sector for supporting their production capabilities. </w:t>
            </w:r>
          </w:p>
        </w:tc>
      </w:tr>
      <w:tr w:rsidR="00C02B59" w:rsidRPr="00D1795B" w14:paraId="1887E4D3" w14:textId="77777777" w:rsidTr="6B29DC81">
        <w:trPr>
          <w:trHeight w:val="300"/>
          <w:jc w:val="center"/>
        </w:trPr>
        <w:tc>
          <w:tcPr>
            <w:tcW w:w="1144" w:type="dxa"/>
            <w:shd w:val="clear" w:color="auto" w:fill="C6EFCE"/>
            <w:noWrap/>
          </w:tcPr>
          <w:p w14:paraId="1887E4C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100</w:t>
            </w:r>
          </w:p>
        </w:tc>
        <w:tc>
          <w:tcPr>
            <w:tcW w:w="1564" w:type="dxa"/>
            <w:shd w:val="clear" w:color="auto" w:fill="C6EFCE"/>
            <w:noWrap/>
          </w:tcPr>
          <w:p w14:paraId="1887E4C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C3.1I7</w:t>
            </w:r>
          </w:p>
          <w:p w14:paraId="1887E4C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Scheme for the competitiveness and/or the energy efficiency of large enterprises in Cyprus</w:t>
            </w:r>
          </w:p>
        </w:tc>
        <w:tc>
          <w:tcPr>
            <w:tcW w:w="1134" w:type="dxa"/>
            <w:shd w:val="clear" w:color="auto" w:fill="C6EFCE"/>
            <w:noWrap/>
          </w:tcPr>
          <w:p w14:paraId="1887E4C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3" w:type="dxa"/>
            <w:shd w:val="clear" w:color="auto" w:fill="C6EFCE"/>
            <w:noWrap/>
          </w:tcPr>
          <w:p w14:paraId="1887E4C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Start of the grant scheme on large enterprises </w:t>
            </w:r>
          </w:p>
        </w:tc>
        <w:tc>
          <w:tcPr>
            <w:tcW w:w="1947" w:type="dxa"/>
            <w:shd w:val="clear" w:color="auto" w:fill="C6EFCE"/>
            <w:noWrap/>
          </w:tcPr>
          <w:p w14:paraId="1887E4C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Publication of the call for proposals on the Ministry website</w:t>
            </w:r>
          </w:p>
        </w:tc>
        <w:tc>
          <w:tcPr>
            <w:tcW w:w="1029" w:type="dxa"/>
            <w:shd w:val="clear" w:color="auto" w:fill="C6EFCE"/>
            <w:noWrap/>
          </w:tcPr>
          <w:p w14:paraId="1887E4C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6EFCE"/>
            <w:noWrap/>
          </w:tcPr>
          <w:p w14:paraId="1887E4C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08" w:type="dxa"/>
            <w:shd w:val="clear" w:color="auto" w:fill="C6EFCE"/>
            <w:noWrap/>
          </w:tcPr>
          <w:p w14:paraId="1887E4C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6EFCE"/>
            <w:noWrap/>
          </w:tcPr>
          <w:p w14:paraId="1887E4D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Q3</w:t>
            </w:r>
          </w:p>
        </w:tc>
        <w:tc>
          <w:tcPr>
            <w:tcW w:w="850" w:type="dxa"/>
            <w:shd w:val="clear" w:color="auto" w:fill="C6EFCE"/>
            <w:noWrap/>
          </w:tcPr>
          <w:p w14:paraId="1887E4D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241" w:type="dxa"/>
            <w:shd w:val="clear" w:color="auto" w:fill="C6EFCE"/>
            <w:noWrap/>
          </w:tcPr>
          <w:p w14:paraId="1887E4D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Following scheme approval by the Council of Ministers, issuance of call for proposals for the award of grants to large enterprises to expand existing business through investments that enhance the technological level, the production process, and their productivity, as well as to undertake investments that improve their energy performance. The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C02B59" w:rsidRPr="00D1795B" w14:paraId="1887E4E0" w14:textId="77777777" w:rsidTr="6B29DC81">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102a</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C3.1I7</w:t>
            </w:r>
          </w:p>
          <w:p w14:paraId="1887E4D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Scheme for the competitiveness and/or the energy efficiency of large enterprises in Cyprus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Grant agreements signed with enterprises</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D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Signature of grant agreements with at least 10 enterprises. </w:t>
            </w:r>
          </w:p>
        </w:tc>
      </w:tr>
      <w:tr w:rsidR="00C02B59" w:rsidRPr="00D1795B" w14:paraId="1887E4ED" w14:textId="77777777" w:rsidTr="6B29DC81">
        <w:trPr>
          <w:trHeight w:val="1140"/>
          <w:jc w:val="center"/>
        </w:trPr>
        <w:tc>
          <w:tcPr>
            <w:tcW w:w="1144" w:type="dxa"/>
            <w:shd w:val="clear" w:color="auto" w:fill="C6EFCE"/>
            <w:noWrap/>
          </w:tcPr>
          <w:p w14:paraId="1887E4E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103</w:t>
            </w:r>
          </w:p>
        </w:tc>
        <w:tc>
          <w:tcPr>
            <w:tcW w:w="1564" w:type="dxa"/>
            <w:shd w:val="clear" w:color="auto" w:fill="C6EFCE"/>
            <w:noWrap/>
          </w:tcPr>
          <w:p w14:paraId="1887E4E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C3.1I8</w:t>
            </w:r>
          </w:p>
          <w:p w14:paraId="1887E4E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Added value of tourism </w:t>
            </w:r>
          </w:p>
        </w:tc>
        <w:tc>
          <w:tcPr>
            <w:tcW w:w="1134" w:type="dxa"/>
            <w:shd w:val="clear" w:color="auto" w:fill="C6EFCE"/>
            <w:noWrap/>
          </w:tcPr>
          <w:p w14:paraId="1887E4E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3" w:type="dxa"/>
            <w:shd w:val="clear" w:color="auto" w:fill="C6EFCE"/>
            <w:noWrap/>
          </w:tcPr>
          <w:p w14:paraId="1887E4E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Grant agreements signed with enterprises in the hospitality sector</w:t>
            </w:r>
          </w:p>
        </w:tc>
        <w:tc>
          <w:tcPr>
            <w:tcW w:w="1947" w:type="dxa"/>
            <w:shd w:val="clear" w:color="auto" w:fill="C6EFCE"/>
            <w:noWrap/>
          </w:tcPr>
          <w:p w14:paraId="1887E4E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29" w:type="dxa"/>
            <w:shd w:val="clear" w:color="auto" w:fill="C6EFCE"/>
            <w:noWrap/>
          </w:tcPr>
          <w:p w14:paraId="1887E4E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3" w:type="dxa"/>
            <w:shd w:val="clear" w:color="auto" w:fill="C6EFCE"/>
            <w:noWrap/>
          </w:tcPr>
          <w:p w14:paraId="1887E4E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708" w:type="dxa"/>
            <w:shd w:val="clear" w:color="auto" w:fill="C6EFCE"/>
            <w:noWrap/>
          </w:tcPr>
          <w:p w14:paraId="1887E4E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186</w:t>
            </w:r>
          </w:p>
        </w:tc>
        <w:tc>
          <w:tcPr>
            <w:tcW w:w="993" w:type="dxa"/>
            <w:shd w:val="clear" w:color="auto" w:fill="C6EFCE"/>
            <w:noWrap/>
          </w:tcPr>
          <w:p w14:paraId="1887E4E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0" w:type="dxa"/>
            <w:shd w:val="clear" w:color="auto" w:fill="C6EFCE"/>
            <w:noWrap/>
          </w:tcPr>
          <w:p w14:paraId="1887E4E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241" w:type="dxa"/>
            <w:shd w:val="clear" w:color="auto" w:fill="C6EFCE"/>
            <w:noWrap/>
          </w:tcPr>
          <w:p w14:paraId="1887E4EC"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Signature of grant agreements with at least 186 enterprises in the hospitality sector.</w:t>
            </w:r>
          </w:p>
        </w:tc>
      </w:tr>
      <w:tr w:rsidR="00C02B59" w:rsidRPr="00D1795B" w14:paraId="1887E4FA" w14:textId="77777777" w:rsidTr="6B29DC81">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E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104</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E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C3.1I8</w:t>
            </w:r>
          </w:p>
          <w:p w14:paraId="1887E4F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Added value of tourism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Grant to hotels or other tourism establishments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36</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9"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Signature of grant agreements with at least 36 hotels or other tourism establishments for renovation, refurbishing and/or equipment. </w:t>
            </w:r>
          </w:p>
        </w:tc>
      </w:tr>
      <w:tr w:rsidR="00C02B59" w:rsidRPr="00D1795B" w14:paraId="1887E507" w14:textId="77777777" w:rsidTr="6B29DC81">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104c</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C3.1I8</w:t>
            </w:r>
          </w:p>
          <w:p w14:paraId="1887E4F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Added value of tourism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4F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Renovation works and equipment for Filoxenia Conference Centre</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Acceptance certificate(s) or proof of payment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06"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Acceptance certificate(s) or proof of payment for renovation works and equipment for Filoxenia Conference Centre</w:t>
            </w:r>
          </w:p>
        </w:tc>
      </w:tr>
      <w:tr w:rsidR="00C02B59" w:rsidRPr="00D1795B" w14:paraId="1887E514" w14:textId="77777777" w:rsidTr="6B29DC81">
        <w:trPr>
          <w:trHeight w:val="300"/>
          <w:jc w:val="center"/>
        </w:trPr>
        <w:tc>
          <w:tcPr>
            <w:tcW w:w="1144" w:type="dxa"/>
            <w:shd w:val="clear" w:color="auto" w:fill="C6EFCE"/>
            <w:noWrap/>
          </w:tcPr>
          <w:p w14:paraId="1887E50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105</w:t>
            </w:r>
          </w:p>
        </w:tc>
        <w:tc>
          <w:tcPr>
            <w:tcW w:w="1564" w:type="dxa"/>
            <w:shd w:val="clear" w:color="auto" w:fill="C6EFCE"/>
            <w:noWrap/>
          </w:tcPr>
          <w:p w14:paraId="1887E50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C3.1I9</w:t>
            </w:r>
          </w:p>
          <w:p w14:paraId="1887E50A" w14:textId="77777777" w:rsidR="00C02B59" w:rsidRPr="00D1795B" w:rsidDel="00FA10E1"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Promotion of circular economy in hotel establishments</w:t>
            </w:r>
          </w:p>
        </w:tc>
        <w:tc>
          <w:tcPr>
            <w:tcW w:w="1134" w:type="dxa"/>
            <w:shd w:val="clear" w:color="auto" w:fill="C6EFCE"/>
            <w:noWrap/>
          </w:tcPr>
          <w:p w14:paraId="1887E50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3" w:type="dxa"/>
            <w:shd w:val="clear" w:color="auto" w:fill="C6EFCE"/>
            <w:noWrap/>
          </w:tcPr>
          <w:p w14:paraId="1887E50C" w14:textId="77777777" w:rsidR="00C02B59" w:rsidRPr="00D1795B" w:rsidDel="00FA10E1"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Coaching scheme for circular economy</w:t>
            </w:r>
          </w:p>
        </w:tc>
        <w:tc>
          <w:tcPr>
            <w:tcW w:w="1947" w:type="dxa"/>
            <w:shd w:val="clear" w:color="auto" w:fill="C6EFCE"/>
            <w:noWrap/>
          </w:tcPr>
          <w:p w14:paraId="1887E50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29" w:type="dxa"/>
            <w:shd w:val="clear" w:color="auto" w:fill="C6EFCE"/>
            <w:noWrap/>
          </w:tcPr>
          <w:p w14:paraId="1887E50E" w14:textId="77777777" w:rsidR="00C02B59" w:rsidRPr="00D1795B" w:rsidDel="00FA10E1"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3" w:type="dxa"/>
            <w:shd w:val="clear" w:color="auto" w:fill="C6EFCE"/>
            <w:noWrap/>
          </w:tcPr>
          <w:p w14:paraId="1887E50F" w14:textId="77777777" w:rsidR="00C02B59" w:rsidRPr="00D1795B" w:rsidDel="00FA10E1"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708" w:type="dxa"/>
            <w:shd w:val="clear" w:color="auto" w:fill="C6EFCE"/>
            <w:noWrap/>
          </w:tcPr>
          <w:p w14:paraId="1887E510" w14:textId="77777777" w:rsidR="00C02B59" w:rsidRPr="00D1795B" w:rsidDel="00FA10E1"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50</w:t>
            </w:r>
          </w:p>
        </w:tc>
        <w:tc>
          <w:tcPr>
            <w:tcW w:w="993" w:type="dxa"/>
            <w:shd w:val="clear" w:color="auto" w:fill="C6EFCE"/>
            <w:noWrap/>
          </w:tcPr>
          <w:p w14:paraId="1887E511" w14:textId="77777777" w:rsidR="00C02B59" w:rsidRPr="00D1795B" w:rsidDel="00FA10E1"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0" w:type="dxa"/>
            <w:shd w:val="clear" w:color="auto" w:fill="C6EFCE"/>
            <w:noWrap/>
          </w:tcPr>
          <w:p w14:paraId="1887E512" w14:textId="77777777" w:rsidR="00C02B59" w:rsidRPr="00D1795B" w:rsidDel="00FA10E1"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241" w:type="dxa"/>
            <w:shd w:val="clear" w:color="auto" w:fill="C6EFCE"/>
            <w:noWrap/>
          </w:tcPr>
          <w:p w14:paraId="1887E513" w14:textId="77777777" w:rsidR="00C02B59" w:rsidRPr="00D1795B" w:rsidDel="00FA10E1"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Signed collaboration agreements with at least 50 hotels have been signed for tailored business coaching for circular economy.</w:t>
            </w:r>
          </w:p>
        </w:tc>
      </w:tr>
      <w:tr w:rsidR="00C02B59" w:rsidRPr="00D1795B" w14:paraId="1887E521" w14:textId="77777777" w:rsidTr="6B29DC81">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106</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C3.1I9</w:t>
            </w:r>
          </w:p>
          <w:p w14:paraId="1887E51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Circular economy in hotel establishments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Certified circular hotels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18</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1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2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At least 18 hotels certified as circular hotels according to the national certification scheme national standards.</w:t>
            </w:r>
          </w:p>
        </w:tc>
      </w:tr>
      <w:tr w:rsidR="00C02B59" w:rsidRPr="00D1795B" w14:paraId="1887E52E" w14:textId="77777777" w:rsidTr="6B29DC81">
        <w:trPr>
          <w:trHeight w:val="300"/>
          <w:jc w:val="center"/>
        </w:trPr>
        <w:tc>
          <w:tcPr>
            <w:tcW w:w="1144" w:type="dxa"/>
            <w:shd w:val="clear" w:color="auto" w:fill="C1F0C7" w:themeFill="accent3" w:themeFillTint="33"/>
            <w:noWrap/>
          </w:tcPr>
          <w:p w14:paraId="1887E52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107</w:t>
            </w:r>
          </w:p>
        </w:tc>
        <w:tc>
          <w:tcPr>
            <w:tcW w:w="1564" w:type="dxa"/>
            <w:shd w:val="clear" w:color="auto" w:fill="C1F0C7" w:themeFill="accent3" w:themeFillTint="33"/>
            <w:noWrap/>
          </w:tcPr>
          <w:p w14:paraId="1887E52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C3.1I10</w:t>
            </w:r>
          </w:p>
          <w:p w14:paraId="1887E52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Enrichment of tourism </w:t>
            </w:r>
          </w:p>
        </w:tc>
        <w:tc>
          <w:tcPr>
            <w:tcW w:w="1134" w:type="dxa"/>
            <w:shd w:val="clear" w:color="auto" w:fill="C1F0C7" w:themeFill="accent3" w:themeFillTint="33"/>
            <w:noWrap/>
          </w:tcPr>
          <w:p w14:paraId="1887E52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3" w:type="dxa"/>
            <w:shd w:val="clear" w:color="auto" w:fill="C1F0C7" w:themeFill="accent3" w:themeFillTint="33"/>
            <w:noWrap/>
          </w:tcPr>
          <w:p w14:paraId="1887E52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Aphrodite Route</w:t>
            </w:r>
          </w:p>
        </w:tc>
        <w:tc>
          <w:tcPr>
            <w:tcW w:w="1947" w:type="dxa"/>
            <w:shd w:val="clear" w:color="auto" w:fill="C1F0C7" w:themeFill="accent3" w:themeFillTint="33"/>
            <w:noWrap/>
          </w:tcPr>
          <w:p w14:paraId="1887E52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Taking-over certificate </w:t>
            </w:r>
          </w:p>
        </w:tc>
        <w:tc>
          <w:tcPr>
            <w:tcW w:w="1029" w:type="dxa"/>
            <w:shd w:val="clear" w:color="auto" w:fill="C1F0C7" w:themeFill="accent3" w:themeFillTint="33"/>
            <w:noWrap/>
          </w:tcPr>
          <w:p w14:paraId="1887E52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1F0C7" w:themeFill="accent3" w:themeFillTint="33"/>
            <w:noWrap/>
          </w:tcPr>
          <w:p w14:paraId="1887E52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08" w:type="dxa"/>
            <w:shd w:val="clear" w:color="auto" w:fill="C1F0C7" w:themeFill="accent3" w:themeFillTint="33"/>
            <w:noWrap/>
          </w:tcPr>
          <w:p w14:paraId="1887E52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1F0C7" w:themeFill="accent3" w:themeFillTint="33"/>
            <w:noWrap/>
          </w:tcPr>
          <w:p w14:paraId="1887E52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850" w:type="dxa"/>
            <w:shd w:val="clear" w:color="auto" w:fill="C1F0C7" w:themeFill="accent3" w:themeFillTint="33"/>
            <w:noWrap/>
          </w:tcPr>
          <w:p w14:paraId="1887E52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241" w:type="dxa"/>
            <w:shd w:val="clear" w:color="auto" w:fill="C1F0C7" w:themeFill="accent3" w:themeFillTint="33"/>
            <w:noWrap/>
          </w:tcPr>
          <w:p w14:paraId="1887E52D"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Taking-over certificate for construction works for the Aphrodite Route.</w:t>
            </w:r>
          </w:p>
        </w:tc>
      </w:tr>
      <w:tr w:rsidR="00C02B59" w:rsidRPr="00D1795B" w14:paraId="1887E53C" w14:textId="77777777" w:rsidTr="6B29DC81">
        <w:trPr>
          <w:trHeight w:val="2164"/>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2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108</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C3.1I10</w:t>
            </w:r>
          </w:p>
          <w:p w14:paraId="1887E53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Enrichment of tourism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eastAsia="Times New Roman" w:hAnsi="Times New Roman" w:cs="Times New Roman"/>
                <w:noProof/>
                <w:sz w:val="18"/>
                <w:szCs w:val="18"/>
              </w:rPr>
              <w:t xml:space="preserve">Investments, including but not limited to construction works, equipment, information and communication services, and advisory services.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3B" w14:textId="3547E110" w:rsidR="00C02B59" w:rsidRPr="00D1795B" w:rsidRDefault="00C02B59" w:rsidP="008C6688">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Investments, including but not limited to construction works, equipment, information and communication technologies, and advisory services in at least 200 enterprises or local community boards.</w:t>
            </w:r>
          </w:p>
        </w:tc>
      </w:tr>
      <w:tr w:rsidR="00C02B59" w:rsidRPr="00D1795B" w14:paraId="1887E549" w14:textId="77777777" w:rsidTr="6B29DC81">
        <w:trPr>
          <w:trHeight w:val="300"/>
          <w:jc w:val="center"/>
        </w:trPr>
        <w:tc>
          <w:tcPr>
            <w:tcW w:w="1144" w:type="dxa"/>
            <w:shd w:val="clear" w:color="auto" w:fill="C1F0C7" w:themeFill="accent3" w:themeFillTint="33"/>
            <w:noWrap/>
          </w:tcPr>
          <w:p w14:paraId="1887E53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109</w:t>
            </w:r>
          </w:p>
        </w:tc>
        <w:tc>
          <w:tcPr>
            <w:tcW w:w="1564" w:type="dxa"/>
            <w:shd w:val="clear" w:color="auto" w:fill="C1F0C7" w:themeFill="accent3" w:themeFillTint="33"/>
            <w:noWrap/>
          </w:tcPr>
          <w:p w14:paraId="1887E53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C3.1R4</w:t>
            </w:r>
          </w:p>
          <w:p w14:paraId="1887E53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Enhancement of circular economy in the Industry</w:t>
            </w:r>
          </w:p>
        </w:tc>
        <w:tc>
          <w:tcPr>
            <w:tcW w:w="1134" w:type="dxa"/>
            <w:shd w:val="clear" w:color="auto" w:fill="C1F0C7" w:themeFill="accent3" w:themeFillTint="33"/>
            <w:noWrap/>
          </w:tcPr>
          <w:p w14:paraId="1887E54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3" w:type="dxa"/>
            <w:shd w:val="clear" w:color="auto" w:fill="C1F0C7" w:themeFill="accent3" w:themeFillTint="33"/>
            <w:noWrap/>
          </w:tcPr>
          <w:p w14:paraId="1887E54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Approval of the National Action Plan for the Enhancement of Circular Economy in Cyprus </w:t>
            </w:r>
          </w:p>
        </w:tc>
        <w:tc>
          <w:tcPr>
            <w:tcW w:w="1947" w:type="dxa"/>
            <w:shd w:val="clear" w:color="auto" w:fill="C1F0C7" w:themeFill="accent3" w:themeFillTint="33"/>
            <w:noWrap/>
          </w:tcPr>
          <w:p w14:paraId="1887E54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Publication of the Council of Ministers’ decision for the approval of the National Action plan.</w:t>
            </w:r>
          </w:p>
        </w:tc>
        <w:tc>
          <w:tcPr>
            <w:tcW w:w="1029" w:type="dxa"/>
            <w:shd w:val="clear" w:color="auto" w:fill="C1F0C7" w:themeFill="accent3" w:themeFillTint="33"/>
            <w:noWrap/>
          </w:tcPr>
          <w:p w14:paraId="1887E54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1F0C7" w:themeFill="accent3" w:themeFillTint="33"/>
            <w:noWrap/>
          </w:tcPr>
          <w:p w14:paraId="1887E54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08" w:type="dxa"/>
            <w:shd w:val="clear" w:color="auto" w:fill="C1F0C7" w:themeFill="accent3" w:themeFillTint="33"/>
            <w:noWrap/>
          </w:tcPr>
          <w:p w14:paraId="1887E54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1F0C7" w:themeFill="accent3" w:themeFillTint="33"/>
            <w:noWrap/>
          </w:tcPr>
          <w:p w14:paraId="1887E54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850" w:type="dxa"/>
            <w:shd w:val="clear" w:color="auto" w:fill="C1F0C7" w:themeFill="accent3" w:themeFillTint="33"/>
            <w:noWrap/>
          </w:tcPr>
          <w:p w14:paraId="1887E54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2021</w:t>
            </w:r>
          </w:p>
        </w:tc>
        <w:tc>
          <w:tcPr>
            <w:tcW w:w="3241" w:type="dxa"/>
            <w:shd w:val="clear" w:color="auto" w:fill="C1F0C7" w:themeFill="accent3" w:themeFillTint="33"/>
            <w:noWrap/>
          </w:tcPr>
          <w:p w14:paraId="1887E548"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Approval, by the Council of Ministers, of the National Action Plan for the Enhancement of Circular Economy in Cyprus </w:t>
            </w:r>
          </w:p>
        </w:tc>
      </w:tr>
      <w:tr w:rsidR="00C02B59" w:rsidRPr="00D1795B" w14:paraId="1887E556" w14:textId="77777777" w:rsidTr="6B29DC81">
        <w:trPr>
          <w:trHeight w:val="300"/>
          <w:jc w:val="center"/>
        </w:trPr>
        <w:tc>
          <w:tcPr>
            <w:tcW w:w="1144" w:type="dxa"/>
            <w:shd w:val="clear" w:color="auto" w:fill="C1F0C7" w:themeFill="accent3" w:themeFillTint="33"/>
            <w:noWrap/>
          </w:tcPr>
          <w:p w14:paraId="1887E54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110</w:t>
            </w:r>
          </w:p>
        </w:tc>
        <w:tc>
          <w:tcPr>
            <w:tcW w:w="1564" w:type="dxa"/>
            <w:shd w:val="clear" w:color="auto" w:fill="C1F0C7" w:themeFill="accent3" w:themeFillTint="33"/>
            <w:noWrap/>
          </w:tcPr>
          <w:p w14:paraId="1887E54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C3.1R4</w:t>
            </w:r>
          </w:p>
          <w:p w14:paraId="1887E54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Circular economy </w:t>
            </w:r>
          </w:p>
        </w:tc>
        <w:tc>
          <w:tcPr>
            <w:tcW w:w="1134" w:type="dxa"/>
            <w:shd w:val="clear" w:color="auto" w:fill="C1F0C7" w:themeFill="accent3" w:themeFillTint="33"/>
            <w:noWrap/>
          </w:tcPr>
          <w:p w14:paraId="1887E54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3" w:type="dxa"/>
            <w:shd w:val="clear" w:color="auto" w:fill="C1F0C7" w:themeFill="accent3" w:themeFillTint="33"/>
            <w:noWrap/>
          </w:tcPr>
          <w:p w14:paraId="1887E54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Signed grant agreement with companies which are moving into a circular operating model</w:t>
            </w:r>
          </w:p>
        </w:tc>
        <w:tc>
          <w:tcPr>
            <w:tcW w:w="1947" w:type="dxa"/>
            <w:shd w:val="clear" w:color="auto" w:fill="C1F0C7" w:themeFill="accent3" w:themeFillTint="33"/>
            <w:noWrap/>
          </w:tcPr>
          <w:p w14:paraId="1887E54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29" w:type="dxa"/>
            <w:shd w:val="clear" w:color="auto" w:fill="C1F0C7" w:themeFill="accent3" w:themeFillTint="33"/>
            <w:noWrap/>
          </w:tcPr>
          <w:p w14:paraId="1887E55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3" w:type="dxa"/>
            <w:shd w:val="clear" w:color="auto" w:fill="C1F0C7" w:themeFill="accent3" w:themeFillTint="33"/>
            <w:noWrap/>
          </w:tcPr>
          <w:p w14:paraId="1887E55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708" w:type="dxa"/>
            <w:shd w:val="clear" w:color="auto" w:fill="C1F0C7" w:themeFill="accent3" w:themeFillTint="33"/>
            <w:noWrap/>
          </w:tcPr>
          <w:p w14:paraId="1887E55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25</w:t>
            </w:r>
          </w:p>
        </w:tc>
        <w:tc>
          <w:tcPr>
            <w:tcW w:w="993" w:type="dxa"/>
            <w:shd w:val="clear" w:color="auto" w:fill="C1F0C7" w:themeFill="accent3" w:themeFillTint="33"/>
            <w:noWrap/>
          </w:tcPr>
          <w:p w14:paraId="1887E55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0" w:type="dxa"/>
            <w:shd w:val="clear" w:color="auto" w:fill="C1F0C7" w:themeFill="accent3" w:themeFillTint="33"/>
            <w:noWrap/>
          </w:tcPr>
          <w:p w14:paraId="1887E55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241" w:type="dxa"/>
            <w:shd w:val="clear" w:color="auto" w:fill="C1F0C7" w:themeFill="accent3" w:themeFillTint="33"/>
            <w:noWrap/>
          </w:tcPr>
          <w:p w14:paraId="1887E555"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Signature of grant agreements with at least 25 companies moving to a circular operating model</w:t>
            </w:r>
          </w:p>
        </w:tc>
      </w:tr>
      <w:tr w:rsidR="00C02B59" w:rsidRPr="00D1795B" w14:paraId="1887E564" w14:textId="77777777" w:rsidTr="6B29DC81">
        <w:trPr>
          <w:trHeight w:val="300"/>
          <w:jc w:val="center"/>
        </w:trPr>
        <w:tc>
          <w:tcPr>
            <w:tcW w:w="1144" w:type="dxa"/>
            <w:shd w:val="clear" w:color="auto" w:fill="C1F0C7" w:themeFill="accent3" w:themeFillTint="33"/>
            <w:noWrap/>
          </w:tcPr>
          <w:p w14:paraId="1887E55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111</w:t>
            </w:r>
          </w:p>
        </w:tc>
        <w:tc>
          <w:tcPr>
            <w:tcW w:w="1564" w:type="dxa"/>
            <w:shd w:val="clear" w:color="auto" w:fill="C1F0C7" w:themeFill="accent3" w:themeFillTint="33"/>
            <w:noWrap/>
          </w:tcPr>
          <w:p w14:paraId="1887E558" w14:textId="4B8D18B3"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C3.1R5</w:t>
            </w:r>
            <w:r w:rsidR="00D1795B">
              <w:rPr>
                <w:rFonts w:ascii="Times New Roman" w:hAnsi="Times New Roman" w:cs="Times New Roman"/>
                <w:noProof/>
                <w:sz w:val="18"/>
                <w:szCs w:val="18"/>
              </w:rPr>
              <w:t xml:space="preserve"> </w:t>
            </w:r>
          </w:p>
          <w:p w14:paraId="1887E55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Waste management coordination unit in the Department of Environment</w:t>
            </w:r>
          </w:p>
        </w:tc>
        <w:tc>
          <w:tcPr>
            <w:tcW w:w="1134" w:type="dxa"/>
            <w:shd w:val="clear" w:color="auto" w:fill="C1F0C7" w:themeFill="accent3" w:themeFillTint="33"/>
            <w:noWrap/>
          </w:tcPr>
          <w:p w14:paraId="1887E55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3" w:type="dxa"/>
            <w:shd w:val="clear" w:color="auto" w:fill="C1F0C7" w:themeFill="accent3" w:themeFillTint="33"/>
            <w:noWrap/>
          </w:tcPr>
          <w:p w14:paraId="1887E55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Waste management coordination unit</w:t>
            </w:r>
          </w:p>
        </w:tc>
        <w:tc>
          <w:tcPr>
            <w:tcW w:w="1947" w:type="dxa"/>
            <w:shd w:val="clear" w:color="auto" w:fill="C1F0C7" w:themeFill="accent3" w:themeFillTint="33"/>
            <w:noWrap/>
          </w:tcPr>
          <w:p w14:paraId="1887E55C" w14:textId="77777777" w:rsidR="00C02B59" w:rsidRPr="00D1795B" w:rsidRDefault="00C02B59" w:rsidP="00C02B59">
            <w:pPr>
              <w:tabs>
                <w:tab w:val="left" w:pos="1327"/>
              </w:tabs>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Publication of the Council of Ministers Decision</w:t>
            </w:r>
          </w:p>
        </w:tc>
        <w:tc>
          <w:tcPr>
            <w:tcW w:w="1029" w:type="dxa"/>
            <w:shd w:val="clear" w:color="auto" w:fill="C1F0C7" w:themeFill="accent3" w:themeFillTint="33"/>
            <w:noWrap/>
          </w:tcPr>
          <w:p w14:paraId="1887E55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1F0C7" w:themeFill="accent3" w:themeFillTint="33"/>
            <w:noWrap/>
          </w:tcPr>
          <w:p w14:paraId="1887E55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08" w:type="dxa"/>
            <w:shd w:val="clear" w:color="auto" w:fill="C1F0C7" w:themeFill="accent3" w:themeFillTint="33"/>
            <w:noWrap/>
          </w:tcPr>
          <w:p w14:paraId="1887E55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1F0C7" w:themeFill="accent3" w:themeFillTint="33"/>
            <w:noWrap/>
          </w:tcPr>
          <w:p w14:paraId="1887E56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0" w:type="dxa"/>
            <w:shd w:val="clear" w:color="auto" w:fill="C1F0C7" w:themeFill="accent3" w:themeFillTint="33"/>
            <w:noWrap/>
          </w:tcPr>
          <w:p w14:paraId="1887E56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241" w:type="dxa"/>
            <w:shd w:val="clear" w:color="auto" w:fill="C1F0C7" w:themeFill="accent3" w:themeFillTint="33"/>
            <w:noWrap/>
          </w:tcPr>
          <w:p w14:paraId="1887E563" w14:textId="7882453E" w:rsidR="00C02B59" w:rsidRPr="00D1795B" w:rsidRDefault="00C02B59" w:rsidP="008C6688">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Approval of the waste coordination unit in the Department of Environment by the Council of Ministers.</w:t>
            </w:r>
          </w:p>
        </w:tc>
      </w:tr>
      <w:tr w:rsidR="00C02B59" w:rsidRPr="00D1795B" w14:paraId="1887E571" w14:textId="77777777" w:rsidTr="6B29DC81">
        <w:trPr>
          <w:trHeight w:val="300"/>
          <w:jc w:val="center"/>
        </w:trPr>
        <w:tc>
          <w:tcPr>
            <w:tcW w:w="1144" w:type="dxa"/>
            <w:shd w:val="clear" w:color="auto" w:fill="C6EFCE"/>
            <w:noWrap/>
          </w:tcPr>
          <w:p w14:paraId="1887E56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112</w:t>
            </w:r>
          </w:p>
        </w:tc>
        <w:tc>
          <w:tcPr>
            <w:tcW w:w="1564" w:type="dxa"/>
            <w:shd w:val="clear" w:color="auto" w:fill="C6EFCE"/>
            <w:noWrap/>
          </w:tcPr>
          <w:p w14:paraId="1887E56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C3.1I12</w:t>
            </w:r>
          </w:p>
          <w:p w14:paraId="1887E56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Waste management towards circular economy </w:t>
            </w:r>
          </w:p>
        </w:tc>
        <w:tc>
          <w:tcPr>
            <w:tcW w:w="1134" w:type="dxa"/>
            <w:shd w:val="clear" w:color="auto" w:fill="C6EFCE"/>
            <w:noWrap/>
          </w:tcPr>
          <w:p w14:paraId="1887E56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843" w:type="dxa"/>
            <w:shd w:val="clear" w:color="auto" w:fill="C6EFCE"/>
            <w:noWrap/>
          </w:tcPr>
          <w:p w14:paraId="1887E56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Signature of the contract for the installation of Green kiosks</w:t>
            </w:r>
          </w:p>
        </w:tc>
        <w:tc>
          <w:tcPr>
            <w:tcW w:w="1947" w:type="dxa"/>
            <w:shd w:val="clear" w:color="auto" w:fill="C6EFCE"/>
            <w:noWrap/>
          </w:tcPr>
          <w:p w14:paraId="1887E56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Signature of the contract</w:t>
            </w:r>
          </w:p>
        </w:tc>
        <w:tc>
          <w:tcPr>
            <w:tcW w:w="1029" w:type="dxa"/>
            <w:shd w:val="clear" w:color="auto" w:fill="C6EFCE"/>
            <w:noWrap/>
          </w:tcPr>
          <w:p w14:paraId="1887E56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6EFCE"/>
            <w:noWrap/>
          </w:tcPr>
          <w:p w14:paraId="1887E56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08" w:type="dxa"/>
            <w:shd w:val="clear" w:color="auto" w:fill="C6EFCE"/>
            <w:noWrap/>
          </w:tcPr>
          <w:p w14:paraId="1887E56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3" w:type="dxa"/>
            <w:shd w:val="clear" w:color="auto" w:fill="C6EFCE"/>
            <w:noWrap/>
          </w:tcPr>
          <w:p w14:paraId="1887E56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Q3</w:t>
            </w:r>
          </w:p>
        </w:tc>
        <w:tc>
          <w:tcPr>
            <w:tcW w:w="850" w:type="dxa"/>
            <w:shd w:val="clear" w:color="auto" w:fill="C6EFCE"/>
            <w:noWrap/>
          </w:tcPr>
          <w:p w14:paraId="1887E56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241" w:type="dxa"/>
            <w:shd w:val="clear" w:color="auto" w:fill="C6EFCE"/>
            <w:noWrap/>
          </w:tcPr>
          <w:p w14:paraId="1887E57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Signed contract for the set up and installation of at least 50 Green kiosks for dry recyclables. </w:t>
            </w:r>
          </w:p>
        </w:tc>
      </w:tr>
      <w:tr w:rsidR="00C02B59" w:rsidRPr="00D1795B" w14:paraId="1887E57E" w14:textId="77777777" w:rsidTr="6B29DC81">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115</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C3.1I12</w:t>
            </w:r>
          </w:p>
          <w:p w14:paraId="1887E57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Waste management towards circular economy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Installation of green kiosks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50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D"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At least 50 green kiosks are installed.</w:t>
            </w:r>
          </w:p>
        </w:tc>
      </w:tr>
      <w:tr w:rsidR="00C02B59" w:rsidRPr="00D1795B" w14:paraId="1887E58B" w14:textId="77777777" w:rsidTr="6B29DC81">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7F" w14:textId="64AFA621"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116b</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C3.1I11</w:t>
            </w:r>
          </w:p>
          <w:p w14:paraId="1887E58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Extension of the Cyprus Green Points Network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3" w14:textId="5FD36803" w:rsidR="00C02B59" w:rsidRPr="00D1795B" w:rsidRDefault="282CD83F"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Construction</w:t>
            </w:r>
            <w:r w:rsidR="00C02B59" w:rsidRPr="00D1795B">
              <w:rPr>
                <w:rFonts w:ascii="Times New Roman" w:hAnsi="Times New Roman" w:cs="Times New Roman"/>
                <w:noProof/>
                <w:sz w:val="18"/>
                <w:szCs w:val="18"/>
              </w:rPr>
              <w:t xml:space="preserve"> </w:t>
            </w:r>
            <w:r w:rsidR="0075168C" w:rsidRPr="00D1795B">
              <w:rPr>
                <w:rFonts w:ascii="Times New Roman" w:hAnsi="Times New Roman" w:cs="Times New Roman"/>
                <w:noProof/>
                <w:sz w:val="18"/>
                <w:szCs w:val="18"/>
              </w:rPr>
              <w:t xml:space="preserve">or extension </w:t>
            </w:r>
            <w:r w:rsidR="00C02B59" w:rsidRPr="00D1795B">
              <w:rPr>
                <w:rFonts w:ascii="Times New Roman" w:hAnsi="Times New Roman" w:cs="Times New Roman"/>
                <w:noProof/>
                <w:sz w:val="18"/>
                <w:szCs w:val="18"/>
              </w:rPr>
              <w:t xml:space="preserve">of six Green Points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6</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887E58A" w14:textId="797B5FC3"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Six Green Points are </w:t>
            </w:r>
            <w:r w:rsidR="36BA80F8" w:rsidRPr="00D1795B">
              <w:rPr>
                <w:rFonts w:ascii="Times New Roman" w:hAnsi="Times New Roman" w:cs="Times New Roman"/>
                <w:noProof/>
                <w:sz w:val="18"/>
                <w:szCs w:val="18"/>
              </w:rPr>
              <w:t>constructed</w:t>
            </w:r>
            <w:r w:rsidR="00BB525B" w:rsidRPr="00D1795B">
              <w:rPr>
                <w:rFonts w:ascii="Times New Roman" w:hAnsi="Times New Roman" w:cs="Times New Roman"/>
                <w:noProof/>
                <w:sz w:val="18"/>
                <w:szCs w:val="18"/>
              </w:rPr>
              <w:t xml:space="preserve"> or</w:t>
            </w:r>
            <w:r w:rsidR="0075168C" w:rsidRPr="00D1795B">
              <w:rPr>
                <w:rFonts w:ascii="Times New Roman" w:hAnsi="Times New Roman" w:cs="Times New Roman"/>
                <w:noProof/>
                <w:sz w:val="18"/>
                <w:szCs w:val="18"/>
              </w:rPr>
              <w:t xml:space="preserve"> extended</w:t>
            </w:r>
            <w:r w:rsidRPr="00D1795B">
              <w:rPr>
                <w:rFonts w:ascii="Times New Roman" w:hAnsi="Times New Roman" w:cs="Times New Roman"/>
                <w:noProof/>
                <w:sz w:val="18"/>
                <w:szCs w:val="18"/>
              </w:rPr>
              <w:t>.</w:t>
            </w:r>
          </w:p>
        </w:tc>
      </w:tr>
    </w:tbl>
    <w:p w14:paraId="1887E58C" w14:textId="77777777" w:rsidR="00C02B59" w:rsidRPr="00D1795B" w:rsidRDefault="00C02B59" w:rsidP="00C02B59">
      <w:pPr>
        <w:spacing w:before="120" w:after="240" w:line="240" w:lineRule="auto"/>
        <w:jc w:val="both"/>
        <w:rPr>
          <w:rFonts w:ascii="Times New Roman" w:hAnsi="Times New Roman"/>
          <w:b/>
          <w:noProof/>
          <w:u w:val="single"/>
        </w:rPr>
      </w:pPr>
    </w:p>
    <w:p w14:paraId="1887E58D" w14:textId="77777777" w:rsidR="00C02B59" w:rsidRPr="00D1795B" w:rsidRDefault="00C02B59" w:rsidP="00C02B59">
      <w:pPr>
        <w:rPr>
          <w:noProof/>
        </w:rPr>
      </w:pPr>
    </w:p>
    <w:p w14:paraId="1887E58E" w14:textId="77777777" w:rsidR="00C02B59" w:rsidRPr="00D1795B" w:rsidRDefault="00C02B59">
      <w:pPr>
        <w:rPr>
          <w:noProof/>
        </w:rPr>
        <w:sectPr w:rsidR="00C02B59" w:rsidRPr="00D1795B" w:rsidSect="00C02B59">
          <w:headerReference w:type="even" r:id="rId71"/>
          <w:headerReference w:type="default" r:id="rId72"/>
          <w:footerReference w:type="even" r:id="rId73"/>
          <w:footerReference w:type="default" r:id="rId74"/>
          <w:headerReference w:type="first" r:id="rId75"/>
          <w:footerReference w:type="first" r:id="rId76"/>
          <w:pgSz w:w="16838" w:h="11906" w:orient="landscape"/>
          <w:pgMar w:top="1134" w:right="1134" w:bottom="1134" w:left="1134" w:header="567" w:footer="567" w:gutter="0"/>
          <w:cols w:space="708"/>
          <w:docGrid w:linePitch="360"/>
        </w:sectPr>
      </w:pPr>
    </w:p>
    <w:p w14:paraId="1887E58F" w14:textId="77777777" w:rsidR="00C02B59" w:rsidRPr="00D1795B" w:rsidRDefault="00C02B59" w:rsidP="00C02B59">
      <w:pPr>
        <w:widowControl w:val="0"/>
        <w:tabs>
          <w:tab w:val="left" w:pos="850"/>
        </w:tabs>
        <w:spacing w:after="120" w:line="240" w:lineRule="auto"/>
        <w:ind w:left="851" w:hanging="851"/>
        <w:jc w:val="both"/>
        <w:outlineLvl w:val="0"/>
        <w:rPr>
          <w:rFonts w:ascii="Times New Roman" w:hAnsi="Times New Roman"/>
          <w:b/>
          <w:bCs/>
          <w:smallCaps/>
          <w:noProof/>
        </w:rPr>
      </w:pPr>
      <w:r w:rsidRPr="00D1795B">
        <w:rPr>
          <w:rFonts w:ascii="Times New Roman" w:hAnsi="Times New Roman"/>
          <w:b/>
          <w:bCs/>
          <w:smallCaps/>
          <w:noProof/>
        </w:rPr>
        <w:t>F. COMPONENT 3.2: Enhanced Research and Innovation</w:t>
      </w:r>
    </w:p>
    <w:p w14:paraId="1887E590"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 xml:space="preserve">The component of the Cypriot recovery and resilience plan addresses the challenges that Cyprus faces as regards the Research and Development ecosystem that plays a relatively limited role in economic growth. This is mainly due to a low share of Science, Technology, Engineering and Math (STEM) graduates, limited interaction of the public research system with the business sector and limited access and availability of risk funding. </w:t>
      </w:r>
    </w:p>
    <w:p w14:paraId="1887E591"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 xml:space="preserve">The objectives of the component are to strengthen links between research organisations and enterprises, commercialise research results, increase intensity in research &amp; development (R&amp;D) activity and investments by both public and private organisations, as well as to make all publicly funded research infrastructure accessible to the entire ecosystem. Furthermore, it aims to enhance financial support to start-ups, scale-ups, SMEs, internationalise the local research and innovation (R&amp;I) ecosystem, develop local talent and attract talent from abroad to work in R&amp;I with emphasis on specific thematic areas. </w:t>
      </w:r>
    </w:p>
    <w:p w14:paraId="1887E592"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The component addresses the Country-Specific Recommendations on increasing the focus on investment-related economic policy on research and innovation (Country-Specific Recommendations 3 of 2020 and 4 of 2019).</w:t>
      </w:r>
    </w:p>
    <w:p w14:paraId="1887E593" w14:textId="77777777" w:rsidR="00C02B59" w:rsidRPr="00D1795B" w:rsidRDefault="00C02B59" w:rsidP="00C02B59">
      <w:pPr>
        <w:pStyle w:val="Text1"/>
        <w:ind w:left="0"/>
        <w:rPr>
          <w:rFonts w:eastAsia="Times New Roman"/>
          <w:noProof/>
          <w:lang w:val="en-GB"/>
        </w:rPr>
      </w:pPr>
      <w:r w:rsidRPr="00D1795B">
        <w:rPr>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887E594" w14:textId="77777777" w:rsidR="00C02B59" w:rsidRPr="00D1795B" w:rsidRDefault="00C02B59" w:rsidP="00C02B59">
      <w:pPr>
        <w:spacing w:after="120" w:line="240" w:lineRule="auto"/>
        <w:jc w:val="both"/>
        <w:rPr>
          <w:rFonts w:ascii="Times New Roman" w:hAnsi="Times New Roman"/>
          <w:b/>
          <w:i/>
          <w:noProof/>
        </w:rPr>
      </w:pPr>
      <w:r w:rsidRPr="00D1795B">
        <w:rPr>
          <w:rFonts w:ascii="Times New Roman" w:hAnsi="Times New Roman"/>
          <w:b/>
          <w:noProof/>
          <w:u w:val="single"/>
        </w:rPr>
        <w:t xml:space="preserve">F.1. </w:t>
      </w:r>
      <w:r w:rsidRPr="00D1795B">
        <w:rPr>
          <w:noProof/>
        </w:rPr>
        <w:tab/>
      </w:r>
      <w:r w:rsidRPr="00D1795B">
        <w:rPr>
          <w:rFonts w:ascii="Times New Roman" w:hAnsi="Times New Roman"/>
          <w:b/>
          <w:noProof/>
          <w:u w:val="single"/>
        </w:rPr>
        <w:t>Description of the reforms and investments for non-repayable financial support</w:t>
      </w:r>
    </w:p>
    <w:p w14:paraId="1887E595" w14:textId="77777777" w:rsidR="00C02B59" w:rsidRPr="00D1795B" w:rsidRDefault="00C02B59" w:rsidP="00C02B59">
      <w:pPr>
        <w:spacing w:after="120" w:line="240" w:lineRule="auto"/>
        <w:jc w:val="both"/>
        <w:rPr>
          <w:rFonts w:ascii="Times New Roman" w:hAnsi="Times New Roman"/>
          <w:noProof/>
          <w:u w:val="single"/>
        </w:rPr>
      </w:pPr>
    </w:p>
    <w:p w14:paraId="1887E596" w14:textId="77777777" w:rsidR="00C02B59" w:rsidRPr="00D1795B" w:rsidRDefault="00C02B59" w:rsidP="00C02B59">
      <w:pPr>
        <w:spacing w:after="120" w:line="240" w:lineRule="auto"/>
        <w:jc w:val="both"/>
        <w:rPr>
          <w:rFonts w:ascii="Times New Roman" w:hAnsi="Times New Roman"/>
          <w:noProof/>
          <w:u w:val="single"/>
        </w:rPr>
      </w:pPr>
      <w:r w:rsidRPr="00D1795B">
        <w:rPr>
          <w:rFonts w:ascii="Times New Roman" w:hAnsi="Times New Roman"/>
          <w:noProof/>
          <w:u w:val="single"/>
        </w:rPr>
        <w:t xml:space="preserve">Reform 1 (C3.2R1): National Research and Innovation Policy </w:t>
      </w:r>
    </w:p>
    <w:p w14:paraId="1887E597"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The objective of the reform is to support the R&amp;I Ecosystem.</w:t>
      </w:r>
    </w:p>
    <w:p w14:paraId="1887E598"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 xml:space="preserve">This measure consists in the adoption of the R&amp;I Strategy and the Action Plan. </w:t>
      </w:r>
    </w:p>
    <w:p w14:paraId="1887E599" w14:textId="77777777" w:rsidR="00C02B59" w:rsidRPr="00D1795B" w:rsidRDefault="00C02B59" w:rsidP="00C02B59">
      <w:pPr>
        <w:spacing w:after="120" w:line="240" w:lineRule="auto"/>
        <w:jc w:val="both"/>
        <w:rPr>
          <w:rFonts w:ascii="Times New Roman" w:eastAsia="Times New Roman" w:hAnsi="Times New Roman" w:cs="Times New Roman"/>
          <w:noProof/>
        </w:rPr>
      </w:pPr>
    </w:p>
    <w:p w14:paraId="1887E59A"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u w:val="single"/>
        </w:rPr>
        <w:t>Reform 2 (C3.2R2): Incentives to encourage and attract investments and human capital in Research and Innovation</w:t>
      </w:r>
    </w:p>
    <w:p w14:paraId="1887E59B"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The objective of the measure is to attract investment in innovative companies and entrepreneurial and scientific talents from abroad.</w:t>
      </w:r>
    </w:p>
    <w:p w14:paraId="1887E59C"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The reform shall consist in the extension of the application of the tax scheme for investing in innovative companies to legal entities (from physical persons currently). Eligible investments of up to EUR 150 000 per investor, under this incentive, include equity, loans, guarantees and factoring. In addition, it shall consist in the review, promotion and, where appropriate, amendment of current incentive schemes aimed at attracting talents from third countries, including the Scientific VISA scheme for researchers and their families and the Start-up VISA scheme for founders of innovative enterprises and their families.</w:t>
      </w:r>
    </w:p>
    <w:p w14:paraId="1887E59D"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The implementation of the reform shall be completed by 30 September 2022.</w:t>
      </w:r>
    </w:p>
    <w:p w14:paraId="1887E59E" w14:textId="77777777" w:rsidR="00C02B59" w:rsidRPr="00D1795B" w:rsidRDefault="00C02B59" w:rsidP="00C02B59">
      <w:pPr>
        <w:spacing w:after="120" w:line="240" w:lineRule="auto"/>
        <w:jc w:val="both"/>
        <w:rPr>
          <w:rFonts w:ascii="Times New Roman" w:hAnsi="Times New Roman"/>
          <w:noProof/>
          <w:u w:val="single"/>
        </w:rPr>
      </w:pPr>
    </w:p>
    <w:p w14:paraId="1887E59F" w14:textId="77777777" w:rsidR="00C02B59" w:rsidRPr="00D1795B" w:rsidRDefault="00C02B59" w:rsidP="00C02B59">
      <w:pPr>
        <w:spacing w:after="120" w:line="240" w:lineRule="auto"/>
        <w:jc w:val="both"/>
        <w:rPr>
          <w:rFonts w:ascii="Times New Roman" w:hAnsi="Times New Roman"/>
          <w:noProof/>
          <w:u w:val="single"/>
        </w:rPr>
      </w:pPr>
      <w:r w:rsidRPr="00D1795B">
        <w:rPr>
          <w:rFonts w:ascii="Times New Roman" w:hAnsi="Times New Roman"/>
          <w:noProof/>
          <w:u w:val="single"/>
        </w:rPr>
        <w:t xml:space="preserve">Reform 3 (C3.2R3): Support access to publicly funded research infrastructure </w:t>
      </w:r>
    </w:p>
    <w:p w14:paraId="1887E5A0"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 xml:space="preserve">The objective of the reform is to support access to publicly funded research infrastructure. </w:t>
      </w:r>
    </w:p>
    <w:p w14:paraId="1887E5A1"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This measure consists in the publication of the National Policy of the Republic of Cyprus for Open Science Practices.</w:t>
      </w:r>
    </w:p>
    <w:p w14:paraId="1887E5A2" w14:textId="77777777" w:rsidR="00C02B59" w:rsidRPr="00D1795B" w:rsidRDefault="00C02B59" w:rsidP="00C02B59">
      <w:pPr>
        <w:spacing w:after="120" w:line="240" w:lineRule="auto"/>
        <w:jc w:val="both"/>
        <w:rPr>
          <w:rFonts w:ascii="Times New Roman" w:hAnsi="Times New Roman"/>
          <w:noProof/>
        </w:rPr>
      </w:pPr>
    </w:p>
    <w:p w14:paraId="1887E5A3" w14:textId="77777777" w:rsidR="00C02B59" w:rsidRPr="00D1795B" w:rsidRDefault="00C02B59" w:rsidP="00C02B59">
      <w:pPr>
        <w:spacing w:after="120" w:line="240" w:lineRule="auto"/>
        <w:rPr>
          <w:rFonts w:ascii="Times New Roman" w:hAnsi="Times New Roman"/>
          <w:noProof/>
          <w:u w:val="single"/>
        </w:rPr>
      </w:pPr>
      <w:r w:rsidRPr="00D1795B">
        <w:rPr>
          <w:rFonts w:ascii="Times New Roman" w:hAnsi="Times New Roman"/>
          <w:noProof/>
          <w:u w:val="single"/>
        </w:rPr>
        <w:t>Investment 1 (C3.2I1): Set up a central knowledge transfer office (cKTO)</w:t>
      </w:r>
    </w:p>
    <w:p w14:paraId="1887E5A4"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 xml:space="preserve">The objective of the investment is to support academia-business collaboration and commercialisation of research results to enhance </w:t>
      </w:r>
      <w:r w:rsidRPr="00D1795B">
        <w:rPr>
          <w:rFonts w:ascii="Times New Roman" w:eastAsia="Times New Roman" w:hAnsi="Times New Roman" w:cs="Times New Roman"/>
          <w:noProof/>
          <w:color w:val="000000" w:themeColor="text1"/>
        </w:rPr>
        <w:t>technology transfer in Cyprus.</w:t>
      </w:r>
      <w:r w:rsidRPr="00D1795B">
        <w:rPr>
          <w:rFonts w:ascii="Times New Roman" w:hAnsi="Times New Roman"/>
          <w:noProof/>
        </w:rPr>
        <w:t xml:space="preserve"> </w:t>
      </w:r>
    </w:p>
    <w:p w14:paraId="1887E5A5"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This measure consists in a central Knowledge Transfer Office.</w:t>
      </w:r>
    </w:p>
    <w:p w14:paraId="1887E5A6" w14:textId="77777777" w:rsidR="00C02B59" w:rsidRPr="00D1795B" w:rsidRDefault="00C02B59" w:rsidP="00C02B59">
      <w:pPr>
        <w:spacing w:after="120" w:line="240" w:lineRule="auto"/>
        <w:jc w:val="both"/>
        <w:rPr>
          <w:rFonts w:ascii="Times New Roman" w:hAnsi="Times New Roman"/>
          <w:noProof/>
        </w:rPr>
      </w:pPr>
    </w:p>
    <w:p w14:paraId="1887E5A7" w14:textId="77777777" w:rsidR="00C02B59" w:rsidRPr="00D1795B" w:rsidRDefault="00C02B59" w:rsidP="00C02B59">
      <w:pPr>
        <w:spacing w:after="120" w:line="240" w:lineRule="auto"/>
        <w:jc w:val="both"/>
        <w:rPr>
          <w:rFonts w:ascii="Times New Roman" w:hAnsi="Times New Roman"/>
          <w:noProof/>
          <w:u w:val="single"/>
        </w:rPr>
      </w:pPr>
      <w:r w:rsidRPr="00D1795B">
        <w:rPr>
          <w:rFonts w:ascii="Times New Roman" w:hAnsi="Times New Roman"/>
          <w:noProof/>
          <w:u w:val="single"/>
        </w:rPr>
        <w:t xml:space="preserve">Investment 2 (C3.2I2): Innovation funding programmes </w:t>
      </w:r>
    </w:p>
    <w:p w14:paraId="1887E5A8"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The objective of the investment is to support enterprises and start-ups on R&amp;I activities and to support research organisations to create open access research infrastructures.</w:t>
      </w:r>
    </w:p>
    <w:p w14:paraId="1887E5A9"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This measure consists in projects on R&amp;I activities.</w:t>
      </w:r>
    </w:p>
    <w:p w14:paraId="1887E5AA" w14:textId="77777777" w:rsidR="00C02B59" w:rsidRPr="00D1795B" w:rsidRDefault="00C02B59" w:rsidP="00C02B59">
      <w:pPr>
        <w:spacing w:after="120" w:line="240" w:lineRule="auto"/>
        <w:jc w:val="both"/>
        <w:rPr>
          <w:rFonts w:ascii="Times New Roman" w:hAnsi="Times New Roman"/>
          <w:noProof/>
        </w:rPr>
      </w:pPr>
    </w:p>
    <w:p w14:paraId="1887E5AB" w14:textId="77777777" w:rsidR="00C02B59" w:rsidRPr="00D1795B" w:rsidRDefault="00C02B59" w:rsidP="00C02B59">
      <w:pPr>
        <w:spacing w:after="120" w:line="240" w:lineRule="auto"/>
        <w:jc w:val="both"/>
        <w:rPr>
          <w:rFonts w:ascii="Times New Roman" w:hAnsi="Times New Roman"/>
          <w:noProof/>
          <w:u w:val="single"/>
        </w:rPr>
      </w:pPr>
      <w:r w:rsidRPr="00D1795B">
        <w:rPr>
          <w:rFonts w:ascii="Times New Roman" w:hAnsi="Times New Roman"/>
          <w:noProof/>
          <w:u w:val="single"/>
        </w:rPr>
        <w:t>Investment 3 (C3.2I3): R&amp;I funding programme on green transition</w:t>
      </w:r>
    </w:p>
    <w:p w14:paraId="1887E5AC"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 xml:space="preserve">The objective of the investment is to support projects on green transition activities. </w:t>
      </w:r>
    </w:p>
    <w:p w14:paraId="1887E5AD" w14:textId="77777777" w:rsidR="00C02B59" w:rsidRPr="00D1795B" w:rsidRDefault="00C02B59" w:rsidP="00C02B59">
      <w:pPr>
        <w:spacing w:after="120" w:line="240" w:lineRule="auto"/>
        <w:jc w:val="both"/>
        <w:rPr>
          <w:rFonts w:ascii="Times New Roman" w:eastAsia="Times New Roman" w:hAnsi="Times New Roman" w:cs="Times New Roman"/>
          <w:noProof/>
        </w:rPr>
      </w:pPr>
      <w:r w:rsidRPr="00D1795B">
        <w:rPr>
          <w:rFonts w:ascii="Times New Roman" w:hAnsi="Times New Roman"/>
          <w:noProof/>
        </w:rPr>
        <w:t>This measure consists in projects on green transition R&amp;I activities.</w:t>
      </w:r>
    </w:p>
    <w:p w14:paraId="1887E5AE" w14:textId="77777777" w:rsidR="00C02B59" w:rsidRPr="00D1795B" w:rsidRDefault="00C02B59" w:rsidP="00C02B59">
      <w:pPr>
        <w:keepNext/>
        <w:widowControl w:val="0"/>
        <w:spacing w:after="120" w:line="240" w:lineRule="auto"/>
        <w:jc w:val="both"/>
        <w:rPr>
          <w:rFonts w:ascii="Times New Roman" w:hAnsi="Times New Roman"/>
          <w:noProof/>
        </w:rPr>
      </w:pPr>
    </w:p>
    <w:p w14:paraId="1887E5AF" w14:textId="77777777" w:rsidR="00C02B59" w:rsidRPr="00D1795B" w:rsidRDefault="00C02B59" w:rsidP="00C02B59">
      <w:pPr>
        <w:keepNext/>
        <w:widowControl w:val="0"/>
        <w:spacing w:after="120" w:line="240" w:lineRule="auto"/>
        <w:jc w:val="both"/>
        <w:rPr>
          <w:rFonts w:ascii="Times New Roman" w:hAnsi="Times New Roman"/>
          <w:noProof/>
          <w:u w:val="single"/>
        </w:rPr>
      </w:pPr>
      <w:r w:rsidRPr="00D1795B">
        <w:rPr>
          <w:rFonts w:ascii="Times New Roman" w:hAnsi="Times New Roman"/>
          <w:noProof/>
          <w:u w:val="single"/>
        </w:rPr>
        <w:t xml:space="preserve">Investment 4 (C3.2I4): Funding schemes </w:t>
      </w:r>
      <w:r w:rsidRPr="00D1795B">
        <w:rPr>
          <w:rFonts w:ascii="Times New Roman" w:eastAsia="Calibri" w:hAnsi="Times New Roman" w:cs="Arial"/>
          <w:noProof/>
          <w:u w:val="single"/>
        </w:rPr>
        <w:t>for R&amp;D</w:t>
      </w:r>
      <w:r w:rsidRPr="00D1795B">
        <w:rPr>
          <w:rFonts w:ascii="Times New Roman" w:hAnsi="Times New Roman"/>
          <w:noProof/>
          <w:u w:val="single"/>
        </w:rPr>
        <w:t xml:space="preserve"> activities on dual</w:t>
      </w:r>
      <w:r w:rsidRPr="00D1795B">
        <w:rPr>
          <w:rFonts w:ascii="Times New Roman" w:eastAsia="Calibri" w:hAnsi="Times New Roman" w:cs="Arial"/>
          <w:noProof/>
          <w:u w:val="single"/>
        </w:rPr>
        <w:t>-use</w:t>
      </w:r>
      <w:r w:rsidRPr="00D1795B">
        <w:rPr>
          <w:rFonts w:ascii="Times New Roman" w:hAnsi="Times New Roman"/>
          <w:noProof/>
          <w:u w:val="single"/>
        </w:rPr>
        <w:t xml:space="preserve"> technologies and classified laboratories</w:t>
      </w:r>
    </w:p>
    <w:p w14:paraId="1887E5B0"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The objective of the investment is to support dual-use technologies, which would otherwise only serve government/military purposes, for civilian, commercial and societal interests.</w:t>
      </w:r>
    </w:p>
    <w:p w14:paraId="1887E5B1"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The measure consists in the signature of grant agreements and the issuing of facility security clearance certificates.</w:t>
      </w:r>
    </w:p>
    <w:p w14:paraId="1887E5B2" w14:textId="77777777" w:rsidR="00C02B59" w:rsidRPr="00D1795B" w:rsidRDefault="00C02B59" w:rsidP="00C02B59">
      <w:pPr>
        <w:spacing w:after="120" w:line="240" w:lineRule="auto"/>
        <w:jc w:val="both"/>
        <w:rPr>
          <w:rFonts w:ascii="Times New Roman" w:hAnsi="Times New Roman"/>
          <w:noProof/>
        </w:rPr>
        <w:sectPr w:rsidR="00C02B59" w:rsidRPr="00D1795B" w:rsidSect="00C02B59">
          <w:headerReference w:type="even" r:id="rId77"/>
          <w:headerReference w:type="default" r:id="rId78"/>
          <w:footerReference w:type="even" r:id="rId79"/>
          <w:footerReference w:type="default" r:id="rId80"/>
          <w:headerReference w:type="first" r:id="rId81"/>
          <w:footerReference w:type="first" r:id="rId82"/>
          <w:pgSz w:w="11906" w:h="16838"/>
          <w:pgMar w:top="1134" w:right="1134" w:bottom="1134" w:left="1134" w:header="567" w:footer="567" w:gutter="0"/>
          <w:cols w:space="708"/>
          <w:docGrid w:linePitch="360"/>
        </w:sectPr>
      </w:pPr>
    </w:p>
    <w:p w14:paraId="1887E5B3" w14:textId="77777777" w:rsidR="00C02B59" w:rsidRPr="00D1795B" w:rsidRDefault="00C02B59" w:rsidP="00C02B59">
      <w:pPr>
        <w:spacing w:before="120" w:after="120" w:line="240" w:lineRule="auto"/>
        <w:jc w:val="center"/>
        <w:rPr>
          <w:rFonts w:ascii="Times New Roman" w:hAnsi="Times New Roman"/>
          <w:b/>
          <w:noProof/>
          <w:u w:val="single"/>
        </w:rPr>
      </w:pPr>
      <w:r w:rsidRPr="00D1795B">
        <w:rPr>
          <w:rFonts w:ascii="Times New Roman" w:hAnsi="Times New Roman"/>
          <w:b/>
          <w:noProof/>
          <w:u w:val="single"/>
        </w:rPr>
        <w:t xml:space="preserve">F.2. </w:t>
      </w:r>
      <w:r w:rsidRPr="00D1795B">
        <w:rPr>
          <w:noProof/>
        </w:rPr>
        <w:tab/>
      </w:r>
      <w:r w:rsidRPr="00D1795B">
        <w:rPr>
          <w:rFonts w:ascii="Times New Roman" w:hAnsi="Times New Roman"/>
          <w:b/>
          <w:noProof/>
          <w:u w:val="single"/>
        </w:rPr>
        <w:t>Milestones, targets, indicators, and timetable for monitoring and implementation for non-repayable financial support</w:t>
      </w:r>
    </w:p>
    <w:tbl>
      <w:tblPr>
        <w:tblW w:w="15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1395"/>
        <w:gridCol w:w="1157"/>
        <w:gridCol w:w="1671"/>
        <w:gridCol w:w="1428"/>
        <w:gridCol w:w="1031"/>
        <w:gridCol w:w="1037"/>
        <w:gridCol w:w="734"/>
        <w:gridCol w:w="1028"/>
        <w:gridCol w:w="1019"/>
        <w:gridCol w:w="3286"/>
      </w:tblGrid>
      <w:tr w:rsidR="00C02B59" w:rsidRPr="00D1795B" w14:paraId="1887E5BC" w14:textId="77777777" w:rsidTr="00C02B59">
        <w:trPr>
          <w:trHeight w:val="594"/>
          <w:tblHeader/>
          <w:jc w:val="center"/>
        </w:trPr>
        <w:tc>
          <w:tcPr>
            <w:tcW w:w="414" w:type="pct"/>
            <w:vMerge w:val="restart"/>
            <w:shd w:val="clear" w:color="auto" w:fill="BDD7EE"/>
            <w:vAlign w:val="center"/>
            <w:hideMark/>
          </w:tcPr>
          <w:p w14:paraId="1887E5B4"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464" w:type="pct"/>
            <w:vMerge w:val="restart"/>
            <w:shd w:val="clear" w:color="auto" w:fill="BDD7EE"/>
            <w:vAlign w:val="center"/>
            <w:hideMark/>
          </w:tcPr>
          <w:p w14:paraId="1887E5B5"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385" w:type="pct"/>
            <w:vMerge w:val="restart"/>
            <w:shd w:val="clear" w:color="auto" w:fill="BDD7EE"/>
            <w:vAlign w:val="center"/>
            <w:hideMark/>
          </w:tcPr>
          <w:p w14:paraId="1887E5B6"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Milestone / Target</w:t>
            </w:r>
          </w:p>
        </w:tc>
        <w:tc>
          <w:tcPr>
            <w:tcW w:w="556" w:type="pct"/>
            <w:vMerge w:val="restart"/>
            <w:shd w:val="clear" w:color="auto" w:fill="BDD7EE"/>
            <w:vAlign w:val="center"/>
            <w:hideMark/>
          </w:tcPr>
          <w:p w14:paraId="1887E5B7"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Name</w:t>
            </w:r>
          </w:p>
        </w:tc>
        <w:tc>
          <w:tcPr>
            <w:tcW w:w="475" w:type="pct"/>
            <w:vMerge w:val="restart"/>
            <w:shd w:val="clear" w:color="auto" w:fill="BDD7EE"/>
            <w:vAlign w:val="center"/>
            <w:hideMark/>
          </w:tcPr>
          <w:p w14:paraId="1887E5B8"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Qualitative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milestones)</w:t>
            </w:r>
          </w:p>
        </w:tc>
        <w:tc>
          <w:tcPr>
            <w:tcW w:w="932" w:type="pct"/>
            <w:gridSpan w:val="3"/>
            <w:shd w:val="clear" w:color="auto" w:fill="BDD7EE"/>
            <w:vAlign w:val="center"/>
            <w:hideMark/>
          </w:tcPr>
          <w:p w14:paraId="1887E5B9"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Quantitative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targets)</w:t>
            </w:r>
          </w:p>
        </w:tc>
        <w:tc>
          <w:tcPr>
            <w:tcW w:w="680" w:type="pct"/>
            <w:gridSpan w:val="2"/>
            <w:shd w:val="clear" w:color="auto" w:fill="BDD7EE"/>
            <w:vAlign w:val="center"/>
            <w:hideMark/>
          </w:tcPr>
          <w:p w14:paraId="1887E5BA"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Indicative timeline for completion</w:t>
            </w:r>
          </w:p>
        </w:tc>
        <w:tc>
          <w:tcPr>
            <w:tcW w:w="1094" w:type="pct"/>
            <w:vMerge w:val="restart"/>
            <w:shd w:val="clear" w:color="auto" w:fill="BDD7EE"/>
            <w:vAlign w:val="center"/>
            <w:hideMark/>
          </w:tcPr>
          <w:p w14:paraId="1887E5BB"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Description of each milestone and target</w:t>
            </w:r>
          </w:p>
        </w:tc>
      </w:tr>
      <w:tr w:rsidR="00C02B59" w:rsidRPr="00D1795B" w14:paraId="1887E5C8" w14:textId="77777777" w:rsidTr="00C02B59">
        <w:trPr>
          <w:trHeight w:val="365"/>
          <w:tblHeader/>
          <w:jc w:val="center"/>
        </w:trPr>
        <w:tc>
          <w:tcPr>
            <w:tcW w:w="414" w:type="pct"/>
            <w:vMerge/>
            <w:hideMark/>
          </w:tcPr>
          <w:p w14:paraId="1887E5BD" w14:textId="77777777" w:rsidR="00C02B59" w:rsidRPr="00D1795B" w:rsidRDefault="00C02B59" w:rsidP="00C02B59">
            <w:pPr>
              <w:spacing w:after="0" w:line="240" w:lineRule="auto"/>
              <w:rPr>
                <w:rFonts w:ascii="Times New Roman" w:hAnsi="Times New Roman" w:cs="Times New Roman"/>
                <w:b/>
                <w:noProof/>
                <w:sz w:val="18"/>
                <w:szCs w:val="18"/>
              </w:rPr>
            </w:pPr>
          </w:p>
        </w:tc>
        <w:tc>
          <w:tcPr>
            <w:tcW w:w="464" w:type="pct"/>
            <w:vMerge/>
            <w:hideMark/>
          </w:tcPr>
          <w:p w14:paraId="1887E5BE" w14:textId="77777777" w:rsidR="00C02B59" w:rsidRPr="00D1795B" w:rsidRDefault="00C02B59" w:rsidP="00C02B59">
            <w:pPr>
              <w:spacing w:after="0" w:line="240" w:lineRule="auto"/>
              <w:rPr>
                <w:rFonts w:ascii="Times New Roman" w:hAnsi="Times New Roman" w:cs="Times New Roman"/>
                <w:b/>
                <w:noProof/>
                <w:sz w:val="18"/>
                <w:szCs w:val="18"/>
              </w:rPr>
            </w:pPr>
          </w:p>
        </w:tc>
        <w:tc>
          <w:tcPr>
            <w:tcW w:w="385" w:type="pct"/>
            <w:vMerge/>
            <w:hideMark/>
          </w:tcPr>
          <w:p w14:paraId="1887E5BF" w14:textId="77777777" w:rsidR="00C02B59" w:rsidRPr="00D1795B" w:rsidRDefault="00C02B59" w:rsidP="00C02B59">
            <w:pPr>
              <w:spacing w:after="0" w:line="240" w:lineRule="auto"/>
              <w:rPr>
                <w:rFonts w:ascii="Times New Roman" w:hAnsi="Times New Roman" w:cs="Times New Roman"/>
                <w:b/>
                <w:noProof/>
                <w:sz w:val="18"/>
                <w:szCs w:val="18"/>
              </w:rPr>
            </w:pPr>
          </w:p>
        </w:tc>
        <w:tc>
          <w:tcPr>
            <w:tcW w:w="556" w:type="pct"/>
            <w:vMerge/>
            <w:hideMark/>
          </w:tcPr>
          <w:p w14:paraId="1887E5C0" w14:textId="77777777" w:rsidR="00C02B59" w:rsidRPr="00D1795B" w:rsidRDefault="00C02B59" w:rsidP="00C02B59">
            <w:pPr>
              <w:spacing w:after="0" w:line="240" w:lineRule="auto"/>
              <w:rPr>
                <w:rFonts w:ascii="Times New Roman" w:hAnsi="Times New Roman" w:cs="Times New Roman"/>
                <w:b/>
                <w:noProof/>
                <w:sz w:val="18"/>
                <w:szCs w:val="18"/>
              </w:rPr>
            </w:pPr>
          </w:p>
        </w:tc>
        <w:tc>
          <w:tcPr>
            <w:tcW w:w="475" w:type="pct"/>
            <w:vMerge/>
            <w:hideMark/>
          </w:tcPr>
          <w:p w14:paraId="1887E5C1" w14:textId="77777777" w:rsidR="00C02B59" w:rsidRPr="00D1795B" w:rsidRDefault="00C02B59" w:rsidP="00C02B59">
            <w:pPr>
              <w:spacing w:after="0" w:line="240" w:lineRule="auto"/>
              <w:rPr>
                <w:rFonts w:ascii="Times New Roman" w:hAnsi="Times New Roman" w:cs="Times New Roman"/>
                <w:b/>
                <w:noProof/>
                <w:sz w:val="18"/>
                <w:szCs w:val="18"/>
              </w:rPr>
            </w:pPr>
          </w:p>
        </w:tc>
        <w:tc>
          <w:tcPr>
            <w:tcW w:w="343" w:type="pct"/>
            <w:shd w:val="clear" w:color="auto" w:fill="BDD7EE"/>
            <w:vAlign w:val="center"/>
            <w:hideMark/>
          </w:tcPr>
          <w:p w14:paraId="1887E5C2"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Unit of measure</w:t>
            </w:r>
          </w:p>
        </w:tc>
        <w:tc>
          <w:tcPr>
            <w:tcW w:w="345" w:type="pct"/>
            <w:shd w:val="clear" w:color="auto" w:fill="BDD7EE"/>
            <w:vAlign w:val="center"/>
            <w:hideMark/>
          </w:tcPr>
          <w:p w14:paraId="1887E5C3"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Baseline</w:t>
            </w:r>
          </w:p>
        </w:tc>
        <w:tc>
          <w:tcPr>
            <w:tcW w:w="244" w:type="pct"/>
            <w:shd w:val="clear" w:color="auto" w:fill="BDD7EE"/>
            <w:vAlign w:val="center"/>
            <w:hideMark/>
          </w:tcPr>
          <w:p w14:paraId="1887E5C4"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Goal</w:t>
            </w:r>
          </w:p>
        </w:tc>
        <w:tc>
          <w:tcPr>
            <w:tcW w:w="342" w:type="pct"/>
            <w:shd w:val="clear" w:color="auto" w:fill="BDD7EE"/>
            <w:vAlign w:val="center"/>
            <w:hideMark/>
          </w:tcPr>
          <w:p w14:paraId="1887E5C5"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Quarter</w:t>
            </w:r>
          </w:p>
        </w:tc>
        <w:tc>
          <w:tcPr>
            <w:tcW w:w="339" w:type="pct"/>
            <w:shd w:val="clear" w:color="auto" w:fill="BDD7EE"/>
            <w:vAlign w:val="center"/>
            <w:hideMark/>
          </w:tcPr>
          <w:p w14:paraId="1887E5C6"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Year</w:t>
            </w:r>
          </w:p>
        </w:tc>
        <w:tc>
          <w:tcPr>
            <w:tcW w:w="1094" w:type="pct"/>
            <w:vMerge/>
            <w:hideMark/>
          </w:tcPr>
          <w:p w14:paraId="1887E5C7" w14:textId="77777777" w:rsidR="00C02B59" w:rsidRPr="00D1795B" w:rsidRDefault="00C02B59" w:rsidP="00C02B59">
            <w:pPr>
              <w:spacing w:after="0" w:line="240" w:lineRule="auto"/>
              <w:jc w:val="both"/>
              <w:rPr>
                <w:rFonts w:ascii="Times New Roman" w:hAnsi="Times New Roman" w:cs="Times New Roman"/>
                <w:b/>
                <w:noProof/>
                <w:sz w:val="18"/>
                <w:szCs w:val="18"/>
              </w:rPr>
            </w:pPr>
          </w:p>
        </w:tc>
      </w:tr>
      <w:tr w:rsidR="00C02B59" w:rsidRPr="00D1795B" w14:paraId="1887E5D6" w14:textId="77777777" w:rsidTr="00C02B59">
        <w:trPr>
          <w:trHeight w:val="1964"/>
          <w:jc w:val="center"/>
        </w:trPr>
        <w:tc>
          <w:tcPr>
            <w:tcW w:w="414" w:type="pct"/>
            <w:shd w:val="clear" w:color="auto" w:fill="C6EFCE"/>
            <w:noWrap/>
            <w:hideMark/>
          </w:tcPr>
          <w:p w14:paraId="1887E5C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120</w:t>
            </w:r>
          </w:p>
        </w:tc>
        <w:tc>
          <w:tcPr>
            <w:tcW w:w="464" w:type="pct"/>
            <w:shd w:val="clear" w:color="auto" w:fill="C6EFCE"/>
            <w:noWrap/>
          </w:tcPr>
          <w:p w14:paraId="1887E5C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C3.2R1</w:t>
            </w:r>
          </w:p>
          <w:p w14:paraId="1887E5C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National R&amp;I Policy and policy tools</w:t>
            </w:r>
          </w:p>
        </w:tc>
        <w:tc>
          <w:tcPr>
            <w:tcW w:w="385" w:type="pct"/>
            <w:shd w:val="clear" w:color="auto" w:fill="C6EFCE"/>
            <w:noWrap/>
            <w:hideMark/>
          </w:tcPr>
          <w:p w14:paraId="1887E5C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556" w:type="pct"/>
            <w:shd w:val="clear" w:color="auto" w:fill="C6EFCE"/>
            <w:noWrap/>
          </w:tcPr>
          <w:p w14:paraId="1887E5C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Adoption of the national R&amp;I Strategy and of the Action Plan to implement it</w:t>
            </w:r>
          </w:p>
        </w:tc>
        <w:tc>
          <w:tcPr>
            <w:tcW w:w="475" w:type="pct"/>
            <w:shd w:val="clear" w:color="auto" w:fill="C6EFCE"/>
            <w:noWrap/>
            <w:hideMark/>
          </w:tcPr>
          <w:p w14:paraId="1887E5C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Publication of the Council of Ministers’ decision</w:t>
            </w:r>
          </w:p>
        </w:tc>
        <w:tc>
          <w:tcPr>
            <w:tcW w:w="343" w:type="pct"/>
            <w:shd w:val="clear" w:color="auto" w:fill="C6EFCE"/>
            <w:noWrap/>
            <w:hideMark/>
          </w:tcPr>
          <w:p w14:paraId="1887E5C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tcPr>
          <w:p w14:paraId="1887E5D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44" w:type="pct"/>
            <w:shd w:val="clear" w:color="auto" w:fill="C6EFCE"/>
            <w:noWrap/>
          </w:tcPr>
          <w:p w14:paraId="1887E5D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2" w:type="pct"/>
            <w:shd w:val="clear" w:color="auto" w:fill="C6EFCE"/>
            <w:noWrap/>
            <w:hideMark/>
          </w:tcPr>
          <w:p w14:paraId="1887E5D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339" w:type="pct"/>
            <w:shd w:val="clear" w:color="auto" w:fill="C6EFCE"/>
            <w:noWrap/>
            <w:hideMark/>
          </w:tcPr>
          <w:p w14:paraId="1887E5D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1094" w:type="pct"/>
            <w:shd w:val="clear" w:color="auto" w:fill="C6EFCE"/>
            <w:noWrap/>
            <w:hideMark/>
          </w:tcPr>
          <w:p w14:paraId="1887E5D5" w14:textId="38A751C3" w:rsidR="00C02B59" w:rsidRPr="00D1795B" w:rsidRDefault="00C02B59" w:rsidP="008C6688">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Develop an integrated R&amp;I Strategy, providing a long-term perspective framework, ensuring a focused effort and commitment for implementation, over time, on behalf of the State and stakeholders involved in the national R&amp;I system, and a digital tool for the dynamic mapping of the R&amp;I ecosystem.</w:t>
            </w:r>
          </w:p>
        </w:tc>
      </w:tr>
      <w:tr w:rsidR="00C02B59" w:rsidRPr="00D1795B" w14:paraId="1887E5E6" w14:textId="77777777" w:rsidTr="00C02B59">
        <w:trPr>
          <w:trHeight w:val="2490"/>
          <w:jc w:val="center"/>
        </w:trPr>
        <w:tc>
          <w:tcPr>
            <w:tcW w:w="414" w:type="pct"/>
            <w:shd w:val="clear" w:color="auto" w:fill="C6EFCE"/>
            <w:noWrap/>
          </w:tcPr>
          <w:p w14:paraId="1887E5D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121</w:t>
            </w:r>
          </w:p>
        </w:tc>
        <w:tc>
          <w:tcPr>
            <w:tcW w:w="464" w:type="pct"/>
            <w:shd w:val="clear" w:color="auto" w:fill="C6EFCE"/>
            <w:noWrap/>
          </w:tcPr>
          <w:p w14:paraId="1887E5D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C3.2R1</w:t>
            </w:r>
          </w:p>
          <w:p w14:paraId="1887E5D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National Research and Innovation Policy </w:t>
            </w:r>
          </w:p>
        </w:tc>
        <w:tc>
          <w:tcPr>
            <w:tcW w:w="385" w:type="pct"/>
            <w:shd w:val="clear" w:color="auto" w:fill="C6EFCE"/>
            <w:noWrap/>
          </w:tcPr>
          <w:p w14:paraId="1887E5D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556" w:type="pct"/>
            <w:shd w:val="clear" w:color="auto" w:fill="C6EFCE"/>
            <w:noWrap/>
          </w:tcPr>
          <w:p w14:paraId="1887E5D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Performance-based funding mechanism; open access policy framework for publicly funded research and</w:t>
            </w:r>
            <w:r w:rsidRPr="00D1795B">
              <w:rPr>
                <w:rFonts w:ascii="Times New Roman" w:hAnsi="Times New Roman" w:cs="Times New Roman"/>
                <w:noProof/>
                <w:sz w:val="18"/>
                <w:szCs w:val="18"/>
              </w:rPr>
              <w:br/>
              <w:t>technological infrastructure; framework for monitoring and coordinating the participation in ESFRI Landmarks</w:t>
            </w:r>
          </w:p>
        </w:tc>
        <w:tc>
          <w:tcPr>
            <w:tcW w:w="475" w:type="pct"/>
            <w:shd w:val="clear" w:color="auto" w:fill="C6EFCE"/>
            <w:noWrap/>
          </w:tcPr>
          <w:p w14:paraId="1887E5D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Approval of a performance based funding-mechanism; publishing online an open access policy framework for publicly funded research and</w:t>
            </w:r>
            <w:r w:rsidRPr="00D1795B">
              <w:rPr>
                <w:rFonts w:ascii="Times New Roman" w:hAnsi="Times New Roman" w:cs="Times New Roman"/>
                <w:noProof/>
                <w:sz w:val="18"/>
                <w:szCs w:val="18"/>
              </w:rPr>
              <w:br/>
              <w:t>technological infrastructure; publishing online a framework</w:t>
            </w:r>
          </w:p>
        </w:tc>
        <w:tc>
          <w:tcPr>
            <w:tcW w:w="343" w:type="pct"/>
            <w:shd w:val="clear" w:color="auto" w:fill="C6EFCE"/>
            <w:noWrap/>
          </w:tcPr>
          <w:p w14:paraId="1887E5D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tcPr>
          <w:p w14:paraId="1887E5D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44" w:type="pct"/>
            <w:shd w:val="clear" w:color="auto" w:fill="C6EFCE"/>
            <w:noWrap/>
          </w:tcPr>
          <w:p w14:paraId="1887E5D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2" w:type="pct"/>
            <w:shd w:val="clear" w:color="auto" w:fill="C6EFCE"/>
            <w:noWrap/>
          </w:tcPr>
          <w:p w14:paraId="1887E5E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339" w:type="pct"/>
            <w:shd w:val="clear" w:color="auto" w:fill="C6EFCE"/>
            <w:noWrap/>
          </w:tcPr>
          <w:p w14:paraId="1887E5E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1094" w:type="pct"/>
            <w:shd w:val="clear" w:color="auto" w:fill="C6EFCE"/>
            <w:noWrap/>
          </w:tcPr>
          <w:p w14:paraId="1887E5E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Approval by the Council of Ministers of a performance-based funding mechanism for publicly funded research organizations, which may include but is not limited to the Centers of Excellence. </w:t>
            </w:r>
          </w:p>
          <w:p w14:paraId="1887E5E3" w14:textId="77777777" w:rsidR="00C02B59" w:rsidRPr="00D1795B" w:rsidRDefault="00C02B59" w:rsidP="00C02B59">
            <w:pPr>
              <w:spacing w:after="0" w:line="240" w:lineRule="auto"/>
              <w:jc w:val="both"/>
              <w:rPr>
                <w:rFonts w:ascii="Times New Roman" w:hAnsi="Times New Roman" w:cs="Times New Roman"/>
                <w:noProof/>
                <w:sz w:val="18"/>
                <w:szCs w:val="18"/>
              </w:rPr>
            </w:pPr>
          </w:p>
          <w:p w14:paraId="1887E5E4" w14:textId="77777777" w:rsidR="00C02B59" w:rsidRPr="00D1795B" w:rsidRDefault="00C02B59" w:rsidP="00C02B59">
            <w:pPr>
              <w:spacing w:after="18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Publishing online an open access policy framework for publicly funded research and technological infrastructure, which may include but is not limited to access condition(s) and pricing.</w:t>
            </w:r>
          </w:p>
          <w:p w14:paraId="1887E5E5" w14:textId="77777777" w:rsidR="00C02B59" w:rsidRPr="00D1795B" w:rsidRDefault="00C02B59" w:rsidP="00C02B59">
            <w:pPr>
              <w:spacing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Publishing online a framework for monitoring and coordinating the participation in European Strategy Forum on Research Infrastructures (ESFRI) Landmarks.</w:t>
            </w:r>
          </w:p>
        </w:tc>
      </w:tr>
      <w:tr w:rsidR="00C02B59" w:rsidRPr="00D1795B" w14:paraId="1887E5F3" w14:textId="77777777" w:rsidTr="00C02B59">
        <w:trPr>
          <w:trHeight w:val="313"/>
          <w:jc w:val="center"/>
        </w:trPr>
        <w:tc>
          <w:tcPr>
            <w:tcW w:w="414" w:type="pct"/>
            <w:shd w:val="clear" w:color="auto" w:fill="C6EFCE"/>
            <w:noWrap/>
            <w:hideMark/>
          </w:tcPr>
          <w:p w14:paraId="1887E5E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122</w:t>
            </w:r>
          </w:p>
        </w:tc>
        <w:tc>
          <w:tcPr>
            <w:tcW w:w="464" w:type="pct"/>
            <w:shd w:val="clear" w:color="auto" w:fill="C6EFCE"/>
            <w:noWrap/>
            <w:hideMark/>
          </w:tcPr>
          <w:p w14:paraId="1887E5E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C3.2R2</w:t>
            </w:r>
          </w:p>
          <w:p w14:paraId="1887E5E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Incentives for investments and human capital in R&amp;I</w:t>
            </w:r>
          </w:p>
        </w:tc>
        <w:tc>
          <w:tcPr>
            <w:tcW w:w="385" w:type="pct"/>
            <w:shd w:val="clear" w:color="auto" w:fill="C6EFCE"/>
            <w:noWrap/>
            <w:hideMark/>
          </w:tcPr>
          <w:p w14:paraId="1887E5E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556" w:type="pct"/>
            <w:shd w:val="clear" w:color="auto" w:fill="C6EFCE"/>
            <w:noWrap/>
            <w:hideMark/>
          </w:tcPr>
          <w:p w14:paraId="1887E5E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Tax exemption of legal entities for investing in innovative companies</w:t>
            </w:r>
          </w:p>
        </w:tc>
        <w:tc>
          <w:tcPr>
            <w:tcW w:w="475" w:type="pct"/>
            <w:shd w:val="clear" w:color="auto" w:fill="C6EFCE"/>
            <w:noWrap/>
            <w:hideMark/>
          </w:tcPr>
          <w:p w14:paraId="1887E5E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Provision in the law indicating the entry into force of the legislation</w:t>
            </w:r>
          </w:p>
        </w:tc>
        <w:tc>
          <w:tcPr>
            <w:tcW w:w="343" w:type="pct"/>
            <w:shd w:val="clear" w:color="auto" w:fill="C6EFCE"/>
            <w:noWrap/>
            <w:hideMark/>
          </w:tcPr>
          <w:p w14:paraId="1887E5E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hideMark/>
          </w:tcPr>
          <w:p w14:paraId="1887E5E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44" w:type="pct"/>
            <w:shd w:val="clear" w:color="auto" w:fill="C6EFCE"/>
            <w:noWrap/>
            <w:hideMark/>
          </w:tcPr>
          <w:p w14:paraId="1887E5E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2" w:type="pct"/>
            <w:shd w:val="clear" w:color="auto" w:fill="C6EFCE"/>
            <w:noWrap/>
            <w:hideMark/>
          </w:tcPr>
          <w:p w14:paraId="1887E5F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339" w:type="pct"/>
            <w:shd w:val="clear" w:color="auto" w:fill="C6EFCE"/>
            <w:noWrap/>
            <w:hideMark/>
          </w:tcPr>
          <w:p w14:paraId="1887E5F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1094" w:type="pct"/>
            <w:shd w:val="clear" w:color="auto" w:fill="C6EFCE"/>
            <w:noWrap/>
            <w:hideMark/>
          </w:tcPr>
          <w:p w14:paraId="1887E5F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a law establishing the tax exemption of corporate investors (legal entities) for investing in innovative companies.</w:t>
            </w:r>
          </w:p>
        </w:tc>
      </w:tr>
      <w:tr w:rsidR="00C02B59" w:rsidRPr="00D1795B" w14:paraId="1887E600" w14:textId="77777777" w:rsidTr="00C02B59">
        <w:trPr>
          <w:trHeight w:val="313"/>
          <w:jc w:val="center"/>
        </w:trPr>
        <w:tc>
          <w:tcPr>
            <w:tcW w:w="414" w:type="pct"/>
            <w:shd w:val="clear" w:color="auto" w:fill="C6EFCE"/>
            <w:noWrap/>
            <w:hideMark/>
          </w:tcPr>
          <w:p w14:paraId="1887E5F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123</w:t>
            </w:r>
          </w:p>
        </w:tc>
        <w:tc>
          <w:tcPr>
            <w:tcW w:w="464" w:type="pct"/>
            <w:shd w:val="clear" w:color="auto" w:fill="C6EFCE"/>
            <w:noWrap/>
            <w:hideMark/>
          </w:tcPr>
          <w:p w14:paraId="1887E5F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C3.2R3</w:t>
            </w:r>
          </w:p>
          <w:p w14:paraId="1887E5F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Policies to foster access to publicly funded research infrastructure and laboratories</w:t>
            </w:r>
          </w:p>
        </w:tc>
        <w:tc>
          <w:tcPr>
            <w:tcW w:w="385" w:type="pct"/>
            <w:shd w:val="clear" w:color="auto" w:fill="C6EFCE"/>
            <w:noWrap/>
            <w:hideMark/>
          </w:tcPr>
          <w:p w14:paraId="1887E5F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556" w:type="pct"/>
            <w:shd w:val="clear" w:color="auto" w:fill="C6EFCE"/>
            <w:noWrap/>
            <w:hideMark/>
          </w:tcPr>
          <w:p w14:paraId="1887E5F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Digital registry to record and publish research infrastructure </w:t>
            </w:r>
          </w:p>
        </w:tc>
        <w:tc>
          <w:tcPr>
            <w:tcW w:w="475" w:type="pct"/>
            <w:shd w:val="clear" w:color="auto" w:fill="C6EFCE"/>
            <w:noWrap/>
            <w:hideMark/>
          </w:tcPr>
          <w:p w14:paraId="1887E5F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Link to the digital registry published in the Deputy Ministry for Research, Innovation and Digital Policy website</w:t>
            </w:r>
          </w:p>
        </w:tc>
        <w:tc>
          <w:tcPr>
            <w:tcW w:w="343" w:type="pct"/>
            <w:shd w:val="clear" w:color="auto" w:fill="C6EFCE"/>
            <w:noWrap/>
            <w:hideMark/>
          </w:tcPr>
          <w:p w14:paraId="1887E5F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hideMark/>
          </w:tcPr>
          <w:p w14:paraId="1887E5F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44" w:type="pct"/>
            <w:shd w:val="clear" w:color="auto" w:fill="C6EFCE"/>
            <w:noWrap/>
            <w:hideMark/>
          </w:tcPr>
          <w:p w14:paraId="1887E5F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2" w:type="pct"/>
            <w:shd w:val="clear" w:color="auto" w:fill="C6EFCE"/>
            <w:noWrap/>
            <w:hideMark/>
          </w:tcPr>
          <w:p w14:paraId="1887E5F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339" w:type="pct"/>
            <w:shd w:val="clear" w:color="auto" w:fill="C6EFCE"/>
            <w:noWrap/>
            <w:hideMark/>
          </w:tcPr>
          <w:p w14:paraId="1887E5F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1094" w:type="pct"/>
            <w:shd w:val="clear" w:color="auto" w:fill="C6EFCE"/>
            <w:noWrap/>
            <w:hideMark/>
          </w:tcPr>
          <w:p w14:paraId="1887E5F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Development and start of operation of a digital registry to record and publish research infrastructure that shall facilitate the request of access of interested parties to such infrastructure. It shall include the mapping of all publicly funded research institutions (under Horizon 2020, national schemes). It shall also improve visibility of the Research Institutions and support collaboration with the private sector. </w:t>
            </w:r>
          </w:p>
        </w:tc>
      </w:tr>
      <w:tr w:rsidR="00C02B59" w:rsidRPr="00D1795B" w14:paraId="1887E60D" w14:textId="77777777" w:rsidTr="00C02B59">
        <w:trPr>
          <w:trHeight w:val="313"/>
          <w:jc w:val="center"/>
        </w:trPr>
        <w:tc>
          <w:tcPr>
            <w:tcW w:w="414" w:type="pct"/>
            <w:shd w:val="clear" w:color="auto" w:fill="C6EFCE"/>
            <w:noWrap/>
            <w:hideMark/>
          </w:tcPr>
          <w:p w14:paraId="1887E60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124</w:t>
            </w:r>
          </w:p>
        </w:tc>
        <w:tc>
          <w:tcPr>
            <w:tcW w:w="464" w:type="pct"/>
            <w:shd w:val="clear" w:color="auto" w:fill="C6EFCE"/>
            <w:noWrap/>
            <w:hideMark/>
          </w:tcPr>
          <w:p w14:paraId="1887E60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C3.2R3</w:t>
            </w:r>
          </w:p>
          <w:p w14:paraId="1887E60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Support access to publicly funded research infrastructure </w:t>
            </w:r>
          </w:p>
        </w:tc>
        <w:tc>
          <w:tcPr>
            <w:tcW w:w="385" w:type="pct"/>
            <w:shd w:val="clear" w:color="auto" w:fill="C6EFCE"/>
            <w:noWrap/>
            <w:hideMark/>
          </w:tcPr>
          <w:p w14:paraId="1887E60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556" w:type="pct"/>
            <w:shd w:val="clear" w:color="auto" w:fill="C6EFCE"/>
            <w:noWrap/>
            <w:hideMark/>
          </w:tcPr>
          <w:p w14:paraId="1887E60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National Policy of the Republic of Cyprus for Open Science Practices</w:t>
            </w:r>
          </w:p>
        </w:tc>
        <w:tc>
          <w:tcPr>
            <w:tcW w:w="475" w:type="pct"/>
            <w:shd w:val="clear" w:color="auto" w:fill="C6EFCE"/>
            <w:noWrap/>
          </w:tcPr>
          <w:p w14:paraId="1887E60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Publication of the National Policy of the Republic of Cyprus for Open Science Practices</w:t>
            </w:r>
          </w:p>
        </w:tc>
        <w:tc>
          <w:tcPr>
            <w:tcW w:w="343" w:type="pct"/>
            <w:shd w:val="clear" w:color="auto" w:fill="C6EFCE"/>
            <w:noWrap/>
            <w:hideMark/>
          </w:tcPr>
          <w:p w14:paraId="1887E60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hideMark/>
          </w:tcPr>
          <w:p w14:paraId="1887E60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44" w:type="pct"/>
            <w:shd w:val="clear" w:color="auto" w:fill="C6EFCE"/>
            <w:noWrap/>
            <w:hideMark/>
          </w:tcPr>
          <w:p w14:paraId="1887E60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2" w:type="pct"/>
            <w:shd w:val="clear" w:color="auto" w:fill="C6EFCE"/>
            <w:noWrap/>
            <w:hideMark/>
          </w:tcPr>
          <w:p w14:paraId="1887E60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339" w:type="pct"/>
            <w:shd w:val="clear" w:color="auto" w:fill="C6EFCE"/>
            <w:noWrap/>
            <w:hideMark/>
          </w:tcPr>
          <w:p w14:paraId="1887E60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1094" w:type="pct"/>
            <w:shd w:val="clear" w:color="auto" w:fill="C6EFCE"/>
            <w:noWrap/>
            <w:hideMark/>
          </w:tcPr>
          <w:p w14:paraId="1887E60C"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Publication of the National Policy of the Republic of Cyprus for Open Science Practices.</w:t>
            </w:r>
          </w:p>
        </w:tc>
      </w:tr>
      <w:tr w:rsidR="00C02B59" w:rsidRPr="00D1795B" w14:paraId="1887E61A" w14:textId="77777777" w:rsidTr="00C02B59">
        <w:trPr>
          <w:trHeight w:val="313"/>
          <w:jc w:val="center"/>
        </w:trPr>
        <w:tc>
          <w:tcPr>
            <w:tcW w:w="414" w:type="pct"/>
            <w:shd w:val="clear" w:color="auto" w:fill="C6EFCE"/>
            <w:noWrap/>
          </w:tcPr>
          <w:p w14:paraId="1887E60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125</w:t>
            </w:r>
          </w:p>
        </w:tc>
        <w:tc>
          <w:tcPr>
            <w:tcW w:w="464" w:type="pct"/>
            <w:shd w:val="clear" w:color="auto" w:fill="C6EFCE"/>
            <w:noWrap/>
          </w:tcPr>
          <w:p w14:paraId="1887E60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C3.2I1</w:t>
            </w:r>
          </w:p>
          <w:p w14:paraId="1887E61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Set up and operate a central Knowledge Transfer Office (KTO)</w:t>
            </w:r>
          </w:p>
        </w:tc>
        <w:tc>
          <w:tcPr>
            <w:tcW w:w="385" w:type="pct"/>
            <w:shd w:val="clear" w:color="auto" w:fill="C6EFCE"/>
            <w:noWrap/>
          </w:tcPr>
          <w:p w14:paraId="1887E61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556" w:type="pct"/>
            <w:shd w:val="clear" w:color="auto" w:fill="C6EFCE"/>
            <w:noWrap/>
          </w:tcPr>
          <w:p w14:paraId="1887E61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Launch of KTO </w:t>
            </w:r>
          </w:p>
        </w:tc>
        <w:tc>
          <w:tcPr>
            <w:tcW w:w="475" w:type="pct"/>
            <w:shd w:val="clear" w:color="auto" w:fill="C6EFCE"/>
            <w:noWrap/>
          </w:tcPr>
          <w:p w14:paraId="1887E61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Opening of KTO’s first case</w:t>
            </w:r>
          </w:p>
        </w:tc>
        <w:tc>
          <w:tcPr>
            <w:tcW w:w="343" w:type="pct"/>
            <w:shd w:val="clear" w:color="auto" w:fill="C6EFCE"/>
            <w:noWrap/>
          </w:tcPr>
          <w:p w14:paraId="1887E61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tcPr>
          <w:p w14:paraId="1887E61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44" w:type="pct"/>
            <w:shd w:val="clear" w:color="auto" w:fill="C6EFCE"/>
            <w:noWrap/>
          </w:tcPr>
          <w:p w14:paraId="1887E61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2" w:type="pct"/>
            <w:shd w:val="clear" w:color="auto" w:fill="C6EFCE"/>
            <w:noWrap/>
          </w:tcPr>
          <w:p w14:paraId="1887E61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339" w:type="pct"/>
            <w:shd w:val="clear" w:color="auto" w:fill="C6EFCE"/>
            <w:noWrap/>
          </w:tcPr>
          <w:p w14:paraId="1887E61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1094" w:type="pct"/>
            <w:shd w:val="clear" w:color="auto" w:fill="C6EFCE"/>
            <w:noWrap/>
          </w:tcPr>
          <w:p w14:paraId="1887E619"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Research and Innovation Foundation, responsible for putting in operation the KTO, has hired or contracted highly trained staff and/or experts to provide expert knowledge transfer services. Systems and tools shall be in place to support KTO operation. The KTO shall start the provision of services to universities, other research organisations or enterprises.</w:t>
            </w:r>
          </w:p>
        </w:tc>
      </w:tr>
      <w:tr w:rsidR="00C02B59" w:rsidRPr="00D1795B" w14:paraId="1887E629" w14:textId="77777777" w:rsidTr="00C02B59">
        <w:trPr>
          <w:trHeight w:val="313"/>
          <w:jc w:val="center"/>
        </w:trPr>
        <w:tc>
          <w:tcPr>
            <w:tcW w:w="414" w:type="pct"/>
            <w:shd w:val="clear" w:color="auto" w:fill="C6EFCE"/>
            <w:noWrap/>
          </w:tcPr>
          <w:p w14:paraId="1887E61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126</w:t>
            </w:r>
          </w:p>
        </w:tc>
        <w:tc>
          <w:tcPr>
            <w:tcW w:w="464" w:type="pct"/>
            <w:shd w:val="clear" w:color="auto" w:fill="C6EFCE"/>
            <w:noWrap/>
          </w:tcPr>
          <w:p w14:paraId="1887E61C" w14:textId="77777777" w:rsidR="00C02B59" w:rsidRPr="00D1795B" w:rsidRDefault="00C02B59" w:rsidP="00C02B59">
            <w:pPr>
              <w:spacing w:after="0" w:line="240" w:lineRule="auto"/>
              <w:rPr>
                <w:rFonts w:ascii="Times New Roman" w:eastAsia="Times New Roman" w:hAnsi="Times New Roman" w:cs="Times New Roman"/>
                <w:noProof/>
                <w:color w:val="000000" w:themeColor="text1"/>
                <w:sz w:val="18"/>
                <w:szCs w:val="18"/>
              </w:rPr>
            </w:pPr>
            <w:r w:rsidRPr="00D1795B">
              <w:rPr>
                <w:rFonts w:ascii="Times New Roman" w:hAnsi="Times New Roman" w:cs="Times New Roman"/>
                <w:noProof/>
                <w:color w:val="000000" w:themeColor="text1"/>
                <w:sz w:val="18"/>
                <w:szCs w:val="18"/>
              </w:rPr>
              <w:t>C3.2I1</w:t>
            </w:r>
          </w:p>
          <w:p w14:paraId="1887E61D" w14:textId="77777777" w:rsidR="00C02B59" w:rsidRPr="00D1795B" w:rsidRDefault="00C02B59" w:rsidP="00C02B59">
            <w:pPr>
              <w:spacing w:after="0" w:line="240" w:lineRule="auto"/>
              <w:rPr>
                <w:rFonts w:ascii="Times New Roman" w:eastAsia="Times New Roman" w:hAnsi="Times New Roman" w:cs="Times New Roman"/>
                <w:noProof/>
                <w:color w:val="000000" w:themeColor="text1"/>
                <w:sz w:val="18"/>
                <w:szCs w:val="18"/>
              </w:rPr>
            </w:pPr>
            <w:r w:rsidRPr="00D1795B">
              <w:rPr>
                <w:rFonts w:ascii="Times New Roman" w:hAnsi="Times New Roman" w:cs="Times New Roman"/>
                <w:noProof/>
                <w:color w:val="000000" w:themeColor="text1"/>
                <w:sz w:val="18"/>
                <w:szCs w:val="18"/>
              </w:rPr>
              <w:t>Set up a central Knowledge Transfer Office (cKTO)</w:t>
            </w:r>
          </w:p>
        </w:tc>
        <w:tc>
          <w:tcPr>
            <w:tcW w:w="385" w:type="pct"/>
            <w:shd w:val="clear" w:color="auto" w:fill="C6EFCE"/>
            <w:noWrap/>
          </w:tcPr>
          <w:p w14:paraId="1887E61E" w14:textId="77777777" w:rsidR="00C02B59" w:rsidRPr="00D1795B" w:rsidRDefault="00C02B59" w:rsidP="00C02B59">
            <w:pPr>
              <w:spacing w:after="0" w:line="240" w:lineRule="auto"/>
              <w:rPr>
                <w:rFonts w:ascii="Times New Roman" w:eastAsia="Times New Roman" w:hAnsi="Times New Roman" w:cs="Times New Roman"/>
                <w:noProof/>
                <w:color w:val="000000" w:themeColor="text1"/>
                <w:sz w:val="18"/>
                <w:szCs w:val="18"/>
              </w:rPr>
            </w:pPr>
            <w:r w:rsidRPr="00D1795B">
              <w:rPr>
                <w:rFonts w:ascii="Times New Roman" w:hAnsi="Times New Roman" w:cs="Times New Roman"/>
                <w:noProof/>
                <w:color w:val="000000" w:themeColor="text1"/>
                <w:sz w:val="18"/>
                <w:szCs w:val="18"/>
              </w:rPr>
              <w:t>Target</w:t>
            </w:r>
          </w:p>
        </w:tc>
        <w:tc>
          <w:tcPr>
            <w:tcW w:w="556" w:type="pct"/>
            <w:shd w:val="clear" w:color="auto" w:fill="C6EFCE"/>
            <w:noWrap/>
          </w:tcPr>
          <w:p w14:paraId="1887E61F" w14:textId="77777777" w:rsidR="00C02B59" w:rsidRPr="00D1795B" w:rsidRDefault="00C02B59" w:rsidP="00C02B59">
            <w:pPr>
              <w:spacing w:after="0" w:line="240" w:lineRule="auto"/>
              <w:rPr>
                <w:rFonts w:ascii="Times New Roman" w:hAnsi="Times New Roman" w:cs="Times New Roman"/>
                <w:noProof/>
                <w:color w:val="000000" w:themeColor="text1"/>
                <w:sz w:val="18"/>
                <w:szCs w:val="18"/>
              </w:rPr>
            </w:pPr>
            <w:r w:rsidRPr="00D1795B">
              <w:rPr>
                <w:rFonts w:ascii="Times New Roman" w:hAnsi="Times New Roman" w:cs="Times New Roman"/>
                <w:noProof/>
                <w:color w:val="000000" w:themeColor="text1"/>
                <w:sz w:val="18"/>
                <w:szCs w:val="18"/>
              </w:rPr>
              <w:t xml:space="preserve">Progress report on the provision of knowledge transfer support services </w:t>
            </w:r>
          </w:p>
        </w:tc>
        <w:tc>
          <w:tcPr>
            <w:tcW w:w="475" w:type="pct"/>
            <w:shd w:val="clear" w:color="auto" w:fill="C6EFCE"/>
            <w:noWrap/>
          </w:tcPr>
          <w:p w14:paraId="1887E620" w14:textId="77777777" w:rsidR="00C02B59" w:rsidRPr="00D1795B" w:rsidRDefault="00C02B59" w:rsidP="00C02B59">
            <w:pPr>
              <w:spacing w:after="0" w:line="240" w:lineRule="auto"/>
              <w:rPr>
                <w:rFonts w:ascii="Times New Roman" w:eastAsia="Times New Roman" w:hAnsi="Times New Roman" w:cs="Times New Roman"/>
                <w:noProof/>
                <w:color w:val="000000" w:themeColor="text1"/>
                <w:sz w:val="18"/>
                <w:szCs w:val="18"/>
              </w:rPr>
            </w:pPr>
            <w:r w:rsidRPr="00D1795B">
              <w:rPr>
                <w:rFonts w:ascii="Times New Roman" w:hAnsi="Times New Roman" w:cs="Times New Roman"/>
                <w:noProof/>
                <w:color w:val="000000" w:themeColor="text1"/>
                <w:sz w:val="18"/>
                <w:szCs w:val="18"/>
              </w:rPr>
              <w:t>-</w:t>
            </w:r>
          </w:p>
        </w:tc>
        <w:tc>
          <w:tcPr>
            <w:tcW w:w="343" w:type="pct"/>
            <w:shd w:val="clear" w:color="auto" w:fill="C6EFCE"/>
            <w:noWrap/>
          </w:tcPr>
          <w:p w14:paraId="1887E621" w14:textId="77777777" w:rsidR="00C02B59" w:rsidRPr="00D1795B" w:rsidRDefault="00C02B59" w:rsidP="00C02B59">
            <w:pPr>
              <w:spacing w:after="0" w:line="240" w:lineRule="auto"/>
              <w:jc w:val="center"/>
              <w:rPr>
                <w:rFonts w:ascii="Times New Roman" w:eastAsia="Times New Roman" w:hAnsi="Times New Roman" w:cs="Times New Roman"/>
                <w:noProof/>
                <w:color w:val="000000" w:themeColor="text1"/>
                <w:sz w:val="18"/>
                <w:szCs w:val="18"/>
              </w:rPr>
            </w:pPr>
            <w:r w:rsidRPr="00D1795B">
              <w:rPr>
                <w:rFonts w:ascii="Times New Roman" w:hAnsi="Times New Roman" w:cs="Times New Roman"/>
                <w:noProof/>
                <w:color w:val="000000" w:themeColor="text1"/>
                <w:sz w:val="18"/>
                <w:szCs w:val="18"/>
              </w:rPr>
              <w:t>Number</w:t>
            </w:r>
          </w:p>
        </w:tc>
        <w:tc>
          <w:tcPr>
            <w:tcW w:w="345" w:type="pct"/>
            <w:shd w:val="clear" w:color="auto" w:fill="C6EFCE"/>
            <w:noWrap/>
          </w:tcPr>
          <w:p w14:paraId="1887E622" w14:textId="77777777" w:rsidR="00C02B59" w:rsidRPr="00D1795B" w:rsidRDefault="00C02B59" w:rsidP="00C02B59">
            <w:pPr>
              <w:spacing w:after="0" w:line="240" w:lineRule="auto"/>
              <w:jc w:val="center"/>
              <w:rPr>
                <w:rFonts w:ascii="Times New Roman" w:eastAsia="Times New Roman" w:hAnsi="Times New Roman" w:cs="Times New Roman"/>
                <w:noProof/>
                <w:color w:val="000000" w:themeColor="text1"/>
                <w:sz w:val="18"/>
                <w:szCs w:val="18"/>
              </w:rPr>
            </w:pPr>
            <w:r w:rsidRPr="00D1795B">
              <w:rPr>
                <w:rFonts w:ascii="Times New Roman" w:hAnsi="Times New Roman" w:cs="Times New Roman"/>
                <w:noProof/>
                <w:color w:val="000000" w:themeColor="text1"/>
                <w:sz w:val="18"/>
                <w:szCs w:val="18"/>
              </w:rPr>
              <w:t>0</w:t>
            </w:r>
          </w:p>
        </w:tc>
        <w:tc>
          <w:tcPr>
            <w:tcW w:w="244" w:type="pct"/>
            <w:shd w:val="clear" w:color="auto" w:fill="C6EFCE"/>
            <w:noWrap/>
          </w:tcPr>
          <w:p w14:paraId="1887E623" w14:textId="77777777" w:rsidR="00C02B59" w:rsidRPr="00D1795B" w:rsidRDefault="00C02B59" w:rsidP="00C02B59">
            <w:pPr>
              <w:spacing w:after="0" w:line="240" w:lineRule="auto"/>
              <w:jc w:val="center"/>
              <w:rPr>
                <w:rFonts w:ascii="Times New Roman" w:eastAsia="Times New Roman" w:hAnsi="Times New Roman" w:cs="Times New Roman"/>
                <w:noProof/>
                <w:color w:val="000000" w:themeColor="text1"/>
                <w:sz w:val="18"/>
                <w:szCs w:val="18"/>
              </w:rPr>
            </w:pPr>
            <w:r w:rsidRPr="00D1795B">
              <w:rPr>
                <w:rFonts w:ascii="Times New Roman" w:hAnsi="Times New Roman" w:cs="Times New Roman"/>
                <w:noProof/>
                <w:color w:val="000000" w:themeColor="text1"/>
                <w:sz w:val="18"/>
                <w:szCs w:val="18"/>
              </w:rPr>
              <w:t>30</w:t>
            </w:r>
          </w:p>
        </w:tc>
        <w:tc>
          <w:tcPr>
            <w:tcW w:w="342" w:type="pct"/>
            <w:shd w:val="clear" w:color="auto" w:fill="C6EFCE"/>
            <w:noWrap/>
          </w:tcPr>
          <w:p w14:paraId="1887E624" w14:textId="77777777" w:rsidR="00C02B59" w:rsidRPr="00D1795B" w:rsidRDefault="00C02B59" w:rsidP="00C02B59">
            <w:pPr>
              <w:spacing w:after="0" w:line="240" w:lineRule="auto"/>
              <w:jc w:val="center"/>
              <w:rPr>
                <w:rFonts w:ascii="Times New Roman" w:eastAsia="Times New Roman" w:hAnsi="Times New Roman" w:cs="Times New Roman"/>
                <w:noProof/>
                <w:color w:val="000000" w:themeColor="text1"/>
                <w:sz w:val="18"/>
                <w:szCs w:val="18"/>
              </w:rPr>
            </w:pPr>
            <w:r w:rsidRPr="00D1795B">
              <w:rPr>
                <w:rFonts w:ascii="Times New Roman" w:hAnsi="Times New Roman" w:cs="Times New Roman"/>
                <w:noProof/>
                <w:color w:val="000000" w:themeColor="text1"/>
                <w:sz w:val="18"/>
                <w:szCs w:val="18"/>
              </w:rPr>
              <w:t>Q4</w:t>
            </w:r>
          </w:p>
        </w:tc>
        <w:tc>
          <w:tcPr>
            <w:tcW w:w="339" w:type="pct"/>
            <w:shd w:val="clear" w:color="auto" w:fill="C6EFCE"/>
            <w:noWrap/>
          </w:tcPr>
          <w:p w14:paraId="1887E625" w14:textId="77777777" w:rsidR="00C02B59" w:rsidRPr="00D1795B" w:rsidRDefault="00C02B59" w:rsidP="00C02B59">
            <w:pPr>
              <w:spacing w:after="0" w:line="240" w:lineRule="auto"/>
              <w:jc w:val="center"/>
              <w:rPr>
                <w:rFonts w:ascii="Times New Roman" w:eastAsia="Times New Roman" w:hAnsi="Times New Roman" w:cs="Times New Roman"/>
                <w:noProof/>
                <w:color w:val="000000" w:themeColor="text1"/>
                <w:sz w:val="18"/>
                <w:szCs w:val="18"/>
              </w:rPr>
            </w:pPr>
            <w:r w:rsidRPr="00D1795B">
              <w:rPr>
                <w:rFonts w:ascii="Times New Roman" w:hAnsi="Times New Roman" w:cs="Times New Roman"/>
                <w:noProof/>
                <w:color w:val="000000" w:themeColor="text1"/>
                <w:sz w:val="18"/>
                <w:szCs w:val="18"/>
              </w:rPr>
              <w:t>2025</w:t>
            </w:r>
          </w:p>
        </w:tc>
        <w:tc>
          <w:tcPr>
            <w:tcW w:w="1094" w:type="pct"/>
            <w:shd w:val="clear" w:color="auto" w:fill="C6EFCE"/>
            <w:noWrap/>
          </w:tcPr>
          <w:p w14:paraId="1887E626" w14:textId="77777777" w:rsidR="00C02B59" w:rsidRPr="00D1795B" w:rsidRDefault="00C02B59" w:rsidP="00C02B59">
            <w:pPr>
              <w:spacing w:after="0" w:line="240" w:lineRule="auto"/>
              <w:jc w:val="both"/>
              <w:rPr>
                <w:rFonts w:ascii="Times New Roman" w:hAnsi="Times New Roman" w:cs="Times New Roman"/>
                <w:noProof/>
                <w:color w:val="000000" w:themeColor="text1"/>
                <w:sz w:val="18"/>
                <w:szCs w:val="18"/>
              </w:rPr>
            </w:pPr>
            <w:r w:rsidRPr="00D1795B">
              <w:rPr>
                <w:rFonts w:ascii="Times New Roman" w:hAnsi="Times New Roman" w:cs="Times New Roman"/>
                <w:noProof/>
                <w:color w:val="000000" w:themeColor="text1"/>
                <w:sz w:val="18"/>
                <w:szCs w:val="18"/>
              </w:rPr>
              <w:t xml:space="preserve">Progress report issued by META, on the provision of knowledge transfer support services for at least 30 projects. </w:t>
            </w:r>
          </w:p>
          <w:p w14:paraId="1887E627" w14:textId="77777777" w:rsidR="00C02B59" w:rsidRPr="00D1795B" w:rsidRDefault="00C02B59" w:rsidP="00C02B59">
            <w:pPr>
              <w:spacing w:after="0" w:line="240" w:lineRule="auto"/>
              <w:jc w:val="both"/>
              <w:rPr>
                <w:rFonts w:ascii="Times New Roman" w:eastAsia="Times New Roman" w:hAnsi="Times New Roman" w:cs="Times New Roman"/>
                <w:noProof/>
                <w:color w:val="000000" w:themeColor="text1"/>
                <w:sz w:val="18"/>
                <w:szCs w:val="18"/>
              </w:rPr>
            </w:pPr>
          </w:p>
          <w:p w14:paraId="1887E628" w14:textId="77777777" w:rsidR="00C02B59" w:rsidRPr="00D1795B" w:rsidRDefault="00C02B59" w:rsidP="00C02B59">
            <w:pPr>
              <w:spacing w:after="0" w:line="240" w:lineRule="auto"/>
              <w:jc w:val="both"/>
              <w:rPr>
                <w:rFonts w:ascii="Times New Roman" w:hAnsi="Times New Roman" w:cs="Times New Roman"/>
                <w:noProof/>
                <w:color w:val="000000" w:themeColor="text1"/>
                <w:sz w:val="18"/>
                <w:szCs w:val="18"/>
              </w:rPr>
            </w:pPr>
            <w:r w:rsidRPr="00D1795B">
              <w:rPr>
                <w:rFonts w:ascii="Times New Roman" w:hAnsi="Times New Roman" w:cs="Times New Roman"/>
                <w:noProof/>
                <w:color w:val="000000" w:themeColor="text1"/>
                <w:sz w:val="18"/>
                <w:szCs w:val="18"/>
              </w:rPr>
              <w:t>cKTO business plan issued by the Research and Innovation Foundation (RIF), which may include but is not limited to a SWOT analysis.</w:t>
            </w:r>
          </w:p>
        </w:tc>
      </w:tr>
      <w:tr w:rsidR="00C02B59" w:rsidRPr="00D1795B" w14:paraId="1887E636" w14:textId="77777777" w:rsidTr="00C02B59">
        <w:trPr>
          <w:trHeight w:val="313"/>
          <w:jc w:val="center"/>
        </w:trPr>
        <w:tc>
          <w:tcPr>
            <w:tcW w:w="414" w:type="pct"/>
            <w:shd w:val="clear" w:color="auto" w:fill="C6EFCE"/>
            <w:noWrap/>
          </w:tcPr>
          <w:p w14:paraId="1887E62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127</w:t>
            </w:r>
          </w:p>
        </w:tc>
        <w:tc>
          <w:tcPr>
            <w:tcW w:w="464" w:type="pct"/>
            <w:shd w:val="clear" w:color="auto" w:fill="C6EFCE"/>
            <w:noWrap/>
          </w:tcPr>
          <w:p w14:paraId="1887E62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C3.2I2</w:t>
            </w:r>
          </w:p>
          <w:p w14:paraId="1887E62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Innovation funding programmes for start-ups, innovative companies, and SMEs</w:t>
            </w:r>
          </w:p>
        </w:tc>
        <w:tc>
          <w:tcPr>
            <w:tcW w:w="385" w:type="pct"/>
            <w:shd w:val="clear" w:color="auto" w:fill="C6EFCE"/>
            <w:noWrap/>
          </w:tcPr>
          <w:p w14:paraId="1887E62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556" w:type="pct"/>
            <w:shd w:val="clear" w:color="auto" w:fill="C6EFCE"/>
            <w:noWrap/>
          </w:tcPr>
          <w:p w14:paraId="1887E62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Signature of grant agreements for 50% of budget</w:t>
            </w:r>
          </w:p>
        </w:tc>
        <w:tc>
          <w:tcPr>
            <w:tcW w:w="475" w:type="pct"/>
            <w:shd w:val="clear" w:color="auto" w:fill="C6EFCE"/>
            <w:noWrap/>
          </w:tcPr>
          <w:p w14:paraId="1887E62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Grant agreements signed</w:t>
            </w:r>
          </w:p>
        </w:tc>
        <w:tc>
          <w:tcPr>
            <w:tcW w:w="343" w:type="pct"/>
            <w:shd w:val="clear" w:color="auto" w:fill="C6EFCE"/>
            <w:noWrap/>
          </w:tcPr>
          <w:p w14:paraId="1887E63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tcPr>
          <w:p w14:paraId="1887E63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44" w:type="pct"/>
            <w:shd w:val="clear" w:color="auto" w:fill="C6EFCE"/>
            <w:noWrap/>
          </w:tcPr>
          <w:p w14:paraId="1887E63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2" w:type="pct"/>
            <w:shd w:val="clear" w:color="auto" w:fill="C6EFCE"/>
            <w:noWrap/>
          </w:tcPr>
          <w:p w14:paraId="1887E63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339" w:type="pct"/>
            <w:shd w:val="clear" w:color="auto" w:fill="C6EFCE"/>
            <w:noWrap/>
          </w:tcPr>
          <w:p w14:paraId="1887E63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1094" w:type="pct"/>
            <w:shd w:val="clear" w:color="auto" w:fill="C6EFCE"/>
            <w:noWrap/>
          </w:tcPr>
          <w:p w14:paraId="1887E635"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Signing of grant agreements which commit at least 50% of total budget (contracts of a total value of at least EUR 26 000 000 total budget) for innovation funding programmes for start-ups, innovative companies and SMEs,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C02B59" w:rsidRPr="00D1795B" w14:paraId="1887E643" w14:textId="77777777" w:rsidTr="00C02B59">
        <w:trPr>
          <w:trHeight w:val="313"/>
          <w:jc w:val="center"/>
        </w:trPr>
        <w:tc>
          <w:tcPr>
            <w:tcW w:w="414" w:type="pct"/>
            <w:shd w:val="clear" w:color="auto" w:fill="C6EFCE"/>
            <w:noWrap/>
          </w:tcPr>
          <w:p w14:paraId="1887E63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128</w:t>
            </w:r>
          </w:p>
        </w:tc>
        <w:tc>
          <w:tcPr>
            <w:tcW w:w="464" w:type="pct"/>
            <w:shd w:val="clear" w:color="auto" w:fill="C6EFCE"/>
            <w:noWrap/>
          </w:tcPr>
          <w:p w14:paraId="1887E63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C3.2I2</w:t>
            </w:r>
          </w:p>
          <w:p w14:paraId="1887E63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Innovation funding programmes for start-ups, innovative companies, and SMEs</w:t>
            </w:r>
          </w:p>
        </w:tc>
        <w:tc>
          <w:tcPr>
            <w:tcW w:w="385" w:type="pct"/>
            <w:shd w:val="clear" w:color="auto" w:fill="C6EFCE"/>
            <w:noWrap/>
          </w:tcPr>
          <w:p w14:paraId="1887E63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556" w:type="pct"/>
            <w:shd w:val="clear" w:color="auto" w:fill="C6EFCE"/>
            <w:noWrap/>
          </w:tcPr>
          <w:p w14:paraId="1887E63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Completed projects to carry out R&amp;I related activities</w:t>
            </w:r>
          </w:p>
        </w:tc>
        <w:tc>
          <w:tcPr>
            <w:tcW w:w="475" w:type="pct"/>
            <w:shd w:val="clear" w:color="auto" w:fill="C6EFCE"/>
            <w:noWrap/>
          </w:tcPr>
          <w:p w14:paraId="1887E63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3" w:type="pct"/>
            <w:shd w:val="clear" w:color="auto" w:fill="C6EFCE"/>
            <w:noWrap/>
          </w:tcPr>
          <w:p w14:paraId="1887E63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45" w:type="pct"/>
            <w:shd w:val="clear" w:color="auto" w:fill="C6EFCE"/>
            <w:noWrap/>
          </w:tcPr>
          <w:p w14:paraId="1887E63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44" w:type="pct"/>
            <w:shd w:val="clear" w:color="auto" w:fill="C6EFCE"/>
            <w:noWrap/>
          </w:tcPr>
          <w:p w14:paraId="1887E63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70</w:t>
            </w:r>
          </w:p>
        </w:tc>
        <w:tc>
          <w:tcPr>
            <w:tcW w:w="342" w:type="pct"/>
            <w:shd w:val="clear" w:color="auto" w:fill="C6EFCE"/>
            <w:noWrap/>
          </w:tcPr>
          <w:p w14:paraId="1887E64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Q3</w:t>
            </w:r>
          </w:p>
        </w:tc>
        <w:tc>
          <w:tcPr>
            <w:tcW w:w="339" w:type="pct"/>
            <w:shd w:val="clear" w:color="auto" w:fill="C6EFCE"/>
            <w:noWrap/>
          </w:tcPr>
          <w:p w14:paraId="1887E64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1094" w:type="pct"/>
            <w:shd w:val="clear" w:color="auto" w:fill="C6EFCE"/>
            <w:noWrap/>
          </w:tcPr>
          <w:p w14:paraId="1887E64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At least 70 completed projects to carry out R&amp;I related activities. </w:t>
            </w:r>
          </w:p>
        </w:tc>
      </w:tr>
      <w:tr w:rsidR="00C02B59" w:rsidRPr="00D1795B" w14:paraId="1887E650" w14:textId="77777777" w:rsidTr="00C02B59">
        <w:trPr>
          <w:trHeight w:val="340"/>
          <w:jc w:val="center"/>
        </w:trPr>
        <w:tc>
          <w:tcPr>
            <w:tcW w:w="414" w:type="pct"/>
            <w:shd w:val="clear" w:color="auto" w:fill="C6EFCE"/>
            <w:noWrap/>
          </w:tcPr>
          <w:p w14:paraId="1887E64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129</w:t>
            </w:r>
          </w:p>
        </w:tc>
        <w:tc>
          <w:tcPr>
            <w:tcW w:w="464" w:type="pct"/>
            <w:shd w:val="clear" w:color="auto" w:fill="C6EFCE"/>
            <w:noWrap/>
          </w:tcPr>
          <w:p w14:paraId="1887E64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C3.2I2</w:t>
            </w:r>
          </w:p>
          <w:p w14:paraId="1887E64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Innovation funding programmes </w:t>
            </w:r>
          </w:p>
        </w:tc>
        <w:tc>
          <w:tcPr>
            <w:tcW w:w="385" w:type="pct"/>
            <w:shd w:val="clear" w:color="auto" w:fill="C6EFCE"/>
            <w:noWrap/>
          </w:tcPr>
          <w:p w14:paraId="1887E64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556" w:type="pct"/>
            <w:shd w:val="clear" w:color="auto" w:fill="C6EFCE"/>
            <w:noWrap/>
          </w:tcPr>
          <w:p w14:paraId="1887E64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Projects on R&amp;I activities</w:t>
            </w:r>
          </w:p>
        </w:tc>
        <w:tc>
          <w:tcPr>
            <w:tcW w:w="475" w:type="pct"/>
            <w:shd w:val="clear" w:color="auto" w:fill="C6EFCE"/>
            <w:noWrap/>
          </w:tcPr>
          <w:p w14:paraId="1887E64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3" w:type="pct"/>
            <w:shd w:val="clear" w:color="auto" w:fill="C6EFCE"/>
            <w:noWrap/>
          </w:tcPr>
          <w:p w14:paraId="1887E64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45" w:type="pct"/>
            <w:shd w:val="clear" w:color="auto" w:fill="C6EFCE"/>
            <w:noWrap/>
          </w:tcPr>
          <w:p w14:paraId="1887E64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70</w:t>
            </w:r>
          </w:p>
        </w:tc>
        <w:tc>
          <w:tcPr>
            <w:tcW w:w="244" w:type="pct"/>
            <w:shd w:val="clear" w:color="auto" w:fill="C6EFCE"/>
            <w:noWrap/>
          </w:tcPr>
          <w:p w14:paraId="1887E64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231</w:t>
            </w:r>
          </w:p>
        </w:tc>
        <w:tc>
          <w:tcPr>
            <w:tcW w:w="342" w:type="pct"/>
            <w:shd w:val="clear" w:color="auto" w:fill="C6EFCE"/>
            <w:noWrap/>
          </w:tcPr>
          <w:p w14:paraId="1887E64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339" w:type="pct"/>
            <w:shd w:val="clear" w:color="auto" w:fill="C6EFCE"/>
            <w:noWrap/>
          </w:tcPr>
          <w:p w14:paraId="1887E64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1094" w:type="pct"/>
            <w:shd w:val="clear" w:color="auto" w:fill="C6EFCE"/>
            <w:noWrap/>
          </w:tcPr>
          <w:p w14:paraId="1887E64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Reports issued by the RIF for at least 231 projects on R&amp;I activities. </w:t>
            </w:r>
          </w:p>
        </w:tc>
      </w:tr>
      <w:tr w:rsidR="00C02B59" w:rsidRPr="00D1795B" w14:paraId="1887E65D" w14:textId="77777777" w:rsidTr="00C02B59">
        <w:trPr>
          <w:trHeight w:val="313"/>
          <w:jc w:val="center"/>
        </w:trPr>
        <w:tc>
          <w:tcPr>
            <w:tcW w:w="414" w:type="pct"/>
            <w:shd w:val="clear" w:color="auto" w:fill="C6EFCE"/>
            <w:noWrap/>
          </w:tcPr>
          <w:p w14:paraId="1887E65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130</w:t>
            </w:r>
          </w:p>
        </w:tc>
        <w:tc>
          <w:tcPr>
            <w:tcW w:w="464" w:type="pct"/>
            <w:shd w:val="clear" w:color="auto" w:fill="C6EFCE"/>
            <w:noWrap/>
          </w:tcPr>
          <w:p w14:paraId="1887E65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C3.2I3</w:t>
            </w:r>
          </w:p>
          <w:p w14:paraId="1887E65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R&amp;I funding program on green transition</w:t>
            </w:r>
          </w:p>
        </w:tc>
        <w:tc>
          <w:tcPr>
            <w:tcW w:w="385" w:type="pct"/>
            <w:shd w:val="clear" w:color="auto" w:fill="C6EFCE"/>
            <w:noWrap/>
          </w:tcPr>
          <w:p w14:paraId="1887E65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556" w:type="pct"/>
            <w:shd w:val="clear" w:color="auto" w:fill="C6EFCE"/>
            <w:noWrap/>
          </w:tcPr>
          <w:p w14:paraId="1887E65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Signature of grant agreements for a R&amp;I funding programme of EUR 6 million budget</w:t>
            </w:r>
          </w:p>
        </w:tc>
        <w:tc>
          <w:tcPr>
            <w:tcW w:w="475" w:type="pct"/>
            <w:shd w:val="clear" w:color="auto" w:fill="C6EFCE"/>
            <w:noWrap/>
          </w:tcPr>
          <w:p w14:paraId="1887E65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Grant agreements signed by the Director of the Research and Innovation Foundation</w:t>
            </w:r>
          </w:p>
        </w:tc>
        <w:tc>
          <w:tcPr>
            <w:tcW w:w="343" w:type="pct"/>
            <w:shd w:val="clear" w:color="auto" w:fill="C6EFCE"/>
            <w:noWrap/>
          </w:tcPr>
          <w:p w14:paraId="1887E65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tcPr>
          <w:p w14:paraId="1887E65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44" w:type="pct"/>
            <w:shd w:val="clear" w:color="auto" w:fill="C6EFCE"/>
            <w:noWrap/>
          </w:tcPr>
          <w:p w14:paraId="1887E65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2" w:type="pct"/>
            <w:shd w:val="clear" w:color="auto" w:fill="C6EFCE"/>
            <w:noWrap/>
          </w:tcPr>
          <w:p w14:paraId="1887E65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339" w:type="pct"/>
            <w:shd w:val="clear" w:color="auto" w:fill="C6EFCE"/>
            <w:noWrap/>
          </w:tcPr>
          <w:p w14:paraId="1887E65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1094" w:type="pct"/>
            <w:shd w:val="clear" w:color="auto" w:fill="C6EFCE"/>
            <w:noWrap/>
          </w:tcPr>
          <w:p w14:paraId="1887E65C"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Signing of grant agreements for the selected proposals to be funded under a R&amp;I funding program on green transition, with a total budget of EUR 6 million,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C02B59" w:rsidRPr="00D1795B" w14:paraId="1887E66B" w14:textId="77777777" w:rsidTr="00C02B59">
        <w:trPr>
          <w:trHeight w:val="313"/>
          <w:jc w:val="center"/>
        </w:trPr>
        <w:tc>
          <w:tcPr>
            <w:tcW w:w="414" w:type="pct"/>
            <w:shd w:val="clear" w:color="auto" w:fill="C6EFCE"/>
            <w:noWrap/>
          </w:tcPr>
          <w:p w14:paraId="1887E65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131a</w:t>
            </w:r>
          </w:p>
        </w:tc>
        <w:tc>
          <w:tcPr>
            <w:tcW w:w="464" w:type="pct"/>
            <w:shd w:val="clear" w:color="auto" w:fill="C6EFCE"/>
            <w:noWrap/>
          </w:tcPr>
          <w:p w14:paraId="1887E65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C3.2I3</w:t>
            </w:r>
          </w:p>
          <w:p w14:paraId="1887E66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R&amp;I funding program on green transition</w:t>
            </w:r>
          </w:p>
        </w:tc>
        <w:tc>
          <w:tcPr>
            <w:tcW w:w="385" w:type="pct"/>
            <w:shd w:val="clear" w:color="auto" w:fill="C6EFCE"/>
            <w:noWrap/>
          </w:tcPr>
          <w:p w14:paraId="1887E66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556" w:type="pct"/>
            <w:shd w:val="clear" w:color="auto" w:fill="C6EFCE"/>
            <w:noWrap/>
          </w:tcPr>
          <w:p w14:paraId="1887E66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Projects on green transition R&amp;I activities</w:t>
            </w:r>
          </w:p>
        </w:tc>
        <w:tc>
          <w:tcPr>
            <w:tcW w:w="475" w:type="pct"/>
            <w:shd w:val="clear" w:color="auto" w:fill="C6EFCE"/>
            <w:noWrap/>
          </w:tcPr>
          <w:p w14:paraId="1887E66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3" w:type="pct"/>
            <w:shd w:val="clear" w:color="auto" w:fill="C6EFCE"/>
            <w:noWrap/>
          </w:tcPr>
          <w:p w14:paraId="1887E66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45" w:type="pct"/>
            <w:shd w:val="clear" w:color="auto" w:fill="C6EFCE"/>
            <w:noWrap/>
          </w:tcPr>
          <w:p w14:paraId="1887E66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44" w:type="pct"/>
            <w:shd w:val="clear" w:color="auto" w:fill="C6EFCE"/>
            <w:noWrap/>
          </w:tcPr>
          <w:p w14:paraId="1887E66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10</w:t>
            </w:r>
          </w:p>
        </w:tc>
        <w:tc>
          <w:tcPr>
            <w:tcW w:w="342" w:type="pct"/>
            <w:shd w:val="clear" w:color="auto" w:fill="C6EFCE"/>
            <w:noWrap/>
          </w:tcPr>
          <w:p w14:paraId="1887E66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339" w:type="pct"/>
            <w:shd w:val="clear" w:color="auto" w:fill="C6EFCE"/>
            <w:noWrap/>
          </w:tcPr>
          <w:p w14:paraId="1887E66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1094" w:type="pct"/>
            <w:shd w:val="clear" w:color="auto" w:fill="C6EFCE"/>
            <w:noWrap/>
          </w:tcPr>
          <w:p w14:paraId="1887E669"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Reports issued by the RIF for at least 10 projects on green transition R&amp;I activities. </w:t>
            </w:r>
          </w:p>
          <w:p w14:paraId="1887E66A" w14:textId="77777777" w:rsidR="00C02B59" w:rsidRPr="00D1795B" w:rsidRDefault="00C02B59" w:rsidP="00C02B59">
            <w:pPr>
              <w:spacing w:after="0" w:line="240" w:lineRule="auto"/>
              <w:jc w:val="both"/>
              <w:rPr>
                <w:rFonts w:ascii="Times New Roman" w:hAnsi="Times New Roman" w:cs="Times New Roman"/>
                <w:noProof/>
                <w:sz w:val="18"/>
                <w:szCs w:val="18"/>
              </w:rPr>
            </w:pPr>
          </w:p>
        </w:tc>
      </w:tr>
      <w:tr w:rsidR="00C02B59" w:rsidRPr="00D1795B" w14:paraId="1887E678" w14:textId="77777777" w:rsidTr="00C02B59">
        <w:trPr>
          <w:trHeight w:val="2796"/>
          <w:jc w:val="center"/>
        </w:trPr>
        <w:tc>
          <w:tcPr>
            <w:tcW w:w="414" w:type="pct"/>
            <w:shd w:val="clear" w:color="auto" w:fill="C6EFCE"/>
            <w:noWrap/>
          </w:tcPr>
          <w:p w14:paraId="1887E66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132</w:t>
            </w:r>
          </w:p>
        </w:tc>
        <w:tc>
          <w:tcPr>
            <w:tcW w:w="464" w:type="pct"/>
            <w:shd w:val="clear" w:color="auto" w:fill="C6EFCE"/>
            <w:noWrap/>
          </w:tcPr>
          <w:p w14:paraId="1887E66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C3.2I4</w:t>
            </w:r>
          </w:p>
          <w:p w14:paraId="1887E66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Funding to organisations performing R&amp;D activities on dual technologies</w:t>
            </w:r>
          </w:p>
        </w:tc>
        <w:tc>
          <w:tcPr>
            <w:tcW w:w="385" w:type="pct"/>
            <w:shd w:val="clear" w:color="auto" w:fill="C6EFCE"/>
            <w:noWrap/>
          </w:tcPr>
          <w:p w14:paraId="1887E66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556" w:type="pct"/>
            <w:shd w:val="clear" w:color="auto" w:fill="C6EFCE"/>
            <w:noWrap/>
          </w:tcPr>
          <w:p w14:paraId="1887E67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Signing of grant agreements which commit 80% of total budget for funding to organisations performing R&amp;D activities on dual technologies</w:t>
            </w:r>
          </w:p>
        </w:tc>
        <w:tc>
          <w:tcPr>
            <w:tcW w:w="475" w:type="pct"/>
            <w:shd w:val="clear" w:color="auto" w:fill="C6EFCE"/>
            <w:noWrap/>
          </w:tcPr>
          <w:p w14:paraId="1887E67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Grant agreements signed</w:t>
            </w:r>
          </w:p>
        </w:tc>
        <w:tc>
          <w:tcPr>
            <w:tcW w:w="343" w:type="pct"/>
            <w:shd w:val="clear" w:color="auto" w:fill="C6EFCE"/>
            <w:noWrap/>
          </w:tcPr>
          <w:p w14:paraId="1887E67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tcPr>
          <w:p w14:paraId="1887E67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44" w:type="pct"/>
            <w:shd w:val="clear" w:color="auto" w:fill="C6EFCE"/>
            <w:noWrap/>
          </w:tcPr>
          <w:p w14:paraId="1887E67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2" w:type="pct"/>
            <w:shd w:val="clear" w:color="auto" w:fill="C6EFCE"/>
            <w:noWrap/>
          </w:tcPr>
          <w:p w14:paraId="1887E67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339" w:type="pct"/>
            <w:shd w:val="clear" w:color="auto" w:fill="C6EFCE"/>
            <w:noWrap/>
          </w:tcPr>
          <w:p w14:paraId="1887E67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1094" w:type="pct"/>
            <w:shd w:val="clear" w:color="auto" w:fill="C6EFCE"/>
            <w:noWrap/>
          </w:tcPr>
          <w:p w14:paraId="1887E677"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Signing of grant agreements which commit 80% of total budget (contracts of at least a total value of 2 400 000 euro total budget) for funding to organisations performing R&amp;D activities on dual technologies,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C02B59" w:rsidRPr="00D1795B" w14:paraId="1887E685" w14:textId="77777777" w:rsidTr="00C02B59">
        <w:trPr>
          <w:trHeight w:val="313"/>
          <w:jc w:val="center"/>
        </w:trPr>
        <w:tc>
          <w:tcPr>
            <w:tcW w:w="414" w:type="pct"/>
            <w:shd w:val="clear" w:color="auto" w:fill="C6EFCE"/>
            <w:noWrap/>
          </w:tcPr>
          <w:p w14:paraId="1887E67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133</w:t>
            </w:r>
          </w:p>
        </w:tc>
        <w:tc>
          <w:tcPr>
            <w:tcW w:w="464" w:type="pct"/>
            <w:shd w:val="clear" w:color="auto" w:fill="C6EFCE"/>
            <w:noWrap/>
          </w:tcPr>
          <w:p w14:paraId="1887E67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C3.2I4</w:t>
            </w:r>
          </w:p>
          <w:p w14:paraId="1887E67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Funding schemes for R&amp;D activities on dual-use technologies and classified laboratories </w:t>
            </w:r>
          </w:p>
        </w:tc>
        <w:tc>
          <w:tcPr>
            <w:tcW w:w="385" w:type="pct"/>
            <w:shd w:val="clear" w:color="auto" w:fill="C6EFCE"/>
            <w:noWrap/>
          </w:tcPr>
          <w:p w14:paraId="1887E67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556" w:type="pct"/>
            <w:shd w:val="clear" w:color="auto" w:fill="C6EFCE"/>
            <w:noWrap/>
          </w:tcPr>
          <w:p w14:paraId="1887E67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Facility security clearance certificates </w:t>
            </w:r>
          </w:p>
        </w:tc>
        <w:tc>
          <w:tcPr>
            <w:tcW w:w="475" w:type="pct"/>
            <w:shd w:val="clear" w:color="auto" w:fill="C6EFCE"/>
            <w:noWrap/>
          </w:tcPr>
          <w:p w14:paraId="1887E67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3" w:type="pct"/>
            <w:shd w:val="clear" w:color="auto" w:fill="C6EFCE"/>
            <w:noWrap/>
          </w:tcPr>
          <w:p w14:paraId="1887E67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45" w:type="pct"/>
            <w:shd w:val="clear" w:color="auto" w:fill="C6EFCE"/>
            <w:noWrap/>
          </w:tcPr>
          <w:p w14:paraId="1887E68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44" w:type="pct"/>
            <w:shd w:val="clear" w:color="auto" w:fill="C6EFCE"/>
            <w:noWrap/>
          </w:tcPr>
          <w:p w14:paraId="1887E68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16</w:t>
            </w:r>
          </w:p>
        </w:tc>
        <w:tc>
          <w:tcPr>
            <w:tcW w:w="342" w:type="pct"/>
            <w:shd w:val="clear" w:color="auto" w:fill="C6EFCE"/>
            <w:noWrap/>
          </w:tcPr>
          <w:p w14:paraId="1887E68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339" w:type="pct"/>
            <w:shd w:val="clear" w:color="auto" w:fill="C6EFCE"/>
            <w:noWrap/>
          </w:tcPr>
          <w:p w14:paraId="1887E68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1094" w:type="pct"/>
            <w:shd w:val="clear" w:color="auto" w:fill="C6EFCE"/>
            <w:noWrap/>
          </w:tcPr>
          <w:p w14:paraId="1887E684"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At least 16 facility security clearance certificates issued. </w:t>
            </w:r>
          </w:p>
        </w:tc>
      </w:tr>
    </w:tbl>
    <w:p w14:paraId="1887E686" w14:textId="77777777" w:rsidR="00C02B59" w:rsidRPr="00D1795B" w:rsidRDefault="00C02B59" w:rsidP="00C02B59">
      <w:pPr>
        <w:rPr>
          <w:noProof/>
        </w:rPr>
      </w:pPr>
    </w:p>
    <w:p w14:paraId="1887E687" w14:textId="77777777" w:rsidR="00C02B59" w:rsidRPr="00D1795B" w:rsidRDefault="00C02B59" w:rsidP="00C02B59">
      <w:pPr>
        <w:rPr>
          <w:noProof/>
        </w:rPr>
        <w:sectPr w:rsidR="00C02B59" w:rsidRPr="00D1795B" w:rsidSect="00C02B59">
          <w:headerReference w:type="even" r:id="rId83"/>
          <w:headerReference w:type="default" r:id="rId84"/>
          <w:footerReference w:type="even" r:id="rId85"/>
          <w:footerReference w:type="default" r:id="rId86"/>
          <w:headerReference w:type="first" r:id="rId87"/>
          <w:footerReference w:type="first" r:id="rId88"/>
          <w:pgSz w:w="16839" w:h="11907" w:orient="landscape"/>
          <w:pgMar w:top="1134" w:right="1134" w:bottom="1134" w:left="1134" w:header="567" w:footer="567" w:gutter="0"/>
          <w:cols w:space="720"/>
          <w:docGrid w:linePitch="360"/>
        </w:sectPr>
      </w:pPr>
    </w:p>
    <w:p w14:paraId="1887E688" w14:textId="77777777" w:rsidR="00C02B59" w:rsidRPr="00D1795B" w:rsidRDefault="00C02B59" w:rsidP="00C02B59">
      <w:pPr>
        <w:keepNext/>
        <w:tabs>
          <w:tab w:val="left" w:pos="850"/>
        </w:tabs>
        <w:spacing w:after="120" w:line="240" w:lineRule="auto"/>
        <w:ind w:left="850" w:hanging="850"/>
        <w:jc w:val="both"/>
        <w:outlineLvl w:val="0"/>
        <w:rPr>
          <w:rFonts w:ascii="Times New Roman" w:hAnsi="Times New Roman"/>
          <w:b/>
          <w:bCs/>
          <w:smallCaps/>
          <w:noProof/>
        </w:rPr>
      </w:pPr>
      <w:r w:rsidRPr="00D1795B">
        <w:rPr>
          <w:rFonts w:ascii="Times New Roman" w:hAnsi="Times New Roman"/>
          <w:b/>
          <w:bCs/>
          <w:smallCaps/>
          <w:noProof/>
        </w:rPr>
        <w:t>G. COMPONENT 3.3: Business support for Competitiveness</w:t>
      </w:r>
    </w:p>
    <w:p w14:paraId="1887E689"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This component of the Cypriot Recovery and Resilience plan addresses the challenges of low productivity and competitiveness of the economy, driven by the enterprises’ small size on average, the complex licensing process requested for an investment and difficulties of access to funding to business. The objectives of this component are to support entrepreneurs and enterprises and improve their competitiveness and contribution to the growth of the economy by improving the regulatory framework regarding investment and entrepreneurial activity and to enhance SMEs productivity, mainly through digitalisation. It consists of six reforms and four investments, to be completed by Q2 2026.</w:t>
      </w:r>
    </w:p>
    <w:p w14:paraId="1887E68A"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component addresses the Country-Specific Recommendation 3 of 2020 and Country-Specific Recommendation 4 of 2019. </w:t>
      </w:r>
    </w:p>
    <w:p w14:paraId="1887E68B" w14:textId="77777777" w:rsidR="00C02B59" w:rsidRPr="00D1795B" w:rsidRDefault="00C02B59" w:rsidP="00C02B59">
      <w:pPr>
        <w:spacing w:after="120" w:line="240" w:lineRule="auto"/>
        <w:jc w:val="both"/>
        <w:rPr>
          <w:rFonts w:ascii="Times New Roman" w:hAnsi="Times New Roman"/>
          <w:i/>
          <w:noProof/>
        </w:rPr>
      </w:pPr>
    </w:p>
    <w:p w14:paraId="1887E68C" w14:textId="77777777" w:rsidR="00C02B59" w:rsidRPr="00D1795B" w:rsidRDefault="00C02B59" w:rsidP="00C02B59">
      <w:pPr>
        <w:spacing w:after="120" w:line="240" w:lineRule="auto"/>
        <w:jc w:val="both"/>
        <w:rPr>
          <w:rFonts w:ascii="Times New Roman" w:hAnsi="Times New Roman"/>
          <w:b/>
          <w:noProof/>
          <w:u w:val="single"/>
        </w:rPr>
      </w:pPr>
      <w:r w:rsidRPr="00D1795B">
        <w:rPr>
          <w:rFonts w:ascii="Times New Roman" w:hAnsi="Times New Roman"/>
          <w:b/>
          <w:noProof/>
          <w:u w:val="single"/>
        </w:rPr>
        <w:t xml:space="preserve">G.1. </w:t>
      </w:r>
      <w:r w:rsidRPr="00D1795B">
        <w:rPr>
          <w:noProof/>
        </w:rPr>
        <w:tab/>
      </w:r>
      <w:r w:rsidRPr="00D1795B">
        <w:rPr>
          <w:rFonts w:ascii="Times New Roman" w:hAnsi="Times New Roman"/>
          <w:b/>
          <w:noProof/>
          <w:u w:val="single"/>
        </w:rPr>
        <w:t>Description of the reforms and investments for non-repayable financial support</w:t>
      </w:r>
    </w:p>
    <w:p w14:paraId="1887E68D" w14:textId="77777777" w:rsidR="00C02B59" w:rsidRPr="00D1795B" w:rsidRDefault="00C02B59" w:rsidP="00C02B59">
      <w:pPr>
        <w:spacing w:after="120" w:line="240" w:lineRule="auto"/>
        <w:jc w:val="both"/>
        <w:rPr>
          <w:rFonts w:ascii="Times New Roman" w:hAnsi="Times New Roman"/>
          <w:noProof/>
          <w:u w:val="single"/>
        </w:rPr>
      </w:pPr>
      <w:r w:rsidRPr="00D1795B">
        <w:rPr>
          <w:rFonts w:ascii="Times New Roman" w:hAnsi="Times New Roman"/>
          <w:noProof/>
          <w:u w:val="single"/>
        </w:rPr>
        <w:t>Investment 1 (C3.3I1): Information system for the Department of Registrar of Companies and Intellectual Property.</w:t>
      </w:r>
    </w:p>
    <w:p w14:paraId="1887E68E" w14:textId="77777777" w:rsidR="00C02B59" w:rsidRPr="00D1795B" w:rsidRDefault="00C02B59" w:rsidP="00C02B59">
      <w:pPr>
        <w:spacing w:after="120" w:line="240" w:lineRule="auto"/>
        <w:jc w:val="both"/>
        <w:rPr>
          <w:rFonts w:ascii="Times New Roman" w:eastAsia="Times New Roman" w:hAnsi="Times New Roman" w:cs="Times New Roman"/>
          <w:noProof/>
        </w:rPr>
      </w:pPr>
      <w:r w:rsidRPr="00D1795B">
        <w:rPr>
          <w:rFonts w:ascii="Times New Roman" w:hAnsi="Times New Roman"/>
          <w:noProof/>
        </w:rPr>
        <w:t>The objective of this investment is to support and digitalize the Department of Registrar of Companies and Intellectual Property.</w:t>
      </w:r>
    </w:p>
    <w:p w14:paraId="1887E68F"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This measure consists in a Registry Platform for the Companies Section of the Department of Registrar of Companies and Intellectual Property and trainings being provided.</w:t>
      </w:r>
    </w:p>
    <w:p w14:paraId="1887E690" w14:textId="77777777" w:rsidR="00C02B59" w:rsidRPr="00D1795B" w:rsidRDefault="00C02B59" w:rsidP="00C02B59">
      <w:pPr>
        <w:spacing w:after="120" w:line="240" w:lineRule="auto"/>
        <w:jc w:val="both"/>
        <w:rPr>
          <w:rFonts w:ascii="Times New Roman" w:hAnsi="Times New Roman"/>
          <w:b/>
          <w:noProof/>
          <w:u w:val="single"/>
        </w:rPr>
      </w:pPr>
    </w:p>
    <w:p w14:paraId="1887E691" w14:textId="77777777" w:rsidR="00C02B59" w:rsidRPr="00D1795B" w:rsidRDefault="00C02B59" w:rsidP="00C02B59">
      <w:pPr>
        <w:spacing w:after="120" w:line="240" w:lineRule="auto"/>
        <w:jc w:val="both"/>
        <w:rPr>
          <w:rFonts w:ascii="Times New Roman" w:hAnsi="Times New Roman"/>
          <w:noProof/>
          <w:u w:val="single"/>
          <w14:ligatures w14:val="standardContextual"/>
        </w:rPr>
      </w:pPr>
      <w:r w:rsidRPr="00D1795B">
        <w:rPr>
          <w:rFonts w:ascii="Times New Roman" w:hAnsi="Times New Roman"/>
          <w:noProof/>
          <w:u w:val="single"/>
        </w:rPr>
        <w:t>Reform 1 (C3.3R1): Facilitation of Strategic investments</w:t>
      </w:r>
    </w:p>
    <w:p w14:paraId="1887E692" w14:textId="77777777" w:rsidR="00C02B59" w:rsidRPr="00D1795B" w:rsidRDefault="00C02B59" w:rsidP="00C02B59">
      <w:pPr>
        <w:spacing w:after="120" w:line="240" w:lineRule="auto"/>
        <w:jc w:val="both"/>
        <w:rPr>
          <w:rFonts w:ascii="Times New Roman" w:hAnsi="Times New Roman"/>
          <w:noProof/>
          <w14:ligatures w14:val="standardContextual"/>
        </w:rPr>
      </w:pPr>
      <w:r w:rsidRPr="00D1795B">
        <w:rPr>
          <w:rFonts w:ascii="Times New Roman" w:hAnsi="Times New Roman"/>
          <w:noProof/>
        </w:rPr>
        <w:t>The objective of the measure is to develop a new system supporting strategic investments, aiming at stimulating investment activity in the country through streamlined rules and mechanisms, simplifying the licencing and permit procedures, reducing the administrative burden, and making the strategic investment environment more efficient. The definition of strategic investment refers to investments in strategic sectors (including Health and Social Care, Education, Culture, Sport, Environment, Industry, Tourism, Energy, Research, Development, and Innovation) that significantly contribute to the development of the economy.</w:t>
      </w:r>
    </w:p>
    <w:p w14:paraId="1887E693"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 xml:space="preserve">The reform shall consist in the entry into force of a legislation for the facilitation of strategic investments, in regards to the efficiency of obtaining investment licenses and building permits. A dedicated governmental sector shall be assigned for the processing of strategic investments. It shall consist in the preparation of the operational guidelines, process flows, and other ISO 9001:2015 requirements for mainstreaming the process. It shall develop Memorandum of Understandings with other Departments relevant to parts of the process in order to ensure the fast-track mechanism’s feasibility. Moreover, it shall include training of employees in the procedures to be introduced. In addition, the reform shall benefit from the set-up of a digital platform that shall enable applying, studying, and issuing Planning and Building Permits digitally, through an application management tool and a GIS system (project under Component 3.4: “enhancing e-system for issuing building permits”). </w:t>
      </w:r>
    </w:p>
    <w:p w14:paraId="1887E694" w14:textId="77777777" w:rsidR="00C02B59" w:rsidRPr="00D1795B" w:rsidRDefault="00C02B59" w:rsidP="00C02B59">
      <w:pPr>
        <w:spacing w:after="120" w:line="240" w:lineRule="auto"/>
        <w:jc w:val="both"/>
        <w:rPr>
          <w:rFonts w:ascii="Times New Roman" w:hAnsi="Times New Roman"/>
          <w:noProof/>
        </w:rPr>
      </w:pPr>
      <w:r w:rsidRPr="00D1795B">
        <w:rPr>
          <w:rFonts w:ascii="Times New Roman" w:hAnsi="Times New Roman"/>
          <w:noProof/>
        </w:rPr>
        <w:t>The implementation of the reform shall be completed by 30 June 2023.</w:t>
      </w:r>
    </w:p>
    <w:p w14:paraId="1887E695" w14:textId="77777777" w:rsidR="00C02B59" w:rsidRPr="00D1795B" w:rsidRDefault="00C02B59" w:rsidP="00C02B59">
      <w:pPr>
        <w:spacing w:after="120" w:line="240" w:lineRule="auto"/>
        <w:jc w:val="both"/>
        <w:rPr>
          <w:rFonts w:ascii="Times New Roman" w:hAnsi="Times New Roman"/>
          <w:noProof/>
          <w:u w:val="single"/>
        </w:rPr>
      </w:pPr>
    </w:p>
    <w:p w14:paraId="1887E696" w14:textId="39C99FFE" w:rsidR="00C02B59" w:rsidRPr="00D1795B" w:rsidRDefault="00C02B59" w:rsidP="00C02B59">
      <w:pPr>
        <w:spacing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Reform 2 (C3.3R2): Supporting Fast-Track Business Activation Mechanism</w:t>
      </w:r>
    </w:p>
    <w:p w14:paraId="1887E697" w14:textId="77777777" w:rsidR="00C02B59" w:rsidRPr="00D1795B" w:rsidRDefault="00C02B59" w:rsidP="00C02B59">
      <w:pPr>
        <w:spacing w:after="120" w:line="240" w:lineRule="auto"/>
        <w:jc w:val="both"/>
        <w:rPr>
          <w:rFonts w:ascii="Times New Roman" w:eastAsia="Times New Roman" w:hAnsi="Times New Roman" w:cs="Times New Roman"/>
          <w:noProof/>
        </w:rPr>
      </w:pPr>
      <w:r w:rsidRPr="00D1795B">
        <w:rPr>
          <w:rFonts w:ascii="Times New Roman" w:hAnsi="Times New Roman" w:cs="Times New Roman"/>
          <w:noProof/>
        </w:rPr>
        <w:t>The objective of this reform is the digitalisation of business support.</w:t>
      </w:r>
    </w:p>
    <w:p w14:paraId="1887E698" w14:textId="77777777" w:rsidR="00C02B59" w:rsidRPr="00D1795B" w:rsidRDefault="00C02B59" w:rsidP="00C02B59">
      <w:pPr>
        <w:spacing w:after="120" w:line="240" w:lineRule="auto"/>
        <w:jc w:val="both"/>
        <w:rPr>
          <w:rFonts w:ascii="Times New Roman" w:hAnsi="Times New Roman" w:cs="Times New Roman"/>
          <w:noProof/>
        </w:rPr>
      </w:pPr>
      <w:r w:rsidRPr="00D1795B">
        <w:rPr>
          <w:rFonts w:ascii="Times New Roman" w:hAnsi="Times New Roman" w:cs="Times New Roman"/>
          <w:noProof/>
        </w:rPr>
        <w:t xml:space="preserve">This measure consists in an interactive digital platform for business support being accessible. </w:t>
      </w:r>
    </w:p>
    <w:p w14:paraId="1887E699" w14:textId="77777777" w:rsidR="00C02B59" w:rsidRPr="00D1795B" w:rsidRDefault="00C02B59" w:rsidP="00C02B59">
      <w:pPr>
        <w:spacing w:after="120" w:line="240" w:lineRule="auto"/>
        <w:jc w:val="both"/>
        <w:rPr>
          <w:rFonts w:ascii="Times New Roman" w:eastAsia="Times New Roman" w:hAnsi="Times New Roman" w:cs="Times New Roman"/>
          <w:noProof/>
          <w:lang w:eastAsia="en-GB"/>
        </w:rPr>
      </w:pPr>
    </w:p>
    <w:p w14:paraId="1887E69A" w14:textId="77777777" w:rsidR="00C02B59" w:rsidRPr="00D1795B" w:rsidRDefault="00C02B59" w:rsidP="00C02B59">
      <w:pPr>
        <w:spacing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 xml:space="preserve">Reform 7 (C3.3R7): Screening of Foreign Direct Investment </w:t>
      </w:r>
    </w:p>
    <w:p w14:paraId="1887E69B" w14:textId="77777777" w:rsidR="00C02B59" w:rsidRPr="00D1795B" w:rsidRDefault="00C02B59" w:rsidP="00C02B59">
      <w:pPr>
        <w:spacing w:after="120" w:line="240" w:lineRule="auto"/>
        <w:jc w:val="both"/>
        <w:rPr>
          <w:rFonts w:ascii="Times New Roman" w:hAnsi="Times New Roman" w:cs="Times New Roman"/>
          <w:noProof/>
        </w:rPr>
      </w:pPr>
      <w:r w:rsidRPr="00D1795B">
        <w:rPr>
          <w:rFonts w:ascii="Times New Roman" w:hAnsi="Times New Roman" w:cs="Times New Roman"/>
          <w:noProof/>
        </w:rPr>
        <w:t xml:space="preserve">The objective of this reform is to establish a mechanism for assessing foreign direct investment in the economy. </w:t>
      </w:r>
    </w:p>
    <w:p w14:paraId="1887E69C" w14:textId="77777777" w:rsidR="00C02B59" w:rsidRPr="00D1795B" w:rsidRDefault="00C02B59" w:rsidP="00C02B59">
      <w:pPr>
        <w:spacing w:after="120" w:line="240" w:lineRule="auto"/>
        <w:jc w:val="both"/>
        <w:rPr>
          <w:rFonts w:ascii="Times New Roman" w:hAnsi="Times New Roman" w:cs="Times New Roman"/>
          <w:noProof/>
        </w:rPr>
      </w:pPr>
      <w:r w:rsidRPr="00D1795B">
        <w:rPr>
          <w:rFonts w:ascii="Times New Roman" w:hAnsi="Times New Roman" w:cs="Times New Roman"/>
          <w:noProof/>
        </w:rPr>
        <w:t>This measure consists in the entry into force of a Foreign Direct Investment screening law.</w:t>
      </w:r>
    </w:p>
    <w:p w14:paraId="1887E69D" w14:textId="77777777" w:rsidR="00C02B59" w:rsidRPr="00D1795B" w:rsidRDefault="00C02B59" w:rsidP="00C02B59">
      <w:pPr>
        <w:spacing w:after="120" w:line="240" w:lineRule="auto"/>
        <w:jc w:val="both"/>
        <w:rPr>
          <w:rFonts w:ascii="Times New Roman" w:hAnsi="Times New Roman" w:cs="Times New Roman"/>
          <w:noProof/>
        </w:rPr>
      </w:pPr>
    </w:p>
    <w:p w14:paraId="1887E69E" w14:textId="77777777" w:rsidR="00C02B59" w:rsidRPr="00D1795B" w:rsidRDefault="00C02B59" w:rsidP="00C02B59">
      <w:pPr>
        <w:spacing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Reform 4 (C3.3R4): National Promotional Agency</w:t>
      </w:r>
    </w:p>
    <w:p w14:paraId="1887E69F" w14:textId="77777777" w:rsidR="00C02B59" w:rsidRPr="00D1795B" w:rsidRDefault="00C02B59" w:rsidP="00C02B59">
      <w:pPr>
        <w:spacing w:after="120" w:line="240" w:lineRule="auto"/>
        <w:jc w:val="both"/>
        <w:rPr>
          <w:rFonts w:ascii="Times New Roman" w:hAnsi="Times New Roman" w:cs="Times New Roman"/>
          <w:noProof/>
        </w:rPr>
      </w:pPr>
      <w:r w:rsidRPr="00D1795B">
        <w:rPr>
          <w:rFonts w:ascii="Times New Roman" w:hAnsi="Times New Roman" w:cs="Times New Roman"/>
          <w:noProof/>
        </w:rPr>
        <w:t xml:space="preserve">The objective of </w:t>
      </w:r>
      <w:r w:rsidRPr="00D1795B">
        <w:rPr>
          <w:rFonts w:ascii="Times New Roman" w:eastAsia="Calibri" w:hAnsi="Times New Roman" w:cs="Times New Roman"/>
          <w:noProof/>
        </w:rPr>
        <w:t>this</w:t>
      </w:r>
      <w:r w:rsidRPr="00D1795B">
        <w:rPr>
          <w:rFonts w:ascii="Times New Roman" w:hAnsi="Times New Roman" w:cs="Times New Roman"/>
          <w:noProof/>
        </w:rPr>
        <w:t xml:space="preserve"> reform is to </w:t>
      </w:r>
      <w:r w:rsidRPr="00D1795B">
        <w:rPr>
          <w:rFonts w:ascii="Times New Roman" w:eastAsia="Calibri" w:hAnsi="Times New Roman" w:cs="Times New Roman"/>
          <w:noProof/>
        </w:rPr>
        <w:t>facilitate</w:t>
      </w:r>
      <w:r w:rsidRPr="00D1795B">
        <w:rPr>
          <w:rFonts w:ascii="Times New Roman" w:hAnsi="Times New Roman" w:cs="Times New Roman"/>
          <w:noProof/>
        </w:rPr>
        <w:t xml:space="preserve"> access to finance for </w:t>
      </w:r>
      <w:r w:rsidRPr="00D1795B">
        <w:rPr>
          <w:rFonts w:ascii="Times New Roman" w:eastAsia="Calibri" w:hAnsi="Times New Roman" w:cs="Times New Roman"/>
          <w:noProof/>
        </w:rPr>
        <w:t>enterprises</w:t>
      </w:r>
      <w:r w:rsidRPr="00D1795B">
        <w:rPr>
          <w:rFonts w:ascii="Times New Roman" w:hAnsi="Times New Roman" w:cs="Times New Roman"/>
          <w:noProof/>
        </w:rPr>
        <w:t>.</w:t>
      </w:r>
    </w:p>
    <w:p w14:paraId="1887E6A0" w14:textId="77777777" w:rsidR="00C02B59" w:rsidRPr="00D1795B" w:rsidRDefault="00C02B59" w:rsidP="00C02B59">
      <w:pPr>
        <w:spacing w:after="120" w:line="240" w:lineRule="auto"/>
        <w:jc w:val="both"/>
        <w:rPr>
          <w:rFonts w:ascii="Times New Roman" w:eastAsia="Times New Roman" w:hAnsi="Times New Roman" w:cs="Times New Roman"/>
          <w:noProof/>
        </w:rPr>
      </w:pPr>
      <w:r w:rsidRPr="00D1795B">
        <w:rPr>
          <w:rFonts w:ascii="Times New Roman" w:eastAsia="Calibri" w:hAnsi="Times New Roman" w:cs="Times New Roman"/>
          <w:noProof/>
        </w:rPr>
        <w:t xml:space="preserve">This measure consists in the appointment of the Board of Directors of a National Promotional Agency (NPA). </w:t>
      </w:r>
    </w:p>
    <w:p w14:paraId="1887E6A1" w14:textId="77777777" w:rsidR="00C02B59" w:rsidRPr="00D1795B" w:rsidRDefault="00C02B59" w:rsidP="00C02B59">
      <w:pPr>
        <w:spacing w:after="120" w:line="240" w:lineRule="auto"/>
        <w:jc w:val="both"/>
        <w:rPr>
          <w:rFonts w:ascii="Times New Roman" w:hAnsi="Times New Roman" w:cs="Times New Roman"/>
          <w:noProof/>
        </w:rPr>
      </w:pPr>
    </w:p>
    <w:p w14:paraId="1887E6A2" w14:textId="77777777" w:rsidR="00C02B59" w:rsidRPr="00D1795B" w:rsidRDefault="00C02B59" w:rsidP="00C02B59">
      <w:pPr>
        <w:spacing w:after="120" w:line="240" w:lineRule="auto"/>
        <w:jc w:val="both"/>
        <w:rPr>
          <w:rFonts w:ascii="Times New Roman" w:hAnsi="Times New Roman" w:cs="Times New Roman"/>
          <w:noProof/>
          <w:u w:val="single"/>
          <w14:ligatures w14:val="standardContextual"/>
        </w:rPr>
      </w:pPr>
      <w:r w:rsidRPr="00D1795B">
        <w:rPr>
          <w:rFonts w:ascii="Times New Roman" w:hAnsi="Times New Roman" w:cs="Times New Roman"/>
          <w:noProof/>
          <w:u w:val="single"/>
        </w:rPr>
        <w:t>Reform 6 (C3.3R6): Incentives to promote mergers &amp; acquisitions</w:t>
      </w:r>
    </w:p>
    <w:p w14:paraId="1887E6A3" w14:textId="77777777" w:rsidR="00C02B59" w:rsidRPr="00D1795B" w:rsidRDefault="00C02B59" w:rsidP="00C02B59">
      <w:pPr>
        <w:spacing w:after="120" w:line="240" w:lineRule="auto"/>
        <w:jc w:val="both"/>
        <w:rPr>
          <w:rFonts w:ascii="Times New Roman" w:hAnsi="Times New Roman" w:cs="Times New Roman"/>
          <w:noProof/>
          <w14:ligatures w14:val="standardContextual"/>
        </w:rPr>
      </w:pPr>
      <w:r w:rsidRPr="00D1795B">
        <w:rPr>
          <w:rFonts w:ascii="Times New Roman" w:hAnsi="Times New Roman" w:cs="Times New Roman"/>
          <w:noProof/>
        </w:rPr>
        <w:t>The objective of the measure is to incentivise the increase of SMEs’ size.</w:t>
      </w:r>
    </w:p>
    <w:p w14:paraId="1887E6A4" w14:textId="77777777" w:rsidR="00C02B59" w:rsidRPr="00D1795B" w:rsidRDefault="00C02B59" w:rsidP="00C02B59">
      <w:pPr>
        <w:spacing w:after="120" w:line="240" w:lineRule="auto"/>
        <w:jc w:val="both"/>
        <w:rPr>
          <w:rFonts w:ascii="Times New Roman" w:hAnsi="Times New Roman" w:cs="Times New Roman"/>
          <w:noProof/>
        </w:rPr>
      </w:pPr>
      <w:r w:rsidRPr="00D1795B">
        <w:rPr>
          <w:rFonts w:ascii="Times New Roman" w:hAnsi="Times New Roman" w:cs="Times New Roman"/>
          <w:noProof/>
        </w:rPr>
        <w:t>The reform shall consist in targeted incentives to promote the mergers or acquisitions of enterprises in order to scale-up and become more competitive. In particular, the reform shall consist in the approval of a report and an accompanying action plan by the Council of Ministers, following the evaluation of similar regimes within the EU and consultation with stakeholders for specific incentives for promoting mergers and acquisitions.</w:t>
      </w:r>
    </w:p>
    <w:p w14:paraId="1887E6A5" w14:textId="77777777" w:rsidR="00C02B59" w:rsidRPr="00D1795B" w:rsidRDefault="00C02B59" w:rsidP="00C02B59">
      <w:pPr>
        <w:spacing w:after="120" w:line="240" w:lineRule="auto"/>
        <w:jc w:val="both"/>
        <w:rPr>
          <w:rFonts w:ascii="Times New Roman" w:hAnsi="Times New Roman" w:cs="Times New Roman"/>
          <w:noProof/>
        </w:rPr>
      </w:pPr>
      <w:r w:rsidRPr="00D1795B">
        <w:rPr>
          <w:rFonts w:ascii="Times New Roman" w:hAnsi="Times New Roman" w:cs="Times New Roman"/>
          <w:noProof/>
        </w:rPr>
        <w:t>The implementation of the reform shall be completed by 31 December 2022.</w:t>
      </w:r>
    </w:p>
    <w:p w14:paraId="1887E6A6" w14:textId="77777777" w:rsidR="00C02B59" w:rsidRPr="00D1795B" w:rsidRDefault="00C02B59" w:rsidP="00C02B59">
      <w:pPr>
        <w:spacing w:after="120" w:line="240" w:lineRule="auto"/>
        <w:jc w:val="both"/>
        <w:rPr>
          <w:rFonts w:ascii="Times New Roman" w:hAnsi="Times New Roman" w:cs="Times New Roman"/>
          <w:noProof/>
        </w:rPr>
      </w:pPr>
    </w:p>
    <w:p w14:paraId="1887E6A7" w14:textId="77777777" w:rsidR="00C02B59" w:rsidRPr="00D1795B" w:rsidRDefault="00C02B59" w:rsidP="00C02B59">
      <w:pPr>
        <w:spacing w:after="120" w:line="240" w:lineRule="auto"/>
        <w:jc w:val="both"/>
        <w:rPr>
          <w:rFonts w:ascii="Times New Roman" w:hAnsi="Times New Roman" w:cs="Times New Roman"/>
          <w:noProof/>
          <w:u w:val="single"/>
          <w14:ligatures w14:val="standardContextual"/>
        </w:rPr>
      </w:pPr>
      <w:r w:rsidRPr="00D1795B">
        <w:rPr>
          <w:rFonts w:ascii="Times New Roman" w:hAnsi="Times New Roman" w:cs="Times New Roman"/>
          <w:noProof/>
          <w:u w:val="single"/>
        </w:rPr>
        <w:t xml:space="preserve">Investment 2 (C3.3I2): A Regulatory Sandbox </w:t>
      </w:r>
    </w:p>
    <w:p w14:paraId="1887E6A8" w14:textId="77777777" w:rsidR="00C02B59" w:rsidRPr="00D1795B" w:rsidRDefault="00C02B59" w:rsidP="00C02B59">
      <w:pPr>
        <w:spacing w:after="120" w:line="240" w:lineRule="auto"/>
        <w:jc w:val="both"/>
        <w:rPr>
          <w:rFonts w:ascii="Times New Roman" w:hAnsi="Times New Roman" w:cs="Times New Roman"/>
          <w:noProof/>
          <w14:ligatures w14:val="standardContextual"/>
        </w:rPr>
      </w:pPr>
      <w:r w:rsidRPr="00D1795B">
        <w:rPr>
          <w:rFonts w:ascii="Times New Roman" w:hAnsi="Times New Roman" w:cs="Times New Roman"/>
          <w:noProof/>
        </w:rPr>
        <w:t xml:space="preserve">The objective of the measure is to allow companies to test products and services in a controlled environment. </w:t>
      </w:r>
    </w:p>
    <w:p w14:paraId="1887E6A9" w14:textId="77777777" w:rsidR="00C02B59" w:rsidRPr="00D1795B" w:rsidRDefault="00C02B59" w:rsidP="00C02B59">
      <w:pPr>
        <w:spacing w:after="120" w:line="240" w:lineRule="auto"/>
        <w:jc w:val="both"/>
        <w:rPr>
          <w:rFonts w:ascii="Times New Roman" w:hAnsi="Times New Roman" w:cs="Times New Roman"/>
          <w:noProof/>
          <w14:ligatures w14:val="standardContextual"/>
        </w:rPr>
      </w:pPr>
      <w:r w:rsidRPr="00D1795B">
        <w:rPr>
          <w:rFonts w:ascii="Times New Roman" w:hAnsi="Times New Roman" w:cs="Times New Roman"/>
          <w:noProof/>
        </w:rPr>
        <w:t>The investment consists in a Regulatory Sandbox for Fintech, start-ups, and other companies.</w:t>
      </w:r>
    </w:p>
    <w:p w14:paraId="1887E6AA" w14:textId="77777777" w:rsidR="00C02B59" w:rsidRPr="00D1795B" w:rsidRDefault="00C02B59" w:rsidP="00C02B59">
      <w:pPr>
        <w:spacing w:after="120" w:line="240" w:lineRule="auto"/>
        <w:jc w:val="both"/>
        <w:rPr>
          <w:rFonts w:ascii="Times New Roman" w:hAnsi="Times New Roman" w:cs="Times New Roman"/>
          <w:noProof/>
          <w:u w:val="single"/>
        </w:rPr>
      </w:pPr>
    </w:p>
    <w:p w14:paraId="1887E6AB" w14:textId="77777777" w:rsidR="00C02B59" w:rsidRPr="00D1795B" w:rsidRDefault="00C02B59" w:rsidP="00C02B59">
      <w:pPr>
        <w:spacing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 xml:space="preserve">Investment 4 (C3.3I4): Scheme for the digital upgrade of enterprises </w:t>
      </w:r>
    </w:p>
    <w:p w14:paraId="1887E6AC" w14:textId="77777777" w:rsidR="00C02B59" w:rsidRPr="00D1795B" w:rsidRDefault="00C02B59" w:rsidP="00C02B59">
      <w:pPr>
        <w:spacing w:after="120" w:line="240" w:lineRule="auto"/>
        <w:jc w:val="both"/>
        <w:rPr>
          <w:rFonts w:ascii="Times New Roman" w:eastAsia="Times New Roman" w:hAnsi="Times New Roman" w:cs="Times New Roman"/>
          <w:noProof/>
        </w:rPr>
      </w:pPr>
      <w:r w:rsidRPr="00D1795B">
        <w:rPr>
          <w:rFonts w:ascii="Times New Roman" w:hAnsi="Times New Roman" w:cs="Times New Roman"/>
          <w:noProof/>
        </w:rPr>
        <w:t>The objective of this reform is to support the integration of digital technology in enterprises established in Cyprus.</w:t>
      </w:r>
    </w:p>
    <w:p w14:paraId="1887E6AD" w14:textId="77777777" w:rsidR="00C02B59" w:rsidRPr="00D1795B" w:rsidRDefault="00C02B59" w:rsidP="00C02B59">
      <w:pPr>
        <w:spacing w:after="120" w:line="240" w:lineRule="auto"/>
        <w:jc w:val="both"/>
        <w:rPr>
          <w:rFonts w:ascii="Times New Roman" w:hAnsi="Times New Roman" w:cs="Times New Roman"/>
          <w:noProof/>
        </w:rPr>
      </w:pPr>
      <w:r w:rsidRPr="00D1795B">
        <w:rPr>
          <w:rFonts w:ascii="Times New Roman" w:hAnsi="Times New Roman" w:cs="Times New Roman"/>
          <w:noProof/>
        </w:rPr>
        <w:t>This measure consists in the provision of grants for digital investments of enterprises.</w:t>
      </w:r>
    </w:p>
    <w:p w14:paraId="1887E6AE" w14:textId="77777777" w:rsidR="00C02B59" w:rsidRPr="00D1795B" w:rsidRDefault="00C02B59" w:rsidP="00C02B59">
      <w:pPr>
        <w:spacing w:after="120" w:line="240" w:lineRule="auto"/>
        <w:jc w:val="both"/>
        <w:rPr>
          <w:rFonts w:ascii="Times New Roman" w:hAnsi="Times New Roman" w:cs="Times New Roman"/>
          <w:noProof/>
          <w:u w:val="single"/>
        </w:rPr>
      </w:pPr>
    </w:p>
    <w:p w14:paraId="1887E6AF" w14:textId="77777777" w:rsidR="00C02B59" w:rsidRPr="00D1795B" w:rsidRDefault="00C02B59" w:rsidP="00C02B59">
      <w:pPr>
        <w:spacing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 xml:space="preserve">Investment 6 (C3.3I6): State funded equity fund </w:t>
      </w:r>
    </w:p>
    <w:p w14:paraId="1887E6B0" w14:textId="77777777" w:rsidR="00C02B59" w:rsidRPr="00D1795B" w:rsidRDefault="00C02B59" w:rsidP="00C02B59">
      <w:pPr>
        <w:spacing w:after="120" w:line="240" w:lineRule="auto"/>
        <w:jc w:val="both"/>
        <w:rPr>
          <w:rFonts w:ascii="Times New Roman" w:hAnsi="Times New Roman" w:cs="Times New Roman"/>
          <w:noProof/>
        </w:rPr>
      </w:pPr>
      <w:r w:rsidRPr="00D1795B">
        <w:rPr>
          <w:rFonts w:ascii="Times New Roman" w:hAnsi="Times New Roman" w:cs="Times New Roman"/>
          <w:noProof/>
        </w:rPr>
        <w:t xml:space="preserve">The objective of this investment is the support of access to alternative sources of finance. </w:t>
      </w:r>
    </w:p>
    <w:p w14:paraId="1887E6B1" w14:textId="77777777" w:rsidR="00C02B59" w:rsidRPr="00D1795B" w:rsidRDefault="00C02B59" w:rsidP="00C02B59">
      <w:pPr>
        <w:spacing w:after="120" w:line="240" w:lineRule="auto"/>
        <w:jc w:val="both"/>
        <w:rPr>
          <w:rFonts w:ascii="Times New Roman" w:eastAsia="Times New Roman" w:hAnsi="Times New Roman" w:cs="Times New Roman"/>
          <w:noProof/>
        </w:rPr>
      </w:pPr>
      <w:r w:rsidRPr="00D1795B">
        <w:rPr>
          <w:rFonts w:ascii="Times New Roman" w:hAnsi="Times New Roman" w:cs="Times New Roman"/>
          <w:noProof/>
        </w:rPr>
        <w:t>This measure consists in the incorporation of an equity fund.</w:t>
      </w:r>
    </w:p>
    <w:p w14:paraId="1887E6B2" w14:textId="77777777" w:rsidR="00C02B59" w:rsidRPr="00D1795B" w:rsidRDefault="00C02B59" w:rsidP="00C02B59">
      <w:pPr>
        <w:spacing w:after="120" w:line="240" w:lineRule="auto"/>
        <w:jc w:val="both"/>
        <w:rPr>
          <w:rFonts w:ascii="Times New Roman" w:hAnsi="Times New Roman" w:cs="Times New Roman"/>
          <w:noProof/>
        </w:rPr>
      </w:pPr>
    </w:p>
    <w:p w14:paraId="1887E6B3" w14:textId="77777777" w:rsidR="00C02B59" w:rsidRPr="00D1795B" w:rsidRDefault="00C02B59" w:rsidP="00C02B59">
      <w:pPr>
        <w:spacing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 xml:space="preserve">Reform 8 - (C3.3R8): The Provision of Crowdfunding Services for Business Law </w:t>
      </w:r>
    </w:p>
    <w:p w14:paraId="1887E6B4" w14:textId="77777777" w:rsidR="00C02B59" w:rsidRPr="00D1795B" w:rsidRDefault="00C02B59" w:rsidP="00C02B59">
      <w:pPr>
        <w:spacing w:after="120" w:line="240" w:lineRule="auto"/>
        <w:jc w:val="both"/>
        <w:rPr>
          <w:rFonts w:ascii="Times New Roman" w:hAnsi="Times New Roman" w:cs="Times New Roman"/>
          <w:noProof/>
        </w:rPr>
      </w:pPr>
      <w:r w:rsidRPr="00D1795B">
        <w:rPr>
          <w:rFonts w:ascii="Times New Roman" w:hAnsi="Times New Roman" w:cs="Times New Roman"/>
          <w:noProof/>
        </w:rPr>
        <w:t>The objective of the reform is to foster a secure and transparent crowdfunding environment, promoting alternative sources of financing opportunities for start-ups and SMEs, while maintaining high standards of investor protection.</w:t>
      </w:r>
    </w:p>
    <w:p w14:paraId="1887E6B5" w14:textId="77777777" w:rsidR="00C02B59" w:rsidRPr="00D1795B" w:rsidRDefault="00C02B59" w:rsidP="00C02B59">
      <w:pPr>
        <w:rPr>
          <w:rFonts w:ascii="Times New Roman" w:hAnsi="Times New Roman"/>
          <w:noProof/>
        </w:rPr>
      </w:pPr>
      <w:r w:rsidRPr="00D1795B">
        <w:rPr>
          <w:rFonts w:ascii="Times New Roman" w:hAnsi="Times New Roman" w:cs="Times New Roman"/>
          <w:noProof/>
        </w:rPr>
        <w:t>The reform consists in the entry into force of the Provision of Crowdfunding Services for Business Law</w:t>
      </w:r>
      <w:r w:rsidRPr="00D1795B">
        <w:rPr>
          <w:rFonts w:ascii="Times New Roman" w:hAnsi="Times New Roman"/>
          <w:noProof/>
        </w:rPr>
        <w:t>.</w:t>
      </w:r>
    </w:p>
    <w:p w14:paraId="1887E6B6" w14:textId="77777777" w:rsidR="00C02B59" w:rsidRPr="00D1795B" w:rsidRDefault="00C02B59" w:rsidP="00C02B59">
      <w:pPr>
        <w:rPr>
          <w:noProof/>
        </w:rPr>
        <w:sectPr w:rsidR="00C02B59" w:rsidRPr="00D1795B" w:rsidSect="00C02B59">
          <w:headerReference w:type="even" r:id="rId89"/>
          <w:headerReference w:type="default" r:id="rId90"/>
          <w:footerReference w:type="even" r:id="rId91"/>
          <w:footerReference w:type="default" r:id="rId92"/>
          <w:headerReference w:type="first" r:id="rId93"/>
          <w:footerReference w:type="first" r:id="rId94"/>
          <w:pgSz w:w="11907" w:h="16839"/>
          <w:pgMar w:top="1134" w:right="1134" w:bottom="1134" w:left="1134" w:header="567" w:footer="567" w:gutter="0"/>
          <w:cols w:space="720"/>
          <w:docGrid w:linePitch="360"/>
        </w:sectPr>
      </w:pPr>
    </w:p>
    <w:p w14:paraId="1887E6B7" w14:textId="77777777" w:rsidR="00C02B59" w:rsidRPr="00D1795B" w:rsidRDefault="00C02B59" w:rsidP="00C02B59">
      <w:pPr>
        <w:spacing w:after="240" w:line="240" w:lineRule="auto"/>
        <w:jc w:val="center"/>
        <w:rPr>
          <w:rFonts w:ascii="Times New Roman" w:hAnsi="Times New Roman"/>
          <w:b/>
          <w:noProof/>
          <w:u w:val="single"/>
        </w:rPr>
      </w:pPr>
      <w:r w:rsidRPr="00D1795B">
        <w:rPr>
          <w:rFonts w:ascii="Times New Roman" w:hAnsi="Times New Roman"/>
          <w:b/>
          <w:noProof/>
          <w:u w:val="single"/>
        </w:rPr>
        <w:t xml:space="preserve">G.2. </w:t>
      </w:r>
      <w:r w:rsidRPr="00D1795B">
        <w:rPr>
          <w:noProof/>
        </w:rPr>
        <w:tab/>
      </w:r>
      <w:r w:rsidRPr="00D1795B">
        <w:rPr>
          <w:rFonts w:ascii="Times New Roman" w:hAnsi="Times New Roman"/>
          <w:b/>
          <w:noProof/>
          <w:u w:val="single"/>
        </w:rPr>
        <w:t>Milestones, targets, indicators, and timetable for monitoring and implementation for non-repayable financial support</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8"/>
        <w:gridCol w:w="1372"/>
        <w:gridCol w:w="1277"/>
        <w:gridCol w:w="1369"/>
        <w:gridCol w:w="1684"/>
        <w:gridCol w:w="1546"/>
        <w:gridCol w:w="1056"/>
        <w:gridCol w:w="765"/>
        <w:gridCol w:w="1069"/>
        <w:gridCol w:w="772"/>
        <w:gridCol w:w="3261"/>
      </w:tblGrid>
      <w:tr w:rsidR="00C02B59" w:rsidRPr="00D1795B" w14:paraId="1887E6C0" w14:textId="77777777" w:rsidTr="6B29DC81">
        <w:trPr>
          <w:trHeight w:val="300"/>
          <w:tblHeader/>
          <w:jc w:val="center"/>
        </w:trPr>
        <w:tc>
          <w:tcPr>
            <w:tcW w:w="372" w:type="pct"/>
            <w:vMerge w:val="restart"/>
            <w:shd w:val="clear" w:color="auto" w:fill="BDD7EE"/>
            <w:vAlign w:val="center"/>
            <w:hideMark/>
          </w:tcPr>
          <w:p w14:paraId="1887E6B8" w14:textId="77777777" w:rsidR="00C02B59" w:rsidRPr="00D1795B" w:rsidRDefault="00C02B59" w:rsidP="00C02B59">
            <w:pPr>
              <w:spacing w:after="0" w:line="240" w:lineRule="auto"/>
              <w:jc w:val="center"/>
              <w:rPr>
                <w:rFonts w:ascii="Times New Roman" w:hAnsi="Times New Roman" w:cs="Times New Roman"/>
                <w:b/>
                <w:bCs/>
                <w:noProof/>
                <w:sz w:val="18"/>
                <w:szCs w:val="18"/>
              </w:rPr>
            </w:pPr>
            <w:r w:rsidRPr="00D1795B">
              <w:rPr>
                <w:rFonts w:ascii="Times New Roman" w:hAnsi="Times New Roman" w:cs="Times New Roman"/>
                <w:b/>
                <w:bCs/>
                <w:noProof/>
                <w:sz w:val="18"/>
                <w:szCs w:val="18"/>
              </w:rPr>
              <w:t>Sequential Number</w:t>
            </w:r>
          </w:p>
        </w:tc>
        <w:tc>
          <w:tcPr>
            <w:tcW w:w="448" w:type="pct"/>
            <w:vMerge w:val="restart"/>
            <w:shd w:val="clear" w:color="auto" w:fill="BDD7EE"/>
            <w:vAlign w:val="center"/>
            <w:hideMark/>
          </w:tcPr>
          <w:p w14:paraId="1887E6B9" w14:textId="77777777" w:rsidR="00C02B59" w:rsidRPr="00D1795B" w:rsidRDefault="00C02B59" w:rsidP="00C02B59">
            <w:pPr>
              <w:spacing w:after="0" w:line="240" w:lineRule="auto"/>
              <w:jc w:val="center"/>
              <w:rPr>
                <w:rFonts w:ascii="Times New Roman" w:hAnsi="Times New Roman" w:cs="Times New Roman"/>
                <w:b/>
                <w:bCs/>
                <w:noProof/>
                <w:sz w:val="18"/>
                <w:szCs w:val="18"/>
              </w:rPr>
            </w:pPr>
            <w:r w:rsidRPr="00D1795B">
              <w:rPr>
                <w:rFonts w:ascii="Times New Roman" w:hAnsi="Times New Roman" w:cs="Times New Roman"/>
                <w:b/>
                <w:bCs/>
                <w:noProof/>
                <w:sz w:val="18"/>
                <w:szCs w:val="18"/>
              </w:rPr>
              <w:t>Related Measure (Reform or Investment)</w:t>
            </w:r>
          </w:p>
        </w:tc>
        <w:tc>
          <w:tcPr>
            <w:tcW w:w="417" w:type="pct"/>
            <w:vMerge w:val="restart"/>
            <w:shd w:val="clear" w:color="auto" w:fill="BDD7EE"/>
            <w:vAlign w:val="center"/>
            <w:hideMark/>
          </w:tcPr>
          <w:p w14:paraId="1887E6BA" w14:textId="77777777" w:rsidR="00C02B59" w:rsidRPr="00D1795B" w:rsidRDefault="00C02B59" w:rsidP="00C02B59">
            <w:pPr>
              <w:spacing w:after="0" w:line="240" w:lineRule="auto"/>
              <w:jc w:val="center"/>
              <w:rPr>
                <w:rFonts w:ascii="Times New Roman" w:hAnsi="Times New Roman" w:cs="Times New Roman"/>
                <w:b/>
                <w:bCs/>
                <w:noProof/>
                <w:sz w:val="18"/>
                <w:szCs w:val="18"/>
              </w:rPr>
            </w:pPr>
            <w:r w:rsidRPr="00D1795B">
              <w:rPr>
                <w:rFonts w:ascii="Times New Roman" w:hAnsi="Times New Roman" w:cs="Times New Roman"/>
                <w:b/>
                <w:bCs/>
                <w:noProof/>
                <w:sz w:val="18"/>
                <w:szCs w:val="18"/>
              </w:rPr>
              <w:t>Milestone / Target</w:t>
            </w:r>
          </w:p>
        </w:tc>
        <w:tc>
          <w:tcPr>
            <w:tcW w:w="447" w:type="pct"/>
            <w:vMerge w:val="restart"/>
            <w:shd w:val="clear" w:color="auto" w:fill="BDD7EE"/>
            <w:vAlign w:val="center"/>
            <w:hideMark/>
          </w:tcPr>
          <w:p w14:paraId="1887E6BB" w14:textId="77777777" w:rsidR="00C02B59" w:rsidRPr="00D1795B" w:rsidRDefault="00C02B59" w:rsidP="00C02B59">
            <w:pPr>
              <w:spacing w:after="0" w:line="240" w:lineRule="auto"/>
              <w:jc w:val="center"/>
              <w:rPr>
                <w:rFonts w:ascii="Times New Roman" w:hAnsi="Times New Roman" w:cs="Times New Roman"/>
                <w:b/>
                <w:bCs/>
                <w:noProof/>
                <w:sz w:val="18"/>
                <w:szCs w:val="18"/>
              </w:rPr>
            </w:pPr>
            <w:r w:rsidRPr="00D1795B">
              <w:rPr>
                <w:rFonts w:ascii="Times New Roman" w:hAnsi="Times New Roman" w:cs="Times New Roman"/>
                <w:b/>
                <w:bCs/>
                <w:noProof/>
                <w:sz w:val="18"/>
                <w:szCs w:val="18"/>
              </w:rPr>
              <w:t>Name</w:t>
            </w:r>
          </w:p>
        </w:tc>
        <w:tc>
          <w:tcPr>
            <w:tcW w:w="550" w:type="pct"/>
            <w:vMerge w:val="restart"/>
            <w:shd w:val="clear" w:color="auto" w:fill="BDD7EE"/>
            <w:vAlign w:val="center"/>
            <w:hideMark/>
          </w:tcPr>
          <w:p w14:paraId="1887E6BC" w14:textId="77777777" w:rsidR="00C02B59" w:rsidRPr="00D1795B" w:rsidRDefault="00C02B59" w:rsidP="00C02B59">
            <w:pPr>
              <w:spacing w:after="0" w:line="240" w:lineRule="auto"/>
              <w:jc w:val="center"/>
              <w:rPr>
                <w:rFonts w:ascii="Times New Roman" w:hAnsi="Times New Roman" w:cs="Times New Roman"/>
                <w:b/>
                <w:bCs/>
                <w:noProof/>
                <w:sz w:val="18"/>
                <w:szCs w:val="18"/>
              </w:rPr>
            </w:pPr>
            <w:r w:rsidRPr="00D1795B">
              <w:rPr>
                <w:rFonts w:ascii="Times New Roman" w:hAnsi="Times New Roman" w:cs="Times New Roman"/>
                <w:b/>
                <w:bCs/>
                <w:noProof/>
                <w:sz w:val="18"/>
                <w:szCs w:val="18"/>
              </w:rPr>
              <w:t xml:space="preserve">Qualitative indicators </w:t>
            </w:r>
            <w:r w:rsidRPr="00D1795B">
              <w:rPr>
                <w:rFonts w:ascii="Times New Roman" w:hAnsi="Times New Roman" w:cs="Times New Roman"/>
                <w:noProof/>
                <w:sz w:val="18"/>
                <w:szCs w:val="18"/>
              </w:rPr>
              <w:br/>
            </w:r>
            <w:r w:rsidRPr="00D1795B">
              <w:rPr>
                <w:rFonts w:ascii="Times New Roman" w:hAnsi="Times New Roman" w:cs="Times New Roman"/>
                <w:b/>
                <w:bCs/>
                <w:noProof/>
                <w:sz w:val="18"/>
                <w:szCs w:val="18"/>
              </w:rPr>
              <w:t>(for milestones)</w:t>
            </w:r>
          </w:p>
        </w:tc>
        <w:tc>
          <w:tcPr>
            <w:tcW w:w="1100" w:type="pct"/>
            <w:gridSpan w:val="3"/>
            <w:shd w:val="clear" w:color="auto" w:fill="BDD7EE"/>
            <w:vAlign w:val="center"/>
            <w:hideMark/>
          </w:tcPr>
          <w:p w14:paraId="1887E6BD" w14:textId="77777777" w:rsidR="00C02B59" w:rsidRPr="00D1795B" w:rsidRDefault="00C02B59" w:rsidP="00C02B59">
            <w:pPr>
              <w:spacing w:after="0" w:line="240" w:lineRule="auto"/>
              <w:jc w:val="center"/>
              <w:rPr>
                <w:rFonts w:ascii="Times New Roman" w:hAnsi="Times New Roman" w:cs="Times New Roman"/>
                <w:b/>
                <w:bCs/>
                <w:noProof/>
                <w:sz w:val="18"/>
                <w:szCs w:val="18"/>
              </w:rPr>
            </w:pPr>
            <w:r w:rsidRPr="00D1795B">
              <w:rPr>
                <w:rFonts w:ascii="Times New Roman" w:hAnsi="Times New Roman" w:cs="Times New Roman"/>
                <w:b/>
                <w:bCs/>
                <w:noProof/>
                <w:sz w:val="18"/>
                <w:szCs w:val="18"/>
              </w:rPr>
              <w:t xml:space="preserve">Quantitative indicators </w:t>
            </w:r>
            <w:r w:rsidRPr="00D1795B">
              <w:rPr>
                <w:rFonts w:ascii="Times New Roman" w:hAnsi="Times New Roman" w:cs="Times New Roman"/>
                <w:noProof/>
                <w:sz w:val="18"/>
                <w:szCs w:val="18"/>
              </w:rPr>
              <w:br/>
            </w:r>
            <w:r w:rsidRPr="00D1795B">
              <w:rPr>
                <w:rFonts w:ascii="Times New Roman" w:hAnsi="Times New Roman" w:cs="Times New Roman"/>
                <w:b/>
                <w:bCs/>
                <w:noProof/>
                <w:sz w:val="18"/>
                <w:szCs w:val="18"/>
              </w:rPr>
              <w:t>(for targets)</w:t>
            </w:r>
          </w:p>
        </w:tc>
        <w:tc>
          <w:tcPr>
            <w:tcW w:w="601" w:type="pct"/>
            <w:gridSpan w:val="2"/>
            <w:shd w:val="clear" w:color="auto" w:fill="BDD7EE"/>
            <w:vAlign w:val="center"/>
            <w:hideMark/>
          </w:tcPr>
          <w:p w14:paraId="1887E6BE" w14:textId="77777777" w:rsidR="00C02B59" w:rsidRPr="00D1795B" w:rsidRDefault="00C02B59" w:rsidP="00C02B59">
            <w:pPr>
              <w:spacing w:after="0" w:line="240" w:lineRule="auto"/>
              <w:jc w:val="center"/>
              <w:rPr>
                <w:rFonts w:ascii="Times New Roman" w:hAnsi="Times New Roman" w:cs="Times New Roman"/>
                <w:b/>
                <w:bCs/>
                <w:noProof/>
                <w:sz w:val="18"/>
                <w:szCs w:val="18"/>
              </w:rPr>
            </w:pPr>
            <w:r w:rsidRPr="00D1795B">
              <w:rPr>
                <w:rFonts w:ascii="Times New Roman" w:hAnsi="Times New Roman" w:cs="Times New Roman"/>
                <w:b/>
                <w:bCs/>
                <w:noProof/>
                <w:sz w:val="18"/>
                <w:szCs w:val="18"/>
              </w:rPr>
              <w:t>Indicative timeline for completion</w:t>
            </w:r>
          </w:p>
        </w:tc>
        <w:tc>
          <w:tcPr>
            <w:tcW w:w="1067" w:type="pct"/>
            <w:vMerge w:val="restart"/>
            <w:shd w:val="clear" w:color="auto" w:fill="BDD7EE"/>
            <w:vAlign w:val="center"/>
            <w:hideMark/>
          </w:tcPr>
          <w:p w14:paraId="1887E6BF" w14:textId="77777777" w:rsidR="00C02B59" w:rsidRPr="00D1795B" w:rsidRDefault="00C02B59" w:rsidP="00C02B59">
            <w:pPr>
              <w:spacing w:after="0" w:line="240" w:lineRule="auto"/>
              <w:jc w:val="center"/>
              <w:rPr>
                <w:rFonts w:ascii="Times New Roman" w:hAnsi="Times New Roman" w:cs="Times New Roman"/>
                <w:b/>
                <w:bCs/>
                <w:noProof/>
                <w:sz w:val="18"/>
                <w:szCs w:val="18"/>
              </w:rPr>
            </w:pPr>
            <w:r w:rsidRPr="00D1795B">
              <w:rPr>
                <w:rFonts w:ascii="Times New Roman" w:hAnsi="Times New Roman" w:cs="Times New Roman"/>
                <w:b/>
                <w:bCs/>
                <w:noProof/>
                <w:sz w:val="18"/>
                <w:szCs w:val="18"/>
              </w:rPr>
              <w:t>Description of each milestone and target</w:t>
            </w:r>
          </w:p>
        </w:tc>
      </w:tr>
      <w:tr w:rsidR="00C02B59" w:rsidRPr="00D1795B" w14:paraId="1887E6CC" w14:textId="77777777" w:rsidTr="6B29DC81">
        <w:trPr>
          <w:trHeight w:val="300"/>
          <w:tblHeader/>
          <w:jc w:val="center"/>
        </w:trPr>
        <w:tc>
          <w:tcPr>
            <w:tcW w:w="372" w:type="pct"/>
            <w:vMerge/>
            <w:hideMark/>
          </w:tcPr>
          <w:p w14:paraId="1887E6C1" w14:textId="77777777" w:rsidR="00C02B59" w:rsidRPr="00D1795B" w:rsidRDefault="00C02B59" w:rsidP="00C02B59">
            <w:pPr>
              <w:spacing w:after="0" w:line="240" w:lineRule="auto"/>
              <w:rPr>
                <w:rFonts w:ascii="Times New Roman" w:hAnsi="Times New Roman" w:cs="Times New Roman"/>
                <w:b/>
                <w:noProof/>
                <w:sz w:val="18"/>
                <w:szCs w:val="18"/>
              </w:rPr>
            </w:pPr>
          </w:p>
        </w:tc>
        <w:tc>
          <w:tcPr>
            <w:tcW w:w="448" w:type="pct"/>
            <w:vMerge/>
            <w:hideMark/>
          </w:tcPr>
          <w:p w14:paraId="1887E6C2" w14:textId="77777777" w:rsidR="00C02B59" w:rsidRPr="00D1795B" w:rsidRDefault="00C02B59" w:rsidP="00C02B59">
            <w:pPr>
              <w:spacing w:after="0" w:line="240" w:lineRule="auto"/>
              <w:rPr>
                <w:rFonts w:ascii="Times New Roman" w:hAnsi="Times New Roman" w:cs="Times New Roman"/>
                <w:b/>
                <w:noProof/>
                <w:sz w:val="18"/>
                <w:szCs w:val="18"/>
              </w:rPr>
            </w:pPr>
          </w:p>
        </w:tc>
        <w:tc>
          <w:tcPr>
            <w:tcW w:w="417" w:type="pct"/>
            <w:vMerge/>
            <w:hideMark/>
          </w:tcPr>
          <w:p w14:paraId="1887E6C3" w14:textId="77777777" w:rsidR="00C02B59" w:rsidRPr="00D1795B" w:rsidRDefault="00C02B59" w:rsidP="00C02B59">
            <w:pPr>
              <w:spacing w:after="0" w:line="240" w:lineRule="auto"/>
              <w:rPr>
                <w:rFonts w:ascii="Times New Roman" w:hAnsi="Times New Roman" w:cs="Times New Roman"/>
                <w:b/>
                <w:noProof/>
                <w:sz w:val="18"/>
                <w:szCs w:val="18"/>
              </w:rPr>
            </w:pPr>
          </w:p>
        </w:tc>
        <w:tc>
          <w:tcPr>
            <w:tcW w:w="447" w:type="pct"/>
            <w:vMerge/>
            <w:hideMark/>
          </w:tcPr>
          <w:p w14:paraId="1887E6C4" w14:textId="77777777" w:rsidR="00C02B59" w:rsidRPr="00D1795B" w:rsidRDefault="00C02B59" w:rsidP="00C02B59">
            <w:pPr>
              <w:spacing w:after="0" w:line="240" w:lineRule="auto"/>
              <w:rPr>
                <w:rFonts w:ascii="Times New Roman" w:hAnsi="Times New Roman" w:cs="Times New Roman"/>
                <w:b/>
                <w:noProof/>
                <w:sz w:val="18"/>
                <w:szCs w:val="18"/>
              </w:rPr>
            </w:pPr>
          </w:p>
        </w:tc>
        <w:tc>
          <w:tcPr>
            <w:tcW w:w="550" w:type="pct"/>
            <w:vMerge/>
            <w:hideMark/>
          </w:tcPr>
          <w:p w14:paraId="1887E6C5" w14:textId="77777777" w:rsidR="00C02B59" w:rsidRPr="00D1795B" w:rsidRDefault="00C02B59" w:rsidP="00C02B59">
            <w:pPr>
              <w:spacing w:after="0" w:line="240" w:lineRule="auto"/>
              <w:rPr>
                <w:rFonts w:ascii="Times New Roman" w:hAnsi="Times New Roman" w:cs="Times New Roman"/>
                <w:b/>
                <w:noProof/>
                <w:sz w:val="18"/>
                <w:szCs w:val="18"/>
              </w:rPr>
            </w:pPr>
          </w:p>
        </w:tc>
        <w:tc>
          <w:tcPr>
            <w:tcW w:w="505" w:type="pct"/>
            <w:shd w:val="clear" w:color="auto" w:fill="BDD7EE"/>
            <w:vAlign w:val="center"/>
            <w:hideMark/>
          </w:tcPr>
          <w:p w14:paraId="1887E6C6" w14:textId="77777777" w:rsidR="00C02B59" w:rsidRPr="00D1795B" w:rsidRDefault="00C02B59" w:rsidP="00C02B59">
            <w:pPr>
              <w:spacing w:after="0" w:line="240" w:lineRule="auto"/>
              <w:jc w:val="center"/>
              <w:rPr>
                <w:rFonts w:ascii="Times New Roman" w:hAnsi="Times New Roman" w:cs="Times New Roman"/>
                <w:b/>
                <w:bCs/>
                <w:noProof/>
                <w:sz w:val="18"/>
                <w:szCs w:val="18"/>
              </w:rPr>
            </w:pPr>
            <w:r w:rsidRPr="00D1795B">
              <w:rPr>
                <w:rFonts w:ascii="Times New Roman" w:hAnsi="Times New Roman" w:cs="Times New Roman"/>
                <w:b/>
                <w:bCs/>
                <w:noProof/>
                <w:sz w:val="18"/>
                <w:szCs w:val="18"/>
              </w:rPr>
              <w:t>Unit of measure</w:t>
            </w:r>
          </w:p>
        </w:tc>
        <w:tc>
          <w:tcPr>
            <w:tcW w:w="345" w:type="pct"/>
            <w:shd w:val="clear" w:color="auto" w:fill="BDD7EE"/>
            <w:vAlign w:val="center"/>
            <w:hideMark/>
          </w:tcPr>
          <w:p w14:paraId="1887E6C7" w14:textId="77777777" w:rsidR="00C02B59" w:rsidRPr="00D1795B" w:rsidRDefault="00C02B59" w:rsidP="00C02B59">
            <w:pPr>
              <w:spacing w:after="0" w:line="240" w:lineRule="auto"/>
              <w:jc w:val="center"/>
              <w:rPr>
                <w:rFonts w:ascii="Times New Roman" w:hAnsi="Times New Roman" w:cs="Times New Roman"/>
                <w:b/>
                <w:bCs/>
                <w:noProof/>
                <w:sz w:val="18"/>
                <w:szCs w:val="18"/>
              </w:rPr>
            </w:pPr>
            <w:r w:rsidRPr="00D1795B">
              <w:rPr>
                <w:rFonts w:ascii="Times New Roman" w:hAnsi="Times New Roman" w:cs="Times New Roman"/>
                <w:b/>
                <w:bCs/>
                <w:noProof/>
                <w:sz w:val="18"/>
                <w:szCs w:val="18"/>
              </w:rPr>
              <w:t>Baseline</w:t>
            </w:r>
          </w:p>
        </w:tc>
        <w:tc>
          <w:tcPr>
            <w:tcW w:w="250" w:type="pct"/>
            <w:shd w:val="clear" w:color="auto" w:fill="BDD7EE"/>
            <w:vAlign w:val="center"/>
            <w:hideMark/>
          </w:tcPr>
          <w:p w14:paraId="1887E6C8" w14:textId="77777777" w:rsidR="00C02B59" w:rsidRPr="00D1795B" w:rsidRDefault="00C02B59" w:rsidP="00C02B59">
            <w:pPr>
              <w:spacing w:after="0" w:line="240" w:lineRule="auto"/>
              <w:jc w:val="center"/>
              <w:rPr>
                <w:rFonts w:ascii="Times New Roman" w:hAnsi="Times New Roman" w:cs="Times New Roman"/>
                <w:b/>
                <w:bCs/>
                <w:noProof/>
                <w:sz w:val="18"/>
                <w:szCs w:val="18"/>
              </w:rPr>
            </w:pPr>
            <w:r w:rsidRPr="00D1795B">
              <w:rPr>
                <w:rFonts w:ascii="Times New Roman" w:hAnsi="Times New Roman" w:cs="Times New Roman"/>
                <w:b/>
                <w:bCs/>
                <w:noProof/>
                <w:sz w:val="18"/>
                <w:szCs w:val="18"/>
              </w:rPr>
              <w:t>Goal</w:t>
            </w:r>
          </w:p>
        </w:tc>
        <w:tc>
          <w:tcPr>
            <w:tcW w:w="349" w:type="pct"/>
            <w:shd w:val="clear" w:color="auto" w:fill="BDD7EE"/>
            <w:vAlign w:val="center"/>
            <w:hideMark/>
          </w:tcPr>
          <w:p w14:paraId="1887E6C9" w14:textId="77777777" w:rsidR="00C02B59" w:rsidRPr="00D1795B" w:rsidRDefault="00C02B59" w:rsidP="00C02B59">
            <w:pPr>
              <w:spacing w:after="0" w:line="240" w:lineRule="auto"/>
              <w:jc w:val="center"/>
              <w:rPr>
                <w:rFonts w:ascii="Times New Roman" w:hAnsi="Times New Roman" w:cs="Times New Roman"/>
                <w:b/>
                <w:bCs/>
                <w:noProof/>
                <w:sz w:val="18"/>
                <w:szCs w:val="18"/>
              </w:rPr>
            </w:pPr>
            <w:r w:rsidRPr="00D1795B">
              <w:rPr>
                <w:rFonts w:ascii="Times New Roman" w:hAnsi="Times New Roman" w:cs="Times New Roman"/>
                <w:b/>
                <w:bCs/>
                <w:noProof/>
                <w:sz w:val="18"/>
                <w:szCs w:val="18"/>
              </w:rPr>
              <w:t>Quarter</w:t>
            </w:r>
          </w:p>
        </w:tc>
        <w:tc>
          <w:tcPr>
            <w:tcW w:w="252" w:type="pct"/>
            <w:shd w:val="clear" w:color="auto" w:fill="BDD7EE"/>
            <w:vAlign w:val="center"/>
            <w:hideMark/>
          </w:tcPr>
          <w:p w14:paraId="1887E6CA" w14:textId="77777777" w:rsidR="00C02B59" w:rsidRPr="00D1795B" w:rsidRDefault="00C02B59" w:rsidP="00C02B59">
            <w:pPr>
              <w:spacing w:after="0" w:line="240" w:lineRule="auto"/>
              <w:jc w:val="center"/>
              <w:rPr>
                <w:rFonts w:ascii="Times New Roman" w:hAnsi="Times New Roman" w:cs="Times New Roman"/>
                <w:b/>
                <w:bCs/>
                <w:noProof/>
                <w:sz w:val="18"/>
                <w:szCs w:val="18"/>
              </w:rPr>
            </w:pPr>
            <w:r w:rsidRPr="00D1795B">
              <w:rPr>
                <w:rFonts w:ascii="Times New Roman" w:hAnsi="Times New Roman" w:cs="Times New Roman"/>
                <w:b/>
                <w:bCs/>
                <w:noProof/>
                <w:sz w:val="18"/>
                <w:szCs w:val="18"/>
              </w:rPr>
              <w:t>Year</w:t>
            </w:r>
          </w:p>
        </w:tc>
        <w:tc>
          <w:tcPr>
            <w:tcW w:w="1067" w:type="pct"/>
            <w:vMerge/>
            <w:hideMark/>
          </w:tcPr>
          <w:p w14:paraId="1887E6CB" w14:textId="77777777" w:rsidR="00C02B59" w:rsidRPr="00D1795B" w:rsidRDefault="00C02B59" w:rsidP="00C02B59">
            <w:pPr>
              <w:spacing w:after="0" w:line="240" w:lineRule="auto"/>
              <w:jc w:val="both"/>
              <w:rPr>
                <w:rFonts w:ascii="Times New Roman" w:hAnsi="Times New Roman" w:cs="Times New Roman"/>
                <w:b/>
                <w:noProof/>
                <w:sz w:val="18"/>
                <w:szCs w:val="18"/>
              </w:rPr>
            </w:pPr>
          </w:p>
        </w:tc>
      </w:tr>
      <w:tr w:rsidR="00C02B59" w:rsidRPr="00D1795B" w14:paraId="1887E6D9" w14:textId="77777777" w:rsidTr="6B29DC81">
        <w:trPr>
          <w:trHeight w:val="300"/>
          <w:jc w:val="center"/>
        </w:trPr>
        <w:tc>
          <w:tcPr>
            <w:tcW w:w="370" w:type="pct"/>
            <w:shd w:val="clear" w:color="auto" w:fill="C6EFCE"/>
            <w:noWrap/>
            <w:hideMark/>
          </w:tcPr>
          <w:p w14:paraId="1887E6C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134</w:t>
            </w:r>
          </w:p>
        </w:tc>
        <w:tc>
          <w:tcPr>
            <w:tcW w:w="448" w:type="pct"/>
            <w:shd w:val="clear" w:color="auto" w:fill="C6EFCE"/>
            <w:noWrap/>
          </w:tcPr>
          <w:p w14:paraId="1887E6C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C3.3R1</w:t>
            </w:r>
          </w:p>
          <w:p w14:paraId="1887E6C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Facilitation of Strategic investments</w:t>
            </w:r>
          </w:p>
        </w:tc>
        <w:tc>
          <w:tcPr>
            <w:tcW w:w="417" w:type="pct"/>
            <w:shd w:val="clear" w:color="auto" w:fill="C6EFCE"/>
            <w:noWrap/>
          </w:tcPr>
          <w:p w14:paraId="1887E6D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47" w:type="pct"/>
            <w:shd w:val="clear" w:color="auto" w:fill="C6EFCE"/>
            <w:noWrap/>
          </w:tcPr>
          <w:p w14:paraId="1887E6D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Law for strategic investments</w:t>
            </w:r>
          </w:p>
        </w:tc>
        <w:tc>
          <w:tcPr>
            <w:tcW w:w="550" w:type="pct"/>
            <w:shd w:val="clear" w:color="auto" w:fill="C6EFCE"/>
            <w:noWrap/>
          </w:tcPr>
          <w:p w14:paraId="1887E6D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Provision in the law indicating the entry into force of the law</w:t>
            </w:r>
          </w:p>
        </w:tc>
        <w:tc>
          <w:tcPr>
            <w:tcW w:w="505" w:type="pct"/>
            <w:shd w:val="clear" w:color="auto" w:fill="C6EFCE"/>
            <w:noWrap/>
          </w:tcPr>
          <w:p w14:paraId="1887E6D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tcPr>
          <w:p w14:paraId="1887E6D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50" w:type="pct"/>
            <w:shd w:val="clear" w:color="auto" w:fill="C6EFCE"/>
            <w:noWrap/>
          </w:tcPr>
          <w:p w14:paraId="1887E6D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9" w:type="pct"/>
            <w:shd w:val="clear" w:color="auto" w:fill="C6EFCE"/>
            <w:noWrap/>
          </w:tcPr>
          <w:p w14:paraId="1887E6D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252" w:type="pct"/>
            <w:shd w:val="clear" w:color="auto" w:fill="C6EFCE"/>
            <w:noWrap/>
          </w:tcPr>
          <w:p w14:paraId="1887E6D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1067" w:type="pct"/>
            <w:shd w:val="clear" w:color="auto" w:fill="C6EFCE"/>
            <w:noWrap/>
          </w:tcPr>
          <w:p w14:paraId="1887E6D8" w14:textId="77777777" w:rsidR="00C02B59" w:rsidRPr="00D1795B" w:rsidRDefault="00C02B59" w:rsidP="00C02B59">
            <w:pPr>
              <w:spacing w:after="0" w:line="240" w:lineRule="auto"/>
              <w:jc w:val="both"/>
              <w:rPr>
                <w:rFonts w:ascii="Times New Roman" w:hAnsi="Times New Roman" w:cs="Times New Roman"/>
                <w:noProof/>
                <w:sz w:val="18"/>
                <w:szCs w:val="18"/>
                <w14:ligatures w14:val="standardContextual"/>
              </w:rPr>
            </w:pPr>
            <w:r w:rsidRPr="00D1795B">
              <w:rPr>
                <w:rFonts w:ascii="Times New Roman" w:hAnsi="Times New Roman" w:cs="Times New Roman"/>
                <w:noProof/>
                <w:sz w:val="18"/>
                <w:szCs w:val="18"/>
              </w:rPr>
              <w:t>Entry into force of a law supporting strategic investments in Cyprus which shall include the following elements: streamlining of procedures for licencing strategic investment, project manager for each project, timely issuance of building permits.</w:t>
            </w:r>
          </w:p>
        </w:tc>
      </w:tr>
      <w:tr w:rsidR="00C02B59" w:rsidRPr="00D1795B" w14:paraId="1887E6E6" w14:textId="77777777" w:rsidTr="6B29DC81">
        <w:trPr>
          <w:trHeight w:val="300"/>
          <w:jc w:val="center"/>
        </w:trPr>
        <w:tc>
          <w:tcPr>
            <w:tcW w:w="370" w:type="pct"/>
            <w:shd w:val="clear" w:color="auto" w:fill="C6EFCE"/>
            <w:noWrap/>
            <w:hideMark/>
          </w:tcPr>
          <w:p w14:paraId="1887E6D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135</w:t>
            </w:r>
          </w:p>
        </w:tc>
        <w:tc>
          <w:tcPr>
            <w:tcW w:w="448" w:type="pct"/>
            <w:shd w:val="clear" w:color="auto" w:fill="C6EFCE"/>
            <w:noWrap/>
          </w:tcPr>
          <w:p w14:paraId="1887E6D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C3.3R1</w:t>
            </w:r>
          </w:p>
          <w:p w14:paraId="1887E6D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Facilitation of Strategic investments</w:t>
            </w:r>
          </w:p>
        </w:tc>
        <w:tc>
          <w:tcPr>
            <w:tcW w:w="417" w:type="pct"/>
            <w:shd w:val="clear" w:color="auto" w:fill="C6EFCE"/>
            <w:noWrap/>
          </w:tcPr>
          <w:p w14:paraId="1887E6D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47" w:type="pct"/>
            <w:shd w:val="clear" w:color="auto" w:fill="C6EFCE"/>
            <w:noWrap/>
          </w:tcPr>
          <w:p w14:paraId="1887E6D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Organisational capacity’s enhancement for the facilitation of strategic investments</w:t>
            </w:r>
          </w:p>
        </w:tc>
        <w:tc>
          <w:tcPr>
            <w:tcW w:w="550" w:type="pct"/>
            <w:shd w:val="clear" w:color="auto" w:fill="C6EFCE"/>
            <w:noWrap/>
          </w:tcPr>
          <w:p w14:paraId="1887E6D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Publication in the official gazette the setup of a government sector facilitating the reform, and of the process system and guidelines, and stated verification by the coordinating authority of training completion</w:t>
            </w:r>
          </w:p>
        </w:tc>
        <w:tc>
          <w:tcPr>
            <w:tcW w:w="505" w:type="pct"/>
            <w:shd w:val="clear" w:color="auto" w:fill="C6EFCE"/>
            <w:noWrap/>
          </w:tcPr>
          <w:p w14:paraId="1887E6E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tcPr>
          <w:p w14:paraId="1887E6E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50" w:type="pct"/>
            <w:shd w:val="clear" w:color="auto" w:fill="C6EFCE"/>
            <w:noWrap/>
          </w:tcPr>
          <w:p w14:paraId="1887E6E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9" w:type="pct"/>
            <w:shd w:val="clear" w:color="auto" w:fill="C6EFCE"/>
            <w:noWrap/>
          </w:tcPr>
          <w:p w14:paraId="1887E6E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52" w:type="pct"/>
            <w:shd w:val="clear" w:color="auto" w:fill="C6EFCE"/>
            <w:noWrap/>
          </w:tcPr>
          <w:p w14:paraId="1887E6E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1067" w:type="pct"/>
            <w:shd w:val="clear" w:color="auto" w:fill="C6EFCE"/>
            <w:noWrap/>
          </w:tcPr>
          <w:p w14:paraId="1887E6E5" w14:textId="77777777" w:rsidR="00C02B59" w:rsidRPr="00D1795B" w:rsidRDefault="00C02B59" w:rsidP="00C02B59">
            <w:pPr>
              <w:spacing w:after="0" w:line="240" w:lineRule="auto"/>
              <w:jc w:val="both"/>
              <w:rPr>
                <w:rFonts w:ascii="Times New Roman" w:hAnsi="Times New Roman" w:cs="Times New Roman"/>
                <w:noProof/>
                <w:sz w:val="18"/>
                <w:szCs w:val="18"/>
                <w14:ligatures w14:val="standardContextual"/>
              </w:rPr>
            </w:pPr>
            <w:r w:rsidRPr="00D1795B">
              <w:rPr>
                <w:rFonts w:ascii="Times New Roman" w:hAnsi="Times New Roman" w:cs="Times New Roman"/>
                <w:noProof/>
                <w:sz w:val="18"/>
                <w:szCs w:val="18"/>
              </w:rPr>
              <w:t>Publication in the official gazette of the completion of the setup of a sector in the Department of Town Planning and Housing for the enhancement of the facilitation of strategic system; publication of the process system and of the guidelines design; and reporting by the Coordinating authority of key personnel training for the implementation of the reform.</w:t>
            </w:r>
          </w:p>
        </w:tc>
      </w:tr>
      <w:tr w:rsidR="00C02B59" w:rsidRPr="00D1795B" w14:paraId="1887E6F3" w14:textId="77777777" w:rsidTr="6B29DC81">
        <w:trPr>
          <w:trHeight w:val="300"/>
          <w:jc w:val="center"/>
        </w:trPr>
        <w:tc>
          <w:tcPr>
            <w:tcW w:w="370" w:type="pct"/>
            <w:shd w:val="clear" w:color="auto" w:fill="C6EFCE"/>
            <w:noWrap/>
            <w:hideMark/>
          </w:tcPr>
          <w:p w14:paraId="1887E6E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136</w:t>
            </w:r>
          </w:p>
        </w:tc>
        <w:tc>
          <w:tcPr>
            <w:tcW w:w="448" w:type="pct"/>
            <w:shd w:val="clear" w:color="auto" w:fill="C6EFCE"/>
            <w:noWrap/>
            <w:hideMark/>
          </w:tcPr>
          <w:p w14:paraId="1887E6E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C3.3R2</w:t>
            </w:r>
          </w:p>
          <w:p w14:paraId="1887E6E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Enhancing Fast-Track Business Activation Mechanism</w:t>
            </w:r>
          </w:p>
        </w:tc>
        <w:tc>
          <w:tcPr>
            <w:tcW w:w="417" w:type="pct"/>
            <w:shd w:val="clear" w:color="auto" w:fill="C6EFCE"/>
            <w:noWrap/>
            <w:hideMark/>
          </w:tcPr>
          <w:p w14:paraId="1887E6E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47" w:type="pct"/>
            <w:shd w:val="clear" w:color="auto" w:fill="C6EFCE"/>
            <w:noWrap/>
            <w:hideMark/>
          </w:tcPr>
          <w:p w14:paraId="1887E6E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Establishment of an electronic system where investors can submit their online application </w:t>
            </w:r>
          </w:p>
        </w:tc>
        <w:tc>
          <w:tcPr>
            <w:tcW w:w="550" w:type="pct"/>
            <w:shd w:val="clear" w:color="auto" w:fill="C6EFCE"/>
            <w:noWrap/>
            <w:hideMark/>
          </w:tcPr>
          <w:p w14:paraId="1887E6E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Announcement by the Ministry of Commerce of the electronic system accepting applications</w:t>
            </w:r>
          </w:p>
        </w:tc>
        <w:tc>
          <w:tcPr>
            <w:tcW w:w="505" w:type="pct"/>
            <w:shd w:val="clear" w:color="auto" w:fill="C6EFCE"/>
            <w:noWrap/>
            <w:hideMark/>
          </w:tcPr>
          <w:p w14:paraId="1887E6E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hideMark/>
          </w:tcPr>
          <w:p w14:paraId="1887E6E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50" w:type="pct"/>
            <w:shd w:val="clear" w:color="auto" w:fill="C6EFCE"/>
            <w:noWrap/>
            <w:hideMark/>
          </w:tcPr>
          <w:p w14:paraId="1887E6E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9" w:type="pct"/>
            <w:shd w:val="clear" w:color="auto" w:fill="C6EFCE"/>
            <w:noWrap/>
            <w:hideMark/>
          </w:tcPr>
          <w:p w14:paraId="1887E6F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52" w:type="pct"/>
            <w:shd w:val="clear" w:color="auto" w:fill="C6EFCE"/>
            <w:noWrap/>
            <w:hideMark/>
          </w:tcPr>
          <w:p w14:paraId="1887E6F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1067" w:type="pct"/>
            <w:shd w:val="clear" w:color="auto" w:fill="C6EFCE"/>
            <w:noWrap/>
            <w:hideMark/>
          </w:tcPr>
          <w:p w14:paraId="1887E6F2" w14:textId="77777777" w:rsidR="00C02B59" w:rsidRPr="00D1795B" w:rsidRDefault="00C02B59" w:rsidP="00C02B59">
            <w:pPr>
              <w:spacing w:after="0" w:line="240" w:lineRule="auto"/>
              <w:jc w:val="both"/>
              <w:rPr>
                <w:rFonts w:ascii="Times New Roman" w:hAnsi="Times New Roman" w:cs="Times New Roman"/>
                <w:noProof/>
                <w:sz w:val="18"/>
                <w:szCs w:val="18"/>
                <w14:ligatures w14:val="standardContextual"/>
              </w:rPr>
            </w:pPr>
            <w:r w:rsidRPr="00D1795B">
              <w:rPr>
                <w:rFonts w:ascii="Times New Roman" w:hAnsi="Times New Roman" w:cs="Times New Roman"/>
                <w:noProof/>
                <w:sz w:val="18"/>
                <w:szCs w:val="18"/>
              </w:rPr>
              <w:t>Upgrade of the services of applications for business permit issuance, guidance for establishment and operation, provision of information for all the necessary permits required by the company to start operations, facilitation for the issuance of residence and employment permits in Cyprus for third-country nationals, application for registration as a foreign interest company through the establishment of an electronic system where investors may submit their online application.</w:t>
            </w:r>
          </w:p>
        </w:tc>
      </w:tr>
      <w:tr w:rsidR="00C02B59" w:rsidRPr="00D1795B" w14:paraId="1887E700" w14:textId="77777777" w:rsidTr="6B29DC81">
        <w:trPr>
          <w:trHeight w:val="300"/>
          <w:jc w:val="center"/>
        </w:trPr>
        <w:tc>
          <w:tcPr>
            <w:tcW w:w="370" w:type="pct"/>
            <w:tcBorders>
              <w:bottom w:val="single" w:sz="4" w:space="0" w:color="auto"/>
            </w:tcBorders>
            <w:shd w:val="clear" w:color="auto" w:fill="C1F0C7" w:themeFill="accent3" w:themeFillTint="33"/>
            <w:noWrap/>
          </w:tcPr>
          <w:p w14:paraId="1887E6F4" w14:textId="070BAF3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137</w:t>
            </w:r>
          </w:p>
        </w:tc>
        <w:tc>
          <w:tcPr>
            <w:tcW w:w="448" w:type="pct"/>
            <w:tcBorders>
              <w:bottom w:val="single" w:sz="4" w:space="0" w:color="auto"/>
            </w:tcBorders>
            <w:shd w:val="clear" w:color="auto" w:fill="C1F0C7" w:themeFill="accent3" w:themeFillTint="33"/>
            <w:noWrap/>
          </w:tcPr>
          <w:p w14:paraId="1887E6F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C3.3R2</w:t>
            </w:r>
          </w:p>
          <w:p w14:paraId="1887E6F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Supporting Fast-Track Business Activation Mechanism</w:t>
            </w:r>
          </w:p>
        </w:tc>
        <w:tc>
          <w:tcPr>
            <w:tcW w:w="417" w:type="pct"/>
            <w:tcBorders>
              <w:bottom w:val="single" w:sz="4" w:space="0" w:color="auto"/>
            </w:tcBorders>
            <w:shd w:val="clear" w:color="auto" w:fill="C1F0C7" w:themeFill="accent3" w:themeFillTint="33"/>
            <w:noWrap/>
          </w:tcPr>
          <w:p w14:paraId="1887E6F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447" w:type="pct"/>
            <w:tcBorders>
              <w:bottom w:val="single" w:sz="4" w:space="0" w:color="auto"/>
            </w:tcBorders>
            <w:shd w:val="clear" w:color="auto" w:fill="C1F0C7" w:themeFill="accent3" w:themeFillTint="33"/>
            <w:noWrap/>
          </w:tcPr>
          <w:p w14:paraId="1887E6F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Investment application assessment through the platform</w:t>
            </w:r>
          </w:p>
        </w:tc>
        <w:tc>
          <w:tcPr>
            <w:tcW w:w="550" w:type="pct"/>
            <w:tcBorders>
              <w:bottom w:val="single" w:sz="4" w:space="0" w:color="auto"/>
            </w:tcBorders>
            <w:shd w:val="clear" w:color="auto" w:fill="C1F0C7" w:themeFill="accent3" w:themeFillTint="33"/>
            <w:noWrap/>
          </w:tcPr>
          <w:p w14:paraId="1887E6F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w:t>
            </w:r>
          </w:p>
        </w:tc>
        <w:tc>
          <w:tcPr>
            <w:tcW w:w="505" w:type="pct"/>
            <w:tcBorders>
              <w:bottom w:val="single" w:sz="4" w:space="0" w:color="auto"/>
            </w:tcBorders>
            <w:shd w:val="clear" w:color="auto" w:fill="C1F0C7" w:themeFill="accent3" w:themeFillTint="33"/>
            <w:noWrap/>
          </w:tcPr>
          <w:p w14:paraId="1887E6F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45" w:type="pct"/>
            <w:tcBorders>
              <w:bottom w:val="single" w:sz="4" w:space="0" w:color="auto"/>
            </w:tcBorders>
            <w:shd w:val="clear" w:color="auto" w:fill="C1F0C7" w:themeFill="accent3" w:themeFillTint="33"/>
            <w:noWrap/>
          </w:tcPr>
          <w:p w14:paraId="1887E6F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50" w:type="pct"/>
            <w:tcBorders>
              <w:bottom w:val="single" w:sz="4" w:space="0" w:color="auto"/>
            </w:tcBorders>
            <w:shd w:val="clear" w:color="auto" w:fill="C1F0C7" w:themeFill="accent3" w:themeFillTint="33"/>
            <w:noWrap/>
          </w:tcPr>
          <w:p w14:paraId="1887E6FC" w14:textId="3E40EE84" w:rsidR="00C02B59" w:rsidRPr="00D1795B" w:rsidRDefault="00127275"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35</w:t>
            </w:r>
          </w:p>
        </w:tc>
        <w:tc>
          <w:tcPr>
            <w:tcW w:w="349" w:type="pct"/>
            <w:tcBorders>
              <w:bottom w:val="single" w:sz="4" w:space="0" w:color="auto"/>
            </w:tcBorders>
            <w:shd w:val="clear" w:color="auto" w:fill="C1F0C7" w:themeFill="accent3" w:themeFillTint="33"/>
            <w:noWrap/>
          </w:tcPr>
          <w:p w14:paraId="1887E6F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52" w:type="pct"/>
            <w:tcBorders>
              <w:bottom w:val="single" w:sz="4" w:space="0" w:color="auto"/>
            </w:tcBorders>
            <w:shd w:val="clear" w:color="auto" w:fill="C1F0C7" w:themeFill="accent3" w:themeFillTint="33"/>
            <w:noWrap/>
          </w:tcPr>
          <w:p w14:paraId="1887E6F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1067" w:type="pct"/>
            <w:tcBorders>
              <w:bottom w:val="single" w:sz="4" w:space="0" w:color="auto"/>
            </w:tcBorders>
            <w:shd w:val="clear" w:color="auto" w:fill="C1F0C7" w:themeFill="accent3" w:themeFillTint="33"/>
            <w:noWrap/>
          </w:tcPr>
          <w:p w14:paraId="1887E6FF" w14:textId="3412F8CF"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Assessment of at least </w:t>
            </w:r>
            <w:r w:rsidR="00127275" w:rsidRPr="00D1795B">
              <w:rPr>
                <w:rFonts w:ascii="Times New Roman" w:hAnsi="Times New Roman" w:cs="Times New Roman"/>
                <w:noProof/>
                <w:sz w:val="18"/>
                <w:szCs w:val="18"/>
              </w:rPr>
              <w:t>35</w:t>
            </w:r>
            <w:r w:rsidRPr="00D1795B">
              <w:rPr>
                <w:rFonts w:ascii="Times New Roman" w:hAnsi="Times New Roman" w:cs="Times New Roman"/>
                <w:noProof/>
                <w:sz w:val="18"/>
                <w:szCs w:val="18"/>
              </w:rPr>
              <w:t xml:space="preserve"> applications for investment through the platform.</w:t>
            </w:r>
          </w:p>
        </w:tc>
      </w:tr>
      <w:tr w:rsidR="00C02B59" w:rsidRPr="00D1795B" w14:paraId="1887E70C" w14:textId="77777777" w:rsidTr="6B29DC81">
        <w:trPr>
          <w:trHeight w:val="300"/>
          <w:jc w:val="center"/>
        </w:trPr>
        <w:tc>
          <w:tcPr>
            <w:tcW w:w="370" w:type="pct"/>
            <w:tcBorders>
              <w:top w:val="single" w:sz="4" w:space="0" w:color="auto"/>
            </w:tcBorders>
            <w:shd w:val="clear" w:color="auto" w:fill="C1F0C7" w:themeFill="accent3" w:themeFillTint="33"/>
            <w:noWrap/>
          </w:tcPr>
          <w:p w14:paraId="1887E701"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138a</w:t>
            </w:r>
          </w:p>
        </w:tc>
        <w:tc>
          <w:tcPr>
            <w:tcW w:w="448" w:type="pct"/>
            <w:tcBorders>
              <w:top w:val="single" w:sz="4" w:space="0" w:color="auto"/>
            </w:tcBorders>
            <w:shd w:val="clear" w:color="auto" w:fill="C1F0C7" w:themeFill="accent3" w:themeFillTint="33"/>
            <w:noWrap/>
          </w:tcPr>
          <w:p w14:paraId="1887E70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C3.3R7 Screening of Foreign Direct Investment</w:t>
            </w:r>
          </w:p>
        </w:tc>
        <w:tc>
          <w:tcPr>
            <w:tcW w:w="417" w:type="pct"/>
            <w:tcBorders>
              <w:top w:val="single" w:sz="4" w:space="0" w:color="auto"/>
            </w:tcBorders>
            <w:shd w:val="clear" w:color="auto" w:fill="C1F0C7" w:themeFill="accent3" w:themeFillTint="33"/>
            <w:noWrap/>
          </w:tcPr>
          <w:p w14:paraId="1887E70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47" w:type="pct"/>
            <w:tcBorders>
              <w:top w:val="single" w:sz="4" w:space="0" w:color="auto"/>
            </w:tcBorders>
            <w:shd w:val="clear" w:color="auto" w:fill="C1F0C7" w:themeFill="accent3" w:themeFillTint="33"/>
            <w:noWrap/>
          </w:tcPr>
          <w:p w14:paraId="1887E70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the legal act(s) on foreign Direct Investment screening </w:t>
            </w:r>
          </w:p>
        </w:tc>
        <w:tc>
          <w:tcPr>
            <w:tcW w:w="550" w:type="pct"/>
            <w:tcBorders>
              <w:top w:val="single" w:sz="4" w:space="0" w:color="auto"/>
            </w:tcBorders>
            <w:shd w:val="clear" w:color="auto" w:fill="C1F0C7" w:themeFill="accent3" w:themeFillTint="33"/>
            <w:noWrap/>
          </w:tcPr>
          <w:p w14:paraId="1887E70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legal act(s)</w:t>
            </w:r>
          </w:p>
        </w:tc>
        <w:tc>
          <w:tcPr>
            <w:tcW w:w="505" w:type="pct"/>
            <w:tcBorders>
              <w:top w:val="single" w:sz="4" w:space="0" w:color="auto"/>
            </w:tcBorders>
            <w:shd w:val="clear" w:color="auto" w:fill="C1F0C7" w:themeFill="accent3" w:themeFillTint="33"/>
            <w:noWrap/>
          </w:tcPr>
          <w:p w14:paraId="1887E70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tcBorders>
              <w:top w:val="single" w:sz="4" w:space="0" w:color="auto"/>
            </w:tcBorders>
            <w:shd w:val="clear" w:color="auto" w:fill="C1F0C7" w:themeFill="accent3" w:themeFillTint="33"/>
            <w:noWrap/>
          </w:tcPr>
          <w:p w14:paraId="1887E70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50" w:type="pct"/>
            <w:tcBorders>
              <w:top w:val="single" w:sz="4" w:space="0" w:color="auto"/>
            </w:tcBorders>
            <w:shd w:val="clear" w:color="auto" w:fill="C1F0C7" w:themeFill="accent3" w:themeFillTint="33"/>
            <w:noWrap/>
          </w:tcPr>
          <w:p w14:paraId="1887E70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9" w:type="pct"/>
            <w:tcBorders>
              <w:top w:val="single" w:sz="4" w:space="0" w:color="auto"/>
            </w:tcBorders>
            <w:shd w:val="clear" w:color="auto" w:fill="C1F0C7" w:themeFill="accent3" w:themeFillTint="33"/>
            <w:noWrap/>
          </w:tcPr>
          <w:p w14:paraId="1887E70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52" w:type="pct"/>
            <w:tcBorders>
              <w:top w:val="single" w:sz="4" w:space="0" w:color="auto"/>
            </w:tcBorders>
            <w:shd w:val="clear" w:color="auto" w:fill="C1F0C7" w:themeFill="accent3" w:themeFillTint="33"/>
            <w:noWrap/>
          </w:tcPr>
          <w:p w14:paraId="1887E70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1067" w:type="pct"/>
            <w:tcBorders>
              <w:top w:val="single" w:sz="4" w:space="0" w:color="auto"/>
            </w:tcBorders>
            <w:shd w:val="clear" w:color="auto" w:fill="C1F0C7" w:themeFill="accent3" w:themeFillTint="33"/>
            <w:noWrap/>
          </w:tcPr>
          <w:p w14:paraId="1887E70B"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the </w:t>
            </w:r>
            <w:r w:rsidRPr="00D1795B">
              <w:rPr>
                <w:rFonts w:ascii="Times New Roman" w:eastAsia="Calibri" w:hAnsi="Times New Roman" w:cs="Times New Roman"/>
                <w:noProof/>
                <w:sz w:val="18"/>
                <w:szCs w:val="18"/>
              </w:rPr>
              <w:t>legal act(s) on</w:t>
            </w:r>
            <w:r w:rsidRPr="00D1795B">
              <w:rPr>
                <w:rFonts w:ascii="Times New Roman" w:hAnsi="Times New Roman" w:cs="Times New Roman"/>
                <w:noProof/>
                <w:sz w:val="18"/>
                <w:szCs w:val="18"/>
              </w:rPr>
              <w:t xml:space="preserve"> the </w:t>
            </w:r>
            <w:r w:rsidRPr="00D1795B">
              <w:rPr>
                <w:rFonts w:ascii="Times New Roman" w:eastAsia="Calibri" w:hAnsi="Times New Roman" w:cs="Times New Roman"/>
                <w:noProof/>
                <w:sz w:val="18"/>
                <w:szCs w:val="18"/>
              </w:rPr>
              <w:t>foreign Direct Investment screening</w:t>
            </w:r>
            <w:r w:rsidRPr="00D1795B">
              <w:rPr>
                <w:rFonts w:ascii="Times New Roman" w:hAnsi="Times New Roman" w:cs="Times New Roman"/>
                <w:noProof/>
                <w:sz w:val="18"/>
                <w:szCs w:val="18"/>
              </w:rPr>
              <w:t xml:space="preserve">. </w:t>
            </w:r>
          </w:p>
        </w:tc>
      </w:tr>
      <w:tr w:rsidR="00C02B59" w:rsidRPr="00D1795B" w14:paraId="1887E719" w14:textId="77777777" w:rsidTr="6B29DC81">
        <w:trPr>
          <w:trHeight w:val="300"/>
          <w:jc w:val="center"/>
        </w:trPr>
        <w:tc>
          <w:tcPr>
            <w:tcW w:w="370" w:type="pct"/>
            <w:shd w:val="clear" w:color="auto" w:fill="C6EFCE"/>
            <w:noWrap/>
          </w:tcPr>
          <w:p w14:paraId="1887E70D"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140</w:t>
            </w:r>
          </w:p>
        </w:tc>
        <w:tc>
          <w:tcPr>
            <w:tcW w:w="448" w:type="pct"/>
            <w:shd w:val="clear" w:color="auto" w:fill="C6EFCE"/>
            <w:noWrap/>
          </w:tcPr>
          <w:p w14:paraId="1887E70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C3.3R4</w:t>
            </w:r>
          </w:p>
          <w:p w14:paraId="1887E70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Design and establish a National Promotional Agency </w:t>
            </w:r>
          </w:p>
        </w:tc>
        <w:tc>
          <w:tcPr>
            <w:tcW w:w="417" w:type="pct"/>
            <w:shd w:val="clear" w:color="auto" w:fill="C6EFCE"/>
            <w:noWrap/>
          </w:tcPr>
          <w:p w14:paraId="1887E71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47" w:type="pct"/>
            <w:shd w:val="clear" w:color="auto" w:fill="C6EFCE"/>
            <w:noWrap/>
          </w:tcPr>
          <w:p w14:paraId="1887E71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Approval by the Council of Ministers of the roadmap for the creation and establishment of a National Promotional Agency</w:t>
            </w:r>
          </w:p>
        </w:tc>
        <w:tc>
          <w:tcPr>
            <w:tcW w:w="550" w:type="pct"/>
            <w:shd w:val="clear" w:color="auto" w:fill="C6EFCE"/>
            <w:noWrap/>
          </w:tcPr>
          <w:p w14:paraId="1887E71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Publication of the Council of Ministers’ decision</w:t>
            </w:r>
          </w:p>
        </w:tc>
        <w:tc>
          <w:tcPr>
            <w:tcW w:w="505" w:type="pct"/>
            <w:shd w:val="clear" w:color="auto" w:fill="C6EFCE"/>
            <w:noWrap/>
          </w:tcPr>
          <w:p w14:paraId="1887E71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tcPr>
          <w:p w14:paraId="1887E71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50" w:type="pct"/>
            <w:shd w:val="clear" w:color="auto" w:fill="C6EFCE"/>
            <w:noWrap/>
          </w:tcPr>
          <w:p w14:paraId="1887E71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9" w:type="pct"/>
            <w:shd w:val="clear" w:color="auto" w:fill="C6EFCE"/>
            <w:noWrap/>
          </w:tcPr>
          <w:p w14:paraId="1887E71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52" w:type="pct"/>
            <w:shd w:val="clear" w:color="auto" w:fill="C6EFCE"/>
            <w:noWrap/>
          </w:tcPr>
          <w:p w14:paraId="1887E71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1067" w:type="pct"/>
            <w:shd w:val="clear" w:color="auto" w:fill="C6EFCE"/>
            <w:noWrap/>
          </w:tcPr>
          <w:p w14:paraId="1887E718" w14:textId="77777777" w:rsidR="00C02B59" w:rsidRPr="00D1795B" w:rsidRDefault="00C02B59" w:rsidP="00C02B59">
            <w:pPr>
              <w:spacing w:after="0" w:line="240" w:lineRule="auto"/>
              <w:jc w:val="both"/>
              <w:rPr>
                <w:rFonts w:ascii="Times New Roman" w:hAnsi="Times New Roman" w:cs="Times New Roman"/>
                <w:noProof/>
                <w:sz w:val="18"/>
                <w:szCs w:val="18"/>
                <w14:ligatures w14:val="standardContextual"/>
              </w:rPr>
            </w:pPr>
            <w:r w:rsidRPr="00D1795B">
              <w:rPr>
                <w:rFonts w:ascii="Times New Roman" w:hAnsi="Times New Roman" w:cs="Times New Roman"/>
                <w:noProof/>
                <w:sz w:val="18"/>
                <w:szCs w:val="18"/>
              </w:rPr>
              <w:t>Approval by the Council of Ministers of the roadmap for the creation and establishment of a National Promotional Agency which shall facilitate access to loans and guarantees to Small and Medium Enterprises and enhance the absorption capacity of EU financing through EU tools.</w:t>
            </w:r>
          </w:p>
        </w:tc>
      </w:tr>
      <w:tr w:rsidR="00C02B59" w:rsidRPr="00D1795B" w14:paraId="1887E726" w14:textId="77777777" w:rsidTr="6B29DC81">
        <w:trPr>
          <w:trHeight w:val="300"/>
          <w:jc w:val="center"/>
        </w:trPr>
        <w:tc>
          <w:tcPr>
            <w:tcW w:w="370" w:type="pct"/>
            <w:shd w:val="clear" w:color="auto" w:fill="C1F0C7" w:themeFill="accent3" w:themeFillTint="33"/>
            <w:noWrap/>
            <w:hideMark/>
          </w:tcPr>
          <w:p w14:paraId="1887E71A"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141</w:t>
            </w:r>
          </w:p>
        </w:tc>
        <w:tc>
          <w:tcPr>
            <w:tcW w:w="448" w:type="pct"/>
            <w:shd w:val="clear" w:color="auto" w:fill="C1F0C7" w:themeFill="accent3" w:themeFillTint="33"/>
            <w:noWrap/>
            <w:hideMark/>
          </w:tcPr>
          <w:p w14:paraId="1887E71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C3.3R4</w:t>
            </w:r>
          </w:p>
          <w:p w14:paraId="1887E71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National Promotional Agency </w:t>
            </w:r>
          </w:p>
        </w:tc>
        <w:tc>
          <w:tcPr>
            <w:tcW w:w="417" w:type="pct"/>
            <w:shd w:val="clear" w:color="auto" w:fill="C1F0C7" w:themeFill="accent3" w:themeFillTint="33"/>
            <w:noWrap/>
            <w:hideMark/>
          </w:tcPr>
          <w:p w14:paraId="1887E71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47" w:type="pct"/>
            <w:shd w:val="clear" w:color="auto" w:fill="C1F0C7" w:themeFill="accent3" w:themeFillTint="33"/>
            <w:noWrap/>
            <w:hideMark/>
          </w:tcPr>
          <w:p w14:paraId="1887E71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Cyprus National Promotional Agency</w:t>
            </w:r>
          </w:p>
        </w:tc>
        <w:tc>
          <w:tcPr>
            <w:tcW w:w="550" w:type="pct"/>
            <w:shd w:val="clear" w:color="auto" w:fill="C1F0C7" w:themeFill="accent3" w:themeFillTint="33"/>
            <w:noWrap/>
            <w:hideMark/>
          </w:tcPr>
          <w:p w14:paraId="1887E71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Appointment of the Board of Directors</w:t>
            </w:r>
          </w:p>
        </w:tc>
        <w:tc>
          <w:tcPr>
            <w:tcW w:w="505" w:type="pct"/>
            <w:shd w:val="clear" w:color="auto" w:fill="C1F0C7" w:themeFill="accent3" w:themeFillTint="33"/>
            <w:noWrap/>
            <w:hideMark/>
          </w:tcPr>
          <w:p w14:paraId="1887E720"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345" w:type="pct"/>
            <w:shd w:val="clear" w:color="auto" w:fill="C1F0C7" w:themeFill="accent3" w:themeFillTint="33"/>
            <w:noWrap/>
            <w:hideMark/>
          </w:tcPr>
          <w:p w14:paraId="1887E721"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250" w:type="pct"/>
            <w:shd w:val="clear" w:color="auto" w:fill="C1F0C7" w:themeFill="accent3" w:themeFillTint="33"/>
            <w:noWrap/>
            <w:hideMark/>
          </w:tcPr>
          <w:p w14:paraId="1887E722"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349" w:type="pct"/>
            <w:shd w:val="clear" w:color="auto" w:fill="C1F0C7" w:themeFill="accent3" w:themeFillTint="33"/>
            <w:noWrap/>
            <w:hideMark/>
          </w:tcPr>
          <w:p w14:paraId="1887E72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Q3</w:t>
            </w:r>
          </w:p>
        </w:tc>
        <w:tc>
          <w:tcPr>
            <w:tcW w:w="252" w:type="pct"/>
            <w:shd w:val="clear" w:color="auto" w:fill="C1F0C7" w:themeFill="accent3" w:themeFillTint="33"/>
            <w:noWrap/>
            <w:hideMark/>
          </w:tcPr>
          <w:p w14:paraId="1887E72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1067" w:type="pct"/>
            <w:shd w:val="clear" w:color="auto" w:fill="C1F0C7" w:themeFill="accent3" w:themeFillTint="33"/>
            <w:noWrap/>
            <w:hideMark/>
          </w:tcPr>
          <w:p w14:paraId="1887E725"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Appointment of the Board of Directors of the National Promotional Agency published in the Official Gazette of the Republic of Cyprus.</w:t>
            </w:r>
          </w:p>
        </w:tc>
      </w:tr>
      <w:tr w:rsidR="00C02B59" w:rsidRPr="00D1795B" w14:paraId="1887E733" w14:textId="77777777" w:rsidTr="6B29DC81">
        <w:trPr>
          <w:trHeight w:val="300"/>
          <w:jc w:val="center"/>
        </w:trPr>
        <w:tc>
          <w:tcPr>
            <w:tcW w:w="370" w:type="pct"/>
            <w:shd w:val="clear" w:color="auto" w:fill="C1F0C7" w:themeFill="accent3" w:themeFillTint="33"/>
            <w:noWrap/>
          </w:tcPr>
          <w:p w14:paraId="1887E727"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142a</w:t>
            </w:r>
          </w:p>
        </w:tc>
        <w:tc>
          <w:tcPr>
            <w:tcW w:w="448" w:type="pct"/>
            <w:shd w:val="clear" w:color="auto" w:fill="C1F0C7" w:themeFill="accent3" w:themeFillTint="33"/>
            <w:noWrap/>
          </w:tcPr>
          <w:p w14:paraId="1887E72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C3.3R8</w:t>
            </w:r>
          </w:p>
          <w:p w14:paraId="1887E72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The Provision of Crowdfunding Services for Business Law</w:t>
            </w:r>
          </w:p>
        </w:tc>
        <w:tc>
          <w:tcPr>
            <w:tcW w:w="417" w:type="pct"/>
            <w:shd w:val="clear" w:color="auto" w:fill="C1F0C7" w:themeFill="accent3" w:themeFillTint="33"/>
            <w:noWrap/>
          </w:tcPr>
          <w:p w14:paraId="1887E72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47" w:type="pct"/>
            <w:shd w:val="clear" w:color="auto" w:fill="C1F0C7" w:themeFill="accent3" w:themeFillTint="33"/>
            <w:noWrap/>
          </w:tcPr>
          <w:p w14:paraId="1887E72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legal act(s) on the Provision of Crowdfunding Services for Business Law </w:t>
            </w:r>
          </w:p>
        </w:tc>
        <w:tc>
          <w:tcPr>
            <w:tcW w:w="550" w:type="pct"/>
            <w:shd w:val="clear" w:color="auto" w:fill="C1F0C7" w:themeFill="accent3" w:themeFillTint="33"/>
            <w:noWrap/>
          </w:tcPr>
          <w:p w14:paraId="1887E72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Provision in the law indicating the entry into force of legal act(s)</w:t>
            </w:r>
          </w:p>
        </w:tc>
        <w:tc>
          <w:tcPr>
            <w:tcW w:w="505" w:type="pct"/>
            <w:shd w:val="clear" w:color="auto" w:fill="C1F0C7" w:themeFill="accent3" w:themeFillTint="33"/>
            <w:noWrap/>
          </w:tcPr>
          <w:p w14:paraId="1887E72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1F0C7" w:themeFill="accent3" w:themeFillTint="33"/>
            <w:noWrap/>
          </w:tcPr>
          <w:p w14:paraId="1887E72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50" w:type="pct"/>
            <w:shd w:val="clear" w:color="auto" w:fill="C1F0C7" w:themeFill="accent3" w:themeFillTint="33"/>
            <w:noWrap/>
          </w:tcPr>
          <w:p w14:paraId="1887E72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9" w:type="pct"/>
            <w:shd w:val="clear" w:color="auto" w:fill="C1F0C7" w:themeFill="accent3" w:themeFillTint="33"/>
            <w:noWrap/>
          </w:tcPr>
          <w:p w14:paraId="1887E73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52" w:type="pct"/>
            <w:shd w:val="clear" w:color="auto" w:fill="C1F0C7" w:themeFill="accent3" w:themeFillTint="33"/>
            <w:noWrap/>
          </w:tcPr>
          <w:p w14:paraId="1887E73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1067" w:type="pct"/>
            <w:shd w:val="clear" w:color="auto" w:fill="C1F0C7" w:themeFill="accent3" w:themeFillTint="33"/>
            <w:noWrap/>
          </w:tcPr>
          <w:p w14:paraId="1887E73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the legal act(s) on the Provision of Crowdfunding Services for Business. </w:t>
            </w:r>
          </w:p>
        </w:tc>
      </w:tr>
      <w:tr w:rsidR="00C02B59" w:rsidRPr="00D1795B" w14:paraId="1887E740" w14:textId="77777777" w:rsidTr="6B29DC81">
        <w:trPr>
          <w:trHeight w:val="300"/>
          <w:jc w:val="center"/>
        </w:trPr>
        <w:tc>
          <w:tcPr>
            <w:tcW w:w="370" w:type="pct"/>
            <w:shd w:val="clear" w:color="auto" w:fill="C6EFCE"/>
            <w:noWrap/>
          </w:tcPr>
          <w:p w14:paraId="1887E73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143</w:t>
            </w:r>
          </w:p>
        </w:tc>
        <w:tc>
          <w:tcPr>
            <w:tcW w:w="448" w:type="pct"/>
            <w:shd w:val="clear" w:color="auto" w:fill="C6EFCE"/>
            <w:noWrap/>
          </w:tcPr>
          <w:p w14:paraId="1887E73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C3.3R6</w:t>
            </w:r>
          </w:p>
          <w:p w14:paraId="1887E73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Incentives to promote mergers and acquisitions.</w:t>
            </w:r>
          </w:p>
        </w:tc>
        <w:tc>
          <w:tcPr>
            <w:tcW w:w="417" w:type="pct"/>
            <w:shd w:val="clear" w:color="auto" w:fill="C6EFCE"/>
            <w:noWrap/>
          </w:tcPr>
          <w:p w14:paraId="1887E73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47" w:type="pct"/>
            <w:shd w:val="clear" w:color="auto" w:fill="C6EFCE"/>
            <w:noWrap/>
          </w:tcPr>
          <w:p w14:paraId="1887E73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Action Plan for incentives for mergers and acquisitions</w:t>
            </w:r>
          </w:p>
        </w:tc>
        <w:tc>
          <w:tcPr>
            <w:tcW w:w="550" w:type="pct"/>
            <w:shd w:val="clear" w:color="auto" w:fill="C6EFCE"/>
            <w:noWrap/>
          </w:tcPr>
          <w:p w14:paraId="1887E73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Council of Ministers adoption of a report and the accompanying action plan</w:t>
            </w:r>
          </w:p>
        </w:tc>
        <w:tc>
          <w:tcPr>
            <w:tcW w:w="505" w:type="pct"/>
            <w:shd w:val="clear" w:color="auto" w:fill="C6EFCE"/>
            <w:noWrap/>
          </w:tcPr>
          <w:p w14:paraId="1887E73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tcPr>
          <w:p w14:paraId="1887E73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50" w:type="pct"/>
            <w:shd w:val="clear" w:color="auto" w:fill="C6EFCE"/>
            <w:noWrap/>
          </w:tcPr>
          <w:p w14:paraId="1887E73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9" w:type="pct"/>
            <w:shd w:val="clear" w:color="auto" w:fill="C6EFCE"/>
            <w:noWrap/>
          </w:tcPr>
          <w:p w14:paraId="1887E73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52" w:type="pct"/>
            <w:shd w:val="clear" w:color="auto" w:fill="C6EFCE"/>
            <w:noWrap/>
          </w:tcPr>
          <w:p w14:paraId="1887E73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1067" w:type="pct"/>
            <w:shd w:val="clear" w:color="auto" w:fill="C6EFCE"/>
            <w:noWrap/>
          </w:tcPr>
          <w:p w14:paraId="1887E73F" w14:textId="77777777" w:rsidR="00C02B59" w:rsidRPr="00D1795B" w:rsidRDefault="00C02B59" w:rsidP="00C02B59">
            <w:pPr>
              <w:spacing w:after="0" w:line="240" w:lineRule="auto"/>
              <w:jc w:val="both"/>
              <w:rPr>
                <w:rFonts w:ascii="Times New Roman" w:hAnsi="Times New Roman" w:cs="Times New Roman"/>
                <w:noProof/>
                <w:sz w:val="18"/>
                <w:szCs w:val="18"/>
                <w14:ligatures w14:val="standardContextual"/>
              </w:rPr>
            </w:pPr>
            <w:r w:rsidRPr="00D1795B">
              <w:rPr>
                <w:rFonts w:ascii="Times New Roman" w:hAnsi="Times New Roman" w:cs="Times New Roman"/>
                <w:noProof/>
                <w:sz w:val="18"/>
                <w:szCs w:val="18"/>
              </w:rPr>
              <w:t xml:space="preserve">Approval of a report and an accompanying action plan by the Council of Ministers on specific incentives for promoting mergers and acquisitions, following the evaluation of similar regimes within the EU and consultation with stakeholders. </w:t>
            </w:r>
          </w:p>
        </w:tc>
      </w:tr>
      <w:tr w:rsidR="00C02B59" w:rsidRPr="00D1795B" w14:paraId="1887E74D" w14:textId="77777777" w:rsidTr="6B29DC81">
        <w:trPr>
          <w:trHeight w:val="300"/>
          <w:jc w:val="center"/>
        </w:trPr>
        <w:tc>
          <w:tcPr>
            <w:tcW w:w="370" w:type="pct"/>
            <w:shd w:val="clear" w:color="auto" w:fill="C6EFCE"/>
            <w:noWrap/>
          </w:tcPr>
          <w:p w14:paraId="1887E74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144</w:t>
            </w:r>
          </w:p>
        </w:tc>
        <w:tc>
          <w:tcPr>
            <w:tcW w:w="448" w:type="pct"/>
            <w:shd w:val="clear" w:color="auto" w:fill="C6EFCE"/>
            <w:noWrap/>
          </w:tcPr>
          <w:p w14:paraId="1887E74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C3.3I2</w:t>
            </w:r>
          </w:p>
          <w:p w14:paraId="1887E74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 Regulatory Sandbox </w:t>
            </w:r>
          </w:p>
        </w:tc>
        <w:tc>
          <w:tcPr>
            <w:tcW w:w="417" w:type="pct"/>
            <w:shd w:val="clear" w:color="auto" w:fill="C6EFCE"/>
            <w:noWrap/>
          </w:tcPr>
          <w:p w14:paraId="1887E74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47" w:type="pct"/>
            <w:shd w:val="clear" w:color="auto" w:fill="C6EFCE"/>
            <w:noWrap/>
          </w:tcPr>
          <w:p w14:paraId="1887E74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Regulatory Sandbox </w:t>
            </w:r>
          </w:p>
        </w:tc>
        <w:tc>
          <w:tcPr>
            <w:tcW w:w="550" w:type="pct"/>
            <w:shd w:val="clear" w:color="auto" w:fill="C6EFCE"/>
            <w:noWrap/>
          </w:tcPr>
          <w:p w14:paraId="1887E74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Regulatory Sandbox is accessible. </w:t>
            </w:r>
          </w:p>
        </w:tc>
        <w:tc>
          <w:tcPr>
            <w:tcW w:w="505" w:type="pct"/>
            <w:shd w:val="clear" w:color="auto" w:fill="C6EFCE"/>
            <w:noWrap/>
          </w:tcPr>
          <w:p w14:paraId="1887E74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tcPr>
          <w:p w14:paraId="1887E74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50" w:type="pct"/>
            <w:shd w:val="clear" w:color="auto" w:fill="C6EFCE"/>
            <w:noWrap/>
          </w:tcPr>
          <w:p w14:paraId="1887E74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9" w:type="pct"/>
            <w:shd w:val="clear" w:color="auto" w:fill="C6EFCE"/>
            <w:noWrap/>
          </w:tcPr>
          <w:p w14:paraId="1887E74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52" w:type="pct"/>
            <w:shd w:val="clear" w:color="auto" w:fill="C6EFCE"/>
            <w:noWrap/>
          </w:tcPr>
          <w:p w14:paraId="1887E74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1067" w:type="pct"/>
            <w:shd w:val="clear" w:color="auto" w:fill="C6EFCE"/>
            <w:noWrap/>
          </w:tcPr>
          <w:p w14:paraId="1887E74C" w14:textId="77777777" w:rsidR="00C02B59" w:rsidRPr="00D1795B" w:rsidRDefault="00C02B59" w:rsidP="00C02B59">
            <w:pPr>
              <w:spacing w:after="0" w:line="240" w:lineRule="auto"/>
              <w:jc w:val="both"/>
              <w:rPr>
                <w:rFonts w:ascii="Times New Roman" w:hAnsi="Times New Roman" w:cs="Times New Roman"/>
                <w:noProof/>
                <w:sz w:val="18"/>
                <w:szCs w:val="18"/>
                <w14:ligatures w14:val="standardContextual"/>
              </w:rPr>
            </w:pPr>
            <w:r w:rsidRPr="00D1795B">
              <w:rPr>
                <w:rFonts w:ascii="Times New Roman" w:hAnsi="Times New Roman" w:cs="Times New Roman"/>
                <w:noProof/>
                <w:sz w:val="18"/>
                <w:szCs w:val="18"/>
              </w:rPr>
              <w:t>A Regulatory Sandbox is accessible.</w:t>
            </w:r>
          </w:p>
        </w:tc>
      </w:tr>
      <w:tr w:rsidR="00C02B59" w:rsidRPr="00D1795B" w14:paraId="1887E75A" w14:textId="77777777" w:rsidTr="6B29DC81">
        <w:trPr>
          <w:trHeight w:val="300"/>
          <w:jc w:val="center"/>
        </w:trPr>
        <w:tc>
          <w:tcPr>
            <w:tcW w:w="370" w:type="pct"/>
            <w:shd w:val="clear" w:color="auto" w:fill="C6EFCE"/>
            <w:noWrap/>
          </w:tcPr>
          <w:p w14:paraId="1887E74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147</w:t>
            </w:r>
          </w:p>
        </w:tc>
        <w:tc>
          <w:tcPr>
            <w:tcW w:w="448" w:type="pct"/>
            <w:shd w:val="clear" w:color="auto" w:fill="C6EFCE"/>
            <w:noWrap/>
          </w:tcPr>
          <w:p w14:paraId="1887E74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C3.3I4</w:t>
            </w:r>
          </w:p>
          <w:p w14:paraId="1887E75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Scheme for the digital upgrade of enterprises </w:t>
            </w:r>
          </w:p>
        </w:tc>
        <w:tc>
          <w:tcPr>
            <w:tcW w:w="417" w:type="pct"/>
            <w:shd w:val="clear" w:color="auto" w:fill="C6EFCE"/>
            <w:noWrap/>
          </w:tcPr>
          <w:p w14:paraId="1887E75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47" w:type="pct"/>
            <w:shd w:val="clear" w:color="auto" w:fill="C6EFCE"/>
            <w:noWrap/>
          </w:tcPr>
          <w:p w14:paraId="1887E75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Publication of call for proposals following approval of the scheme by the Council of Ministers</w:t>
            </w:r>
          </w:p>
        </w:tc>
        <w:tc>
          <w:tcPr>
            <w:tcW w:w="550" w:type="pct"/>
            <w:shd w:val="clear" w:color="auto" w:fill="C6EFCE"/>
            <w:noWrap/>
          </w:tcPr>
          <w:p w14:paraId="1887E75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Official announcement of the call for proposals in the press, the MECI/ITS website and MECI/ITS social media</w:t>
            </w:r>
          </w:p>
        </w:tc>
        <w:tc>
          <w:tcPr>
            <w:tcW w:w="505" w:type="pct"/>
            <w:shd w:val="clear" w:color="auto" w:fill="C6EFCE"/>
            <w:noWrap/>
          </w:tcPr>
          <w:p w14:paraId="1887E75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tcPr>
          <w:p w14:paraId="1887E75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50" w:type="pct"/>
            <w:shd w:val="clear" w:color="auto" w:fill="C6EFCE"/>
            <w:noWrap/>
          </w:tcPr>
          <w:p w14:paraId="1887E75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9" w:type="pct"/>
            <w:shd w:val="clear" w:color="auto" w:fill="C6EFCE"/>
            <w:noWrap/>
          </w:tcPr>
          <w:p w14:paraId="1887E75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52" w:type="pct"/>
            <w:shd w:val="clear" w:color="auto" w:fill="C6EFCE"/>
            <w:noWrap/>
          </w:tcPr>
          <w:p w14:paraId="1887E75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1067" w:type="pct"/>
            <w:shd w:val="clear" w:color="auto" w:fill="C6EFCE"/>
            <w:noWrap/>
          </w:tcPr>
          <w:p w14:paraId="1887E759" w14:textId="77777777" w:rsidR="00C02B59" w:rsidRPr="00D1795B" w:rsidRDefault="00C02B59" w:rsidP="00C02B59">
            <w:pPr>
              <w:spacing w:after="0" w:line="240" w:lineRule="auto"/>
              <w:jc w:val="both"/>
              <w:rPr>
                <w:rFonts w:ascii="Times New Roman" w:hAnsi="Times New Roman" w:cs="Times New Roman"/>
                <w:noProof/>
                <w:sz w:val="18"/>
                <w:szCs w:val="18"/>
                <w14:ligatures w14:val="standardContextual"/>
              </w:rPr>
            </w:pPr>
            <w:r w:rsidRPr="00D1795B">
              <w:rPr>
                <w:rFonts w:ascii="Times New Roman" w:hAnsi="Times New Roman" w:cs="Times New Roman"/>
                <w:noProof/>
                <w:sz w:val="18"/>
                <w:szCs w:val="18"/>
              </w:rPr>
              <w:t xml:space="preserve">Publication of call for proposals for grants covering a percentage of expenditure that shall enhance the digital identity of the businesses or shall increase the amount of small and medium-size enterprises that use information and communication technologies (including the e-commerce sector), or shall promote digital entrepreneurship, following approval of the scheme for the digital upgrade of enterprises by the Council of Ministers. </w:t>
            </w:r>
          </w:p>
        </w:tc>
      </w:tr>
      <w:tr w:rsidR="00C02B59" w:rsidRPr="00D1795B" w14:paraId="1887E767" w14:textId="77777777" w:rsidTr="6B29DC81">
        <w:trPr>
          <w:trHeight w:val="300"/>
          <w:jc w:val="center"/>
        </w:trPr>
        <w:tc>
          <w:tcPr>
            <w:tcW w:w="370" w:type="pct"/>
            <w:shd w:val="clear" w:color="auto" w:fill="C1F0C7" w:themeFill="accent3" w:themeFillTint="33"/>
            <w:noWrap/>
          </w:tcPr>
          <w:p w14:paraId="1887E75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148</w:t>
            </w:r>
          </w:p>
        </w:tc>
        <w:tc>
          <w:tcPr>
            <w:tcW w:w="448" w:type="pct"/>
            <w:shd w:val="clear" w:color="auto" w:fill="C1F0C7" w:themeFill="accent3" w:themeFillTint="33"/>
            <w:noWrap/>
          </w:tcPr>
          <w:p w14:paraId="1887E75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C3.3I4</w:t>
            </w:r>
          </w:p>
          <w:p w14:paraId="1887E75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Scheme for the digital upgrade of enterprises </w:t>
            </w:r>
          </w:p>
        </w:tc>
        <w:tc>
          <w:tcPr>
            <w:tcW w:w="417" w:type="pct"/>
            <w:shd w:val="clear" w:color="auto" w:fill="C1F0C7" w:themeFill="accent3" w:themeFillTint="33"/>
            <w:noWrap/>
          </w:tcPr>
          <w:p w14:paraId="1887E75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447" w:type="pct"/>
            <w:shd w:val="clear" w:color="auto" w:fill="C1F0C7" w:themeFill="accent3" w:themeFillTint="33"/>
            <w:noWrap/>
          </w:tcPr>
          <w:p w14:paraId="1887E75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Grant agreements signed </w:t>
            </w:r>
          </w:p>
        </w:tc>
        <w:tc>
          <w:tcPr>
            <w:tcW w:w="550" w:type="pct"/>
            <w:shd w:val="clear" w:color="auto" w:fill="C1F0C7" w:themeFill="accent3" w:themeFillTint="33"/>
            <w:noWrap/>
          </w:tcPr>
          <w:p w14:paraId="1887E76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w:t>
            </w:r>
          </w:p>
        </w:tc>
        <w:tc>
          <w:tcPr>
            <w:tcW w:w="505" w:type="pct"/>
            <w:shd w:val="clear" w:color="auto" w:fill="C1F0C7" w:themeFill="accent3" w:themeFillTint="33"/>
            <w:noWrap/>
          </w:tcPr>
          <w:p w14:paraId="1887E76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45" w:type="pct"/>
            <w:shd w:val="clear" w:color="auto" w:fill="C1F0C7" w:themeFill="accent3" w:themeFillTint="33"/>
            <w:noWrap/>
          </w:tcPr>
          <w:p w14:paraId="1887E76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50" w:type="pct"/>
            <w:shd w:val="clear" w:color="auto" w:fill="C1F0C7" w:themeFill="accent3" w:themeFillTint="33"/>
            <w:noWrap/>
          </w:tcPr>
          <w:p w14:paraId="1887E76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290</w:t>
            </w:r>
          </w:p>
        </w:tc>
        <w:tc>
          <w:tcPr>
            <w:tcW w:w="349" w:type="pct"/>
            <w:shd w:val="clear" w:color="auto" w:fill="C1F0C7" w:themeFill="accent3" w:themeFillTint="33"/>
            <w:noWrap/>
          </w:tcPr>
          <w:p w14:paraId="1887E76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52" w:type="pct"/>
            <w:shd w:val="clear" w:color="auto" w:fill="C1F0C7" w:themeFill="accent3" w:themeFillTint="33"/>
            <w:noWrap/>
          </w:tcPr>
          <w:p w14:paraId="1887E76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1067" w:type="pct"/>
            <w:shd w:val="clear" w:color="auto" w:fill="C1F0C7" w:themeFill="accent3" w:themeFillTint="33"/>
            <w:noWrap/>
          </w:tcPr>
          <w:p w14:paraId="1887E766"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Signature of grant agreements with at least 290 enterprises.</w:t>
            </w:r>
          </w:p>
        </w:tc>
      </w:tr>
      <w:tr w:rsidR="00C02B59" w:rsidRPr="00D1795B" w14:paraId="1887E776" w14:textId="77777777" w:rsidTr="6B29DC81">
        <w:trPr>
          <w:trHeight w:val="300"/>
          <w:jc w:val="center"/>
        </w:trPr>
        <w:tc>
          <w:tcPr>
            <w:tcW w:w="370" w:type="pct"/>
            <w:shd w:val="clear" w:color="auto" w:fill="C6EFCE"/>
            <w:noWrap/>
          </w:tcPr>
          <w:p w14:paraId="1887E76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151</w:t>
            </w:r>
          </w:p>
        </w:tc>
        <w:tc>
          <w:tcPr>
            <w:tcW w:w="448" w:type="pct"/>
            <w:shd w:val="clear" w:color="auto" w:fill="C6EFCE"/>
            <w:noWrap/>
          </w:tcPr>
          <w:p w14:paraId="1887E76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C3.3I6</w:t>
            </w:r>
          </w:p>
          <w:p w14:paraId="1887E76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State funded equity fund </w:t>
            </w:r>
          </w:p>
        </w:tc>
        <w:tc>
          <w:tcPr>
            <w:tcW w:w="417" w:type="pct"/>
            <w:shd w:val="clear" w:color="auto" w:fill="C6EFCE"/>
            <w:noWrap/>
          </w:tcPr>
          <w:p w14:paraId="1887E76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47" w:type="pct"/>
            <w:shd w:val="clear" w:color="auto" w:fill="C6EFCE"/>
            <w:noWrap/>
          </w:tcPr>
          <w:p w14:paraId="1887E76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Setup of the Fund </w:t>
            </w:r>
          </w:p>
        </w:tc>
        <w:tc>
          <w:tcPr>
            <w:tcW w:w="550" w:type="pct"/>
            <w:shd w:val="clear" w:color="auto" w:fill="C6EFCE"/>
            <w:noWrap/>
          </w:tcPr>
          <w:p w14:paraId="1887E76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Registration of the Fund </w:t>
            </w:r>
          </w:p>
        </w:tc>
        <w:tc>
          <w:tcPr>
            <w:tcW w:w="505" w:type="pct"/>
            <w:shd w:val="clear" w:color="auto" w:fill="C6EFCE"/>
            <w:noWrap/>
          </w:tcPr>
          <w:p w14:paraId="1887E76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tcPr>
          <w:p w14:paraId="1887E76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50" w:type="pct"/>
            <w:shd w:val="clear" w:color="auto" w:fill="C6EFCE"/>
            <w:noWrap/>
          </w:tcPr>
          <w:p w14:paraId="1887E77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9" w:type="pct"/>
            <w:shd w:val="clear" w:color="auto" w:fill="C6EFCE"/>
            <w:noWrap/>
          </w:tcPr>
          <w:p w14:paraId="1887E77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52" w:type="pct"/>
            <w:shd w:val="clear" w:color="auto" w:fill="C6EFCE"/>
            <w:noWrap/>
          </w:tcPr>
          <w:p w14:paraId="1887E77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1067" w:type="pct"/>
            <w:shd w:val="clear" w:color="auto" w:fill="C6EFCE"/>
            <w:noWrap/>
          </w:tcPr>
          <w:p w14:paraId="1887E773" w14:textId="77777777" w:rsidR="00C02B59" w:rsidRPr="00D1795B" w:rsidRDefault="00C02B59" w:rsidP="00C02B59">
            <w:pPr>
              <w:spacing w:after="0" w:line="240" w:lineRule="auto"/>
              <w:jc w:val="both"/>
              <w:rPr>
                <w:rFonts w:ascii="Times New Roman" w:hAnsi="Times New Roman" w:cs="Times New Roman"/>
                <w:noProof/>
                <w:sz w:val="18"/>
                <w:szCs w:val="18"/>
                <w14:ligatures w14:val="standardContextual"/>
              </w:rPr>
            </w:pPr>
            <w:r w:rsidRPr="00D1795B">
              <w:rPr>
                <w:rFonts w:ascii="Times New Roman" w:hAnsi="Times New Roman" w:cs="Times New Roman"/>
                <w:noProof/>
                <w:sz w:val="18"/>
                <w:szCs w:val="18"/>
              </w:rPr>
              <w:t xml:space="preserve">The setup of the Fund is completed. The Fund shall increase the availability of alternative financing sources, particularly for innovative companies and start-ups. </w:t>
            </w:r>
          </w:p>
          <w:p w14:paraId="1887E774" w14:textId="77777777" w:rsidR="00C02B59" w:rsidRPr="00D1795B" w:rsidRDefault="00C02B59" w:rsidP="00C02B59">
            <w:pPr>
              <w:spacing w:after="0" w:line="240" w:lineRule="auto"/>
              <w:jc w:val="both"/>
              <w:rPr>
                <w:rFonts w:ascii="Times New Roman" w:hAnsi="Times New Roman" w:cs="Times New Roman"/>
                <w:noProof/>
                <w:sz w:val="18"/>
                <w:szCs w:val="18"/>
              </w:rPr>
            </w:pPr>
          </w:p>
          <w:p w14:paraId="1887E775" w14:textId="77777777" w:rsidR="00C02B59" w:rsidRPr="00D1795B" w:rsidRDefault="00C02B59" w:rsidP="00C02B59">
            <w:pPr>
              <w:spacing w:after="0" w:line="240" w:lineRule="auto"/>
              <w:jc w:val="both"/>
              <w:rPr>
                <w:rFonts w:ascii="Times New Roman" w:hAnsi="Times New Roman" w:cs="Times New Roman"/>
                <w:noProof/>
                <w:sz w:val="18"/>
                <w:szCs w:val="18"/>
                <w14:ligatures w14:val="standardContextual"/>
              </w:rPr>
            </w:pPr>
            <w:r w:rsidRPr="00D1795B">
              <w:rPr>
                <w:rFonts w:ascii="Times New Roman" w:hAnsi="Times New Roman" w:cs="Times New Roman"/>
                <w:noProof/>
                <w:sz w:val="18"/>
                <w:szCs w:val="18"/>
              </w:rPr>
              <w:t>The investment policy shall include eligibility criteria for investees to ensure compliance with the ‘Do no significant harm’ Technical Guidance (2021/C58/01) of supported transactions under this measure through the use of sustainability proofing, the requirement of compliance with the relevant EU and national environmental legislation, and the requirement for beneficiaries that derived more than 50% of their revenues during the preceding financial year from activities or assets in the exclusion list to adopt and publish green transition plans.</w:t>
            </w:r>
          </w:p>
        </w:tc>
      </w:tr>
      <w:tr w:rsidR="00C02B59" w:rsidRPr="00D1795B" w14:paraId="1887E783" w14:textId="77777777" w:rsidTr="6B29DC81">
        <w:trPr>
          <w:trHeight w:val="300"/>
          <w:jc w:val="center"/>
        </w:trPr>
        <w:tc>
          <w:tcPr>
            <w:tcW w:w="370" w:type="pct"/>
            <w:shd w:val="clear" w:color="auto" w:fill="C1F0C7" w:themeFill="accent3" w:themeFillTint="33"/>
            <w:noWrap/>
          </w:tcPr>
          <w:p w14:paraId="1887E77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152</w:t>
            </w:r>
          </w:p>
        </w:tc>
        <w:tc>
          <w:tcPr>
            <w:tcW w:w="448" w:type="pct"/>
            <w:shd w:val="clear" w:color="auto" w:fill="C1F0C7" w:themeFill="accent3" w:themeFillTint="33"/>
            <w:noWrap/>
          </w:tcPr>
          <w:p w14:paraId="1887E77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C3.3I6</w:t>
            </w:r>
          </w:p>
          <w:p w14:paraId="1887E77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State funded equity fund </w:t>
            </w:r>
          </w:p>
        </w:tc>
        <w:tc>
          <w:tcPr>
            <w:tcW w:w="417" w:type="pct"/>
            <w:shd w:val="clear" w:color="auto" w:fill="C1F0C7" w:themeFill="accent3" w:themeFillTint="33"/>
            <w:noWrap/>
          </w:tcPr>
          <w:p w14:paraId="1887E77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447" w:type="pct"/>
            <w:shd w:val="clear" w:color="auto" w:fill="C1F0C7" w:themeFill="accent3" w:themeFillTint="33"/>
            <w:noWrap/>
          </w:tcPr>
          <w:p w14:paraId="1887E77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Investees supported through the Fund</w:t>
            </w:r>
          </w:p>
        </w:tc>
        <w:tc>
          <w:tcPr>
            <w:tcW w:w="550" w:type="pct"/>
            <w:shd w:val="clear" w:color="auto" w:fill="C1F0C7" w:themeFill="accent3" w:themeFillTint="33"/>
            <w:noWrap/>
          </w:tcPr>
          <w:p w14:paraId="1887E77C" w14:textId="77777777" w:rsidR="00C02B59" w:rsidRPr="00D1795B" w:rsidRDefault="00C02B59" w:rsidP="00C02B59">
            <w:pPr>
              <w:spacing w:after="0" w:line="240" w:lineRule="auto"/>
              <w:rPr>
                <w:rFonts w:ascii="Times New Roman" w:hAnsi="Times New Roman" w:cs="Times New Roman"/>
                <w:noProof/>
                <w:sz w:val="18"/>
                <w:szCs w:val="18"/>
              </w:rPr>
            </w:pPr>
          </w:p>
        </w:tc>
        <w:tc>
          <w:tcPr>
            <w:tcW w:w="505" w:type="pct"/>
            <w:shd w:val="clear" w:color="auto" w:fill="C1F0C7" w:themeFill="accent3" w:themeFillTint="33"/>
            <w:noWrap/>
          </w:tcPr>
          <w:p w14:paraId="1887E77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45" w:type="pct"/>
            <w:shd w:val="clear" w:color="auto" w:fill="C1F0C7" w:themeFill="accent3" w:themeFillTint="33"/>
            <w:noWrap/>
          </w:tcPr>
          <w:p w14:paraId="1887E77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50" w:type="pct"/>
            <w:shd w:val="clear" w:color="auto" w:fill="C1F0C7" w:themeFill="accent3" w:themeFillTint="33"/>
            <w:noWrap/>
          </w:tcPr>
          <w:p w14:paraId="1887E77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7</w:t>
            </w:r>
          </w:p>
        </w:tc>
        <w:tc>
          <w:tcPr>
            <w:tcW w:w="349" w:type="pct"/>
            <w:shd w:val="clear" w:color="auto" w:fill="C1F0C7" w:themeFill="accent3" w:themeFillTint="33"/>
            <w:noWrap/>
          </w:tcPr>
          <w:p w14:paraId="1887E78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52" w:type="pct"/>
            <w:shd w:val="clear" w:color="auto" w:fill="C1F0C7" w:themeFill="accent3" w:themeFillTint="33"/>
            <w:noWrap/>
          </w:tcPr>
          <w:p w14:paraId="1887E78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1067" w:type="pct"/>
            <w:shd w:val="clear" w:color="auto" w:fill="C1F0C7" w:themeFill="accent3" w:themeFillTint="33"/>
            <w:noWrap/>
          </w:tcPr>
          <w:p w14:paraId="1887E78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At least 7 investees supported through equity financing by the Fund.</w:t>
            </w:r>
          </w:p>
        </w:tc>
      </w:tr>
      <w:tr w:rsidR="00C02B59" w:rsidRPr="00D1795B" w14:paraId="1887E790" w14:textId="77777777" w:rsidTr="6B29DC81">
        <w:trPr>
          <w:trHeight w:val="300"/>
          <w:jc w:val="center"/>
        </w:trPr>
        <w:tc>
          <w:tcPr>
            <w:tcW w:w="370" w:type="pct"/>
            <w:shd w:val="clear" w:color="auto" w:fill="C6EFCE"/>
            <w:noWrap/>
          </w:tcPr>
          <w:p w14:paraId="1887E78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153</w:t>
            </w:r>
          </w:p>
        </w:tc>
        <w:tc>
          <w:tcPr>
            <w:tcW w:w="448" w:type="pct"/>
            <w:shd w:val="clear" w:color="auto" w:fill="C6EFCE"/>
            <w:noWrap/>
          </w:tcPr>
          <w:p w14:paraId="1887E78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C3.3I1</w:t>
            </w:r>
          </w:p>
          <w:p w14:paraId="1887E78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Integrated Information system for the Department of Registrar of Companies and Intellectual Property</w:t>
            </w:r>
          </w:p>
        </w:tc>
        <w:tc>
          <w:tcPr>
            <w:tcW w:w="417" w:type="pct"/>
            <w:shd w:val="clear" w:color="auto" w:fill="C6EFCE"/>
            <w:noWrap/>
          </w:tcPr>
          <w:p w14:paraId="1887E78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47" w:type="pct"/>
            <w:shd w:val="clear" w:color="auto" w:fill="C6EFCE"/>
            <w:noWrap/>
          </w:tcPr>
          <w:p w14:paraId="1887E78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System hardware, software, and networking installation </w:t>
            </w:r>
          </w:p>
        </w:tc>
        <w:tc>
          <w:tcPr>
            <w:tcW w:w="550" w:type="pct"/>
            <w:shd w:val="clear" w:color="auto" w:fill="C6EFCE"/>
            <w:noWrap/>
          </w:tcPr>
          <w:p w14:paraId="1887E78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Certificate of receipt and acceptance issued</w:t>
            </w:r>
          </w:p>
        </w:tc>
        <w:tc>
          <w:tcPr>
            <w:tcW w:w="505" w:type="pct"/>
            <w:shd w:val="clear" w:color="auto" w:fill="C6EFCE"/>
            <w:noWrap/>
          </w:tcPr>
          <w:p w14:paraId="1887E78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5" w:type="pct"/>
            <w:shd w:val="clear" w:color="auto" w:fill="C6EFCE"/>
            <w:noWrap/>
          </w:tcPr>
          <w:p w14:paraId="1887E78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50" w:type="pct"/>
            <w:shd w:val="clear" w:color="auto" w:fill="C6EFCE"/>
            <w:noWrap/>
          </w:tcPr>
          <w:p w14:paraId="1887E78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49" w:type="pct"/>
            <w:shd w:val="clear" w:color="auto" w:fill="C6EFCE"/>
            <w:noWrap/>
          </w:tcPr>
          <w:p w14:paraId="1887E78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252" w:type="pct"/>
            <w:shd w:val="clear" w:color="auto" w:fill="C6EFCE"/>
            <w:noWrap/>
          </w:tcPr>
          <w:p w14:paraId="1887E78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1067" w:type="pct"/>
            <w:shd w:val="clear" w:color="auto" w:fill="C6EFCE"/>
            <w:noWrap/>
          </w:tcPr>
          <w:p w14:paraId="1887E78F" w14:textId="77777777" w:rsidR="00C02B59" w:rsidRPr="00D1795B" w:rsidRDefault="00C02B59" w:rsidP="00C02B59">
            <w:pPr>
              <w:spacing w:after="0" w:line="240" w:lineRule="auto"/>
              <w:jc w:val="both"/>
              <w:rPr>
                <w:rFonts w:ascii="Times New Roman" w:hAnsi="Times New Roman" w:cs="Times New Roman"/>
                <w:noProof/>
                <w:sz w:val="18"/>
                <w:szCs w:val="18"/>
                <w14:ligatures w14:val="standardContextual"/>
              </w:rPr>
            </w:pPr>
            <w:r w:rsidRPr="00D1795B">
              <w:rPr>
                <w:rFonts w:ascii="Times New Roman" w:hAnsi="Times New Roman" w:cs="Times New Roman"/>
                <w:noProof/>
                <w:sz w:val="18"/>
                <w:szCs w:val="18"/>
              </w:rPr>
              <w:t>Installation of system hardware, software, and networking.</w:t>
            </w:r>
          </w:p>
        </w:tc>
      </w:tr>
      <w:tr w:rsidR="00C02B59" w:rsidRPr="00D1795B" w14:paraId="1887E79E" w14:textId="77777777" w:rsidTr="6B29DC81">
        <w:trPr>
          <w:trHeight w:val="300"/>
          <w:jc w:val="center"/>
        </w:trPr>
        <w:tc>
          <w:tcPr>
            <w:tcW w:w="370" w:type="pct"/>
            <w:shd w:val="clear" w:color="auto" w:fill="C1F0C7" w:themeFill="accent3" w:themeFillTint="33"/>
            <w:noWrap/>
          </w:tcPr>
          <w:p w14:paraId="1887E79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154</w:t>
            </w:r>
          </w:p>
        </w:tc>
        <w:tc>
          <w:tcPr>
            <w:tcW w:w="448" w:type="pct"/>
            <w:shd w:val="clear" w:color="auto" w:fill="C1F0C7" w:themeFill="accent3" w:themeFillTint="33"/>
            <w:noWrap/>
          </w:tcPr>
          <w:p w14:paraId="1887E79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C3.3I1</w:t>
            </w:r>
          </w:p>
          <w:p w14:paraId="1887E79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Information system for the Department of Registrar of Companies and Intellectual Property</w:t>
            </w:r>
          </w:p>
        </w:tc>
        <w:tc>
          <w:tcPr>
            <w:tcW w:w="417" w:type="pct"/>
            <w:shd w:val="clear" w:color="auto" w:fill="C1F0C7" w:themeFill="accent3" w:themeFillTint="33"/>
            <w:noWrap/>
          </w:tcPr>
          <w:p w14:paraId="1887E79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47" w:type="pct"/>
            <w:shd w:val="clear" w:color="auto" w:fill="C1F0C7" w:themeFill="accent3" w:themeFillTint="33"/>
            <w:noWrap/>
          </w:tcPr>
          <w:p w14:paraId="1887E79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Training courses </w:t>
            </w:r>
          </w:p>
        </w:tc>
        <w:tc>
          <w:tcPr>
            <w:tcW w:w="550" w:type="pct"/>
            <w:shd w:val="clear" w:color="auto" w:fill="C1F0C7" w:themeFill="accent3" w:themeFillTint="33"/>
            <w:noWrap/>
          </w:tcPr>
          <w:p w14:paraId="1887E79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Training courses given</w:t>
            </w:r>
          </w:p>
        </w:tc>
        <w:tc>
          <w:tcPr>
            <w:tcW w:w="505" w:type="pct"/>
            <w:shd w:val="clear" w:color="auto" w:fill="C1F0C7" w:themeFill="accent3" w:themeFillTint="33"/>
            <w:noWrap/>
          </w:tcPr>
          <w:p w14:paraId="1887E797"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345" w:type="pct"/>
            <w:shd w:val="clear" w:color="auto" w:fill="C1F0C7" w:themeFill="accent3" w:themeFillTint="33"/>
            <w:noWrap/>
          </w:tcPr>
          <w:p w14:paraId="1887E798"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250" w:type="pct"/>
            <w:shd w:val="clear" w:color="auto" w:fill="C1F0C7" w:themeFill="accent3" w:themeFillTint="33"/>
            <w:noWrap/>
          </w:tcPr>
          <w:p w14:paraId="1887E799"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349" w:type="pct"/>
            <w:shd w:val="clear" w:color="auto" w:fill="C1F0C7" w:themeFill="accent3" w:themeFillTint="33"/>
            <w:noWrap/>
          </w:tcPr>
          <w:p w14:paraId="1887E79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52" w:type="pct"/>
            <w:shd w:val="clear" w:color="auto" w:fill="C1F0C7" w:themeFill="accent3" w:themeFillTint="33"/>
            <w:noWrap/>
          </w:tcPr>
          <w:p w14:paraId="1887E79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1067" w:type="pct"/>
            <w:shd w:val="clear" w:color="auto" w:fill="C1F0C7" w:themeFill="accent3" w:themeFillTint="33"/>
            <w:noWrap/>
          </w:tcPr>
          <w:p w14:paraId="1887E79C"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Training courses given on the information system of the services which may include, but it is not limited to HE1-Registration of Company, HE4-Change of official particulars and HE57-Transfer of shares</w:t>
            </w:r>
          </w:p>
          <w:p w14:paraId="1887E79D"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of the Companies section of the Department of Registrar of Companies and Intellectual Property. </w:t>
            </w:r>
          </w:p>
        </w:tc>
      </w:tr>
    </w:tbl>
    <w:p w14:paraId="1887E79F" w14:textId="77777777" w:rsidR="00C02B59" w:rsidRPr="00D1795B" w:rsidRDefault="00C02B59" w:rsidP="00C02B59">
      <w:pPr>
        <w:rPr>
          <w:noProof/>
        </w:rPr>
      </w:pPr>
    </w:p>
    <w:p w14:paraId="1887E7A0" w14:textId="77777777" w:rsidR="00C02B59" w:rsidRPr="00D1795B" w:rsidRDefault="00C02B59" w:rsidP="00C02B59">
      <w:pPr>
        <w:rPr>
          <w:noProof/>
        </w:rPr>
      </w:pPr>
    </w:p>
    <w:p w14:paraId="1887E7A1" w14:textId="77777777" w:rsidR="00C02B59" w:rsidRPr="00D1795B" w:rsidRDefault="00C02B59" w:rsidP="00C02B59">
      <w:pPr>
        <w:rPr>
          <w:noProof/>
        </w:rPr>
      </w:pPr>
    </w:p>
    <w:p w14:paraId="1887E7A2" w14:textId="77777777" w:rsidR="00C02B59" w:rsidRPr="00D1795B" w:rsidRDefault="00C02B59" w:rsidP="00C02B59">
      <w:pPr>
        <w:rPr>
          <w:noProof/>
        </w:rPr>
        <w:sectPr w:rsidR="00C02B59" w:rsidRPr="00D1795B" w:rsidSect="00C02B59">
          <w:headerReference w:type="even" r:id="rId95"/>
          <w:headerReference w:type="default" r:id="rId96"/>
          <w:footerReference w:type="even" r:id="rId97"/>
          <w:footerReference w:type="default" r:id="rId98"/>
          <w:headerReference w:type="first" r:id="rId99"/>
          <w:footerReference w:type="first" r:id="rId100"/>
          <w:pgSz w:w="16839" w:h="11907" w:orient="landscape"/>
          <w:pgMar w:top="1134" w:right="1134" w:bottom="1134" w:left="1134" w:header="567" w:footer="567" w:gutter="0"/>
          <w:cols w:space="720"/>
          <w:docGrid w:linePitch="360"/>
        </w:sectPr>
      </w:pPr>
    </w:p>
    <w:p w14:paraId="1887E7A3" w14:textId="77777777" w:rsidR="00C02B59" w:rsidRPr="00D1795B" w:rsidRDefault="00C02B59" w:rsidP="00C02B59">
      <w:pPr>
        <w:spacing w:before="360" w:after="120"/>
        <w:jc w:val="both"/>
        <w:rPr>
          <w:noProof/>
        </w:rPr>
      </w:pPr>
      <w:r w:rsidRPr="00D1795B">
        <w:rPr>
          <w:rFonts w:ascii="Times New Roman" w:eastAsia="Times New Roman" w:hAnsi="Times New Roman" w:cs="Times New Roman"/>
          <w:b/>
          <w:bCs/>
          <w:smallCaps/>
          <w:noProof/>
        </w:rPr>
        <w:t>H. COMPONENT 3.4: Modernising public and local authorities, making justice more efficient and fighting corruption</w:t>
      </w:r>
    </w:p>
    <w:p w14:paraId="1887E7A4"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This component of the Cypriot recovery and resilience plan addresses long-standing challenges in the functioning of public administration, at both the central and the local levels, the justice system, and the anti-corruption framework. The objectives of the component are: (i) to increase the effectiveness, efficiency and relevance of government processes, considering current challenges, needs, and expectations of citizens and businesses, (ii) to strengthen the administrative capacity and cooperation of the Ministry of Interior and local governments to ensure the effective implementation of the new local administration model, (iii) to improve the effectiveness, including quality and efficiency, of the justice system, through accelerating the administration of justice and reducing the backlog of cases, and (iv) to achieve greater coherence to the government’s efforts to fight corruption. </w:t>
      </w:r>
    </w:p>
    <w:p w14:paraId="1887E7A5"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The reforms and investments included in the component contribute to addressing the Country-Specific Recommendations on improving efficiency in the public sector, in particular as regards the functioning of the public administration and of local governments (Country-Specific Recommendations 1 of 2019 and 4 of 2020), on promoting flexible working arrangements (Country-Specific Recommendation 2 of 2020), on improving the efficiency and digitalisation of the judicial system (Country-Specific Recommendation 5 of 2019 and Country-Specific Recommendation 4 of 2020) and on anti-corruption reforms (Country-Specific Recommendation 5 of 2019).</w:t>
      </w:r>
    </w:p>
    <w:p w14:paraId="1887E7A6"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sz w:val="22"/>
          <w:szCs w:val="22"/>
        </w:rPr>
        <w:t xml:space="preserve"> </w:t>
      </w:r>
    </w:p>
    <w:p w14:paraId="1887E7A7"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b/>
          <w:bCs/>
          <w:noProof/>
          <w:u w:val="single"/>
        </w:rPr>
        <w:t>H.1. Description of the reforms and investments for non-repayable financial support</w:t>
      </w:r>
    </w:p>
    <w:p w14:paraId="1887E7A8"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b/>
          <w:bCs/>
          <w:noProof/>
          <w:u w:val="single"/>
        </w:rPr>
        <w:t>Subcomponent 3.4.1: Modernising the Public Sector</w:t>
      </w:r>
    </w:p>
    <w:p w14:paraId="1887E7A9"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 xml:space="preserve">Reform 1 (C3.4R1): Support the functioning of public administration. </w:t>
      </w:r>
    </w:p>
    <w:p w14:paraId="1887E7AA"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The objective of this reform is to support the human resource management within the</w:t>
      </w:r>
      <w:r w:rsidRPr="00D1795B">
        <w:rPr>
          <w:rFonts w:ascii="Times New Roman" w:eastAsia="Times New Roman" w:hAnsi="Times New Roman" w:cs="Times New Roman"/>
          <w:b/>
          <w:bCs/>
          <w:noProof/>
        </w:rPr>
        <w:t xml:space="preserve"> </w:t>
      </w:r>
      <w:r w:rsidRPr="00D1795B">
        <w:rPr>
          <w:rFonts w:ascii="Times New Roman" w:eastAsia="Times New Roman" w:hAnsi="Times New Roman" w:cs="Times New Roman"/>
          <w:noProof/>
        </w:rPr>
        <w:t>general public administration and the administrative capacity of the Cyprus Police. This measure consists in (i) the adoption of measures on human resource management of the public administration; and (ii) the reorganisation and modernisation of the Cyprus Police by designing and implementing a new model of policing and operations.</w:t>
      </w:r>
    </w:p>
    <w:p w14:paraId="1887E7AB"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 </w:t>
      </w:r>
    </w:p>
    <w:p w14:paraId="1887E7AC"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 xml:space="preserve">Reform 2 (C3.4R2): Regulate flexible working arrangements in the public sector </w:t>
      </w:r>
    </w:p>
    <w:p w14:paraId="1887E7AD"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objective of this reform is to allow for the use of flexible working arrangements. </w:t>
      </w:r>
    </w:p>
    <w:p w14:paraId="1887E7AE"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This measure consists in the entry into force of legal act(s) on flexible working arrangements in the public sector. </w:t>
      </w:r>
    </w:p>
    <w:p w14:paraId="1887E7AF"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b/>
          <w:bCs/>
          <w:i/>
          <w:iCs/>
          <w:noProof/>
        </w:rPr>
        <w:t xml:space="preserve"> </w:t>
      </w:r>
    </w:p>
    <w:p w14:paraId="1887E7B0"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Reform 3 (C3.4R3): Introduce new framework for evaluation and selection process for filling public service vacancies and new regulations for the evaluation of employees’ performance</w:t>
      </w:r>
    </w:p>
    <w:p w14:paraId="1887E7B1"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The objective of this reform is to support the functioning of the public service.</w:t>
      </w:r>
    </w:p>
    <w:p w14:paraId="1887E7B2"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This measure consists in the entry into force of legal act(s) on the recruitment, evaluation and promotion of civil servants.</w:t>
      </w:r>
    </w:p>
    <w:p w14:paraId="1887E7B3"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b/>
          <w:bCs/>
          <w:i/>
          <w:iCs/>
          <w:noProof/>
        </w:rPr>
        <w:t xml:space="preserve"> </w:t>
      </w:r>
    </w:p>
    <w:p w14:paraId="1887E7B4"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 xml:space="preserve">Reform 4 (C3.4R4): Digitalisation of public procurement </w:t>
      </w:r>
    </w:p>
    <w:p w14:paraId="1887E7B5"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objective of this reform is to introduce new procurement processes using digital tools. </w:t>
      </w:r>
    </w:p>
    <w:p w14:paraId="1887E7B6"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This measure consists in an </w:t>
      </w:r>
      <w:r w:rsidRPr="00D1795B">
        <w:rPr>
          <w:rFonts w:ascii="Segoe UI" w:eastAsia="Segoe UI" w:hAnsi="Segoe UI" w:cs="Segoe UI"/>
          <w:noProof/>
          <w:color w:val="242424"/>
          <w:sz w:val="21"/>
          <w:szCs w:val="21"/>
        </w:rPr>
        <w:t xml:space="preserve">online and accessible </w:t>
      </w:r>
      <w:r w:rsidRPr="00D1795B">
        <w:rPr>
          <w:rFonts w:ascii="Times New Roman" w:eastAsia="Times New Roman" w:hAnsi="Times New Roman" w:cs="Times New Roman"/>
          <w:noProof/>
        </w:rPr>
        <w:t xml:space="preserve">e-procurement system. </w:t>
      </w:r>
    </w:p>
    <w:p w14:paraId="1887E7B7"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b/>
          <w:bCs/>
          <w:i/>
          <w:iCs/>
          <w:noProof/>
        </w:rPr>
        <w:t xml:space="preserve"> </w:t>
      </w:r>
    </w:p>
    <w:p w14:paraId="1887E7B8"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 xml:space="preserve">Reform 5 (C3.4R5): Enhancement of the capacity of the Law Office </w:t>
      </w:r>
    </w:p>
    <w:p w14:paraId="1887E7B9"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The objective of the reform is to implement a digital transformation of the Law Office, aiming to increase its efficiency and effectiveness, as well as the productivity, quality of work and working conditions of the employees.</w:t>
      </w:r>
    </w:p>
    <w:p w14:paraId="1887E7BA"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The reform shall consist in digitalising the processes and procedures of the Law Office by introducing an IT system (eLaw System). During the implementation of the project, a business analysis shall assess needs for process re-engineering.</w:t>
      </w:r>
    </w:p>
    <w:p w14:paraId="1887E7BB"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 xml:space="preserve">The implementation of the reform shall be completed by 31 December 2023. </w:t>
      </w:r>
    </w:p>
    <w:p w14:paraId="1887E7BC"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b/>
          <w:bCs/>
          <w:i/>
          <w:iCs/>
          <w:noProof/>
        </w:rPr>
        <w:t xml:space="preserve"> </w:t>
      </w:r>
    </w:p>
    <w:p w14:paraId="1887E7BD" w14:textId="46A724B8"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 xml:space="preserve">Investment 3 (C3.4I3): Economic Policy Modelling Hub </w:t>
      </w:r>
    </w:p>
    <w:p w14:paraId="1887E7BE"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objective of this investment is to increase the use of quantitative modelling techniques for policy impact assessment. </w:t>
      </w:r>
    </w:p>
    <w:p w14:paraId="1887E7C0" w14:textId="57CDCF49" w:rsidR="00C02B59" w:rsidRDefault="00C02B59" w:rsidP="00C02B59">
      <w:pPr>
        <w:spacing w:before="120" w:after="120"/>
        <w:jc w:val="both"/>
        <w:rPr>
          <w:noProof/>
        </w:rPr>
      </w:pPr>
      <w:r w:rsidRPr="00D1795B">
        <w:rPr>
          <w:rFonts w:ascii="Times New Roman" w:eastAsia="Times New Roman" w:hAnsi="Times New Roman" w:cs="Times New Roman"/>
          <w:noProof/>
        </w:rPr>
        <w:t xml:space="preserve">This measure consists in the </w:t>
      </w:r>
      <w:r w:rsidR="00A57536" w:rsidRPr="00D1795B">
        <w:rPr>
          <w:rFonts w:ascii="Times New Roman" w:eastAsia="Times New Roman" w:hAnsi="Times New Roman" w:cs="Times New Roman"/>
          <w:noProof/>
        </w:rPr>
        <w:t xml:space="preserve">publication </w:t>
      </w:r>
      <w:r w:rsidR="0010536E" w:rsidRPr="00D1795B">
        <w:rPr>
          <w:rFonts w:ascii="Times New Roman" w:eastAsia="Times New Roman" w:hAnsi="Times New Roman" w:cs="Times New Roman"/>
          <w:noProof/>
        </w:rPr>
        <w:t xml:space="preserve">online of </w:t>
      </w:r>
      <w:r w:rsidRPr="00D1795B">
        <w:rPr>
          <w:rFonts w:ascii="Times New Roman" w:eastAsia="Times New Roman" w:hAnsi="Times New Roman" w:cs="Times New Roman"/>
          <w:noProof/>
        </w:rPr>
        <w:t>a report</w:t>
      </w:r>
      <w:r w:rsidR="0010536E" w:rsidRPr="00D1795B">
        <w:rPr>
          <w:rFonts w:ascii="Times New Roman" w:eastAsia="Times New Roman" w:hAnsi="Times New Roman" w:cs="Times New Roman"/>
          <w:noProof/>
        </w:rPr>
        <w:t xml:space="preserve"> on</w:t>
      </w:r>
      <w:r w:rsidR="00D8017E" w:rsidRPr="00D1795B">
        <w:rPr>
          <w:rFonts w:ascii="Times New Roman" w:eastAsia="Times New Roman" w:hAnsi="Times New Roman" w:cs="Times New Roman"/>
          <w:noProof/>
        </w:rPr>
        <w:t xml:space="preserve"> the Project “Economic Policy Modelling Hub”</w:t>
      </w:r>
      <w:r w:rsidRPr="00D1795B">
        <w:rPr>
          <w:rFonts w:ascii="Times New Roman" w:eastAsia="Times New Roman" w:hAnsi="Times New Roman" w:cs="Times New Roman"/>
          <w:noProof/>
        </w:rPr>
        <w:t>.</w:t>
      </w:r>
    </w:p>
    <w:p w14:paraId="50B7C67A" w14:textId="77777777" w:rsidR="002E3454" w:rsidRPr="00D1795B" w:rsidRDefault="002E3454" w:rsidP="00C02B59">
      <w:pPr>
        <w:spacing w:before="120" w:after="120"/>
        <w:jc w:val="both"/>
        <w:rPr>
          <w:noProof/>
        </w:rPr>
      </w:pPr>
    </w:p>
    <w:p w14:paraId="1887E7C1"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b/>
          <w:bCs/>
          <w:noProof/>
          <w:u w:val="single"/>
        </w:rPr>
        <w:t>Subcomponent 3.4.2: Local Administration and Spatial reform</w:t>
      </w:r>
    </w:p>
    <w:p w14:paraId="1887E7C2"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 xml:space="preserve">Reform 6 (C3.4R6): New legal framework for Local Authorities and support measures </w:t>
      </w:r>
    </w:p>
    <w:p w14:paraId="1887E7C3"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objective of this reform is to support the decision-making power, administrative autonomy, and efficiency of local authorities in Cyprus. </w:t>
      </w:r>
    </w:p>
    <w:p w14:paraId="1887E7C4"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This measure consists in the entry into force of legal act(s) on the organisation of local authorities in Cyprus and training. </w:t>
      </w:r>
    </w:p>
    <w:p w14:paraId="1887E7C5"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b/>
          <w:bCs/>
          <w:i/>
          <w:iCs/>
          <w:noProof/>
        </w:rPr>
        <w:t xml:space="preserve"> </w:t>
      </w:r>
    </w:p>
    <w:p w14:paraId="1887E7C6"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 xml:space="preserve">Reform 7 (C3.4R7): Urban land consolidation </w:t>
      </w:r>
    </w:p>
    <w:p w14:paraId="1887E7C7"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The objective of this reform is to reduce the pressure for municipalities’ expansion and increase soil seal.</w:t>
      </w:r>
    </w:p>
    <w:p w14:paraId="1887E7C8"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This measure consists in (i) for the entry into force of a law on urban land consolidation and (ii) the publication of pilot urban land consolidation plans online. </w:t>
      </w:r>
    </w:p>
    <w:p w14:paraId="1887E7C9" w14:textId="77777777" w:rsidR="00C02B59" w:rsidRPr="00D1795B" w:rsidRDefault="00C02B59" w:rsidP="00C02B59">
      <w:pPr>
        <w:spacing w:before="120" w:after="120"/>
        <w:jc w:val="both"/>
        <w:rPr>
          <w:noProof/>
        </w:rPr>
      </w:pPr>
    </w:p>
    <w:p w14:paraId="1887E7CA"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 xml:space="preserve">Investment 4 (C3.4I4): E-system for issuing building permits </w:t>
      </w:r>
    </w:p>
    <w:p w14:paraId="1887E7CB"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objective of the investment is to increase the efficiency of building permit procedures. </w:t>
      </w:r>
    </w:p>
    <w:p w14:paraId="1887E7CC"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This measure consists in (i) expanding the e-application environment of the existing Hippodamos IT system for planning and permitting, to enable all planning authorities and building authorities (municipalities) to submit applications for planning and building permits from a common platform; (ii) additional services in the Hippodamos system. </w:t>
      </w:r>
    </w:p>
    <w:p w14:paraId="1887E7CD"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 </w:t>
      </w:r>
    </w:p>
    <w:p w14:paraId="1887E7CE" w14:textId="77777777" w:rsidR="00C02B59" w:rsidRPr="00D1795B" w:rsidRDefault="00C02B59" w:rsidP="00C02B59">
      <w:pPr>
        <w:spacing w:before="120" w:after="120"/>
        <w:jc w:val="both"/>
        <w:rPr>
          <w:rFonts w:ascii="Times New Roman" w:eastAsia="Times New Roman" w:hAnsi="Times New Roman" w:cs="Times New Roman"/>
          <w:noProof/>
          <w:u w:val="single"/>
        </w:rPr>
      </w:pPr>
      <w:r w:rsidRPr="00D1795B">
        <w:rPr>
          <w:rFonts w:ascii="Times New Roman" w:eastAsia="Times New Roman" w:hAnsi="Times New Roman" w:cs="Times New Roman"/>
          <w:noProof/>
          <w:u w:val="single"/>
        </w:rPr>
        <w:t xml:space="preserve">Investment 5 (C3.4I5): Smart cities </w:t>
      </w:r>
    </w:p>
    <w:p w14:paraId="1887E7CF"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The objective of this investment is to coordinate on-going smart cities initiatives.</w:t>
      </w:r>
    </w:p>
    <w:p w14:paraId="1887E7D0"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This measure consists of a smart cities platform and mobile applications. </w:t>
      </w:r>
    </w:p>
    <w:p w14:paraId="1887E7D1" w14:textId="77777777" w:rsidR="00C02B59" w:rsidRPr="00D1795B" w:rsidRDefault="00C02B59" w:rsidP="00C02B59">
      <w:pPr>
        <w:spacing w:line="257" w:lineRule="auto"/>
        <w:rPr>
          <w:noProof/>
        </w:rPr>
      </w:pPr>
    </w:p>
    <w:p w14:paraId="1887E7D2" w14:textId="664D8B0C" w:rsidR="00C02B59" w:rsidRPr="00D1795B" w:rsidRDefault="00C02B59" w:rsidP="00C02B59">
      <w:pPr>
        <w:spacing w:before="120" w:after="120"/>
        <w:jc w:val="both"/>
        <w:rPr>
          <w:rFonts w:ascii="Times New Roman" w:eastAsia="Times New Roman" w:hAnsi="Times New Roman" w:cs="Times New Roman"/>
          <w:noProof/>
          <w:u w:val="single"/>
        </w:rPr>
      </w:pPr>
      <w:r w:rsidRPr="00D1795B">
        <w:rPr>
          <w:rFonts w:ascii="Times New Roman" w:eastAsia="Times New Roman" w:hAnsi="Times New Roman" w:cs="Times New Roman"/>
          <w:noProof/>
          <w:u w:val="single"/>
        </w:rPr>
        <w:t xml:space="preserve">Investment 6a (C3.4I6a): Regeneration and Revitalisation of Nicosia Inner City </w:t>
      </w:r>
    </w:p>
    <w:p w14:paraId="1887E7D3"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objective of this investment is to revitalise the Nicosia inner city. </w:t>
      </w:r>
    </w:p>
    <w:p w14:paraId="1887E7D4"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This measure consists in renovating rooms in Nicosia.</w:t>
      </w:r>
    </w:p>
    <w:p w14:paraId="1887E7D5" w14:textId="77777777" w:rsidR="00C02B59" w:rsidRPr="00D1795B" w:rsidRDefault="00C02B59" w:rsidP="00C02B59">
      <w:pPr>
        <w:spacing w:before="120" w:after="120"/>
        <w:jc w:val="both"/>
        <w:rPr>
          <w:noProof/>
        </w:rPr>
      </w:pPr>
    </w:p>
    <w:p w14:paraId="1887E7D6"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b/>
          <w:bCs/>
          <w:noProof/>
          <w:u w:val="single"/>
        </w:rPr>
        <w:t>Subcomponent 3.4.3: Efficient Justice System</w:t>
      </w:r>
    </w:p>
    <w:p w14:paraId="1887E7D7"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 xml:space="preserve">Reform 8 (C3.4R8): Efficiency of Justice </w:t>
      </w:r>
    </w:p>
    <w:p w14:paraId="1887E7D8"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objective of the reform is to reduce the high backlog of cases pending before the courts </w:t>
      </w:r>
    </w:p>
    <w:p w14:paraId="1887E7D9"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This measure consists in the reduction of the backlog of cases and appeals. </w:t>
      </w:r>
    </w:p>
    <w:p w14:paraId="1887E7DA"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 </w:t>
      </w:r>
    </w:p>
    <w:p w14:paraId="1887E7DB"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Reform 9 (C3.4R9): Digital transformation of courts</w:t>
      </w:r>
    </w:p>
    <w:p w14:paraId="1887E7DC"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objective of this reform is to digitalise the justice system. </w:t>
      </w:r>
    </w:p>
    <w:p w14:paraId="1887E7DD" w14:textId="6DEF8C61"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This measure consists in the </w:t>
      </w:r>
      <w:r w:rsidR="5EB89233" w:rsidRPr="00D1795B">
        <w:rPr>
          <w:rFonts w:ascii="Times New Roman" w:eastAsia="Times New Roman" w:hAnsi="Times New Roman" w:cs="Times New Roman"/>
          <w:noProof/>
        </w:rPr>
        <w:t>issuance of the temporary acceptance certificate of Phase One</w:t>
      </w:r>
      <w:r w:rsidR="00D1795B">
        <w:rPr>
          <w:rFonts w:ascii="Times New Roman" w:eastAsia="Times New Roman" w:hAnsi="Times New Roman" w:cs="Times New Roman"/>
          <w:noProof/>
        </w:rPr>
        <w:t xml:space="preserve"> </w:t>
      </w:r>
      <w:r w:rsidRPr="00D1795B">
        <w:rPr>
          <w:rFonts w:ascii="Times New Roman" w:eastAsia="Times New Roman" w:hAnsi="Times New Roman" w:cs="Times New Roman"/>
          <w:noProof/>
        </w:rPr>
        <w:t xml:space="preserve">of the i-justice system. </w:t>
      </w:r>
    </w:p>
    <w:p w14:paraId="1887E7DE"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 </w:t>
      </w:r>
    </w:p>
    <w:p w14:paraId="1887E7DF"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Investment 7 (C3.4I7): Training of judges</w:t>
      </w:r>
    </w:p>
    <w:p w14:paraId="1887E7E0"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objective of this investment is to address the low level of training and lifelong learning for judges. </w:t>
      </w:r>
    </w:p>
    <w:p w14:paraId="1887E7E1"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This measure consists in training of judges on the revised Civil Procedure Rules and other judicial skills.</w:t>
      </w:r>
    </w:p>
    <w:p w14:paraId="1887E7E2" w14:textId="77777777" w:rsidR="00C02B59" w:rsidRPr="00D1795B" w:rsidRDefault="00C02B59" w:rsidP="00C02B59">
      <w:pPr>
        <w:spacing w:before="120" w:after="120"/>
        <w:jc w:val="both"/>
        <w:rPr>
          <w:noProof/>
        </w:rPr>
      </w:pPr>
    </w:p>
    <w:p w14:paraId="1887E7E3"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Investment 8 (C3.4I8): Upgrading the infrastructure of courts</w:t>
      </w:r>
    </w:p>
    <w:p w14:paraId="1887E7E4"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objective of the investment is to address inefficiencies of the justice system caused by inadequate court buildings, both in terms of quantity and quality. </w:t>
      </w:r>
    </w:p>
    <w:p w14:paraId="1887E7E5"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investment shall consist of the construction of an extension to the Famagusta District Court building. </w:t>
      </w:r>
    </w:p>
    <w:p w14:paraId="1887E7E6"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The implementation of the investment shall be completed by 31 December 2021.</w:t>
      </w:r>
    </w:p>
    <w:p w14:paraId="1887E7E7"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 </w:t>
      </w:r>
    </w:p>
    <w:p w14:paraId="1887E7E8"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b/>
          <w:bCs/>
          <w:noProof/>
          <w:u w:val="single"/>
        </w:rPr>
        <w:t>Subcomponent 3.4.4: Fighting Corruption</w:t>
      </w:r>
    </w:p>
    <w:p w14:paraId="1887E7E9"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 xml:space="preserve">Reform 10 (C3.4R10): Improving the legal and institutional framework for fighting corruption </w:t>
      </w:r>
    </w:p>
    <w:p w14:paraId="1887E7EA"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The objective of the reform is to achieve greater coherence in the fight against corruption by implementing the national horizontal action plan against corruption.</w:t>
      </w:r>
    </w:p>
    <w:p w14:paraId="1887E7EB"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reform shall consist of: (i) legislation to protect whistle-blowers, to enhance transparency in public decision-making processes and to prevent conflict of interest, (ii) establishment and operation of an independent authority against corruption, which shall coordinate the efforts of all bodies engaged in the fight against and prevention of corruption and shall supervise the timely implementation of actions by the different competent services (iii) anti-corruption public awareness and trainings and (iv) reinforcement of the Internal Audit Units in all the Ministries and the Internal Audit Service. </w:t>
      </w:r>
    </w:p>
    <w:p w14:paraId="1887E7EC" w14:textId="77777777" w:rsidR="00C02B59" w:rsidRPr="00D1795B" w:rsidRDefault="00C02B59" w:rsidP="00C02B59">
      <w:pPr>
        <w:rPr>
          <w:rFonts w:ascii="Times New Roman" w:eastAsia="Times New Roman" w:hAnsi="Times New Roman" w:cs="Times New Roman"/>
          <w:noProof/>
        </w:rPr>
      </w:pPr>
      <w:r w:rsidRPr="00D1795B">
        <w:rPr>
          <w:rFonts w:ascii="Times New Roman" w:eastAsia="Times New Roman" w:hAnsi="Times New Roman" w:cs="Times New Roman"/>
          <w:noProof/>
        </w:rPr>
        <w:t>The implementation of the reform shall be completed by 30 June 2024.</w:t>
      </w:r>
    </w:p>
    <w:p w14:paraId="1887E7ED" w14:textId="77777777" w:rsidR="00C02B59" w:rsidRPr="00D1795B" w:rsidRDefault="00C02B59" w:rsidP="00C02B59">
      <w:pPr>
        <w:rPr>
          <w:rFonts w:ascii="Times New Roman" w:eastAsia="Times New Roman" w:hAnsi="Times New Roman" w:cs="Times New Roman"/>
          <w:noProof/>
        </w:rPr>
        <w:sectPr w:rsidR="00C02B59" w:rsidRPr="00D1795B" w:rsidSect="00C02B59">
          <w:headerReference w:type="even" r:id="rId101"/>
          <w:headerReference w:type="default" r:id="rId102"/>
          <w:footerReference w:type="even" r:id="rId103"/>
          <w:footerReference w:type="default" r:id="rId104"/>
          <w:headerReference w:type="first" r:id="rId105"/>
          <w:footerReference w:type="first" r:id="rId106"/>
          <w:pgSz w:w="11906" w:h="16838"/>
          <w:pgMar w:top="1134" w:right="1134" w:bottom="1134" w:left="1134" w:header="567" w:footer="567" w:gutter="0"/>
          <w:cols w:space="708"/>
          <w:docGrid w:linePitch="360"/>
        </w:sectPr>
      </w:pPr>
    </w:p>
    <w:p w14:paraId="1887E7EE" w14:textId="77777777" w:rsidR="00C02B59" w:rsidRPr="00D1795B" w:rsidRDefault="00C02B59" w:rsidP="00C02B59">
      <w:pPr>
        <w:pageBreakBefore/>
        <w:spacing w:before="120" w:after="240" w:line="240" w:lineRule="auto"/>
        <w:jc w:val="center"/>
        <w:rPr>
          <w:rFonts w:ascii="Times New Roman" w:hAnsi="Times New Roman"/>
          <w:b/>
          <w:noProof/>
          <w:u w:val="single"/>
        </w:rPr>
      </w:pPr>
      <w:r w:rsidRPr="00D1795B">
        <w:rPr>
          <w:rFonts w:ascii="Times New Roman" w:hAnsi="Times New Roman"/>
          <w:b/>
          <w:noProof/>
          <w:u w:val="single"/>
        </w:rPr>
        <w:t xml:space="preserve">H.2. </w:t>
      </w:r>
      <w:r w:rsidRPr="00D1795B">
        <w:rPr>
          <w:noProof/>
        </w:rPr>
        <w:tab/>
      </w:r>
      <w:r w:rsidRPr="00D1795B">
        <w:rPr>
          <w:rFonts w:ascii="Times New Roman" w:hAnsi="Times New Roman"/>
          <w:b/>
          <w:noProof/>
          <w:u w:val="single"/>
        </w:rPr>
        <w:t>Milestones, targets, indicators, and timetable for monitoring and implementation for non-repayable financial support</w:t>
      </w:r>
    </w:p>
    <w:tbl>
      <w:tblPr>
        <w:tblW w:w="15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4"/>
        <w:gridCol w:w="1463"/>
        <w:gridCol w:w="1134"/>
        <w:gridCol w:w="1276"/>
        <w:gridCol w:w="1701"/>
        <w:gridCol w:w="1275"/>
        <w:gridCol w:w="1276"/>
        <w:gridCol w:w="1276"/>
        <w:gridCol w:w="904"/>
        <w:gridCol w:w="678"/>
        <w:gridCol w:w="3044"/>
      </w:tblGrid>
      <w:tr w:rsidR="00C02B59" w:rsidRPr="00D1795B" w14:paraId="1887E7F7" w14:textId="77777777" w:rsidTr="002E3454">
        <w:trPr>
          <w:trHeight w:val="558"/>
          <w:tblHeader/>
          <w:jc w:val="center"/>
        </w:trPr>
        <w:tc>
          <w:tcPr>
            <w:tcW w:w="1084" w:type="dxa"/>
            <w:vMerge w:val="restart"/>
            <w:shd w:val="clear" w:color="auto" w:fill="BDD7EE"/>
            <w:vAlign w:val="center"/>
            <w:hideMark/>
          </w:tcPr>
          <w:p w14:paraId="1887E7EF"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1463" w:type="dxa"/>
            <w:vMerge w:val="restart"/>
            <w:shd w:val="clear" w:color="auto" w:fill="BDD7EE"/>
            <w:vAlign w:val="center"/>
            <w:hideMark/>
          </w:tcPr>
          <w:p w14:paraId="1887E7F0"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1134" w:type="dxa"/>
            <w:vMerge w:val="restart"/>
            <w:shd w:val="clear" w:color="auto" w:fill="BDD7EE"/>
            <w:vAlign w:val="center"/>
            <w:hideMark/>
          </w:tcPr>
          <w:p w14:paraId="1887E7F1"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Milestone/Target</w:t>
            </w:r>
          </w:p>
        </w:tc>
        <w:tc>
          <w:tcPr>
            <w:tcW w:w="1276" w:type="dxa"/>
            <w:vMerge w:val="restart"/>
            <w:shd w:val="clear" w:color="auto" w:fill="BDD7EE"/>
            <w:vAlign w:val="center"/>
            <w:hideMark/>
          </w:tcPr>
          <w:p w14:paraId="1887E7F2"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Name</w:t>
            </w:r>
          </w:p>
        </w:tc>
        <w:tc>
          <w:tcPr>
            <w:tcW w:w="1701" w:type="dxa"/>
            <w:vMerge w:val="restart"/>
            <w:shd w:val="clear" w:color="auto" w:fill="BDD7EE"/>
            <w:vAlign w:val="center"/>
            <w:hideMark/>
          </w:tcPr>
          <w:p w14:paraId="1887E7F3"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Qualitative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milestones)</w:t>
            </w:r>
          </w:p>
        </w:tc>
        <w:tc>
          <w:tcPr>
            <w:tcW w:w="3827" w:type="dxa"/>
            <w:gridSpan w:val="3"/>
            <w:shd w:val="clear" w:color="auto" w:fill="BDD7EE"/>
            <w:vAlign w:val="center"/>
            <w:hideMark/>
          </w:tcPr>
          <w:p w14:paraId="1887E7F4"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Quantitative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targets)</w:t>
            </w:r>
          </w:p>
        </w:tc>
        <w:tc>
          <w:tcPr>
            <w:tcW w:w="1582" w:type="dxa"/>
            <w:gridSpan w:val="2"/>
            <w:shd w:val="clear" w:color="auto" w:fill="BDD7EE"/>
            <w:vAlign w:val="center"/>
            <w:hideMark/>
          </w:tcPr>
          <w:p w14:paraId="1887E7F5"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Indicative timeline for completion</w:t>
            </w:r>
          </w:p>
        </w:tc>
        <w:tc>
          <w:tcPr>
            <w:tcW w:w="3044" w:type="dxa"/>
            <w:vMerge w:val="restart"/>
            <w:shd w:val="clear" w:color="auto" w:fill="BDD7EE"/>
            <w:vAlign w:val="center"/>
            <w:hideMark/>
          </w:tcPr>
          <w:p w14:paraId="1887E7F6"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Description of each milestone and target</w:t>
            </w:r>
          </w:p>
        </w:tc>
      </w:tr>
      <w:tr w:rsidR="00C02B59" w:rsidRPr="00D1795B" w14:paraId="1887E803" w14:textId="77777777" w:rsidTr="002E3454">
        <w:trPr>
          <w:trHeight w:val="485"/>
          <w:tblHeader/>
          <w:jc w:val="center"/>
        </w:trPr>
        <w:tc>
          <w:tcPr>
            <w:tcW w:w="1084" w:type="dxa"/>
            <w:vMerge/>
            <w:vAlign w:val="center"/>
            <w:hideMark/>
          </w:tcPr>
          <w:p w14:paraId="1887E7F8"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463" w:type="dxa"/>
            <w:vMerge/>
            <w:vAlign w:val="center"/>
            <w:hideMark/>
          </w:tcPr>
          <w:p w14:paraId="1887E7F9"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134" w:type="dxa"/>
            <w:vMerge/>
            <w:vAlign w:val="center"/>
            <w:hideMark/>
          </w:tcPr>
          <w:p w14:paraId="1887E7FA"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276" w:type="dxa"/>
            <w:vMerge/>
            <w:vAlign w:val="center"/>
            <w:hideMark/>
          </w:tcPr>
          <w:p w14:paraId="1887E7FB"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701" w:type="dxa"/>
            <w:vMerge/>
            <w:vAlign w:val="center"/>
            <w:hideMark/>
          </w:tcPr>
          <w:p w14:paraId="1887E7FC"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275" w:type="dxa"/>
            <w:tcBorders>
              <w:bottom w:val="single" w:sz="4" w:space="0" w:color="auto"/>
            </w:tcBorders>
            <w:shd w:val="clear" w:color="auto" w:fill="BDD7EE"/>
            <w:vAlign w:val="center"/>
            <w:hideMark/>
          </w:tcPr>
          <w:p w14:paraId="1887E7FD"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Unit of measure</w:t>
            </w:r>
          </w:p>
        </w:tc>
        <w:tc>
          <w:tcPr>
            <w:tcW w:w="1276" w:type="dxa"/>
            <w:tcBorders>
              <w:bottom w:val="single" w:sz="4" w:space="0" w:color="auto"/>
            </w:tcBorders>
            <w:shd w:val="clear" w:color="auto" w:fill="BDD7EE"/>
            <w:vAlign w:val="center"/>
            <w:hideMark/>
          </w:tcPr>
          <w:p w14:paraId="1887E7FE"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Baseline</w:t>
            </w:r>
          </w:p>
        </w:tc>
        <w:tc>
          <w:tcPr>
            <w:tcW w:w="1276" w:type="dxa"/>
            <w:tcBorders>
              <w:bottom w:val="single" w:sz="4" w:space="0" w:color="auto"/>
            </w:tcBorders>
            <w:shd w:val="clear" w:color="auto" w:fill="BDD7EE"/>
            <w:vAlign w:val="center"/>
            <w:hideMark/>
          </w:tcPr>
          <w:p w14:paraId="1887E7FF"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Goal</w:t>
            </w:r>
          </w:p>
        </w:tc>
        <w:tc>
          <w:tcPr>
            <w:tcW w:w="904" w:type="dxa"/>
            <w:tcBorders>
              <w:bottom w:val="single" w:sz="4" w:space="0" w:color="auto"/>
            </w:tcBorders>
            <w:shd w:val="clear" w:color="auto" w:fill="BDD7EE"/>
            <w:vAlign w:val="center"/>
            <w:hideMark/>
          </w:tcPr>
          <w:p w14:paraId="1887E800" w14:textId="77777777" w:rsidR="00C02B59" w:rsidRPr="00D1795B" w:rsidRDefault="00C02B59" w:rsidP="00C02B59">
            <w:pPr>
              <w:spacing w:after="0" w:line="240" w:lineRule="auto"/>
              <w:rPr>
                <w:rFonts w:ascii="Times New Roman" w:hAnsi="Times New Roman" w:cs="Times New Roman"/>
                <w:b/>
                <w:noProof/>
                <w:sz w:val="18"/>
                <w:szCs w:val="18"/>
              </w:rPr>
            </w:pPr>
            <w:r w:rsidRPr="00D1795B">
              <w:rPr>
                <w:rFonts w:ascii="Times New Roman" w:hAnsi="Times New Roman" w:cs="Times New Roman"/>
                <w:b/>
                <w:noProof/>
                <w:sz w:val="18"/>
                <w:szCs w:val="18"/>
              </w:rPr>
              <w:t>Quarter</w:t>
            </w:r>
          </w:p>
        </w:tc>
        <w:tc>
          <w:tcPr>
            <w:tcW w:w="678" w:type="dxa"/>
            <w:tcBorders>
              <w:bottom w:val="single" w:sz="4" w:space="0" w:color="auto"/>
            </w:tcBorders>
            <w:shd w:val="clear" w:color="auto" w:fill="BDD7EE"/>
            <w:vAlign w:val="center"/>
            <w:hideMark/>
          </w:tcPr>
          <w:p w14:paraId="1887E801" w14:textId="77777777" w:rsidR="00C02B59" w:rsidRPr="00D1795B" w:rsidRDefault="00C02B59" w:rsidP="00C02B59">
            <w:pPr>
              <w:spacing w:after="0" w:line="240" w:lineRule="auto"/>
              <w:rPr>
                <w:rFonts w:ascii="Times New Roman" w:hAnsi="Times New Roman" w:cs="Times New Roman"/>
                <w:b/>
                <w:noProof/>
                <w:sz w:val="18"/>
                <w:szCs w:val="18"/>
              </w:rPr>
            </w:pPr>
            <w:r w:rsidRPr="00D1795B">
              <w:rPr>
                <w:rFonts w:ascii="Times New Roman" w:hAnsi="Times New Roman" w:cs="Times New Roman"/>
                <w:b/>
                <w:noProof/>
                <w:sz w:val="18"/>
                <w:szCs w:val="18"/>
              </w:rPr>
              <w:t>Year</w:t>
            </w:r>
          </w:p>
        </w:tc>
        <w:tc>
          <w:tcPr>
            <w:tcW w:w="3044" w:type="dxa"/>
            <w:vMerge/>
            <w:vAlign w:val="center"/>
            <w:hideMark/>
          </w:tcPr>
          <w:p w14:paraId="1887E802" w14:textId="77777777" w:rsidR="00C02B59" w:rsidRPr="00D1795B" w:rsidRDefault="00C02B59" w:rsidP="00C02B59">
            <w:pPr>
              <w:spacing w:after="0" w:line="240" w:lineRule="auto"/>
              <w:jc w:val="both"/>
              <w:rPr>
                <w:rFonts w:ascii="Times New Roman" w:hAnsi="Times New Roman" w:cs="Times New Roman"/>
                <w:b/>
                <w:noProof/>
                <w:sz w:val="18"/>
                <w:szCs w:val="18"/>
              </w:rPr>
            </w:pPr>
          </w:p>
        </w:tc>
      </w:tr>
      <w:tr w:rsidR="00C02B59" w:rsidRPr="00D1795B" w14:paraId="1887E814" w14:textId="77777777" w:rsidTr="002E3454">
        <w:trPr>
          <w:trHeight w:val="309"/>
          <w:jc w:val="center"/>
        </w:trPr>
        <w:tc>
          <w:tcPr>
            <w:tcW w:w="1084" w:type="dxa"/>
            <w:shd w:val="clear" w:color="auto" w:fill="C1F0C7" w:themeFill="accent3" w:themeFillTint="33"/>
            <w:noWrap/>
          </w:tcPr>
          <w:p w14:paraId="1887E80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155</w:t>
            </w:r>
          </w:p>
        </w:tc>
        <w:tc>
          <w:tcPr>
            <w:tcW w:w="1463" w:type="dxa"/>
            <w:shd w:val="clear" w:color="auto" w:fill="C1F0C7" w:themeFill="accent3" w:themeFillTint="33"/>
            <w:noWrap/>
          </w:tcPr>
          <w:p w14:paraId="1887E80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C3.4R1</w:t>
            </w:r>
          </w:p>
          <w:p w14:paraId="1887E80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Enhance the administrative capacity and improve the functioning of public administration for better policy making and implementation</w:t>
            </w:r>
          </w:p>
        </w:tc>
        <w:tc>
          <w:tcPr>
            <w:tcW w:w="1134" w:type="dxa"/>
            <w:shd w:val="clear" w:color="auto" w:fill="C1F0C7" w:themeFill="accent3" w:themeFillTint="33"/>
            <w:noWrap/>
          </w:tcPr>
          <w:p w14:paraId="1887E80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shd w:val="clear" w:color="auto" w:fill="C1F0C7" w:themeFill="accent3" w:themeFillTint="33"/>
            <w:noWrap/>
          </w:tcPr>
          <w:p w14:paraId="1887E80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Action Plan on the efficient management of human resource issues in the national public administration </w:t>
            </w:r>
          </w:p>
        </w:tc>
        <w:tc>
          <w:tcPr>
            <w:tcW w:w="1701" w:type="dxa"/>
            <w:shd w:val="clear" w:color="auto" w:fill="C1F0C7" w:themeFill="accent3" w:themeFillTint="33"/>
            <w:noWrap/>
          </w:tcPr>
          <w:p w14:paraId="1887E80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Adoption of the Action Plan by the Council of Ministers </w:t>
            </w:r>
          </w:p>
        </w:tc>
        <w:tc>
          <w:tcPr>
            <w:tcW w:w="1275" w:type="dxa"/>
            <w:shd w:val="clear" w:color="auto" w:fill="C1F0C7" w:themeFill="accent3" w:themeFillTint="33"/>
            <w:noWrap/>
          </w:tcPr>
          <w:p w14:paraId="1887E80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0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0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04" w:type="dxa"/>
            <w:shd w:val="clear" w:color="auto" w:fill="C1F0C7" w:themeFill="accent3" w:themeFillTint="33"/>
            <w:noWrap/>
          </w:tcPr>
          <w:p w14:paraId="1887E80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678" w:type="dxa"/>
            <w:shd w:val="clear" w:color="auto" w:fill="C1F0C7" w:themeFill="accent3" w:themeFillTint="33"/>
            <w:noWrap/>
          </w:tcPr>
          <w:p w14:paraId="1887E80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044" w:type="dxa"/>
            <w:shd w:val="clear" w:color="auto" w:fill="C1F0C7" w:themeFill="accent3" w:themeFillTint="33"/>
            <w:noWrap/>
          </w:tcPr>
          <w:p w14:paraId="1887E80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Council of Ministers has adopted an Action Plan that shall include:</w:t>
            </w:r>
          </w:p>
          <w:p w14:paraId="1887E81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Guidelines, templates and implementation support by the Public Administration and Personnel Department (PAPD) to line ministries’ administration in relation to human resource management issues such as re-organisation and re-structuring, simplification of procedures and workforce planning.</w:t>
            </w:r>
          </w:p>
          <w:p w14:paraId="1887E811"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 Implementation of a revised organisational structure of PAPD </w:t>
            </w:r>
          </w:p>
          <w:p w14:paraId="1887E81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Learning and Development Plan for PAPD staff.</w:t>
            </w:r>
          </w:p>
          <w:p w14:paraId="1887E813"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Training Plan for line ministries’ administration</w:t>
            </w:r>
          </w:p>
        </w:tc>
      </w:tr>
      <w:tr w:rsidR="00C02B59" w:rsidRPr="00D1795B" w14:paraId="1887E82A" w14:textId="77777777" w:rsidTr="002E3454">
        <w:trPr>
          <w:trHeight w:val="309"/>
          <w:jc w:val="center"/>
        </w:trPr>
        <w:tc>
          <w:tcPr>
            <w:tcW w:w="1084" w:type="dxa"/>
            <w:shd w:val="clear" w:color="auto" w:fill="C1F0C7" w:themeFill="accent3" w:themeFillTint="33"/>
            <w:noWrap/>
          </w:tcPr>
          <w:p w14:paraId="1887E81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156</w:t>
            </w:r>
          </w:p>
        </w:tc>
        <w:tc>
          <w:tcPr>
            <w:tcW w:w="1463" w:type="dxa"/>
            <w:shd w:val="clear" w:color="auto" w:fill="C1F0C7" w:themeFill="accent3" w:themeFillTint="33"/>
            <w:noWrap/>
          </w:tcPr>
          <w:p w14:paraId="1887E81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C3.4R1</w:t>
            </w:r>
          </w:p>
          <w:p w14:paraId="1887E81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Enhance the administrative capacity and improve the functioning of public administration for better policy making and implementation</w:t>
            </w:r>
          </w:p>
        </w:tc>
        <w:tc>
          <w:tcPr>
            <w:tcW w:w="1134" w:type="dxa"/>
            <w:shd w:val="clear" w:color="auto" w:fill="C1F0C7" w:themeFill="accent3" w:themeFillTint="33"/>
            <w:noWrap/>
          </w:tcPr>
          <w:p w14:paraId="1887E81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shd w:val="clear" w:color="auto" w:fill="C1F0C7" w:themeFill="accent3" w:themeFillTint="33"/>
            <w:noWrap/>
          </w:tcPr>
          <w:p w14:paraId="1887E81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New human resources management framework for Cyprus Police </w:t>
            </w:r>
          </w:p>
        </w:tc>
        <w:tc>
          <w:tcPr>
            <w:tcW w:w="1701" w:type="dxa"/>
            <w:shd w:val="clear" w:color="auto" w:fill="C1F0C7" w:themeFill="accent3" w:themeFillTint="33"/>
            <w:noWrap/>
          </w:tcPr>
          <w:p w14:paraId="1887E81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Adoption by the Chief of Police </w:t>
            </w:r>
          </w:p>
        </w:tc>
        <w:tc>
          <w:tcPr>
            <w:tcW w:w="1275" w:type="dxa"/>
            <w:shd w:val="clear" w:color="auto" w:fill="C1F0C7" w:themeFill="accent3" w:themeFillTint="33"/>
            <w:noWrap/>
          </w:tcPr>
          <w:p w14:paraId="1887E81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1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1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04" w:type="dxa"/>
            <w:shd w:val="clear" w:color="auto" w:fill="C1F0C7" w:themeFill="accent3" w:themeFillTint="33"/>
            <w:noWrap/>
          </w:tcPr>
          <w:p w14:paraId="1887E81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678" w:type="dxa"/>
            <w:shd w:val="clear" w:color="auto" w:fill="C1F0C7" w:themeFill="accent3" w:themeFillTint="33"/>
            <w:noWrap/>
          </w:tcPr>
          <w:p w14:paraId="1887E81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044" w:type="dxa"/>
            <w:shd w:val="clear" w:color="auto" w:fill="C1F0C7" w:themeFill="accent3" w:themeFillTint="33"/>
            <w:noWrap/>
          </w:tcPr>
          <w:p w14:paraId="1887E82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The new human resources management framework for Cyprus Police shall cover following areas: </w:t>
            </w:r>
          </w:p>
          <w:p w14:paraId="1887E821" w14:textId="5E22CCD4"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w:t>
            </w:r>
            <w:r w:rsidR="002E3454">
              <w:rPr>
                <w:rFonts w:ascii="Times New Roman" w:hAnsi="Times New Roman" w:cs="Times New Roman"/>
                <w:noProof/>
                <w:sz w:val="18"/>
                <w:szCs w:val="18"/>
              </w:rPr>
              <w:t xml:space="preserve"> </w:t>
            </w:r>
            <w:r w:rsidRPr="00D1795B">
              <w:rPr>
                <w:rFonts w:ascii="Times New Roman" w:hAnsi="Times New Roman" w:cs="Times New Roman"/>
                <w:noProof/>
                <w:sz w:val="18"/>
                <w:szCs w:val="18"/>
              </w:rPr>
              <w:t>Analysis and creation of job descriptions</w:t>
            </w:r>
          </w:p>
          <w:p w14:paraId="1887E82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Recruitment</w:t>
            </w:r>
          </w:p>
          <w:p w14:paraId="1887E823"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Motivation</w:t>
            </w:r>
          </w:p>
          <w:p w14:paraId="1887E824"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Training and Development</w:t>
            </w:r>
          </w:p>
          <w:p w14:paraId="1887E825"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Compensation and Benefits</w:t>
            </w:r>
          </w:p>
          <w:p w14:paraId="1887E826"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Labour and employee relations and communication</w:t>
            </w:r>
          </w:p>
          <w:p w14:paraId="1887E827"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Management of retired members</w:t>
            </w:r>
          </w:p>
          <w:p w14:paraId="1887E828"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Safety and Health</w:t>
            </w:r>
          </w:p>
          <w:p w14:paraId="1887E829"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Human resource management strategy</w:t>
            </w:r>
          </w:p>
        </w:tc>
      </w:tr>
      <w:tr w:rsidR="00C02B59" w:rsidRPr="00D1795B" w14:paraId="1887E839" w14:textId="77777777" w:rsidTr="002E3454">
        <w:trPr>
          <w:trHeight w:val="309"/>
          <w:jc w:val="center"/>
        </w:trPr>
        <w:tc>
          <w:tcPr>
            <w:tcW w:w="1084" w:type="dxa"/>
            <w:shd w:val="clear" w:color="auto" w:fill="C6EFCE"/>
            <w:noWrap/>
          </w:tcPr>
          <w:p w14:paraId="1887E82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157</w:t>
            </w:r>
          </w:p>
        </w:tc>
        <w:tc>
          <w:tcPr>
            <w:tcW w:w="1463" w:type="dxa"/>
            <w:shd w:val="clear" w:color="auto" w:fill="C6EFCE"/>
            <w:noWrap/>
          </w:tcPr>
          <w:p w14:paraId="1887E82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C3.4R1</w:t>
            </w:r>
          </w:p>
          <w:p w14:paraId="1887E82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Support the functioning of public administration</w:t>
            </w:r>
          </w:p>
        </w:tc>
        <w:tc>
          <w:tcPr>
            <w:tcW w:w="1134" w:type="dxa"/>
            <w:shd w:val="clear" w:color="auto" w:fill="C6EFCE"/>
            <w:noWrap/>
          </w:tcPr>
          <w:p w14:paraId="1887E82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shd w:val="clear" w:color="auto" w:fill="C6EFCE"/>
            <w:noWrap/>
          </w:tcPr>
          <w:p w14:paraId="1887E82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Guidelines and manuals, legal act(s), and trainings on management of human resources in the public administration</w:t>
            </w:r>
          </w:p>
        </w:tc>
        <w:tc>
          <w:tcPr>
            <w:tcW w:w="1701" w:type="dxa"/>
            <w:shd w:val="clear" w:color="auto" w:fill="C6EFCE"/>
            <w:noWrap/>
          </w:tcPr>
          <w:p w14:paraId="1887E83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Guidelines and manuals publicly online. </w:t>
            </w:r>
            <w:r w:rsidRPr="00D1795B">
              <w:rPr>
                <w:rFonts w:ascii="Times New Roman" w:eastAsia="Times New Roman" w:hAnsi="Times New Roman" w:cs="Times New Roman"/>
                <w:noProof/>
                <w:sz w:val="18"/>
                <w:szCs w:val="18"/>
              </w:rPr>
              <w:t>Provision in the legal act(s) indicating their entry into force.</w:t>
            </w:r>
            <w:r w:rsidRPr="00D1795B">
              <w:rPr>
                <w:rFonts w:ascii="Times New Roman" w:hAnsi="Times New Roman" w:cs="Times New Roman"/>
                <w:noProof/>
                <w:sz w:val="18"/>
                <w:szCs w:val="18"/>
              </w:rPr>
              <w:t xml:space="preserve"> </w:t>
            </w:r>
            <w:r w:rsidRPr="00D1795B">
              <w:rPr>
                <w:rFonts w:ascii="Times New Roman" w:eastAsia="Times New Roman" w:hAnsi="Times New Roman" w:cs="Times New Roman"/>
                <w:noProof/>
                <w:sz w:val="18"/>
                <w:szCs w:val="18"/>
              </w:rPr>
              <w:t>Trainings provided.</w:t>
            </w:r>
          </w:p>
        </w:tc>
        <w:tc>
          <w:tcPr>
            <w:tcW w:w="1275" w:type="dxa"/>
            <w:shd w:val="clear" w:color="auto" w:fill="C6EFCE"/>
            <w:noWrap/>
          </w:tcPr>
          <w:p w14:paraId="1887E83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6EFCE"/>
            <w:noWrap/>
          </w:tcPr>
          <w:p w14:paraId="1887E83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6EFCE"/>
            <w:noWrap/>
          </w:tcPr>
          <w:p w14:paraId="1887E83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04" w:type="dxa"/>
            <w:shd w:val="clear" w:color="auto" w:fill="C6EFCE"/>
            <w:noWrap/>
          </w:tcPr>
          <w:p w14:paraId="1887E83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678" w:type="dxa"/>
            <w:shd w:val="clear" w:color="auto" w:fill="C6EFCE"/>
            <w:noWrap/>
          </w:tcPr>
          <w:p w14:paraId="1887E83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044" w:type="dxa"/>
            <w:shd w:val="clear" w:color="auto" w:fill="C6EFCE"/>
            <w:noWrap/>
          </w:tcPr>
          <w:p w14:paraId="1887E836"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Guidelines and manuals on human resource management of public administration shall be publicly available online. </w:t>
            </w:r>
          </w:p>
          <w:p w14:paraId="1887E837"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Legal act(s) on disciplinary matters in the public administration shall enter into force. </w:t>
            </w:r>
          </w:p>
          <w:p w14:paraId="1887E838"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Trainings shall be provided to staff on human resource management of the public administration.</w:t>
            </w:r>
          </w:p>
        </w:tc>
      </w:tr>
      <w:tr w:rsidR="00C02B59" w:rsidRPr="00D1795B" w14:paraId="1887E846" w14:textId="77777777" w:rsidTr="002E3454">
        <w:trPr>
          <w:trHeight w:val="309"/>
          <w:jc w:val="center"/>
        </w:trPr>
        <w:tc>
          <w:tcPr>
            <w:tcW w:w="1084" w:type="dxa"/>
            <w:shd w:val="clear" w:color="auto" w:fill="C1F0C7" w:themeFill="accent3" w:themeFillTint="33"/>
            <w:noWrap/>
          </w:tcPr>
          <w:p w14:paraId="1887E83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158</w:t>
            </w:r>
          </w:p>
        </w:tc>
        <w:tc>
          <w:tcPr>
            <w:tcW w:w="1463" w:type="dxa"/>
            <w:shd w:val="clear" w:color="auto" w:fill="C1F0C7" w:themeFill="accent3" w:themeFillTint="33"/>
            <w:noWrap/>
          </w:tcPr>
          <w:p w14:paraId="1887E83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C3.4R2</w:t>
            </w:r>
          </w:p>
          <w:p w14:paraId="1887E83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Regulate flexible working arrangements in the public sector </w:t>
            </w:r>
          </w:p>
        </w:tc>
        <w:tc>
          <w:tcPr>
            <w:tcW w:w="1134" w:type="dxa"/>
            <w:shd w:val="clear" w:color="auto" w:fill="C1F0C7" w:themeFill="accent3" w:themeFillTint="33"/>
            <w:noWrap/>
          </w:tcPr>
          <w:p w14:paraId="1887E83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shd w:val="clear" w:color="auto" w:fill="C1F0C7" w:themeFill="accent3" w:themeFillTint="33"/>
            <w:noWrap/>
          </w:tcPr>
          <w:p w14:paraId="1887E83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Decision on flexible working arrangements in the public sector</w:t>
            </w:r>
          </w:p>
        </w:tc>
        <w:tc>
          <w:tcPr>
            <w:tcW w:w="1701" w:type="dxa"/>
            <w:shd w:val="clear" w:color="auto" w:fill="C1F0C7" w:themeFill="accent3" w:themeFillTint="33"/>
            <w:noWrap/>
          </w:tcPr>
          <w:p w14:paraId="1887E83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Decision by the Council of Ministers </w:t>
            </w:r>
          </w:p>
        </w:tc>
        <w:tc>
          <w:tcPr>
            <w:tcW w:w="1275" w:type="dxa"/>
            <w:shd w:val="clear" w:color="auto" w:fill="C1F0C7" w:themeFill="accent3" w:themeFillTint="33"/>
            <w:noWrap/>
          </w:tcPr>
          <w:p w14:paraId="1887E84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41"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42"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904" w:type="dxa"/>
            <w:shd w:val="clear" w:color="auto" w:fill="C1F0C7" w:themeFill="accent3" w:themeFillTint="33"/>
            <w:noWrap/>
          </w:tcPr>
          <w:p w14:paraId="1887E84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678" w:type="dxa"/>
            <w:shd w:val="clear" w:color="auto" w:fill="C1F0C7" w:themeFill="accent3" w:themeFillTint="33"/>
            <w:noWrap/>
          </w:tcPr>
          <w:p w14:paraId="1887E84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044" w:type="dxa"/>
            <w:shd w:val="clear" w:color="auto" w:fill="C1F0C7" w:themeFill="accent3" w:themeFillTint="33"/>
            <w:noWrap/>
          </w:tcPr>
          <w:p w14:paraId="1887E845"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 study regarding flexible working arrangements in the public sector shall be conducted. The PAPD shall assess the study’s recommendations considering appropriate safeguards aiming at improving the effectiveness of the public service. Following the assessment of the study’s recommendations, a decision regarding their implementation shall be taken by the Council of Ministers. </w:t>
            </w:r>
          </w:p>
        </w:tc>
      </w:tr>
      <w:tr w:rsidR="00C02B59" w:rsidRPr="00D1795B" w14:paraId="1887E853" w14:textId="77777777" w:rsidTr="002E3454">
        <w:trPr>
          <w:trHeight w:val="309"/>
          <w:jc w:val="center"/>
        </w:trPr>
        <w:tc>
          <w:tcPr>
            <w:tcW w:w="1084" w:type="dxa"/>
            <w:tcBorders>
              <w:bottom w:val="single" w:sz="4" w:space="0" w:color="auto"/>
            </w:tcBorders>
            <w:shd w:val="clear" w:color="auto" w:fill="C1F0C7" w:themeFill="accent3" w:themeFillTint="33"/>
            <w:noWrap/>
          </w:tcPr>
          <w:p w14:paraId="1887E847"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159</w:t>
            </w:r>
          </w:p>
        </w:tc>
        <w:tc>
          <w:tcPr>
            <w:tcW w:w="1463" w:type="dxa"/>
            <w:tcBorders>
              <w:bottom w:val="single" w:sz="4" w:space="0" w:color="auto"/>
            </w:tcBorders>
            <w:shd w:val="clear" w:color="auto" w:fill="C1F0C7" w:themeFill="accent3" w:themeFillTint="33"/>
            <w:noWrap/>
          </w:tcPr>
          <w:p w14:paraId="1887E848"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C3.4R2</w:t>
            </w:r>
          </w:p>
          <w:p w14:paraId="1887E849"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 xml:space="preserve">Regulate flexible working arrangements in the public sector </w:t>
            </w:r>
          </w:p>
        </w:tc>
        <w:tc>
          <w:tcPr>
            <w:tcW w:w="1134" w:type="dxa"/>
            <w:tcBorders>
              <w:bottom w:val="single" w:sz="4" w:space="0" w:color="auto"/>
            </w:tcBorders>
            <w:shd w:val="clear" w:color="auto" w:fill="C1F0C7" w:themeFill="accent3" w:themeFillTint="33"/>
            <w:noWrap/>
          </w:tcPr>
          <w:p w14:paraId="1887E84A"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Milestone</w:t>
            </w:r>
          </w:p>
        </w:tc>
        <w:tc>
          <w:tcPr>
            <w:tcW w:w="1276" w:type="dxa"/>
            <w:tcBorders>
              <w:bottom w:val="single" w:sz="4" w:space="0" w:color="auto"/>
            </w:tcBorders>
            <w:shd w:val="clear" w:color="auto" w:fill="C1F0C7" w:themeFill="accent3" w:themeFillTint="33"/>
            <w:noWrap/>
          </w:tcPr>
          <w:p w14:paraId="1887E84B"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Flexible working arrangements</w:t>
            </w:r>
          </w:p>
        </w:tc>
        <w:tc>
          <w:tcPr>
            <w:tcW w:w="1701" w:type="dxa"/>
            <w:tcBorders>
              <w:bottom w:val="single" w:sz="4" w:space="0" w:color="auto"/>
            </w:tcBorders>
            <w:shd w:val="clear" w:color="auto" w:fill="C1F0C7" w:themeFill="accent3" w:themeFillTint="33"/>
            <w:noWrap/>
          </w:tcPr>
          <w:p w14:paraId="1887E84C"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Provision in the legal act(s) indicating their entry into force</w:t>
            </w:r>
          </w:p>
        </w:tc>
        <w:tc>
          <w:tcPr>
            <w:tcW w:w="1275" w:type="dxa"/>
            <w:tcBorders>
              <w:bottom w:val="single" w:sz="4" w:space="0" w:color="auto"/>
            </w:tcBorders>
            <w:shd w:val="clear" w:color="auto" w:fill="C1F0C7" w:themeFill="accent3" w:themeFillTint="33"/>
            <w:noWrap/>
          </w:tcPr>
          <w:p w14:paraId="1887E84D" w14:textId="77777777" w:rsidR="00C02B59" w:rsidRPr="00D1795B" w:rsidRDefault="00C02B59" w:rsidP="00C02B59">
            <w:pPr>
              <w:spacing w:after="0" w:line="240" w:lineRule="auto"/>
              <w:jc w:val="center"/>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w:t>
            </w:r>
          </w:p>
        </w:tc>
        <w:tc>
          <w:tcPr>
            <w:tcW w:w="1276" w:type="dxa"/>
            <w:tcBorders>
              <w:bottom w:val="single" w:sz="4" w:space="0" w:color="auto"/>
            </w:tcBorders>
            <w:shd w:val="clear" w:color="auto" w:fill="C1F0C7" w:themeFill="accent3" w:themeFillTint="33"/>
            <w:noWrap/>
          </w:tcPr>
          <w:p w14:paraId="1887E84E" w14:textId="77777777" w:rsidR="00C02B59" w:rsidRPr="00D1795B" w:rsidRDefault="00C02B59" w:rsidP="00C02B59">
            <w:pPr>
              <w:spacing w:after="0" w:line="240" w:lineRule="auto"/>
              <w:jc w:val="center"/>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w:t>
            </w:r>
          </w:p>
        </w:tc>
        <w:tc>
          <w:tcPr>
            <w:tcW w:w="1276" w:type="dxa"/>
            <w:tcBorders>
              <w:bottom w:val="single" w:sz="4" w:space="0" w:color="auto"/>
            </w:tcBorders>
            <w:shd w:val="clear" w:color="auto" w:fill="C1F0C7" w:themeFill="accent3" w:themeFillTint="33"/>
            <w:noWrap/>
          </w:tcPr>
          <w:p w14:paraId="1887E84F" w14:textId="77777777" w:rsidR="00C02B59" w:rsidRPr="00D1795B" w:rsidRDefault="00C02B59" w:rsidP="00C02B59">
            <w:pPr>
              <w:spacing w:after="0" w:line="240" w:lineRule="auto"/>
              <w:jc w:val="center"/>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w:t>
            </w:r>
          </w:p>
        </w:tc>
        <w:tc>
          <w:tcPr>
            <w:tcW w:w="904" w:type="dxa"/>
            <w:tcBorders>
              <w:bottom w:val="single" w:sz="4" w:space="0" w:color="auto"/>
            </w:tcBorders>
            <w:shd w:val="clear" w:color="auto" w:fill="C1F0C7" w:themeFill="accent3" w:themeFillTint="33"/>
            <w:noWrap/>
          </w:tcPr>
          <w:p w14:paraId="1887E850"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 xml:space="preserve">Q4 </w:t>
            </w:r>
          </w:p>
        </w:tc>
        <w:tc>
          <w:tcPr>
            <w:tcW w:w="678" w:type="dxa"/>
            <w:tcBorders>
              <w:bottom w:val="single" w:sz="4" w:space="0" w:color="auto"/>
            </w:tcBorders>
            <w:shd w:val="clear" w:color="auto" w:fill="C1F0C7" w:themeFill="accent3" w:themeFillTint="33"/>
            <w:noWrap/>
          </w:tcPr>
          <w:p w14:paraId="1887E851"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2024</w:t>
            </w:r>
          </w:p>
        </w:tc>
        <w:tc>
          <w:tcPr>
            <w:tcW w:w="3044" w:type="dxa"/>
            <w:tcBorders>
              <w:bottom w:val="single" w:sz="4" w:space="0" w:color="auto"/>
            </w:tcBorders>
            <w:shd w:val="clear" w:color="auto" w:fill="C1F0C7" w:themeFill="accent3" w:themeFillTint="33"/>
            <w:noWrap/>
          </w:tcPr>
          <w:p w14:paraId="1887E852" w14:textId="77777777" w:rsidR="00C02B59" w:rsidRPr="00D1795B" w:rsidRDefault="00C02B59" w:rsidP="00C02B59">
            <w:pPr>
              <w:spacing w:after="0" w:line="240" w:lineRule="auto"/>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Entry into force of legal act(s) on flexible working arrangements in the public sector.</w:t>
            </w:r>
          </w:p>
        </w:tc>
      </w:tr>
      <w:tr w:rsidR="00C02B59" w:rsidRPr="00D1795B" w14:paraId="1887E861" w14:textId="77777777" w:rsidTr="002E3454">
        <w:trPr>
          <w:trHeight w:val="309"/>
          <w:jc w:val="center"/>
        </w:trPr>
        <w:tc>
          <w:tcPr>
            <w:tcW w:w="1084" w:type="dxa"/>
            <w:shd w:val="clear" w:color="auto" w:fill="C1F0C7" w:themeFill="accent3" w:themeFillTint="33"/>
            <w:noWrap/>
          </w:tcPr>
          <w:p w14:paraId="1887E85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160</w:t>
            </w:r>
          </w:p>
        </w:tc>
        <w:tc>
          <w:tcPr>
            <w:tcW w:w="1463" w:type="dxa"/>
            <w:shd w:val="clear" w:color="auto" w:fill="C1F0C7" w:themeFill="accent3" w:themeFillTint="33"/>
            <w:noWrap/>
          </w:tcPr>
          <w:p w14:paraId="1887E85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C3.4R3</w:t>
            </w:r>
          </w:p>
          <w:p w14:paraId="1887E85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Introduce new framework for evaluation and selection process for filling public service vacancies and new regulations for the evaluation of employees’ performance</w:t>
            </w:r>
          </w:p>
        </w:tc>
        <w:tc>
          <w:tcPr>
            <w:tcW w:w="1134" w:type="dxa"/>
            <w:shd w:val="clear" w:color="auto" w:fill="C1F0C7" w:themeFill="accent3" w:themeFillTint="33"/>
            <w:noWrap/>
          </w:tcPr>
          <w:p w14:paraId="1887E85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shd w:val="clear" w:color="auto" w:fill="C1F0C7" w:themeFill="accent3" w:themeFillTint="33"/>
            <w:noWrap/>
          </w:tcPr>
          <w:p w14:paraId="1887E85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legislation for the evaluation and selection process for public service vacancies and regulations for employees’ performance evaluation. </w:t>
            </w:r>
          </w:p>
        </w:tc>
        <w:tc>
          <w:tcPr>
            <w:tcW w:w="1701" w:type="dxa"/>
            <w:shd w:val="clear" w:color="auto" w:fill="C1F0C7" w:themeFill="accent3" w:themeFillTint="33"/>
            <w:noWrap/>
          </w:tcPr>
          <w:p w14:paraId="1887E85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Provision in the relevant law(s) and regulations indicating their respective entry into force </w:t>
            </w:r>
          </w:p>
        </w:tc>
        <w:tc>
          <w:tcPr>
            <w:tcW w:w="1275" w:type="dxa"/>
            <w:shd w:val="clear" w:color="auto" w:fill="C1F0C7" w:themeFill="accent3" w:themeFillTint="33"/>
            <w:noWrap/>
          </w:tcPr>
          <w:p w14:paraId="1887E85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5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5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04" w:type="dxa"/>
            <w:shd w:val="clear" w:color="auto" w:fill="C1F0C7" w:themeFill="accent3" w:themeFillTint="33"/>
            <w:noWrap/>
          </w:tcPr>
          <w:p w14:paraId="1887E85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Q4 </w:t>
            </w:r>
          </w:p>
        </w:tc>
        <w:tc>
          <w:tcPr>
            <w:tcW w:w="678" w:type="dxa"/>
            <w:shd w:val="clear" w:color="auto" w:fill="C1F0C7" w:themeFill="accent3" w:themeFillTint="33"/>
            <w:noWrap/>
          </w:tcPr>
          <w:p w14:paraId="1887E85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2021</w:t>
            </w:r>
          </w:p>
        </w:tc>
        <w:tc>
          <w:tcPr>
            <w:tcW w:w="3044" w:type="dxa"/>
            <w:shd w:val="clear" w:color="auto" w:fill="C1F0C7" w:themeFill="accent3" w:themeFillTint="33"/>
            <w:noWrap/>
          </w:tcPr>
          <w:p w14:paraId="1887E85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main elements shall be:</w:t>
            </w:r>
          </w:p>
          <w:p w14:paraId="1887E86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(i) entry into force of a law providing for the evaluation and selection of candidates to fill the public service promotion posts, including managerial posts, with new criteria and methods based on objective assessment and merit, and amendment of the Public Service Law where deemed necessary, and </w:t>
            </w:r>
            <w:r w:rsidRPr="00D1795B">
              <w:rPr>
                <w:rFonts w:ascii="Times New Roman" w:hAnsi="Times New Roman" w:cs="Times New Roman"/>
                <w:noProof/>
                <w:sz w:val="18"/>
                <w:szCs w:val="18"/>
              </w:rPr>
              <w:br/>
              <w:t>(ii) entry into force of new regulations for implementing a new performance appraisal system for public employees, to be used for development and promotion purposes in order to make the performance appraisal procedure and the promotion mechanism more transparent, fair, skill-based and effective</w:t>
            </w:r>
          </w:p>
        </w:tc>
      </w:tr>
      <w:tr w:rsidR="00C02B59" w:rsidRPr="00D1795B" w14:paraId="1887E870" w14:textId="77777777" w:rsidTr="002E3454">
        <w:trPr>
          <w:trHeight w:val="309"/>
          <w:jc w:val="center"/>
        </w:trPr>
        <w:tc>
          <w:tcPr>
            <w:tcW w:w="1084" w:type="dxa"/>
            <w:shd w:val="clear" w:color="auto" w:fill="C1F0C7" w:themeFill="accent3" w:themeFillTint="33"/>
            <w:noWrap/>
          </w:tcPr>
          <w:p w14:paraId="1887E86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162</w:t>
            </w:r>
          </w:p>
        </w:tc>
        <w:tc>
          <w:tcPr>
            <w:tcW w:w="1463" w:type="dxa"/>
            <w:shd w:val="clear" w:color="auto" w:fill="C1F0C7" w:themeFill="accent3" w:themeFillTint="33"/>
            <w:noWrap/>
          </w:tcPr>
          <w:p w14:paraId="1887E86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C3.4R4</w:t>
            </w:r>
          </w:p>
          <w:p w14:paraId="1887E86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Digitalisation of public procurement </w:t>
            </w:r>
          </w:p>
        </w:tc>
        <w:tc>
          <w:tcPr>
            <w:tcW w:w="1134" w:type="dxa"/>
            <w:shd w:val="clear" w:color="auto" w:fill="C1F0C7" w:themeFill="accent3" w:themeFillTint="33"/>
            <w:noWrap/>
          </w:tcPr>
          <w:p w14:paraId="1887E86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shd w:val="clear" w:color="auto" w:fill="C1F0C7" w:themeFill="accent3" w:themeFillTint="33"/>
            <w:noWrap/>
          </w:tcPr>
          <w:p w14:paraId="1887E86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E-procurement system </w:t>
            </w:r>
          </w:p>
        </w:tc>
        <w:tc>
          <w:tcPr>
            <w:tcW w:w="1701" w:type="dxa"/>
            <w:shd w:val="clear" w:color="auto" w:fill="C1F0C7" w:themeFill="accent3" w:themeFillTint="33"/>
            <w:noWrap/>
          </w:tcPr>
          <w:p w14:paraId="1887E86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E-procurement system accessible</w:t>
            </w:r>
          </w:p>
        </w:tc>
        <w:tc>
          <w:tcPr>
            <w:tcW w:w="1275" w:type="dxa"/>
            <w:shd w:val="clear" w:color="auto" w:fill="C1F0C7" w:themeFill="accent3" w:themeFillTint="33"/>
            <w:noWrap/>
          </w:tcPr>
          <w:p w14:paraId="1887E86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6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6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04" w:type="dxa"/>
            <w:shd w:val="clear" w:color="auto" w:fill="C1F0C7" w:themeFill="accent3" w:themeFillTint="33"/>
            <w:noWrap/>
          </w:tcPr>
          <w:p w14:paraId="1887E86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678" w:type="dxa"/>
            <w:shd w:val="clear" w:color="auto" w:fill="C1F0C7" w:themeFill="accent3" w:themeFillTint="33"/>
            <w:noWrap/>
          </w:tcPr>
          <w:p w14:paraId="1887E86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044" w:type="dxa"/>
            <w:shd w:val="clear" w:color="auto" w:fill="C1F0C7" w:themeFill="accent3" w:themeFillTint="33"/>
            <w:noWrap/>
          </w:tcPr>
          <w:p w14:paraId="1887E86D"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e-procurement system shall be online and accessible, with the following functionalities:</w:t>
            </w:r>
          </w:p>
          <w:p w14:paraId="1887E86E"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 statistical reporting </w:t>
            </w:r>
          </w:p>
          <w:p w14:paraId="1887E86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 e-shopping through a digital catalogue. </w:t>
            </w:r>
          </w:p>
        </w:tc>
      </w:tr>
      <w:tr w:rsidR="00C02B59" w:rsidRPr="00D1795B" w14:paraId="1887E883" w14:textId="77777777" w:rsidTr="002E3454">
        <w:trPr>
          <w:trHeight w:val="309"/>
          <w:jc w:val="center"/>
        </w:trPr>
        <w:tc>
          <w:tcPr>
            <w:tcW w:w="1084" w:type="dxa"/>
            <w:tcBorders>
              <w:bottom w:val="single" w:sz="4" w:space="0" w:color="auto"/>
            </w:tcBorders>
            <w:shd w:val="clear" w:color="auto" w:fill="C1F0C7" w:themeFill="accent3" w:themeFillTint="33"/>
            <w:noWrap/>
          </w:tcPr>
          <w:p w14:paraId="1887E87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163</w:t>
            </w:r>
          </w:p>
        </w:tc>
        <w:tc>
          <w:tcPr>
            <w:tcW w:w="1463" w:type="dxa"/>
            <w:tcBorders>
              <w:bottom w:val="single" w:sz="4" w:space="0" w:color="auto"/>
            </w:tcBorders>
            <w:shd w:val="clear" w:color="auto" w:fill="C1F0C7" w:themeFill="accent3" w:themeFillTint="33"/>
            <w:noWrap/>
          </w:tcPr>
          <w:p w14:paraId="1887E87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C3.4R5</w:t>
            </w:r>
          </w:p>
          <w:p w14:paraId="1887E87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Enhancement of the capacity of the Law Office </w:t>
            </w:r>
          </w:p>
        </w:tc>
        <w:tc>
          <w:tcPr>
            <w:tcW w:w="1134" w:type="dxa"/>
            <w:tcBorders>
              <w:bottom w:val="single" w:sz="4" w:space="0" w:color="auto"/>
            </w:tcBorders>
            <w:shd w:val="clear" w:color="auto" w:fill="C1F0C7" w:themeFill="accent3" w:themeFillTint="33"/>
            <w:noWrap/>
          </w:tcPr>
          <w:p w14:paraId="1887E87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tcBorders>
              <w:bottom w:val="single" w:sz="4" w:space="0" w:color="auto"/>
            </w:tcBorders>
            <w:shd w:val="clear" w:color="auto" w:fill="C1F0C7" w:themeFill="accent3" w:themeFillTint="33"/>
            <w:noWrap/>
          </w:tcPr>
          <w:p w14:paraId="1887E87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New IT system for the Law Office</w:t>
            </w:r>
          </w:p>
        </w:tc>
        <w:tc>
          <w:tcPr>
            <w:tcW w:w="1701" w:type="dxa"/>
            <w:tcBorders>
              <w:bottom w:val="single" w:sz="4" w:space="0" w:color="auto"/>
            </w:tcBorders>
            <w:shd w:val="clear" w:color="auto" w:fill="C1F0C7" w:themeFill="accent3" w:themeFillTint="33"/>
            <w:noWrap/>
          </w:tcPr>
          <w:p w14:paraId="1887E87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service of the new IT system</w:t>
            </w:r>
          </w:p>
        </w:tc>
        <w:tc>
          <w:tcPr>
            <w:tcW w:w="1275" w:type="dxa"/>
            <w:tcBorders>
              <w:bottom w:val="single" w:sz="4" w:space="0" w:color="auto"/>
            </w:tcBorders>
            <w:shd w:val="clear" w:color="auto" w:fill="C1F0C7" w:themeFill="accent3" w:themeFillTint="33"/>
            <w:noWrap/>
          </w:tcPr>
          <w:p w14:paraId="1887E87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tcBorders>
              <w:bottom w:val="single" w:sz="4" w:space="0" w:color="auto"/>
            </w:tcBorders>
            <w:shd w:val="clear" w:color="auto" w:fill="C1F0C7" w:themeFill="accent3" w:themeFillTint="33"/>
            <w:noWrap/>
          </w:tcPr>
          <w:p w14:paraId="1887E87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tcBorders>
              <w:bottom w:val="single" w:sz="4" w:space="0" w:color="auto"/>
            </w:tcBorders>
            <w:shd w:val="clear" w:color="auto" w:fill="C1F0C7" w:themeFill="accent3" w:themeFillTint="33"/>
            <w:noWrap/>
          </w:tcPr>
          <w:p w14:paraId="1887E87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04" w:type="dxa"/>
            <w:tcBorders>
              <w:bottom w:val="single" w:sz="4" w:space="0" w:color="auto"/>
            </w:tcBorders>
            <w:shd w:val="clear" w:color="auto" w:fill="C1F0C7" w:themeFill="accent3" w:themeFillTint="33"/>
            <w:noWrap/>
          </w:tcPr>
          <w:p w14:paraId="1887E87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678" w:type="dxa"/>
            <w:tcBorders>
              <w:bottom w:val="single" w:sz="4" w:space="0" w:color="auto"/>
            </w:tcBorders>
            <w:shd w:val="clear" w:color="auto" w:fill="C1F0C7" w:themeFill="accent3" w:themeFillTint="33"/>
            <w:noWrap/>
          </w:tcPr>
          <w:p w14:paraId="1887E87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044" w:type="dxa"/>
            <w:tcBorders>
              <w:bottom w:val="single" w:sz="4" w:space="0" w:color="auto"/>
            </w:tcBorders>
            <w:shd w:val="clear" w:color="auto" w:fill="C1F0C7" w:themeFill="accent3" w:themeFillTint="33"/>
            <w:noWrap/>
          </w:tcPr>
          <w:p w14:paraId="1887E87C"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e- Law system is made operational for the Law Office and used. It includes the following functionalities:</w:t>
            </w:r>
          </w:p>
          <w:p w14:paraId="1887E87D"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 creation of electronic case files and folders, </w:t>
            </w:r>
          </w:p>
          <w:p w14:paraId="1887E87E"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 case management and monitoring, </w:t>
            </w:r>
          </w:p>
          <w:p w14:paraId="1887E87F" w14:textId="61703F4F"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 internal communication and </w:t>
            </w:r>
            <w:r w:rsidR="004902A5" w:rsidRPr="00D1795B">
              <w:rPr>
                <w:rFonts w:ascii="Times New Roman" w:hAnsi="Times New Roman" w:cs="Times New Roman"/>
                <w:noProof/>
                <w:sz w:val="18"/>
                <w:szCs w:val="18"/>
              </w:rPr>
              <w:t>workflows</w:t>
            </w:r>
            <w:r w:rsidRPr="00D1795B">
              <w:rPr>
                <w:rFonts w:ascii="Times New Roman" w:hAnsi="Times New Roman" w:cs="Times New Roman"/>
                <w:noProof/>
                <w:sz w:val="18"/>
                <w:szCs w:val="18"/>
              </w:rPr>
              <w:t xml:space="preserve">, </w:t>
            </w:r>
          </w:p>
          <w:p w14:paraId="1887E88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 tracking of cases, financial management and payments, </w:t>
            </w:r>
          </w:p>
          <w:p w14:paraId="1887E881"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digitalisation of paper files. Training of users has been concluded.</w:t>
            </w:r>
          </w:p>
          <w:p w14:paraId="1887E88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paper files of the Law Office are digitalised.</w:t>
            </w:r>
          </w:p>
        </w:tc>
      </w:tr>
      <w:tr w:rsidR="00C02B59" w:rsidRPr="00D1795B" w14:paraId="1887E891" w14:textId="77777777" w:rsidTr="002E3454">
        <w:trPr>
          <w:trHeight w:val="309"/>
          <w:jc w:val="center"/>
        </w:trPr>
        <w:tc>
          <w:tcPr>
            <w:tcW w:w="1084" w:type="dxa"/>
            <w:shd w:val="clear" w:color="auto" w:fill="C1F0C7" w:themeFill="accent3" w:themeFillTint="33"/>
            <w:noWrap/>
          </w:tcPr>
          <w:p w14:paraId="1887E88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167</w:t>
            </w:r>
          </w:p>
        </w:tc>
        <w:tc>
          <w:tcPr>
            <w:tcW w:w="1463" w:type="dxa"/>
            <w:shd w:val="clear" w:color="auto" w:fill="C1F0C7" w:themeFill="accent3" w:themeFillTint="33"/>
            <w:noWrap/>
          </w:tcPr>
          <w:p w14:paraId="1887E88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C3.4I3</w:t>
            </w:r>
          </w:p>
          <w:p w14:paraId="1887E88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Economic Policy Modelling Hub </w:t>
            </w:r>
          </w:p>
        </w:tc>
        <w:tc>
          <w:tcPr>
            <w:tcW w:w="1134" w:type="dxa"/>
            <w:shd w:val="clear" w:color="auto" w:fill="C1F0C7" w:themeFill="accent3" w:themeFillTint="33"/>
            <w:noWrap/>
          </w:tcPr>
          <w:p w14:paraId="1887E88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shd w:val="clear" w:color="auto" w:fill="C1F0C7" w:themeFill="accent3" w:themeFillTint="33"/>
            <w:noWrap/>
          </w:tcPr>
          <w:p w14:paraId="1887E88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Setting up a Modelling Hub for Economic Policy Analysis</w:t>
            </w:r>
          </w:p>
        </w:tc>
        <w:tc>
          <w:tcPr>
            <w:tcW w:w="1701" w:type="dxa"/>
            <w:shd w:val="clear" w:color="auto" w:fill="C1F0C7" w:themeFill="accent3" w:themeFillTint="33"/>
            <w:noWrap/>
          </w:tcPr>
          <w:p w14:paraId="1887E88A" w14:textId="6DC65DE3" w:rsidR="00C02B59" w:rsidRPr="00D1795B" w:rsidRDefault="00C02B59" w:rsidP="002E3454">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service of the Hub</w:t>
            </w:r>
          </w:p>
        </w:tc>
        <w:tc>
          <w:tcPr>
            <w:tcW w:w="1275" w:type="dxa"/>
            <w:shd w:val="clear" w:color="auto" w:fill="C1F0C7" w:themeFill="accent3" w:themeFillTint="33"/>
            <w:noWrap/>
          </w:tcPr>
          <w:p w14:paraId="1887E88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8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8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04" w:type="dxa"/>
            <w:shd w:val="clear" w:color="auto" w:fill="C1F0C7" w:themeFill="accent3" w:themeFillTint="33"/>
            <w:noWrap/>
          </w:tcPr>
          <w:p w14:paraId="1887E88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678" w:type="dxa"/>
            <w:shd w:val="clear" w:color="auto" w:fill="C1F0C7" w:themeFill="accent3" w:themeFillTint="33"/>
            <w:noWrap/>
          </w:tcPr>
          <w:p w14:paraId="1887E88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044" w:type="dxa"/>
            <w:shd w:val="clear" w:color="auto" w:fill="C1F0C7" w:themeFill="accent3" w:themeFillTint="33"/>
            <w:noWrap/>
          </w:tcPr>
          <w:p w14:paraId="1887E89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Operationalisation and equipment of the Hub including appointment of the team of scientific staff. The team shall consist of experts on macroeconometric models, econometricians, data analytics experts and economists. </w:t>
            </w:r>
          </w:p>
        </w:tc>
      </w:tr>
      <w:tr w:rsidR="00C02B59" w:rsidRPr="00D1795B" w14:paraId="1887E89E" w14:textId="77777777" w:rsidTr="002E3454">
        <w:trPr>
          <w:trHeight w:val="309"/>
          <w:jc w:val="center"/>
        </w:trPr>
        <w:tc>
          <w:tcPr>
            <w:tcW w:w="1084" w:type="dxa"/>
            <w:shd w:val="clear" w:color="auto" w:fill="C1F0C7" w:themeFill="accent3" w:themeFillTint="33"/>
            <w:noWrap/>
          </w:tcPr>
          <w:p w14:paraId="1887E892" w14:textId="03148622"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168</w:t>
            </w:r>
          </w:p>
        </w:tc>
        <w:tc>
          <w:tcPr>
            <w:tcW w:w="1463" w:type="dxa"/>
            <w:shd w:val="clear" w:color="auto" w:fill="C1F0C7" w:themeFill="accent3" w:themeFillTint="33"/>
            <w:noWrap/>
          </w:tcPr>
          <w:p w14:paraId="1887E89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C3.4I3</w:t>
            </w:r>
          </w:p>
          <w:p w14:paraId="1887E89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Economic Policy Modelling Hub </w:t>
            </w:r>
          </w:p>
        </w:tc>
        <w:tc>
          <w:tcPr>
            <w:tcW w:w="1134" w:type="dxa"/>
            <w:shd w:val="clear" w:color="auto" w:fill="C1F0C7" w:themeFill="accent3" w:themeFillTint="33"/>
            <w:noWrap/>
          </w:tcPr>
          <w:p w14:paraId="1887E89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shd w:val="clear" w:color="auto" w:fill="C1F0C7" w:themeFill="accent3" w:themeFillTint="33"/>
            <w:noWrap/>
          </w:tcPr>
          <w:p w14:paraId="1887E896" w14:textId="7AEC2832"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Report </w:t>
            </w:r>
            <w:r w:rsidR="005E5C6D" w:rsidRPr="00D1795B">
              <w:rPr>
                <w:rFonts w:ascii="Times New Roman" w:hAnsi="Times New Roman" w:cs="Times New Roman"/>
                <w:noProof/>
                <w:sz w:val="18"/>
                <w:szCs w:val="18"/>
              </w:rPr>
              <w:t>on the Project “Economic Policy Modelling Hub”</w:t>
            </w:r>
          </w:p>
        </w:tc>
        <w:tc>
          <w:tcPr>
            <w:tcW w:w="1701" w:type="dxa"/>
            <w:shd w:val="clear" w:color="auto" w:fill="C1F0C7" w:themeFill="accent3" w:themeFillTint="33"/>
            <w:noWrap/>
          </w:tcPr>
          <w:p w14:paraId="1887E897" w14:textId="1F64EB21"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Report </w:t>
            </w:r>
            <w:r w:rsidR="00006612" w:rsidRPr="00D1795B">
              <w:rPr>
                <w:rFonts w:ascii="Times New Roman" w:hAnsi="Times New Roman" w:cs="Times New Roman"/>
                <w:noProof/>
                <w:sz w:val="18"/>
                <w:szCs w:val="18"/>
              </w:rPr>
              <w:t xml:space="preserve">on the Project “Economic Policy Modelling Hub” </w:t>
            </w:r>
            <w:r w:rsidR="00A57536" w:rsidRPr="00D1795B">
              <w:rPr>
                <w:rFonts w:ascii="Times New Roman" w:hAnsi="Times New Roman" w:cs="Times New Roman"/>
                <w:noProof/>
                <w:sz w:val="18"/>
                <w:szCs w:val="18"/>
              </w:rPr>
              <w:t>online</w:t>
            </w:r>
          </w:p>
        </w:tc>
        <w:tc>
          <w:tcPr>
            <w:tcW w:w="1275" w:type="dxa"/>
            <w:shd w:val="clear" w:color="auto" w:fill="C1F0C7" w:themeFill="accent3" w:themeFillTint="33"/>
            <w:noWrap/>
          </w:tcPr>
          <w:p w14:paraId="1887E898"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99"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9A"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904" w:type="dxa"/>
            <w:shd w:val="clear" w:color="auto" w:fill="C1F0C7" w:themeFill="accent3" w:themeFillTint="33"/>
            <w:noWrap/>
          </w:tcPr>
          <w:p w14:paraId="1887E89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678" w:type="dxa"/>
            <w:shd w:val="clear" w:color="auto" w:fill="C1F0C7" w:themeFill="accent3" w:themeFillTint="33"/>
            <w:noWrap/>
          </w:tcPr>
          <w:p w14:paraId="1887E89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044" w:type="dxa"/>
            <w:shd w:val="clear" w:color="auto" w:fill="C1F0C7" w:themeFill="accent3" w:themeFillTint="33"/>
            <w:noWrap/>
          </w:tcPr>
          <w:p w14:paraId="1887E89D" w14:textId="681E5D13" w:rsidR="00C02B59" w:rsidRPr="00D1795B" w:rsidRDefault="005E5C6D"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w:t>
            </w:r>
            <w:r w:rsidR="00C02B59" w:rsidRPr="00D1795B">
              <w:rPr>
                <w:rFonts w:ascii="Times New Roman" w:hAnsi="Times New Roman" w:cs="Times New Roman"/>
                <w:noProof/>
                <w:sz w:val="18"/>
                <w:szCs w:val="18"/>
              </w:rPr>
              <w:t xml:space="preserve"> report </w:t>
            </w:r>
            <w:r w:rsidRPr="00D1795B">
              <w:rPr>
                <w:rFonts w:ascii="Times New Roman" w:hAnsi="Times New Roman" w:cs="Times New Roman"/>
                <w:noProof/>
                <w:sz w:val="18"/>
                <w:szCs w:val="18"/>
              </w:rPr>
              <w:t>on the Project “Economic Policy Modelling Hub” shall be published online</w:t>
            </w:r>
            <w:r w:rsidR="00C02B59" w:rsidRPr="00D1795B">
              <w:rPr>
                <w:rFonts w:ascii="Times New Roman" w:hAnsi="Times New Roman" w:cs="Times New Roman"/>
                <w:noProof/>
                <w:sz w:val="18"/>
                <w:szCs w:val="18"/>
              </w:rPr>
              <w:t>.</w:t>
            </w:r>
          </w:p>
        </w:tc>
      </w:tr>
      <w:tr w:rsidR="00C02B59" w:rsidRPr="00D1795B" w14:paraId="1887E8AD" w14:textId="77777777" w:rsidTr="002E3454">
        <w:trPr>
          <w:trHeight w:val="309"/>
          <w:jc w:val="center"/>
        </w:trPr>
        <w:tc>
          <w:tcPr>
            <w:tcW w:w="1084" w:type="dxa"/>
            <w:shd w:val="clear" w:color="auto" w:fill="C1F0C7" w:themeFill="accent3" w:themeFillTint="33"/>
            <w:noWrap/>
          </w:tcPr>
          <w:p w14:paraId="1887E89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169</w:t>
            </w:r>
          </w:p>
        </w:tc>
        <w:tc>
          <w:tcPr>
            <w:tcW w:w="1463" w:type="dxa"/>
            <w:shd w:val="clear" w:color="auto" w:fill="C1F0C7" w:themeFill="accent3" w:themeFillTint="33"/>
            <w:noWrap/>
          </w:tcPr>
          <w:p w14:paraId="1887E8A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C3.4R6</w:t>
            </w:r>
          </w:p>
          <w:p w14:paraId="1887E8A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New legal framework for Local Authorities and support measures </w:t>
            </w:r>
          </w:p>
        </w:tc>
        <w:tc>
          <w:tcPr>
            <w:tcW w:w="1134" w:type="dxa"/>
            <w:shd w:val="clear" w:color="auto" w:fill="C1F0C7" w:themeFill="accent3" w:themeFillTint="33"/>
            <w:noWrap/>
          </w:tcPr>
          <w:p w14:paraId="1887E8A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shd w:val="clear" w:color="auto" w:fill="C1F0C7" w:themeFill="accent3" w:themeFillTint="33"/>
            <w:noWrap/>
          </w:tcPr>
          <w:p w14:paraId="1887E8A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New legal framework on local authorities</w:t>
            </w:r>
          </w:p>
        </w:tc>
        <w:tc>
          <w:tcPr>
            <w:tcW w:w="1701" w:type="dxa"/>
            <w:shd w:val="clear" w:color="auto" w:fill="C1F0C7" w:themeFill="accent3" w:themeFillTint="33"/>
            <w:noWrap/>
          </w:tcPr>
          <w:p w14:paraId="1887E8A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Provision in the law indicating the entry into force of legal act(s)</w:t>
            </w:r>
          </w:p>
        </w:tc>
        <w:tc>
          <w:tcPr>
            <w:tcW w:w="1275" w:type="dxa"/>
            <w:shd w:val="clear" w:color="auto" w:fill="C1F0C7" w:themeFill="accent3" w:themeFillTint="33"/>
            <w:noWrap/>
          </w:tcPr>
          <w:p w14:paraId="1887E8A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A6"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A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04" w:type="dxa"/>
            <w:shd w:val="clear" w:color="auto" w:fill="C1F0C7" w:themeFill="accent3" w:themeFillTint="33"/>
            <w:noWrap/>
          </w:tcPr>
          <w:p w14:paraId="1887E8A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678" w:type="dxa"/>
            <w:shd w:val="clear" w:color="auto" w:fill="C1F0C7" w:themeFill="accent3" w:themeFillTint="33"/>
            <w:noWrap/>
          </w:tcPr>
          <w:p w14:paraId="1887E8A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044" w:type="dxa"/>
            <w:shd w:val="clear" w:color="auto" w:fill="C1F0C7" w:themeFill="accent3" w:themeFillTint="33"/>
            <w:noWrap/>
          </w:tcPr>
          <w:p w14:paraId="1887E8AA"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legal act(s) entailing:</w:t>
            </w:r>
          </w:p>
          <w:p w14:paraId="1887E8AB"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 Reduction in the number of municipalities </w:t>
            </w:r>
          </w:p>
          <w:p w14:paraId="1887E8AC" w14:textId="77777777" w:rsidR="00C02B59" w:rsidRPr="00D1795B" w:rsidRDefault="00C02B59" w:rsidP="00C02B59">
            <w:pPr>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Establishment of community clusters </w:t>
            </w:r>
            <w:r w:rsidRPr="00D1795B">
              <w:rPr>
                <w:rFonts w:ascii="Times New Roman" w:hAnsi="Times New Roman" w:cs="Times New Roman"/>
                <w:noProof/>
                <w:sz w:val="18"/>
                <w:szCs w:val="18"/>
              </w:rPr>
              <w:br/>
              <w:t xml:space="preserve">- New framework for financing of municipalities </w:t>
            </w:r>
          </w:p>
        </w:tc>
      </w:tr>
      <w:tr w:rsidR="00C02B59" w:rsidRPr="00D1795B" w14:paraId="1887E8BA" w14:textId="77777777" w:rsidTr="002E3454">
        <w:trPr>
          <w:trHeight w:val="309"/>
          <w:jc w:val="center"/>
        </w:trPr>
        <w:tc>
          <w:tcPr>
            <w:tcW w:w="1084" w:type="dxa"/>
            <w:shd w:val="clear" w:color="auto" w:fill="C1F0C7" w:themeFill="accent3" w:themeFillTint="33"/>
            <w:noWrap/>
          </w:tcPr>
          <w:p w14:paraId="1887E8A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170</w:t>
            </w:r>
          </w:p>
        </w:tc>
        <w:tc>
          <w:tcPr>
            <w:tcW w:w="1463" w:type="dxa"/>
            <w:shd w:val="clear" w:color="auto" w:fill="C1F0C7" w:themeFill="accent3" w:themeFillTint="33"/>
            <w:noWrap/>
          </w:tcPr>
          <w:p w14:paraId="1887E8A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C3.4R6</w:t>
            </w:r>
          </w:p>
          <w:p w14:paraId="1887E8B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New legal framework for Local Authorities and support measures </w:t>
            </w:r>
          </w:p>
        </w:tc>
        <w:tc>
          <w:tcPr>
            <w:tcW w:w="1134" w:type="dxa"/>
            <w:shd w:val="clear" w:color="auto" w:fill="C1F0C7" w:themeFill="accent3" w:themeFillTint="33"/>
            <w:noWrap/>
          </w:tcPr>
          <w:p w14:paraId="1887E8B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shd w:val="clear" w:color="auto" w:fill="C1F0C7" w:themeFill="accent3" w:themeFillTint="33"/>
            <w:noWrap/>
          </w:tcPr>
          <w:p w14:paraId="1887E8B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Trainings </w:t>
            </w:r>
          </w:p>
        </w:tc>
        <w:tc>
          <w:tcPr>
            <w:tcW w:w="1701" w:type="dxa"/>
            <w:shd w:val="clear" w:color="auto" w:fill="C1F0C7" w:themeFill="accent3" w:themeFillTint="33"/>
            <w:noWrap/>
          </w:tcPr>
          <w:p w14:paraId="1887E8B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Trainings have taken place for local authorities</w:t>
            </w:r>
          </w:p>
        </w:tc>
        <w:tc>
          <w:tcPr>
            <w:tcW w:w="1275" w:type="dxa"/>
            <w:shd w:val="clear" w:color="auto" w:fill="C1F0C7" w:themeFill="accent3" w:themeFillTint="33"/>
            <w:noWrap/>
          </w:tcPr>
          <w:p w14:paraId="1887E8B4"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B5"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887E8B6"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904" w:type="dxa"/>
            <w:shd w:val="clear" w:color="auto" w:fill="C1F0C7" w:themeFill="accent3" w:themeFillTint="33"/>
            <w:noWrap/>
          </w:tcPr>
          <w:p w14:paraId="1887E8B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678" w:type="dxa"/>
            <w:shd w:val="clear" w:color="auto" w:fill="C1F0C7" w:themeFill="accent3" w:themeFillTint="33"/>
            <w:noWrap/>
          </w:tcPr>
          <w:p w14:paraId="1887E8B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044" w:type="dxa"/>
            <w:shd w:val="clear" w:color="auto" w:fill="C1F0C7" w:themeFill="accent3" w:themeFillTint="33"/>
            <w:noWrap/>
          </w:tcPr>
          <w:p w14:paraId="1887E8B9"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Trainings have taken place for local authorities. </w:t>
            </w:r>
          </w:p>
        </w:tc>
      </w:tr>
      <w:tr w:rsidR="00C02B59" w:rsidRPr="00D1795B" w14:paraId="1887E8C7" w14:textId="77777777" w:rsidTr="002E3454">
        <w:trPr>
          <w:trHeight w:val="309"/>
          <w:jc w:val="center"/>
        </w:trPr>
        <w:tc>
          <w:tcPr>
            <w:tcW w:w="1084" w:type="dxa"/>
            <w:shd w:val="clear" w:color="auto" w:fill="C1F0C7" w:themeFill="accent3" w:themeFillTint="33"/>
            <w:noWrap/>
          </w:tcPr>
          <w:p w14:paraId="1887E8B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171</w:t>
            </w:r>
          </w:p>
        </w:tc>
        <w:tc>
          <w:tcPr>
            <w:tcW w:w="1463" w:type="dxa"/>
            <w:shd w:val="clear" w:color="auto" w:fill="C1F0C7" w:themeFill="accent3" w:themeFillTint="33"/>
            <w:noWrap/>
          </w:tcPr>
          <w:p w14:paraId="1887E8B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C3.4R7</w:t>
            </w:r>
          </w:p>
          <w:p w14:paraId="1887E8B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Urban land consolidation </w:t>
            </w:r>
          </w:p>
        </w:tc>
        <w:tc>
          <w:tcPr>
            <w:tcW w:w="1134" w:type="dxa"/>
            <w:shd w:val="clear" w:color="auto" w:fill="C1F0C7" w:themeFill="accent3" w:themeFillTint="33"/>
            <w:noWrap/>
          </w:tcPr>
          <w:p w14:paraId="1887E8B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shd w:val="clear" w:color="auto" w:fill="C1F0C7" w:themeFill="accent3" w:themeFillTint="33"/>
            <w:noWrap/>
          </w:tcPr>
          <w:p w14:paraId="1887E8B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a law on urban land consolidation </w:t>
            </w:r>
          </w:p>
        </w:tc>
        <w:tc>
          <w:tcPr>
            <w:tcW w:w="1701" w:type="dxa"/>
            <w:shd w:val="clear" w:color="auto" w:fill="C1F0C7" w:themeFill="accent3" w:themeFillTint="33"/>
            <w:noWrap/>
          </w:tcPr>
          <w:p w14:paraId="1887E8C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Provision in the law indicating the entry into force of the law</w:t>
            </w:r>
          </w:p>
        </w:tc>
        <w:tc>
          <w:tcPr>
            <w:tcW w:w="1275" w:type="dxa"/>
            <w:shd w:val="clear" w:color="auto" w:fill="C1F0C7" w:themeFill="accent3" w:themeFillTint="33"/>
            <w:noWrap/>
          </w:tcPr>
          <w:p w14:paraId="1887E8C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C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C3"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904" w:type="dxa"/>
            <w:shd w:val="clear" w:color="auto" w:fill="C1F0C7" w:themeFill="accent3" w:themeFillTint="33"/>
            <w:noWrap/>
          </w:tcPr>
          <w:p w14:paraId="1887E8C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678" w:type="dxa"/>
            <w:shd w:val="clear" w:color="auto" w:fill="C1F0C7" w:themeFill="accent3" w:themeFillTint="33"/>
            <w:noWrap/>
          </w:tcPr>
          <w:p w14:paraId="1887E8C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044" w:type="dxa"/>
            <w:shd w:val="clear" w:color="auto" w:fill="C1F0C7" w:themeFill="accent3" w:themeFillTint="33"/>
            <w:noWrap/>
          </w:tcPr>
          <w:p w14:paraId="1887E8C6"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the law on urban land consolidation. </w:t>
            </w:r>
          </w:p>
        </w:tc>
      </w:tr>
      <w:tr w:rsidR="00C02B59" w:rsidRPr="00D1795B" w14:paraId="1887E8D4" w14:textId="77777777" w:rsidTr="002E3454">
        <w:trPr>
          <w:trHeight w:val="309"/>
          <w:jc w:val="center"/>
        </w:trPr>
        <w:tc>
          <w:tcPr>
            <w:tcW w:w="1084" w:type="dxa"/>
            <w:shd w:val="clear" w:color="auto" w:fill="C1F0C7" w:themeFill="accent3" w:themeFillTint="33"/>
            <w:noWrap/>
          </w:tcPr>
          <w:p w14:paraId="1887E8C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172</w:t>
            </w:r>
          </w:p>
        </w:tc>
        <w:tc>
          <w:tcPr>
            <w:tcW w:w="1463" w:type="dxa"/>
            <w:shd w:val="clear" w:color="auto" w:fill="C1F0C7" w:themeFill="accent3" w:themeFillTint="33"/>
            <w:noWrap/>
          </w:tcPr>
          <w:p w14:paraId="1887E8C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C3.4R7</w:t>
            </w:r>
          </w:p>
          <w:p w14:paraId="1887E8C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Urban land consolidation </w:t>
            </w:r>
          </w:p>
        </w:tc>
        <w:tc>
          <w:tcPr>
            <w:tcW w:w="1134" w:type="dxa"/>
            <w:shd w:val="clear" w:color="auto" w:fill="C1F0C7" w:themeFill="accent3" w:themeFillTint="33"/>
            <w:noWrap/>
          </w:tcPr>
          <w:p w14:paraId="1887E8C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276" w:type="dxa"/>
            <w:shd w:val="clear" w:color="auto" w:fill="C1F0C7" w:themeFill="accent3" w:themeFillTint="33"/>
            <w:noWrap/>
          </w:tcPr>
          <w:p w14:paraId="1887E8C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Number of plans for urban land consolidation </w:t>
            </w:r>
          </w:p>
        </w:tc>
        <w:tc>
          <w:tcPr>
            <w:tcW w:w="1701" w:type="dxa"/>
            <w:shd w:val="clear" w:color="auto" w:fill="C1F0C7" w:themeFill="accent3" w:themeFillTint="33"/>
            <w:noWrap/>
          </w:tcPr>
          <w:p w14:paraId="1887E8C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w:t>
            </w:r>
          </w:p>
        </w:tc>
        <w:tc>
          <w:tcPr>
            <w:tcW w:w="1275" w:type="dxa"/>
            <w:shd w:val="clear" w:color="auto" w:fill="C1F0C7" w:themeFill="accent3" w:themeFillTint="33"/>
            <w:noWrap/>
          </w:tcPr>
          <w:p w14:paraId="1887E8C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1276" w:type="dxa"/>
            <w:shd w:val="clear" w:color="auto" w:fill="C1F0C7" w:themeFill="accent3" w:themeFillTint="33"/>
            <w:noWrap/>
          </w:tcPr>
          <w:p w14:paraId="1887E8C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76" w:type="dxa"/>
            <w:shd w:val="clear" w:color="auto" w:fill="C1F0C7" w:themeFill="accent3" w:themeFillTint="33"/>
            <w:noWrap/>
          </w:tcPr>
          <w:p w14:paraId="1887E8D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10</w:t>
            </w:r>
          </w:p>
        </w:tc>
        <w:tc>
          <w:tcPr>
            <w:tcW w:w="904" w:type="dxa"/>
            <w:shd w:val="clear" w:color="auto" w:fill="C1F0C7" w:themeFill="accent3" w:themeFillTint="33"/>
            <w:noWrap/>
          </w:tcPr>
          <w:p w14:paraId="1887E8D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678" w:type="dxa"/>
            <w:shd w:val="clear" w:color="auto" w:fill="C1F0C7" w:themeFill="accent3" w:themeFillTint="33"/>
            <w:noWrap/>
          </w:tcPr>
          <w:p w14:paraId="1887E8D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044" w:type="dxa"/>
            <w:shd w:val="clear" w:color="auto" w:fill="C1F0C7" w:themeFill="accent3" w:themeFillTint="33"/>
            <w:noWrap/>
          </w:tcPr>
          <w:p w14:paraId="1887E8D3" w14:textId="35292CAE"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Pilot plans for urban land consolidation have been published online</w:t>
            </w:r>
            <w:r w:rsidR="00D1795B">
              <w:rPr>
                <w:rFonts w:ascii="Times New Roman" w:hAnsi="Times New Roman" w:cs="Times New Roman"/>
                <w:noProof/>
                <w:sz w:val="18"/>
                <w:szCs w:val="18"/>
              </w:rPr>
              <w:t xml:space="preserve"> </w:t>
            </w:r>
          </w:p>
        </w:tc>
      </w:tr>
      <w:tr w:rsidR="00C02B59" w:rsidRPr="00D1795B" w14:paraId="1887E8E1" w14:textId="77777777" w:rsidTr="002E3454">
        <w:trPr>
          <w:trHeight w:val="309"/>
          <w:jc w:val="center"/>
        </w:trPr>
        <w:tc>
          <w:tcPr>
            <w:tcW w:w="1084" w:type="dxa"/>
            <w:shd w:val="clear" w:color="auto" w:fill="C1F0C7" w:themeFill="accent3" w:themeFillTint="33"/>
            <w:noWrap/>
          </w:tcPr>
          <w:p w14:paraId="1887E8D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173</w:t>
            </w:r>
          </w:p>
        </w:tc>
        <w:tc>
          <w:tcPr>
            <w:tcW w:w="1463" w:type="dxa"/>
            <w:shd w:val="clear" w:color="auto" w:fill="C1F0C7" w:themeFill="accent3" w:themeFillTint="33"/>
            <w:noWrap/>
          </w:tcPr>
          <w:p w14:paraId="1887E8D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C3.4I4</w:t>
            </w:r>
          </w:p>
          <w:p w14:paraId="1887E8D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Enhancing e-system for issuing building permits </w:t>
            </w:r>
          </w:p>
        </w:tc>
        <w:tc>
          <w:tcPr>
            <w:tcW w:w="1134" w:type="dxa"/>
            <w:shd w:val="clear" w:color="auto" w:fill="C1F0C7" w:themeFill="accent3" w:themeFillTint="33"/>
            <w:noWrap/>
          </w:tcPr>
          <w:p w14:paraId="1887E8D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shd w:val="clear" w:color="auto" w:fill="C1F0C7" w:themeFill="accent3" w:themeFillTint="33"/>
            <w:noWrap/>
          </w:tcPr>
          <w:p w14:paraId="1887E8D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Enhancement of the e-application environment of the Hippodamos System</w:t>
            </w:r>
          </w:p>
        </w:tc>
        <w:tc>
          <w:tcPr>
            <w:tcW w:w="1701" w:type="dxa"/>
            <w:shd w:val="clear" w:color="auto" w:fill="C1F0C7" w:themeFill="accent3" w:themeFillTint="33"/>
            <w:noWrap/>
          </w:tcPr>
          <w:p w14:paraId="1887E8DA" w14:textId="6E0CC233"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Applications being received through the enhanced e-application environment</w:t>
            </w:r>
          </w:p>
        </w:tc>
        <w:tc>
          <w:tcPr>
            <w:tcW w:w="1275" w:type="dxa"/>
            <w:shd w:val="clear" w:color="auto" w:fill="C1F0C7" w:themeFill="accent3" w:themeFillTint="33"/>
            <w:noWrap/>
          </w:tcPr>
          <w:p w14:paraId="1887E8D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D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D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04" w:type="dxa"/>
            <w:shd w:val="clear" w:color="auto" w:fill="C1F0C7" w:themeFill="accent3" w:themeFillTint="33"/>
            <w:noWrap/>
          </w:tcPr>
          <w:p w14:paraId="1887E8D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678" w:type="dxa"/>
            <w:shd w:val="clear" w:color="auto" w:fill="C1F0C7" w:themeFill="accent3" w:themeFillTint="33"/>
            <w:noWrap/>
          </w:tcPr>
          <w:p w14:paraId="1887E8D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2022 </w:t>
            </w:r>
          </w:p>
        </w:tc>
        <w:tc>
          <w:tcPr>
            <w:tcW w:w="3044" w:type="dxa"/>
            <w:shd w:val="clear" w:color="auto" w:fill="C1F0C7" w:themeFill="accent3" w:themeFillTint="33"/>
            <w:noWrap/>
          </w:tcPr>
          <w:p w14:paraId="1887E8E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Completion of the enhancement of the e-application environment of the existing Hippodamos system to enable the submission of applications for planning and building permits for all planning authorities and building authorities (municipalities) from a common platform.</w:t>
            </w:r>
          </w:p>
        </w:tc>
      </w:tr>
      <w:tr w:rsidR="00C02B59" w:rsidRPr="00D1795B" w14:paraId="1887E8F1" w14:textId="77777777" w:rsidTr="002E3454">
        <w:trPr>
          <w:trHeight w:val="309"/>
          <w:jc w:val="center"/>
        </w:trPr>
        <w:tc>
          <w:tcPr>
            <w:tcW w:w="1084" w:type="dxa"/>
            <w:shd w:val="clear" w:color="auto" w:fill="C1F0C7" w:themeFill="accent3" w:themeFillTint="33"/>
            <w:noWrap/>
          </w:tcPr>
          <w:p w14:paraId="1887E8E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174</w:t>
            </w:r>
          </w:p>
        </w:tc>
        <w:tc>
          <w:tcPr>
            <w:tcW w:w="1463" w:type="dxa"/>
            <w:shd w:val="clear" w:color="auto" w:fill="C1F0C7" w:themeFill="accent3" w:themeFillTint="33"/>
            <w:noWrap/>
          </w:tcPr>
          <w:p w14:paraId="1887E8E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C3.4I4</w:t>
            </w:r>
          </w:p>
          <w:p w14:paraId="1887E8E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E-system for issuing building permits </w:t>
            </w:r>
          </w:p>
        </w:tc>
        <w:tc>
          <w:tcPr>
            <w:tcW w:w="1134" w:type="dxa"/>
            <w:shd w:val="clear" w:color="auto" w:fill="C1F0C7" w:themeFill="accent3" w:themeFillTint="33"/>
            <w:noWrap/>
          </w:tcPr>
          <w:p w14:paraId="1887E8E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shd w:val="clear" w:color="auto" w:fill="C1F0C7" w:themeFill="accent3" w:themeFillTint="33"/>
            <w:noWrap/>
          </w:tcPr>
          <w:p w14:paraId="1887E8E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Planning and control tool, project management tool, software and hardware of Hippodamos </w:t>
            </w:r>
          </w:p>
        </w:tc>
        <w:tc>
          <w:tcPr>
            <w:tcW w:w="1701" w:type="dxa"/>
            <w:shd w:val="clear" w:color="auto" w:fill="C1F0C7" w:themeFill="accent3" w:themeFillTint="33"/>
            <w:noWrap/>
          </w:tcPr>
          <w:p w14:paraId="1887E8E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Services of the Hippodamos System</w:t>
            </w:r>
          </w:p>
        </w:tc>
        <w:tc>
          <w:tcPr>
            <w:tcW w:w="1275" w:type="dxa"/>
            <w:shd w:val="clear" w:color="auto" w:fill="C1F0C7" w:themeFill="accent3" w:themeFillTint="33"/>
            <w:noWrap/>
          </w:tcPr>
          <w:p w14:paraId="1887E8E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E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8E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04" w:type="dxa"/>
            <w:shd w:val="clear" w:color="auto" w:fill="C1F0C7" w:themeFill="accent3" w:themeFillTint="33"/>
            <w:noWrap/>
          </w:tcPr>
          <w:p w14:paraId="1887E8E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678" w:type="dxa"/>
            <w:shd w:val="clear" w:color="auto" w:fill="C1F0C7" w:themeFill="accent3" w:themeFillTint="33"/>
            <w:noWrap/>
          </w:tcPr>
          <w:p w14:paraId="1887E8E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044" w:type="dxa"/>
            <w:shd w:val="clear" w:color="auto" w:fill="C1F0C7" w:themeFill="accent3" w:themeFillTint="33"/>
            <w:noWrap/>
          </w:tcPr>
          <w:p w14:paraId="1887E8ED"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The Hippodamos System shall include services which may include but are not limited to the following: </w:t>
            </w:r>
          </w:p>
          <w:p w14:paraId="1887E8EE" w14:textId="77777777" w:rsidR="00C02B59" w:rsidRPr="00D1795B" w:rsidRDefault="00C02B59" w:rsidP="008B44C2">
            <w:pPr>
              <w:pStyle w:val="ListParagraph"/>
              <w:numPr>
                <w:ilvl w:val="0"/>
                <w:numId w:val="26"/>
              </w:numPr>
              <w:spacing w:after="0" w:line="240" w:lineRule="auto"/>
              <w:ind w:left="291" w:hanging="283"/>
              <w:jc w:val="both"/>
              <w:rPr>
                <w:rFonts w:ascii="Times New Roman" w:hAnsi="Times New Roman" w:cs="Times New Roman"/>
                <w:noProof/>
                <w:sz w:val="18"/>
                <w:szCs w:val="18"/>
                <w:lang w:val="en-GB"/>
              </w:rPr>
            </w:pPr>
            <w:r w:rsidRPr="00D1795B">
              <w:rPr>
                <w:rFonts w:ascii="Times New Roman" w:hAnsi="Times New Roman" w:cs="Times New Roman"/>
                <w:noProof/>
                <w:sz w:val="18"/>
                <w:szCs w:val="18"/>
                <w:lang w:val="en-GB"/>
              </w:rPr>
              <w:t>Electronic signature of documents</w:t>
            </w:r>
          </w:p>
          <w:p w14:paraId="1887E8EF" w14:textId="77777777" w:rsidR="00C02B59" w:rsidRPr="00D1795B" w:rsidRDefault="00C02B59" w:rsidP="008B44C2">
            <w:pPr>
              <w:pStyle w:val="ListParagraph"/>
              <w:numPr>
                <w:ilvl w:val="0"/>
                <w:numId w:val="26"/>
              </w:numPr>
              <w:spacing w:after="0" w:line="240" w:lineRule="auto"/>
              <w:ind w:left="291" w:hanging="283"/>
              <w:jc w:val="both"/>
              <w:rPr>
                <w:rFonts w:ascii="Times New Roman" w:hAnsi="Times New Roman" w:cs="Times New Roman"/>
                <w:noProof/>
                <w:sz w:val="18"/>
                <w:szCs w:val="18"/>
                <w:lang w:val="en-GB"/>
              </w:rPr>
            </w:pPr>
            <w:r w:rsidRPr="00D1795B">
              <w:rPr>
                <w:rFonts w:ascii="Times New Roman" w:hAnsi="Times New Roman" w:cs="Times New Roman"/>
                <w:noProof/>
                <w:sz w:val="18"/>
                <w:szCs w:val="18"/>
                <w:lang w:val="en-GB"/>
              </w:rPr>
              <w:t>Electronic Consultation.</w:t>
            </w:r>
          </w:p>
          <w:p w14:paraId="1887E8F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Acceptance certificate(s) have been issued for the delivery of hardware consisting of at least two servers as specified in the contract.</w:t>
            </w:r>
          </w:p>
        </w:tc>
      </w:tr>
      <w:tr w:rsidR="00C02B59" w:rsidRPr="00D1795B" w14:paraId="1887E91A" w14:textId="77777777" w:rsidTr="002E3454">
        <w:trPr>
          <w:trHeight w:val="309"/>
          <w:jc w:val="center"/>
        </w:trPr>
        <w:tc>
          <w:tcPr>
            <w:tcW w:w="1084" w:type="dxa"/>
            <w:shd w:val="clear" w:color="auto" w:fill="C1F0C7" w:themeFill="accent3" w:themeFillTint="33"/>
            <w:noWrap/>
          </w:tcPr>
          <w:p w14:paraId="1887E8F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176</w:t>
            </w:r>
          </w:p>
        </w:tc>
        <w:tc>
          <w:tcPr>
            <w:tcW w:w="1463" w:type="dxa"/>
            <w:shd w:val="clear" w:color="auto" w:fill="C1F0C7" w:themeFill="accent3" w:themeFillTint="33"/>
            <w:noWrap/>
          </w:tcPr>
          <w:p w14:paraId="1887E8F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C3.4I5</w:t>
            </w:r>
          </w:p>
          <w:p w14:paraId="1887E8F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Smart cities </w:t>
            </w:r>
          </w:p>
        </w:tc>
        <w:tc>
          <w:tcPr>
            <w:tcW w:w="1134" w:type="dxa"/>
            <w:shd w:val="clear" w:color="auto" w:fill="C1F0C7" w:themeFill="accent3" w:themeFillTint="33"/>
            <w:noWrap/>
          </w:tcPr>
          <w:p w14:paraId="1887E8F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276" w:type="dxa"/>
            <w:shd w:val="clear" w:color="auto" w:fill="C1F0C7" w:themeFill="accent3" w:themeFillTint="33"/>
            <w:noWrap/>
          </w:tcPr>
          <w:p w14:paraId="1887E8F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Mobile applications and smart sensors/</w:t>
            </w:r>
          </w:p>
          <w:p w14:paraId="1887E8F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solutions </w:t>
            </w:r>
          </w:p>
        </w:tc>
        <w:tc>
          <w:tcPr>
            <w:tcW w:w="1701" w:type="dxa"/>
            <w:shd w:val="clear" w:color="auto" w:fill="C1F0C7" w:themeFill="accent3" w:themeFillTint="33"/>
            <w:noWrap/>
          </w:tcPr>
          <w:p w14:paraId="1887E8F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w:t>
            </w:r>
          </w:p>
        </w:tc>
        <w:tc>
          <w:tcPr>
            <w:tcW w:w="1275" w:type="dxa"/>
            <w:shd w:val="clear" w:color="auto" w:fill="C1F0C7" w:themeFill="accent3" w:themeFillTint="33"/>
            <w:noWrap/>
          </w:tcPr>
          <w:p w14:paraId="1887E8F9"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Mobile Applications Number</w:t>
            </w:r>
          </w:p>
          <w:p w14:paraId="1887E8FA" w14:textId="77777777" w:rsidR="00C02B59" w:rsidRPr="00D1795B" w:rsidRDefault="00C02B59" w:rsidP="00C02B59">
            <w:pPr>
              <w:spacing w:after="0" w:line="240" w:lineRule="auto"/>
              <w:jc w:val="both"/>
              <w:rPr>
                <w:rFonts w:ascii="Times New Roman" w:hAnsi="Times New Roman" w:cs="Times New Roman"/>
                <w:noProof/>
                <w:sz w:val="18"/>
                <w:szCs w:val="18"/>
              </w:rPr>
            </w:pPr>
          </w:p>
          <w:p w14:paraId="1887E8FB"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Smart sensors/</w:t>
            </w:r>
          </w:p>
          <w:p w14:paraId="1887E8FC"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Solutions delivered/</w:t>
            </w:r>
          </w:p>
          <w:p w14:paraId="1887E8FD"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installed: Number</w:t>
            </w:r>
          </w:p>
          <w:p w14:paraId="1887E8FE" w14:textId="77777777" w:rsidR="00C02B59" w:rsidRPr="00D1795B" w:rsidRDefault="00C02B59" w:rsidP="00C02B59">
            <w:pPr>
              <w:spacing w:after="0" w:line="240" w:lineRule="auto"/>
              <w:jc w:val="both"/>
              <w:rPr>
                <w:rFonts w:ascii="Times New Roman" w:hAnsi="Times New Roman" w:cs="Times New Roman"/>
                <w:noProof/>
                <w:sz w:val="18"/>
                <w:szCs w:val="18"/>
              </w:rPr>
            </w:pPr>
          </w:p>
          <w:p w14:paraId="1887E8F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Smart sensors/</w:t>
            </w:r>
          </w:p>
          <w:p w14:paraId="1887E90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solutions connected: Number</w:t>
            </w:r>
          </w:p>
        </w:tc>
        <w:tc>
          <w:tcPr>
            <w:tcW w:w="1276" w:type="dxa"/>
            <w:shd w:val="clear" w:color="auto" w:fill="C1F0C7" w:themeFill="accent3" w:themeFillTint="33"/>
            <w:noWrap/>
          </w:tcPr>
          <w:p w14:paraId="1887E901"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Mobile Applications: 0</w:t>
            </w:r>
          </w:p>
          <w:p w14:paraId="1887E902" w14:textId="77777777" w:rsidR="00C02B59" w:rsidRPr="00D1795B" w:rsidRDefault="00C02B59" w:rsidP="00C02B59">
            <w:pPr>
              <w:spacing w:after="0" w:line="240" w:lineRule="auto"/>
              <w:jc w:val="both"/>
              <w:rPr>
                <w:rFonts w:ascii="Times New Roman" w:hAnsi="Times New Roman" w:cs="Times New Roman"/>
                <w:noProof/>
                <w:sz w:val="18"/>
                <w:szCs w:val="18"/>
              </w:rPr>
            </w:pPr>
          </w:p>
          <w:p w14:paraId="1887E903"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Smart sensors/</w:t>
            </w:r>
          </w:p>
          <w:p w14:paraId="1887E904"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Solutions delivered/</w:t>
            </w:r>
          </w:p>
          <w:p w14:paraId="1887E905"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installed: 0</w:t>
            </w:r>
          </w:p>
          <w:p w14:paraId="1887E906" w14:textId="77777777" w:rsidR="00C02B59" w:rsidRPr="00D1795B" w:rsidRDefault="00C02B59" w:rsidP="00C02B59">
            <w:pPr>
              <w:spacing w:after="0" w:line="240" w:lineRule="auto"/>
              <w:jc w:val="both"/>
              <w:rPr>
                <w:rFonts w:ascii="Times New Roman" w:hAnsi="Times New Roman" w:cs="Times New Roman"/>
                <w:noProof/>
                <w:sz w:val="18"/>
                <w:szCs w:val="18"/>
              </w:rPr>
            </w:pPr>
          </w:p>
          <w:p w14:paraId="1887E907" w14:textId="77777777" w:rsidR="00C02B59" w:rsidRPr="00D1795B" w:rsidRDefault="00C02B59" w:rsidP="00C02B59">
            <w:pPr>
              <w:spacing w:after="0" w:line="240" w:lineRule="auto"/>
              <w:jc w:val="both"/>
              <w:rPr>
                <w:rFonts w:ascii="Times New Roman" w:hAnsi="Times New Roman" w:cs="Times New Roman"/>
                <w:noProof/>
                <w:sz w:val="18"/>
                <w:szCs w:val="18"/>
              </w:rPr>
            </w:pPr>
          </w:p>
          <w:p w14:paraId="1887E908"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Smart sensors/</w:t>
            </w:r>
          </w:p>
          <w:p w14:paraId="1887E909"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solutions connected:0</w:t>
            </w:r>
          </w:p>
        </w:tc>
        <w:tc>
          <w:tcPr>
            <w:tcW w:w="1276" w:type="dxa"/>
            <w:shd w:val="clear" w:color="auto" w:fill="C1F0C7" w:themeFill="accent3" w:themeFillTint="33"/>
            <w:noWrap/>
          </w:tcPr>
          <w:p w14:paraId="1887E90A"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Mobile Applications:3</w:t>
            </w:r>
          </w:p>
          <w:p w14:paraId="1887E90B" w14:textId="77777777" w:rsidR="00C02B59" w:rsidRPr="00D1795B" w:rsidRDefault="00C02B59" w:rsidP="00C02B59">
            <w:pPr>
              <w:spacing w:after="0" w:line="240" w:lineRule="auto"/>
              <w:jc w:val="both"/>
              <w:rPr>
                <w:rFonts w:ascii="Times New Roman" w:hAnsi="Times New Roman" w:cs="Times New Roman"/>
                <w:noProof/>
                <w:sz w:val="18"/>
                <w:szCs w:val="18"/>
              </w:rPr>
            </w:pPr>
          </w:p>
          <w:p w14:paraId="1887E90C" w14:textId="77777777" w:rsidR="00C02B59" w:rsidRPr="00D1795B" w:rsidRDefault="00C02B59" w:rsidP="00C02B59">
            <w:pPr>
              <w:spacing w:after="0" w:line="240" w:lineRule="auto"/>
              <w:jc w:val="both"/>
              <w:rPr>
                <w:rFonts w:ascii="Times New Roman" w:hAnsi="Times New Roman" w:cs="Times New Roman"/>
                <w:noProof/>
                <w:sz w:val="18"/>
                <w:szCs w:val="18"/>
              </w:rPr>
            </w:pPr>
          </w:p>
          <w:p w14:paraId="1887E90D"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Smart sensors/</w:t>
            </w:r>
          </w:p>
          <w:p w14:paraId="1887E90E"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Solutions delivered/</w:t>
            </w:r>
          </w:p>
          <w:p w14:paraId="1887E90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installed: </w:t>
            </w:r>
          </w:p>
          <w:p w14:paraId="1887E91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52 700</w:t>
            </w:r>
          </w:p>
          <w:p w14:paraId="1887E911" w14:textId="77777777" w:rsidR="00C02B59" w:rsidRPr="00D1795B" w:rsidRDefault="00C02B59" w:rsidP="00C02B59">
            <w:pPr>
              <w:spacing w:after="0" w:line="240" w:lineRule="auto"/>
              <w:jc w:val="both"/>
              <w:rPr>
                <w:rFonts w:ascii="Times New Roman" w:hAnsi="Times New Roman" w:cs="Times New Roman"/>
                <w:noProof/>
                <w:sz w:val="18"/>
                <w:szCs w:val="18"/>
              </w:rPr>
            </w:pPr>
          </w:p>
          <w:p w14:paraId="1887E91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Smart sensors/</w:t>
            </w:r>
          </w:p>
          <w:p w14:paraId="1887E913"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solutions connected:</w:t>
            </w:r>
          </w:p>
          <w:p w14:paraId="1887E914"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45 000</w:t>
            </w:r>
          </w:p>
        </w:tc>
        <w:tc>
          <w:tcPr>
            <w:tcW w:w="904" w:type="dxa"/>
            <w:shd w:val="clear" w:color="auto" w:fill="C1F0C7" w:themeFill="accent3" w:themeFillTint="33"/>
            <w:noWrap/>
          </w:tcPr>
          <w:p w14:paraId="1887E91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678" w:type="dxa"/>
            <w:shd w:val="clear" w:color="auto" w:fill="C1F0C7" w:themeFill="accent3" w:themeFillTint="33"/>
            <w:noWrap/>
          </w:tcPr>
          <w:p w14:paraId="1887E91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044" w:type="dxa"/>
            <w:shd w:val="clear" w:color="auto" w:fill="C1F0C7" w:themeFill="accent3" w:themeFillTint="33"/>
            <w:noWrap/>
          </w:tcPr>
          <w:p w14:paraId="1887E917"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Acceptance certificates for the three mobile applications (one application for the citizens for parking, one for parking enforcement officers, and one for waste collectors). The applications shall be </w:t>
            </w:r>
            <w:r w:rsidRPr="00D1795B">
              <w:rPr>
                <w:rStyle w:val="cf01"/>
                <w:rFonts w:ascii="Times New Roman" w:hAnsi="Times New Roman" w:cs="Times New Roman"/>
                <w:noProof/>
              </w:rPr>
              <w:t xml:space="preserve">downloadable as production ready application files from a website. </w:t>
            </w:r>
          </w:p>
          <w:p w14:paraId="1887E919" w14:textId="7818D24E" w:rsidR="00C02B59" w:rsidRPr="00D1795B" w:rsidRDefault="00C02B59" w:rsidP="002E3454">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52 700 smart sensors or solutions are delivered or installed to municipalities or the Deputy Ministry of Research Innovation and Digital Policy. 45 000 of these smart sensors or solutions shall be connected to the smart cities’ platform.</w:t>
            </w:r>
          </w:p>
        </w:tc>
      </w:tr>
      <w:tr w:rsidR="00C02B59" w:rsidRPr="00D1795B" w14:paraId="1887E927" w14:textId="77777777" w:rsidTr="002E3454">
        <w:trPr>
          <w:trHeight w:val="309"/>
          <w:jc w:val="center"/>
        </w:trPr>
        <w:tc>
          <w:tcPr>
            <w:tcW w:w="1084" w:type="dxa"/>
            <w:shd w:val="clear" w:color="auto" w:fill="C1F0C7" w:themeFill="accent3" w:themeFillTint="33"/>
            <w:noWrap/>
          </w:tcPr>
          <w:p w14:paraId="1887E91B" w14:textId="47DC42CB"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178</w:t>
            </w:r>
          </w:p>
        </w:tc>
        <w:tc>
          <w:tcPr>
            <w:tcW w:w="1463" w:type="dxa"/>
            <w:shd w:val="clear" w:color="auto" w:fill="C1F0C7" w:themeFill="accent3" w:themeFillTint="33"/>
            <w:noWrap/>
          </w:tcPr>
          <w:p w14:paraId="1887E91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C3.4I6a</w:t>
            </w:r>
          </w:p>
          <w:p w14:paraId="1887E91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Regeneration and Revitalisation of Nicosia Inner City </w:t>
            </w:r>
          </w:p>
        </w:tc>
        <w:tc>
          <w:tcPr>
            <w:tcW w:w="1134" w:type="dxa"/>
            <w:shd w:val="clear" w:color="auto" w:fill="C1F0C7" w:themeFill="accent3" w:themeFillTint="33"/>
            <w:noWrap/>
          </w:tcPr>
          <w:p w14:paraId="1887E91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276" w:type="dxa"/>
            <w:shd w:val="clear" w:color="auto" w:fill="C1F0C7" w:themeFill="accent3" w:themeFillTint="33"/>
            <w:noWrap/>
          </w:tcPr>
          <w:p w14:paraId="1887E91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Renovation of rooms in Nicosia. </w:t>
            </w:r>
          </w:p>
        </w:tc>
        <w:tc>
          <w:tcPr>
            <w:tcW w:w="1701" w:type="dxa"/>
            <w:shd w:val="clear" w:color="auto" w:fill="C1F0C7" w:themeFill="accent3" w:themeFillTint="33"/>
            <w:noWrap/>
          </w:tcPr>
          <w:p w14:paraId="1887E92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w:t>
            </w:r>
          </w:p>
        </w:tc>
        <w:tc>
          <w:tcPr>
            <w:tcW w:w="1275" w:type="dxa"/>
            <w:shd w:val="clear" w:color="auto" w:fill="C1F0C7" w:themeFill="accent3" w:themeFillTint="33"/>
            <w:noWrap/>
          </w:tcPr>
          <w:p w14:paraId="1887E92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1276" w:type="dxa"/>
            <w:shd w:val="clear" w:color="auto" w:fill="C1F0C7" w:themeFill="accent3" w:themeFillTint="33"/>
            <w:noWrap/>
          </w:tcPr>
          <w:p w14:paraId="1887E92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76" w:type="dxa"/>
            <w:shd w:val="clear" w:color="auto" w:fill="C1F0C7" w:themeFill="accent3" w:themeFillTint="33"/>
            <w:noWrap/>
          </w:tcPr>
          <w:p w14:paraId="1887E92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286</w:t>
            </w:r>
          </w:p>
        </w:tc>
        <w:tc>
          <w:tcPr>
            <w:tcW w:w="904" w:type="dxa"/>
            <w:shd w:val="clear" w:color="auto" w:fill="C1F0C7" w:themeFill="accent3" w:themeFillTint="33"/>
            <w:noWrap/>
          </w:tcPr>
          <w:p w14:paraId="1887E92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678" w:type="dxa"/>
            <w:shd w:val="clear" w:color="auto" w:fill="C1F0C7" w:themeFill="accent3" w:themeFillTint="33"/>
            <w:noWrap/>
          </w:tcPr>
          <w:p w14:paraId="1887E92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044" w:type="dxa"/>
            <w:shd w:val="clear" w:color="auto" w:fill="C1F0C7" w:themeFill="accent3" w:themeFillTint="33"/>
            <w:noWrap/>
          </w:tcPr>
          <w:p w14:paraId="1887E926" w14:textId="351F55AE"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Taking-over reports issued by </w:t>
            </w:r>
            <w:r w:rsidR="15B78896" w:rsidRPr="00D1795B">
              <w:rPr>
                <w:rFonts w:ascii="Times New Roman" w:hAnsi="Times New Roman" w:cs="Times New Roman"/>
                <w:noProof/>
                <w:sz w:val="18"/>
                <w:szCs w:val="18"/>
              </w:rPr>
              <w:t>an</w:t>
            </w:r>
            <w:r w:rsidR="00D1795B">
              <w:rPr>
                <w:rFonts w:ascii="Times New Roman" w:hAnsi="Times New Roman" w:cs="Times New Roman"/>
                <w:noProof/>
                <w:sz w:val="18"/>
                <w:szCs w:val="18"/>
              </w:rPr>
              <w:t xml:space="preserve"> </w:t>
            </w:r>
            <w:r w:rsidRPr="00D1795B">
              <w:rPr>
                <w:rFonts w:ascii="Times New Roman" w:hAnsi="Times New Roman" w:cs="Times New Roman"/>
                <w:noProof/>
                <w:sz w:val="18"/>
                <w:szCs w:val="18"/>
              </w:rPr>
              <w:t xml:space="preserve">Engineer or Architect for the private sector incentives scheme / taking-over certificates issued by </w:t>
            </w:r>
            <w:r w:rsidR="063A5061" w:rsidRPr="00D1795B">
              <w:rPr>
                <w:rFonts w:ascii="Times New Roman" w:hAnsi="Times New Roman" w:cs="Times New Roman"/>
                <w:noProof/>
                <w:sz w:val="18"/>
                <w:szCs w:val="18"/>
              </w:rPr>
              <w:t>an</w:t>
            </w:r>
            <w:r w:rsidRPr="00D1795B">
              <w:rPr>
                <w:rFonts w:ascii="Times New Roman" w:hAnsi="Times New Roman" w:cs="Times New Roman"/>
                <w:noProof/>
                <w:sz w:val="18"/>
                <w:szCs w:val="18"/>
              </w:rPr>
              <w:t xml:space="preserve"> Engineer </w:t>
            </w:r>
            <w:r w:rsidR="0B6183EF" w:rsidRPr="00D1795B">
              <w:rPr>
                <w:rFonts w:ascii="Times New Roman" w:hAnsi="Times New Roman" w:cs="Times New Roman"/>
                <w:noProof/>
                <w:sz w:val="18"/>
                <w:szCs w:val="18"/>
              </w:rPr>
              <w:t>or</w:t>
            </w:r>
            <w:r w:rsidRPr="00D1795B">
              <w:rPr>
                <w:rFonts w:ascii="Times New Roman" w:hAnsi="Times New Roman" w:cs="Times New Roman"/>
                <w:noProof/>
                <w:sz w:val="18"/>
                <w:szCs w:val="18"/>
              </w:rPr>
              <w:t xml:space="preserve"> </w:t>
            </w:r>
            <w:r w:rsidR="0CBE9D87" w:rsidRPr="00D1795B">
              <w:rPr>
                <w:rFonts w:ascii="Times New Roman" w:hAnsi="Times New Roman" w:cs="Times New Roman"/>
                <w:noProof/>
                <w:sz w:val="18"/>
                <w:szCs w:val="18"/>
              </w:rPr>
              <w:t>Architect for</w:t>
            </w:r>
            <w:r w:rsidRPr="00D1795B">
              <w:rPr>
                <w:rFonts w:ascii="Times New Roman" w:hAnsi="Times New Roman" w:cs="Times New Roman"/>
                <w:noProof/>
                <w:sz w:val="18"/>
                <w:szCs w:val="18"/>
              </w:rPr>
              <w:t xml:space="preserve"> the contracting Authority (Nicosia Municipality), certifying that renovation works have been carried out for at least 286 rooms in Nicosia.</w:t>
            </w:r>
          </w:p>
        </w:tc>
      </w:tr>
      <w:tr w:rsidR="00C02B59" w:rsidRPr="00D1795B" w14:paraId="1887E935" w14:textId="77777777" w:rsidTr="002E3454">
        <w:trPr>
          <w:trHeight w:val="309"/>
          <w:jc w:val="center"/>
        </w:trPr>
        <w:tc>
          <w:tcPr>
            <w:tcW w:w="1084" w:type="dxa"/>
            <w:shd w:val="clear" w:color="auto" w:fill="C1F0C7" w:themeFill="accent3" w:themeFillTint="33"/>
            <w:noWrap/>
            <w:hideMark/>
          </w:tcPr>
          <w:p w14:paraId="1887E92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180</w:t>
            </w:r>
          </w:p>
        </w:tc>
        <w:tc>
          <w:tcPr>
            <w:tcW w:w="1463" w:type="dxa"/>
            <w:shd w:val="clear" w:color="auto" w:fill="C1F0C7" w:themeFill="accent3" w:themeFillTint="33"/>
            <w:noWrap/>
            <w:hideMark/>
          </w:tcPr>
          <w:p w14:paraId="1887E92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C3.4R8</w:t>
            </w:r>
          </w:p>
          <w:p w14:paraId="1887E92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Efficiency of Justice</w:t>
            </w:r>
          </w:p>
        </w:tc>
        <w:tc>
          <w:tcPr>
            <w:tcW w:w="1134" w:type="dxa"/>
            <w:shd w:val="clear" w:color="auto" w:fill="C1F0C7" w:themeFill="accent3" w:themeFillTint="33"/>
            <w:noWrap/>
            <w:hideMark/>
          </w:tcPr>
          <w:p w14:paraId="1887E92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shd w:val="clear" w:color="auto" w:fill="C1F0C7" w:themeFill="accent3" w:themeFillTint="33"/>
            <w:noWrap/>
            <w:hideMark/>
          </w:tcPr>
          <w:p w14:paraId="1887E92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force of new Rules of Civil Procedure</w:t>
            </w:r>
          </w:p>
        </w:tc>
        <w:tc>
          <w:tcPr>
            <w:tcW w:w="1701" w:type="dxa"/>
            <w:shd w:val="clear" w:color="auto" w:fill="C1F0C7" w:themeFill="accent3" w:themeFillTint="33"/>
            <w:noWrap/>
            <w:hideMark/>
          </w:tcPr>
          <w:p w14:paraId="1887E92E" w14:textId="5540C384"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Provision in new Rules of Civil Procedure</w:t>
            </w:r>
            <w:r w:rsidR="002E3454">
              <w:rPr>
                <w:rFonts w:ascii="Times New Roman" w:hAnsi="Times New Roman" w:cs="Times New Roman"/>
                <w:noProof/>
                <w:sz w:val="18"/>
                <w:szCs w:val="18"/>
              </w:rPr>
              <w:t xml:space="preserve"> </w:t>
            </w:r>
            <w:r w:rsidRPr="00D1795B">
              <w:rPr>
                <w:rFonts w:ascii="Times New Roman" w:hAnsi="Times New Roman" w:cs="Times New Roman"/>
                <w:noProof/>
                <w:sz w:val="18"/>
                <w:szCs w:val="18"/>
              </w:rPr>
              <w:t xml:space="preserve">(published in the Official Gazette) indicating the entry into force of the Rules of procedures </w:t>
            </w:r>
            <w:r w:rsidRPr="002E3454">
              <w:rPr>
                <w:rFonts w:ascii="Times New Roman" w:hAnsi="Times New Roman" w:cs="Times New Roman"/>
                <w:noProof/>
                <w:sz w:val="18"/>
                <w:szCs w:val="18"/>
              </w:rPr>
              <w:t>(1 September</w:t>
            </w:r>
            <w:r w:rsidR="002E3454" w:rsidRPr="002E3454">
              <w:rPr>
                <w:rFonts w:ascii="Times New Roman" w:hAnsi="Times New Roman" w:cs="Times New Roman"/>
                <w:noProof/>
                <w:sz w:val="18"/>
                <w:szCs w:val="18"/>
              </w:rPr>
              <w:t> </w:t>
            </w:r>
            <w:r w:rsidRPr="002E3454">
              <w:rPr>
                <w:rFonts w:ascii="Times New Roman" w:hAnsi="Times New Roman" w:cs="Times New Roman"/>
                <w:noProof/>
                <w:sz w:val="18"/>
                <w:szCs w:val="18"/>
              </w:rPr>
              <w:t>2023)</w:t>
            </w:r>
            <w:r w:rsidRPr="00D1795B">
              <w:rPr>
                <w:rFonts w:ascii="Times New Roman" w:hAnsi="Times New Roman" w:cs="Times New Roman"/>
                <w:noProof/>
                <w:sz w:val="18"/>
                <w:szCs w:val="18"/>
              </w:rPr>
              <w:t xml:space="preserve"> </w:t>
            </w:r>
          </w:p>
        </w:tc>
        <w:tc>
          <w:tcPr>
            <w:tcW w:w="1275" w:type="dxa"/>
            <w:shd w:val="clear" w:color="auto" w:fill="C1F0C7" w:themeFill="accent3" w:themeFillTint="33"/>
            <w:noWrap/>
            <w:hideMark/>
          </w:tcPr>
          <w:p w14:paraId="1887E92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hideMark/>
          </w:tcPr>
          <w:p w14:paraId="1887E93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hideMark/>
          </w:tcPr>
          <w:p w14:paraId="1887E93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04" w:type="dxa"/>
            <w:shd w:val="clear" w:color="auto" w:fill="C1F0C7" w:themeFill="accent3" w:themeFillTint="33"/>
            <w:noWrap/>
            <w:hideMark/>
          </w:tcPr>
          <w:p w14:paraId="1887E93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Q3</w:t>
            </w:r>
          </w:p>
        </w:tc>
        <w:tc>
          <w:tcPr>
            <w:tcW w:w="678" w:type="dxa"/>
            <w:shd w:val="clear" w:color="auto" w:fill="C1F0C7" w:themeFill="accent3" w:themeFillTint="33"/>
            <w:noWrap/>
            <w:hideMark/>
          </w:tcPr>
          <w:p w14:paraId="1887E93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044" w:type="dxa"/>
            <w:shd w:val="clear" w:color="auto" w:fill="C1F0C7" w:themeFill="accent3" w:themeFillTint="33"/>
            <w:noWrap/>
            <w:hideMark/>
          </w:tcPr>
          <w:p w14:paraId="1887E934"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the new Rules of Civil Procedure for the new cases submitted to the court as from 1 September 2023. The new Rules of Civil Procedure shall modernise the hearing of cases in order to deliver a less costly, more accessible, and timelier service to parties. </w:t>
            </w:r>
          </w:p>
        </w:tc>
      </w:tr>
      <w:tr w:rsidR="00C02B59" w:rsidRPr="00D1795B" w14:paraId="1887E942" w14:textId="77777777" w:rsidTr="002E3454">
        <w:trPr>
          <w:trHeight w:val="309"/>
          <w:jc w:val="center"/>
        </w:trPr>
        <w:tc>
          <w:tcPr>
            <w:tcW w:w="1084" w:type="dxa"/>
            <w:shd w:val="clear" w:color="auto" w:fill="C1F0C7" w:themeFill="accent3" w:themeFillTint="33"/>
            <w:noWrap/>
            <w:hideMark/>
          </w:tcPr>
          <w:p w14:paraId="1887E93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181</w:t>
            </w:r>
          </w:p>
        </w:tc>
        <w:tc>
          <w:tcPr>
            <w:tcW w:w="1463" w:type="dxa"/>
            <w:shd w:val="clear" w:color="auto" w:fill="C1F0C7" w:themeFill="accent3" w:themeFillTint="33"/>
            <w:noWrap/>
            <w:hideMark/>
          </w:tcPr>
          <w:p w14:paraId="1887E93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C3.4R8</w:t>
            </w:r>
          </w:p>
          <w:p w14:paraId="1887E93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Efficiency of Justice</w:t>
            </w:r>
          </w:p>
        </w:tc>
        <w:tc>
          <w:tcPr>
            <w:tcW w:w="1134" w:type="dxa"/>
            <w:shd w:val="clear" w:color="auto" w:fill="C1F0C7" w:themeFill="accent3" w:themeFillTint="33"/>
            <w:noWrap/>
            <w:hideMark/>
          </w:tcPr>
          <w:p w14:paraId="1887E93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276" w:type="dxa"/>
            <w:shd w:val="clear" w:color="auto" w:fill="C1F0C7" w:themeFill="accent3" w:themeFillTint="33"/>
            <w:noWrap/>
            <w:hideMark/>
          </w:tcPr>
          <w:p w14:paraId="1887E93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Reducing the backlog of cases and appeals</w:t>
            </w:r>
          </w:p>
        </w:tc>
        <w:tc>
          <w:tcPr>
            <w:tcW w:w="1701" w:type="dxa"/>
            <w:shd w:val="clear" w:color="auto" w:fill="C1F0C7" w:themeFill="accent3" w:themeFillTint="33"/>
            <w:noWrap/>
            <w:hideMark/>
          </w:tcPr>
          <w:p w14:paraId="1887E93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5" w:type="dxa"/>
            <w:shd w:val="clear" w:color="auto" w:fill="C1F0C7" w:themeFill="accent3" w:themeFillTint="33"/>
            <w:noWrap/>
            <w:hideMark/>
          </w:tcPr>
          <w:p w14:paraId="1887E93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 (Percentage)</w:t>
            </w:r>
          </w:p>
        </w:tc>
        <w:tc>
          <w:tcPr>
            <w:tcW w:w="1276" w:type="dxa"/>
            <w:shd w:val="clear" w:color="auto" w:fill="C1F0C7" w:themeFill="accent3" w:themeFillTint="33"/>
            <w:noWrap/>
            <w:hideMark/>
          </w:tcPr>
          <w:p w14:paraId="1887E93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76" w:type="dxa"/>
            <w:shd w:val="clear" w:color="auto" w:fill="C1F0C7" w:themeFill="accent3" w:themeFillTint="33"/>
            <w:noWrap/>
            <w:hideMark/>
          </w:tcPr>
          <w:p w14:paraId="1887E93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40</w:t>
            </w:r>
          </w:p>
        </w:tc>
        <w:tc>
          <w:tcPr>
            <w:tcW w:w="904" w:type="dxa"/>
            <w:shd w:val="clear" w:color="auto" w:fill="C1F0C7" w:themeFill="accent3" w:themeFillTint="33"/>
            <w:noWrap/>
            <w:hideMark/>
          </w:tcPr>
          <w:p w14:paraId="1887E93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678" w:type="dxa"/>
            <w:shd w:val="clear" w:color="auto" w:fill="C1F0C7" w:themeFill="accent3" w:themeFillTint="33"/>
            <w:noWrap/>
            <w:hideMark/>
          </w:tcPr>
          <w:p w14:paraId="1887E94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044" w:type="dxa"/>
            <w:shd w:val="clear" w:color="auto" w:fill="C1F0C7" w:themeFill="accent3" w:themeFillTint="33"/>
            <w:noWrap/>
            <w:hideMark/>
          </w:tcPr>
          <w:p w14:paraId="1887E941"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Reduction of the backlog of cases and appeals pending for over two years before the District Courts and the Supreme Court by 40% from the 31 December 2020 level </w:t>
            </w:r>
            <w:r w:rsidRPr="00D1795B">
              <w:rPr>
                <w:rFonts w:ascii="Times New Roman" w:eastAsia="Times New Roman" w:hAnsi="Times New Roman" w:cs="Times New Roman"/>
                <w:noProof/>
                <w:sz w:val="18"/>
                <w:szCs w:val="18"/>
              </w:rPr>
              <w:t>of 16 740 pending civil cases and 2 139 pending civil and administrative appeals</w:t>
            </w:r>
            <w:r w:rsidRPr="00D1795B">
              <w:rPr>
                <w:rFonts w:ascii="Times New Roman" w:hAnsi="Times New Roman" w:cs="Times New Roman"/>
                <w:noProof/>
                <w:sz w:val="18"/>
                <w:szCs w:val="18"/>
              </w:rPr>
              <w:t xml:space="preserve">, as verified by an Annual Progress Report of the Action Plan to reduce backlog. </w:t>
            </w:r>
          </w:p>
        </w:tc>
      </w:tr>
      <w:tr w:rsidR="00C02B59" w:rsidRPr="00D1795B" w14:paraId="1887E950" w14:textId="77777777" w:rsidTr="002E3454">
        <w:trPr>
          <w:trHeight w:val="309"/>
          <w:jc w:val="center"/>
        </w:trPr>
        <w:tc>
          <w:tcPr>
            <w:tcW w:w="1084" w:type="dxa"/>
            <w:shd w:val="clear" w:color="auto" w:fill="C1F0C7" w:themeFill="accent3" w:themeFillTint="33"/>
            <w:noWrap/>
            <w:hideMark/>
          </w:tcPr>
          <w:p w14:paraId="1887E94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183</w:t>
            </w:r>
          </w:p>
        </w:tc>
        <w:tc>
          <w:tcPr>
            <w:tcW w:w="1463" w:type="dxa"/>
            <w:shd w:val="clear" w:color="auto" w:fill="C1F0C7" w:themeFill="accent3" w:themeFillTint="33"/>
            <w:noWrap/>
            <w:hideMark/>
          </w:tcPr>
          <w:p w14:paraId="1887E94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C3.4R9</w:t>
            </w:r>
          </w:p>
          <w:p w14:paraId="1887E94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 transformation of courts</w:t>
            </w:r>
          </w:p>
        </w:tc>
        <w:tc>
          <w:tcPr>
            <w:tcW w:w="1134" w:type="dxa"/>
            <w:shd w:val="clear" w:color="auto" w:fill="C1F0C7" w:themeFill="accent3" w:themeFillTint="33"/>
            <w:noWrap/>
            <w:hideMark/>
          </w:tcPr>
          <w:p w14:paraId="1887E94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shd w:val="clear" w:color="auto" w:fill="C1F0C7" w:themeFill="accent3" w:themeFillTint="33"/>
            <w:noWrap/>
            <w:hideMark/>
          </w:tcPr>
          <w:p w14:paraId="1887E94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i-justice system</w:t>
            </w:r>
          </w:p>
        </w:tc>
        <w:tc>
          <w:tcPr>
            <w:tcW w:w="1701" w:type="dxa"/>
            <w:shd w:val="clear" w:color="auto" w:fill="C1F0C7" w:themeFill="accent3" w:themeFillTint="33"/>
            <w:noWrap/>
            <w:hideMark/>
          </w:tcPr>
          <w:p w14:paraId="1887E948" w14:textId="02D82D98"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Temporary </w:t>
            </w:r>
            <w:r w:rsidRPr="00D1795B">
              <w:rPr>
                <w:rFonts w:ascii="Times New Roman" w:eastAsia="Times New Roman" w:hAnsi="Times New Roman" w:cs="Times New Roman"/>
                <w:noProof/>
                <w:color w:val="000000" w:themeColor="text1"/>
                <w:sz w:val="18"/>
                <w:szCs w:val="18"/>
              </w:rPr>
              <w:t>acceptance certificate</w:t>
            </w:r>
            <w:r w:rsidRPr="00D1795B">
              <w:rPr>
                <w:rFonts w:ascii="Times New Roman" w:hAnsi="Times New Roman" w:cs="Times New Roman"/>
                <w:noProof/>
                <w:sz w:val="18"/>
                <w:szCs w:val="18"/>
              </w:rPr>
              <w:t xml:space="preserve"> </w:t>
            </w:r>
            <w:r w:rsidR="6323776C" w:rsidRPr="00D1795B">
              <w:rPr>
                <w:rFonts w:ascii="Times New Roman" w:hAnsi="Times New Roman" w:cs="Times New Roman"/>
                <w:noProof/>
                <w:sz w:val="18"/>
                <w:szCs w:val="18"/>
              </w:rPr>
              <w:t xml:space="preserve">of </w:t>
            </w:r>
            <w:r w:rsidRPr="00D1795B">
              <w:rPr>
                <w:rFonts w:ascii="Times New Roman" w:hAnsi="Times New Roman" w:cs="Times New Roman"/>
                <w:noProof/>
                <w:sz w:val="18"/>
                <w:szCs w:val="18"/>
              </w:rPr>
              <w:t>Phase One</w:t>
            </w:r>
            <w:r w:rsidR="00D1795B">
              <w:rPr>
                <w:rFonts w:ascii="Times New Roman" w:hAnsi="Times New Roman" w:cs="Times New Roman"/>
                <w:noProof/>
                <w:sz w:val="18"/>
                <w:szCs w:val="18"/>
              </w:rPr>
              <w:t xml:space="preserve"> </w:t>
            </w:r>
            <w:r w:rsidRPr="00D1795B">
              <w:rPr>
                <w:rFonts w:ascii="Times New Roman" w:hAnsi="Times New Roman" w:cs="Times New Roman"/>
                <w:noProof/>
                <w:sz w:val="18"/>
                <w:szCs w:val="18"/>
              </w:rPr>
              <w:t>of the i-justice system</w:t>
            </w:r>
          </w:p>
        </w:tc>
        <w:tc>
          <w:tcPr>
            <w:tcW w:w="1275" w:type="dxa"/>
            <w:shd w:val="clear" w:color="auto" w:fill="C1F0C7" w:themeFill="accent3" w:themeFillTint="33"/>
            <w:noWrap/>
            <w:hideMark/>
          </w:tcPr>
          <w:p w14:paraId="1887E94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hideMark/>
          </w:tcPr>
          <w:p w14:paraId="1887E94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hideMark/>
          </w:tcPr>
          <w:p w14:paraId="1887E94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04" w:type="dxa"/>
            <w:shd w:val="clear" w:color="auto" w:fill="C1F0C7" w:themeFill="accent3" w:themeFillTint="33"/>
            <w:noWrap/>
            <w:hideMark/>
          </w:tcPr>
          <w:p w14:paraId="1887E94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678" w:type="dxa"/>
            <w:shd w:val="clear" w:color="auto" w:fill="C1F0C7" w:themeFill="accent3" w:themeFillTint="33"/>
            <w:noWrap/>
            <w:hideMark/>
          </w:tcPr>
          <w:p w14:paraId="1887E94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044" w:type="dxa"/>
            <w:shd w:val="clear" w:color="auto" w:fill="C1F0C7" w:themeFill="accent3" w:themeFillTint="33"/>
            <w:noWrap/>
            <w:hideMark/>
          </w:tcPr>
          <w:p w14:paraId="1887E94E" w14:textId="25236DEF" w:rsidR="00C02B59" w:rsidRPr="00D1795B" w:rsidRDefault="00C02B59" w:rsidP="00C02B59">
            <w:pPr>
              <w:spacing w:after="0" w:line="240" w:lineRule="auto"/>
              <w:jc w:val="both"/>
              <w:rPr>
                <w:rFonts w:ascii="Times New Roman" w:hAnsi="Times New Roman" w:cs="Times New Roman"/>
                <w:noProof/>
                <w:color w:val="000000" w:themeColor="text1"/>
                <w:sz w:val="18"/>
                <w:szCs w:val="18"/>
              </w:rPr>
            </w:pPr>
            <w:r w:rsidRPr="00D1795B">
              <w:rPr>
                <w:rFonts w:ascii="Times New Roman" w:eastAsia="Times New Roman" w:hAnsi="Times New Roman" w:cs="Times New Roman"/>
                <w:noProof/>
                <w:color w:val="000000" w:themeColor="text1"/>
                <w:sz w:val="18"/>
                <w:szCs w:val="18"/>
              </w:rPr>
              <w:t>Issuance of the temporary acceptance certificate of Phase One of i-Justice System</w:t>
            </w:r>
            <w:r w:rsidR="08DEBAD7" w:rsidRPr="00D1795B">
              <w:rPr>
                <w:rFonts w:ascii="Times New Roman" w:eastAsia="Times New Roman" w:hAnsi="Times New Roman" w:cs="Times New Roman"/>
                <w:noProof/>
                <w:color w:val="000000" w:themeColor="text1"/>
                <w:sz w:val="18"/>
                <w:szCs w:val="18"/>
              </w:rPr>
              <w:t>.</w:t>
            </w:r>
            <w:r w:rsidR="030AD675" w:rsidRPr="00D1795B">
              <w:rPr>
                <w:rFonts w:ascii="Times New Roman" w:eastAsia="Times New Roman" w:hAnsi="Times New Roman" w:cs="Times New Roman"/>
                <w:noProof/>
                <w:color w:val="000000" w:themeColor="text1"/>
                <w:sz w:val="18"/>
                <w:szCs w:val="18"/>
              </w:rPr>
              <w:t xml:space="preserve"> </w:t>
            </w:r>
            <w:r w:rsidR="34EA419D" w:rsidRPr="00D1795B">
              <w:rPr>
                <w:rFonts w:ascii="Times New Roman" w:eastAsia="Times New Roman" w:hAnsi="Times New Roman" w:cs="Times New Roman"/>
                <w:noProof/>
                <w:color w:val="000000" w:themeColor="text1"/>
                <w:sz w:val="18"/>
                <w:szCs w:val="18"/>
              </w:rPr>
              <w:t>This system</w:t>
            </w:r>
            <w:r w:rsidR="00D1795B">
              <w:rPr>
                <w:rFonts w:ascii="Times New Roman" w:eastAsia="Times New Roman" w:hAnsi="Times New Roman" w:cs="Times New Roman"/>
                <w:noProof/>
                <w:color w:val="000000" w:themeColor="text1"/>
                <w:sz w:val="18"/>
                <w:szCs w:val="18"/>
              </w:rPr>
              <w:t xml:space="preserve"> </w:t>
            </w:r>
            <w:r w:rsidR="7B60FB01" w:rsidRPr="00D1795B">
              <w:rPr>
                <w:rFonts w:ascii="Times New Roman" w:hAnsi="Times New Roman" w:cs="Times New Roman"/>
                <w:noProof/>
                <w:color w:val="000000" w:themeColor="text1"/>
                <w:sz w:val="18"/>
                <w:szCs w:val="18"/>
              </w:rPr>
              <w:t>shall be accessible through the court’s website</w:t>
            </w:r>
            <w:r w:rsidRPr="00D1795B">
              <w:rPr>
                <w:rFonts w:ascii="Times New Roman" w:hAnsi="Times New Roman" w:cs="Times New Roman"/>
                <w:noProof/>
                <w:color w:val="000000" w:themeColor="text1"/>
                <w:sz w:val="18"/>
                <w:szCs w:val="18"/>
              </w:rPr>
              <w:t xml:space="preserve">. </w:t>
            </w:r>
          </w:p>
          <w:p w14:paraId="1887E94F" w14:textId="77777777" w:rsidR="00C02B59" w:rsidRPr="00D1795B" w:rsidRDefault="00C02B59" w:rsidP="00C02B59">
            <w:pPr>
              <w:spacing w:after="0" w:line="240" w:lineRule="auto"/>
              <w:jc w:val="both"/>
              <w:rPr>
                <w:rFonts w:ascii="Times New Roman" w:hAnsi="Times New Roman" w:cs="Times New Roman"/>
                <w:noProof/>
                <w:sz w:val="18"/>
                <w:szCs w:val="18"/>
              </w:rPr>
            </w:pPr>
          </w:p>
        </w:tc>
      </w:tr>
      <w:tr w:rsidR="00C02B59" w:rsidRPr="00D1795B" w14:paraId="1887E95D" w14:textId="77777777" w:rsidTr="002E3454">
        <w:trPr>
          <w:trHeight w:val="309"/>
          <w:jc w:val="center"/>
        </w:trPr>
        <w:tc>
          <w:tcPr>
            <w:tcW w:w="1084" w:type="dxa"/>
            <w:tcBorders>
              <w:bottom w:val="single" w:sz="4" w:space="0" w:color="auto"/>
            </w:tcBorders>
            <w:shd w:val="clear" w:color="auto" w:fill="C1F0C7" w:themeFill="accent3" w:themeFillTint="33"/>
            <w:noWrap/>
          </w:tcPr>
          <w:p w14:paraId="1887E95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185</w:t>
            </w:r>
          </w:p>
        </w:tc>
        <w:tc>
          <w:tcPr>
            <w:tcW w:w="1463" w:type="dxa"/>
            <w:tcBorders>
              <w:bottom w:val="single" w:sz="4" w:space="0" w:color="auto"/>
            </w:tcBorders>
            <w:shd w:val="clear" w:color="auto" w:fill="C1F0C7" w:themeFill="accent3" w:themeFillTint="33"/>
            <w:noWrap/>
          </w:tcPr>
          <w:p w14:paraId="1887E95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C3.4I7</w:t>
            </w:r>
          </w:p>
          <w:p w14:paraId="1887E95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Training of judges</w:t>
            </w:r>
          </w:p>
        </w:tc>
        <w:tc>
          <w:tcPr>
            <w:tcW w:w="1134" w:type="dxa"/>
            <w:tcBorders>
              <w:bottom w:val="single" w:sz="4" w:space="0" w:color="auto"/>
            </w:tcBorders>
            <w:shd w:val="clear" w:color="auto" w:fill="C1F0C7" w:themeFill="accent3" w:themeFillTint="33"/>
            <w:noWrap/>
          </w:tcPr>
          <w:p w14:paraId="1887E95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tcBorders>
              <w:bottom w:val="single" w:sz="4" w:space="0" w:color="auto"/>
            </w:tcBorders>
            <w:shd w:val="clear" w:color="auto" w:fill="C1F0C7" w:themeFill="accent3" w:themeFillTint="33"/>
            <w:noWrap/>
          </w:tcPr>
          <w:p w14:paraId="1887E95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Training of judges </w:t>
            </w:r>
          </w:p>
        </w:tc>
        <w:tc>
          <w:tcPr>
            <w:tcW w:w="1701" w:type="dxa"/>
            <w:tcBorders>
              <w:bottom w:val="single" w:sz="4" w:space="0" w:color="auto"/>
            </w:tcBorders>
            <w:shd w:val="clear" w:color="auto" w:fill="C1F0C7" w:themeFill="accent3" w:themeFillTint="33"/>
            <w:noWrap/>
          </w:tcPr>
          <w:p w14:paraId="1887E95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Trainings organised</w:t>
            </w:r>
          </w:p>
        </w:tc>
        <w:tc>
          <w:tcPr>
            <w:tcW w:w="1275" w:type="dxa"/>
            <w:tcBorders>
              <w:bottom w:val="single" w:sz="4" w:space="0" w:color="auto"/>
            </w:tcBorders>
            <w:shd w:val="clear" w:color="auto" w:fill="C1F0C7" w:themeFill="accent3" w:themeFillTint="33"/>
            <w:noWrap/>
          </w:tcPr>
          <w:p w14:paraId="1887E957"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1276" w:type="dxa"/>
            <w:tcBorders>
              <w:bottom w:val="single" w:sz="4" w:space="0" w:color="auto"/>
            </w:tcBorders>
            <w:shd w:val="clear" w:color="auto" w:fill="C1F0C7" w:themeFill="accent3" w:themeFillTint="33"/>
            <w:noWrap/>
          </w:tcPr>
          <w:p w14:paraId="1887E958"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1276" w:type="dxa"/>
            <w:tcBorders>
              <w:bottom w:val="single" w:sz="4" w:space="0" w:color="auto"/>
            </w:tcBorders>
            <w:shd w:val="clear" w:color="auto" w:fill="C1F0C7" w:themeFill="accent3" w:themeFillTint="33"/>
            <w:noWrap/>
          </w:tcPr>
          <w:p w14:paraId="1887E959"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904" w:type="dxa"/>
            <w:tcBorders>
              <w:bottom w:val="single" w:sz="4" w:space="0" w:color="auto"/>
            </w:tcBorders>
            <w:shd w:val="clear" w:color="auto" w:fill="C1F0C7" w:themeFill="accent3" w:themeFillTint="33"/>
            <w:noWrap/>
          </w:tcPr>
          <w:p w14:paraId="1887E95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678" w:type="dxa"/>
            <w:tcBorders>
              <w:bottom w:val="single" w:sz="4" w:space="0" w:color="auto"/>
            </w:tcBorders>
            <w:shd w:val="clear" w:color="auto" w:fill="C1F0C7" w:themeFill="accent3" w:themeFillTint="33"/>
            <w:noWrap/>
          </w:tcPr>
          <w:p w14:paraId="1887E95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044" w:type="dxa"/>
            <w:tcBorders>
              <w:bottom w:val="single" w:sz="4" w:space="0" w:color="auto"/>
            </w:tcBorders>
            <w:shd w:val="clear" w:color="auto" w:fill="C1F0C7" w:themeFill="accent3" w:themeFillTint="33"/>
            <w:noWrap/>
          </w:tcPr>
          <w:p w14:paraId="1887E95C"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Trainings for judges shall be organised on the revised Civil Procedure Rules and other judicial skills.</w:t>
            </w:r>
          </w:p>
        </w:tc>
      </w:tr>
      <w:tr w:rsidR="00C02B59" w:rsidRPr="00D1795B" w14:paraId="1887E96A" w14:textId="77777777" w:rsidTr="002E3454">
        <w:trPr>
          <w:trHeight w:val="309"/>
          <w:jc w:val="center"/>
        </w:trPr>
        <w:tc>
          <w:tcPr>
            <w:tcW w:w="1084" w:type="dxa"/>
            <w:shd w:val="clear" w:color="auto" w:fill="C1F0C7" w:themeFill="accent3" w:themeFillTint="33"/>
            <w:noWrap/>
          </w:tcPr>
          <w:p w14:paraId="1887E95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186</w:t>
            </w:r>
          </w:p>
        </w:tc>
        <w:tc>
          <w:tcPr>
            <w:tcW w:w="1463" w:type="dxa"/>
            <w:shd w:val="clear" w:color="auto" w:fill="C1F0C7" w:themeFill="accent3" w:themeFillTint="33"/>
            <w:noWrap/>
          </w:tcPr>
          <w:p w14:paraId="1887E95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C3.4I8</w:t>
            </w:r>
          </w:p>
          <w:p w14:paraId="1887E96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Upgrading the infrastructure of courts</w:t>
            </w:r>
          </w:p>
        </w:tc>
        <w:tc>
          <w:tcPr>
            <w:tcW w:w="1134" w:type="dxa"/>
            <w:shd w:val="clear" w:color="auto" w:fill="C1F0C7" w:themeFill="accent3" w:themeFillTint="33"/>
            <w:noWrap/>
          </w:tcPr>
          <w:p w14:paraId="1887E96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shd w:val="clear" w:color="auto" w:fill="C1F0C7" w:themeFill="accent3" w:themeFillTint="33"/>
            <w:noWrap/>
          </w:tcPr>
          <w:p w14:paraId="1887E96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Extension of the Famagusta District Court</w:t>
            </w:r>
          </w:p>
        </w:tc>
        <w:tc>
          <w:tcPr>
            <w:tcW w:w="1701" w:type="dxa"/>
            <w:shd w:val="clear" w:color="auto" w:fill="C1F0C7" w:themeFill="accent3" w:themeFillTint="33"/>
            <w:noWrap/>
          </w:tcPr>
          <w:p w14:paraId="1887E96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Project management team certifies the completion of the construction. </w:t>
            </w:r>
          </w:p>
        </w:tc>
        <w:tc>
          <w:tcPr>
            <w:tcW w:w="1275" w:type="dxa"/>
            <w:shd w:val="clear" w:color="auto" w:fill="C1F0C7" w:themeFill="accent3" w:themeFillTint="33"/>
            <w:noWrap/>
          </w:tcPr>
          <w:p w14:paraId="1887E96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96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96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04" w:type="dxa"/>
            <w:shd w:val="clear" w:color="auto" w:fill="C1F0C7" w:themeFill="accent3" w:themeFillTint="33"/>
            <w:noWrap/>
          </w:tcPr>
          <w:p w14:paraId="1887E96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Q4 </w:t>
            </w:r>
          </w:p>
        </w:tc>
        <w:tc>
          <w:tcPr>
            <w:tcW w:w="678" w:type="dxa"/>
            <w:shd w:val="clear" w:color="auto" w:fill="C1F0C7" w:themeFill="accent3" w:themeFillTint="33"/>
            <w:noWrap/>
          </w:tcPr>
          <w:p w14:paraId="1887E96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2021</w:t>
            </w:r>
          </w:p>
        </w:tc>
        <w:tc>
          <w:tcPr>
            <w:tcW w:w="3044" w:type="dxa"/>
            <w:shd w:val="clear" w:color="auto" w:fill="C1F0C7" w:themeFill="accent3" w:themeFillTint="33"/>
            <w:noWrap/>
          </w:tcPr>
          <w:p w14:paraId="1887E969"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Completion of construction of the extension to the Famagusta District Court building to support the operation of new courtrooms to try in addition to criminal also civil cases. </w:t>
            </w:r>
          </w:p>
        </w:tc>
      </w:tr>
      <w:tr w:rsidR="00C02B59" w:rsidRPr="00D1795B" w14:paraId="1887E977" w14:textId="77777777" w:rsidTr="002E3454">
        <w:trPr>
          <w:trHeight w:val="309"/>
          <w:jc w:val="center"/>
        </w:trPr>
        <w:tc>
          <w:tcPr>
            <w:tcW w:w="1084" w:type="dxa"/>
            <w:shd w:val="clear" w:color="auto" w:fill="C1F0C7" w:themeFill="accent3" w:themeFillTint="33"/>
            <w:noWrap/>
          </w:tcPr>
          <w:p w14:paraId="1887E96B" w14:textId="77777777" w:rsidR="00C02B59" w:rsidRPr="00D1795B" w:rsidRDefault="00C02B59" w:rsidP="00C02B59">
            <w:pPr>
              <w:spacing w:after="0" w:line="240" w:lineRule="auto"/>
              <w:rPr>
                <w:rFonts w:ascii="Times New Roman" w:hAnsi="Times New Roman" w:cs="Times New Roman"/>
                <w:noProof/>
                <w:sz w:val="18"/>
                <w:szCs w:val="18"/>
              </w:rPr>
            </w:pPr>
            <w:r w:rsidRPr="00D1795B" w:rsidDel="00702392">
              <w:rPr>
                <w:rFonts w:ascii="Times New Roman" w:hAnsi="Times New Roman" w:cs="Times New Roman"/>
                <w:noProof/>
                <w:sz w:val="18"/>
                <w:szCs w:val="18"/>
              </w:rPr>
              <w:t>187</w:t>
            </w:r>
          </w:p>
        </w:tc>
        <w:tc>
          <w:tcPr>
            <w:tcW w:w="1463" w:type="dxa"/>
            <w:shd w:val="clear" w:color="auto" w:fill="C1F0C7" w:themeFill="accent3" w:themeFillTint="33"/>
            <w:noWrap/>
          </w:tcPr>
          <w:p w14:paraId="1887E96C" w14:textId="77777777" w:rsidR="00C02B59" w:rsidRPr="00D1795B" w:rsidRDefault="00C02B59" w:rsidP="00C02B59">
            <w:pPr>
              <w:spacing w:after="0" w:line="240" w:lineRule="auto"/>
              <w:rPr>
                <w:rFonts w:ascii="Times New Roman" w:hAnsi="Times New Roman" w:cs="Times New Roman"/>
                <w:noProof/>
                <w:sz w:val="18"/>
                <w:szCs w:val="18"/>
              </w:rPr>
            </w:pPr>
            <w:r w:rsidRPr="00D1795B" w:rsidDel="00702392">
              <w:rPr>
                <w:rFonts w:ascii="Times New Roman" w:hAnsi="Times New Roman" w:cs="Times New Roman"/>
                <w:noProof/>
                <w:sz w:val="18"/>
                <w:szCs w:val="18"/>
              </w:rPr>
              <w:t>C3.4R10</w:t>
            </w:r>
          </w:p>
          <w:p w14:paraId="1887E96D" w14:textId="77777777" w:rsidR="00C02B59" w:rsidRPr="00D1795B" w:rsidRDefault="00C02B59" w:rsidP="00C02B59">
            <w:pPr>
              <w:spacing w:after="0" w:line="240" w:lineRule="auto"/>
              <w:rPr>
                <w:rFonts w:ascii="Times New Roman" w:hAnsi="Times New Roman" w:cs="Times New Roman"/>
                <w:noProof/>
                <w:sz w:val="18"/>
                <w:szCs w:val="18"/>
              </w:rPr>
            </w:pPr>
            <w:r w:rsidRPr="00D1795B" w:rsidDel="00702392">
              <w:rPr>
                <w:rFonts w:ascii="Times New Roman" w:hAnsi="Times New Roman" w:cs="Times New Roman"/>
                <w:noProof/>
                <w:sz w:val="18"/>
                <w:szCs w:val="18"/>
              </w:rPr>
              <w:t>Improving the legal and institutional framework for fighting corruption</w:t>
            </w:r>
          </w:p>
        </w:tc>
        <w:tc>
          <w:tcPr>
            <w:tcW w:w="1134" w:type="dxa"/>
            <w:shd w:val="clear" w:color="auto" w:fill="C1F0C7" w:themeFill="accent3" w:themeFillTint="33"/>
            <w:noWrap/>
          </w:tcPr>
          <w:p w14:paraId="1887E96E" w14:textId="77777777" w:rsidR="00C02B59" w:rsidRPr="00D1795B" w:rsidRDefault="00C02B59" w:rsidP="00C02B59">
            <w:pPr>
              <w:spacing w:after="0" w:line="240" w:lineRule="auto"/>
              <w:rPr>
                <w:rFonts w:ascii="Times New Roman" w:hAnsi="Times New Roman" w:cs="Times New Roman"/>
                <w:noProof/>
                <w:sz w:val="18"/>
                <w:szCs w:val="18"/>
              </w:rPr>
            </w:pPr>
            <w:r w:rsidRPr="00D1795B" w:rsidDel="00702392">
              <w:rPr>
                <w:rFonts w:ascii="Times New Roman" w:hAnsi="Times New Roman" w:cs="Times New Roman"/>
                <w:noProof/>
                <w:sz w:val="18"/>
                <w:szCs w:val="18"/>
              </w:rPr>
              <w:t>Milestone</w:t>
            </w:r>
          </w:p>
        </w:tc>
        <w:tc>
          <w:tcPr>
            <w:tcW w:w="1276" w:type="dxa"/>
            <w:shd w:val="clear" w:color="auto" w:fill="C1F0C7" w:themeFill="accent3" w:themeFillTint="33"/>
            <w:noWrap/>
          </w:tcPr>
          <w:p w14:paraId="1887E96F" w14:textId="77777777" w:rsidR="00C02B59" w:rsidRPr="00D1795B" w:rsidRDefault="00C02B59" w:rsidP="00C02B59">
            <w:pPr>
              <w:spacing w:after="0" w:line="240" w:lineRule="auto"/>
              <w:rPr>
                <w:rFonts w:ascii="Times New Roman" w:hAnsi="Times New Roman" w:cs="Times New Roman"/>
                <w:noProof/>
                <w:sz w:val="18"/>
                <w:szCs w:val="18"/>
              </w:rPr>
            </w:pPr>
            <w:r w:rsidRPr="00D1795B" w:rsidDel="00702392">
              <w:rPr>
                <w:rFonts w:ascii="Times New Roman" w:hAnsi="Times New Roman" w:cs="Times New Roman"/>
                <w:noProof/>
                <w:sz w:val="18"/>
                <w:szCs w:val="18"/>
              </w:rPr>
              <w:t xml:space="preserve">Entry into force of the law establishing the Independent Authority against Corruption </w:t>
            </w:r>
          </w:p>
        </w:tc>
        <w:tc>
          <w:tcPr>
            <w:tcW w:w="1701" w:type="dxa"/>
            <w:shd w:val="clear" w:color="auto" w:fill="C1F0C7" w:themeFill="accent3" w:themeFillTint="33"/>
            <w:noWrap/>
          </w:tcPr>
          <w:p w14:paraId="1887E970" w14:textId="77777777" w:rsidR="00C02B59" w:rsidRPr="00D1795B" w:rsidRDefault="00C02B59" w:rsidP="00C02B59">
            <w:pPr>
              <w:spacing w:after="0" w:line="240" w:lineRule="auto"/>
              <w:rPr>
                <w:rFonts w:ascii="Times New Roman" w:hAnsi="Times New Roman" w:cs="Times New Roman"/>
                <w:noProof/>
                <w:sz w:val="18"/>
                <w:szCs w:val="18"/>
              </w:rPr>
            </w:pPr>
            <w:r w:rsidRPr="00D1795B" w:rsidDel="00702392">
              <w:rPr>
                <w:rFonts w:ascii="Times New Roman" w:hAnsi="Times New Roman" w:cs="Times New Roman"/>
                <w:noProof/>
                <w:sz w:val="18"/>
                <w:szCs w:val="18"/>
              </w:rPr>
              <w:t xml:space="preserve">Provision of the law indicating the entry into force of the law and start of operation of the Independent Authority against Corruption with key management positions filled and staff recruited. </w:t>
            </w:r>
          </w:p>
        </w:tc>
        <w:tc>
          <w:tcPr>
            <w:tcW w:w="1275" w:type="dxa"/>
            <w:shd w:val="clear" w:color="auto" w:fill="C1F0C7" w:themeFill="accent3" w:themeFillTint="33"/>
            <w:noWrap/>
          </w:tcPr>
          <w:p w14:paraId="1887E97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sidDel="00702392">
              <w:rPr>
                <w:rFonts w:ascii="Times New Roman" w:hAnsi="Times New Roman" w:cs="Times New Roman"/>
                <w:noProof/>
                <w:sz w:val="18"/>
                <w:szCs w:val="18"/>
              </w:rPr>
              <w:t>-</w:t>
            </w:r>
          </w:p>
        </w:tc>
        <w:tc>
          <w:tcPr>
            <w:tcW w:w="1276" w:type="dxa"/>
            <w:shd w:val="clear" w:color="auto" w:fill="C1F0C7" w:themeFill="accent3" w:themeFillTint="33"/>
            <w:noWrap/>
          </w:tcPr>
          <w:p w14:paraId="1887E97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sidDel="00702392">
              <w:rPr>
                <w:rFonts w:ascii="Times New Roman" w:hAnsi="Times New Roman" w:cs="Times New Roman"/>
                <w:noProof/>
                <w:sz w:val="18"/>
                <w:szCs w:val="18"/>
              </w:rPr>
              <w:t>-</w:t>
            </w:r>
          </w:p>
        </w:tc>
        <w:tc>
          <w:tcPr>
            <w:tcW w:w="1276" w:type="dxa"/>
            <w:shd w:val="clear" w:color="auto" w:fill="C1F0C7" w:themeFill="accent3" w:themeFillTint="33"/>
            <w:noWrap/>
          </w:tcPr>
          <w:p w14:paraId="1887E97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sidDel="00702392">
              <w:rPr>
                <w:rFonts w:ascii="Times New Roman" w:hAnsi="Times New Roman" w:cs="Times New Roman"/>
                <w:noProof/>
                <w:sz w:val="18"/>
                <w:szCs w:val="18"/>
              </w:rPr>
              <w:t>-</w:t>
            </w:r>
          </w:p>
        </w:tc>
        <w:tc>
          <w:tcPr>
            <w:tcW w:w="904" w:type="dxa"/>
            <w:shd w:val="clear" w:color="auto" w:fill="C1F0C7" w:themeFill="accent3" w:themeFillTint="33"/>
            <w:noWrap/>
          </w:tcPr>
          <w:p w14:paraId="1887E974" w14:textId="77777777" w:rsidR="00C02B59" w:rsidRPr="00D1795B" w:rsidRDefault="00C02B59" w:rsidP="00C02B59">
            <w:pPr>
              <w:spacing w:after="0" w:line="240" w:lineRule="auto"/>
              <w:rPr>
                <w:rFonts w:ascii="Times New Roman" w:hAnsi="Times New Roman" w:cs="Times New Roman"/>
                <w:noProof/>
                <w:sz w:val="18"/>
                <w:szCs w:val="18"/>
              </w:rPr>
            </w:pPr>
            <w:r w:rsidRPr="00D1795B" w:rsidDel="00702392">
              <w:rPr>
                <w:rFonts w:ascii="Times New Roman" w:hAnsi="Times New Roman" w:cs="Times New Roman"/>
                <w:noProof/>
                <w:sz w:val="18"/>
                <w:szCs w:val="18"/>
              </w:rPr>
              <w:t xml:space="preserve">Q1 </w:t>
            </w:r>
          </w:p>
        </w:tc>
        <w:tc>
          <w:tcPr>
            <w:tcW w:w="678" w:type="dxa"/>
            <w:shd w:val="clear" w:color="auto" w:fill="C1F0C7" w:themeFill="accent3" w:themeFillTint="33"/>
            <w:noWrap/>
          </w:tcPr>
          <w:p w14:paraId="1887E975" w14:textId="77777777" w:rsidR="00C02B59" w:rsidRPr="00D1795B" w:rsidRDefault="00C02B59" w:rsidP="00C02B59">
            <w:pPr>
              <w:spacing w:after="0" w:line="240" w:lineRule="auto"/>
              <w:rPr>
                <w:rFonts w:ascii="Times New Roman" w:hAnsi="Times New Roman" w:cs="Times New Roman"/>
                <w:noProof/>
                <w:sz w:val="18"/>
                <w:szCs w:val="18"/>
              </w:rPr>
            </w:pPr>
            <w:r w:rsidRPr="00D1795B" w:rsidDel="00702392">
              <w:rPr>
                <w:rFonts w:ascii="Times New Roman" w:hAnsi="Times New Roman" w:cs="Times New Roman"/>
                <w:noProof/>
                <w:sz w:val="18"/>
                <w:szCs w:val="18"/>
              </w:rPr>
              <w:t>2022</w:t>
            </w:r>
          </w:p>
        </w:tc>
        <w:tc>
          <w:tcPr>
            <w:tcW w:w="3044" w:type="dxa"/>
            <w:shd w:val="clear" w:color="auto" w:fill="C1F0C7" w:themeFill="accent3" w:themeFillTint="33"/>
            <w:noWrap/>
          </w:tcPr>
          <w:p w14:paraId="1887E976"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sidDel="00702392">
              <w:rPr>
                <w:rFonts w:ascii="Times New Roman" w:hAnsi="Times New Roman" w:cs="Times New Roman"/>
                <w:noProof/>
                <w:sz w:val="18"/>
                <w:szCs w:val="18"/>
              </w:rPr>
              <w:t xml:space="preserve">The Independent Authority against Corruption has been established on the basis of the entry into force of the corresponding law and is operational. The Authority shall coordinate the efforts of all bodies engaged in the fight against and prevention of corruption and shall supervise the timely implementation of actions by the different competent services. </w:t>
            </w:r>
          </w:p>
        </w:tc>
      </w:tr>
      <w:tr w:rsidR="00C02B59" w:rsidRPr="00D1795B" w14:paraId="1887E984" w14:textId="77777777" w:rsidTr="002E3454">
        <w:trPr>
          <w:trHeight w:val="309"/>
          <w:jc w:val="center"/>
        </w:trPr>
        <w:tc>
          <w:tcPr>
            <w:tcW w:w="1084" w:type="dxa"/>
            <w:tcBorders>
              <w:bottom w:val="single" w:sz="4" w:space="0" w:color="auto"/>
            </w:tcBorders>
            <w:shd w:val="clear" w:color="auto" w:fill="C1F0C7" w:themeFill="accent3" w:themeFillTint="33"/>
            <w:noWrap/>
          </w:tcPr>
          <w:p w14:paraId="1887E978" w14:textId="77777777" w:rsidR="00C02B59" w:rsidRPr="00D1795B" w:rsidRDefault="00C02B59" w:rsidP="00C02B59">
            <w:pPr>
              <w:spacing w:after="0" w:line="240" w:lineRule="auto"/>
              <w:rPr>
                <w:rFonts w:ascii="Times New Roman" w:hAnsi="Times New Roman" w:cs="Times New Roman"/>
                <w:noProof/>
                <w:sz w:val="18"/>
                <w:szCs w:val="18"/>
              </w:rPr>
            </w:pPr>
            <w:r w:rsidRPr="00D1795B" w:rsidDel="00702392">
              <w:rPr>
                <w:rFonts w:ascii="Times New Roman" w:hAnsi="Times New Roman" w:cs="Times New Roman"/>
                <w:noProof/>
                <w:sz w:val="18"/>
                <w:szCs w:val="18"/>
              </w:rPr>
              <w:t>188</w:t>
            </w:r>
          </w:p>
        </w:tc>
        <w:tc>
          <w:tcPr>
            <w:tcW w:w="1463" w:type="dxa"/>
            <w:tcBorders>
              <w:bottom w:val="single" w:sz="4" w:space="0" w:color="auto"/>
            </w:tcBorders>
            <w:shd w:val="clear" w:color="auto" w:fill="C1F0C7" w:themeFill="accent3" w:themeFillTint="33"/>
            <w:noWrap/>
          </w:tcPr>
          <w:p w14:paraId="1887E979" w14:textId="77777777" w:rsidR="00C02B59" w:rsidRPr="00D1795B" w:rsidRDefault="00C02B59" w:rsidP="00C02B59">
            <w:pPr>
              <w:spacing w:after="0" w:line="240" w:lineRule="auto"/>
              <w:rPr>
                <w:rFonts w:ascii="Times New Roman" w:hAnsi="Times New Roman" w:cs="Times New Roman"/>
                <w:noProof/>
                <w:sz w:val="18"/>
                <w:szCs w:val="18"/>
              </w:rPr>
            </w:pPr>
            <w:r w:rsidRPr="00D1795B" w:rsidDel="00702392">
              <w:rPr>
                <w:rFonts w:ascii="Times New Roman" w:hAnsi="Times New Roman" w:cs="Times New Roman"/>
                <w:noProof/>
                <w:sz w:val="18"/>
                <w:szCs w:val="18"/>
              </w:rPr>
              <w:t>C3.4R10</w:t>
            </w:r>
          </w:p>
          <w:p w14:paraId="1887E97A" w14:textId="77777777" w:rsidR="00C02B59" w:rsidRPr="00D1795B" w:rsidRDefault="00C02B59" w:rsidP="00C02B59">
            <w:pPr>
              <w:spacing w:after="0" w:line="240" w:lineRule="auto"/>
              <w:rPr>
                <w:rFonts w:ascii="Times New Roman" w:hAnsi="Times New Roman" w:cs="Times New Roman"/>
                <w:noProof/>
                <w:sz w:val="18"/>
                <w:szCs w:val="18"/>
              </w:rPr>
            </w:pPr>
            <w:r w:rsidRPr="00D1795B" w:rsidDel="00702392">
              <w:rPr>
                <w:rFonts w:ascii="Times New Roman" w:hAnsi="Times New Roman" w:cs="Times New Roman"/>
                <w:noProof/>
                <w:sz w:val="18"/>
                <w:szCs w:val="18"/>
              </w:rPr>
              <w:t>Improving the legal and institutional framework for fighting corruption</w:t>
            </w:r>
          </w:p>
        </w:tc>
        <w:tc>
          <w:tcPr>
            <w:tcW w:w="1134" w:type="dxa"/>
            <w:tcBorders>
              <w:bottom w:val="single" w:sz="4" w:space="0" w:color="auto"/>
            </w:tcBorders>
            <w:shd w:val="clear" w:color="auto" w:fill="C1F0C7" w:themeFill="accent3" w:themeFillTint="33"/>
            <w:noWrap/>
          </w:tcPr>
          <w:p w14:paraId="1887E97B" w14:textId="77777777" w:rsidR="00C02B59" w:rsidRPr="00D1795B" w:rsidRDefault="00C02B59" w:rsidP="00C02B59">
            <w:pPr>
              <w:spacing w:after="0" w:line="240" w:lineRule="auto"/>
              <w:rPr>
                <w:rFonts w:ascii="Times New Roman" w:hAnsi="Times New Roman" w:cs="Times New Roman"/>
                <w:noProof/>
                <w:sz w:val="18"/>
                <w:szCs w:val="18"/>
              </w:rPr>
            </w:pPr>
            <w:r w:rsidRPr="00D1795B" w:rsidDel="00702392">
              <w:rPr>
                <w:rFonts w:ascii="Times New Roman" w:hAnsi="Times New Roman" w:cs="Times New Roman"/>
                <w:noProof/>
                <w:sz w:val="18"/>
                <w:szCs w:val="18"/>
              </w:rPr>
              <w:t>Milestone</w:t>
            </w:r>
          </w:p>
        </w:tc>
        <w:tc>
          <w:tcPr>
            <w:tcW w:w="1276" w:type="dxa"/>
            <w:tcBorders>
              <w:bottom w:val="single" w:sz="4" w:space="0" w:color="auto"/>
            </w:tcBorders>
            <w:shd w:val="clear" w:color="auto" w:fill="C1F0C7" w:themeFill="accent3" w:themeFillTint="33"/>
            <w:noWrap/>
          </w:tcPr>
          <w:p w14:paraId="1887E97C" w14:textId="77777777" w:rsidR="00C02B59" w:rsidRPr="00D1795B" w:rsidRDefault="00C02B59" w:rsidP="00C02B59">
            <w:pPr>
              <w:spacing w:after="0" w:line="240" w:lineRule="auto"/>
              <w:rPr>
                <w:rFonts w:ascii="Times New Roman" w:hAnsi="Times New Roman" w:cs="Times New Roman"/>
                <w:noProof/>
                <w:sz w:val="18"/>
                <w:szCs w:val="18"/>
              </w:rPr>
            </w:pPr>
            <w:r w:rsidRPr="00D1795B" w:rsidDel="00702392">
              <w:rPr>
                <w:rFonts w:ascii="Times New Roman" w:hAnsi="Times New Roman" w:cs="Times New Roman"/>
                <w:noProof/>
                <w:sz w:val="18"/>
                <w:szCs w:val="18"/>
              </w:rPr>
              <w:t>Entry into force of the law on Transparency in Decision-Making and Related Matters</w:t>
            </w:r>
          </w:p>
        </w:tc>
        <w:tc>
          <w:tcPr>
            <w:tcW w:w="1701" w:type="dxa"/>
            <w:tcBorders>
              <w:bottom w:val="single" w:sz="4" w:space="0" w:color="auto"/>
            </w:tcBorders>
            <w:shd w:val="clear" w:color="auto" w:fill="C1F0C7" w:themeFill="accent3" w:themeFillTint="33"/>
            <w:noWrap/>
          </w:tcPr>
          <w:p w14:paraId="1887E97D" w14:textId="77777777" w:rsidR="00C02B59" w:rsidRPr="00D1795B" w:rsidRDefault="00C02B59" w:rsidP="00C02B59">
            <w:pPr>
              <w:spacing w:after="0" w:line="240" w:lineRule="auto"/>
              <w:rPr>
                <w:rFonts w:ascii="Times New Roman" w:hAnsi="Times New Roman" w:cs="Times New Roman"/>
                <w:noProof/>
                <w:sz w:val="18"/>
                <w:szCs w:val="18"/>
              </w:rPr>
            </w:pPr>
            <w:r w:rsidRPr="00D1795B" w:rsidDel="00702392">
              <w:rPr>
                <w:rFonts w:ascii="Times New Roman" w:hAnsi="Times New Roman" w:cs="Times New Roman"/>
                <w:noProof/>
                <w:sz w:val="18"/>
                <w:szCs w:val="18"/>
              </w:rPr>
              <w:t>Provision of the law indicating the entry into force of the law</w:t>
            </w:r>
          </w:p>
        </w:tc>
        <w:tc>
          <w:tcPr>
            <w:tcW w:w="1275" w:type="dxa"/>
            <w:tcBorders>
              <w:bottom w:val="single" w:sz="4" w:space="0" w:color="auto"/>
            </w:tcBorders>
            <w:shd w:val="clear" w:color="auto" w:fill="C1F0C7" w:themeFill="accent3" w:themeFillTint="33"/>
            <w:noWrap/>
          </w:tcPr>
          <w:p w14:paraId="1887E97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sidDel="00702392">
              <w:rPr>
                <w:rFonts w:ascii="Times New Roman" w:hAnsi="Times New Roman" w:cs="Times New Roman"/>
                <w:noProof/>
                <w:sz w:val="18"/>
                <w:szCs w:val="18"/>
              </w:rPr>
              <w:t>-</w:t>
            </w:r>
          </w:p>
        </w:tc>
        <w:tc>
          <w:tcPr>
            <w:tcW w:w="1276" w:type="dxa"/>
            <w:tcBorders>
              <w:bottom w:val="single" w:sz="4" w:space="0" w:color="auto"/>
            </w:tcBorders>
            <w:shd w:val="clear" w:color="auto" w:fill="C1F0C7" w:themeFill="accent3" w:themeFillTint="33"/>
            <w:noWrap/>
          </w:tcPr>
          <w:p w14:paraId="1887E97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sidDel="00702392">
              <w:rPr>
                <w:rFonts w:ascii="Times New Roman" w:hAnsi="Times New Roman" w:cs="Times New Roman"/>
                <w:noProof/>
                <w:sz w:val="18"/>
                <w:szCs w:val="18"/>
              </w:rPr>
              <w:t>-</w:t>
            </w:r>
          </w:p>
        </w:tc>
        <w:tc>
          <w:tcPr>
            <w:tcW w:w="1276" w:type="dxa"/>
            <w:tcBorders>
              <w:bottom w:val="single" w:sz="4" w:space="0" w:color="auto"/>
            </w:tcBorders>
            <w:shd w:val="clear" w:color="auto" w:fill="C1F0C7" w:themeFill="accent3" w:themeFillTint="33"/>
            <w:noWrap/>
          </w:tcPr>
          <w:p w14:paraId="1887E98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sidDel="00702392">
              <w:rPr>
                <w:rFonts w:ascii="Times New Roman" w:hAnsi="Times New Roman" w:cs="Times New Roman"/>
                <w:noProof/>
                <w:sz w:val="18"/>
                <w:szCs w:val="18"/>
              </w:rPr>
              <w:t>-</w:t>
            </w:r>
          </w:p>
        </w:tc>
        <w:tc>
          <w:tcPr>
            <w:tcW w:w="904" w:type="dxa"/>
            <w:tcBorders>
              <w:bottom w:val="single" w:sz="4" w:space="0" w:color="auto"/>
            </w:tcBorders>
            <w:shd w:val="clear" w:color="auto" w:fill="C1F0C7" w:themeFill="accent3" w:themeFillTint="33"/>
            <w:noWrap/>
          </w:tcPr>
          <w:p w14:paraId="1887E981" w14:textId="77777777" w:rsidR="00C02B59" w:rsidRPr="00D1795B" w:rsidRDefault="00C02B59" w:rsidP="00C02B59">
            <w:pPr>
              <w:spacing w:after="0" w:line="240" w:lineRule="auto"/>
              <w:rPr>
                <w:rFonts w:ascii="Times New Roman" w:hAnsi="Times New Roman" w:cs="Times New Roman"/>
                <w:noProof/>
                <w:sz w:val="18"/>
                <w:szCs w:val="18"/>
              </w:rPr>
            </w:pPr>
            <w:r w:rsidRPr="00D1795B" w:rsidDel="00702392">
              <w:rPr>
                <w:rFonts w:ascii="Times New Roman" w:hAnsi="Times New Roman" w:cs="Times New Roman"/>
                <w:noProof/>
                <w:sz w:val="18"/>
                <w:szCs w:val="18"/>
              </w:rPr>
              <w:t xml:space="preserve">Q4 </w:t>
            </w:r>
          </w:p>
        </w:tc>
        <w:tc>
          <w:tcPr>
            <w:tcW w:w="678" w:type="dxa"/>
            <w:tcBorders>
              <w:bottom w:val="single" w:sz="4" w:space="0" w:color="auto"/>
            </w:tcBorders>
            <w:shd w:val="clear" w:color="auto" w:fill="C1F0C7" w:themeFill="accent3" w:themeFillTint="33"/>
            <w:noWrap/>
          </w:tcPr>
          <w:p w14:paraId="1887E982" w14:textId="77777777" w:rsidR="00C02B59" w:rsidRPr="00D1795B" w:rsidRDefault="00C02B59" w:rsidP="00C02B59">
            <w:pPr>
              <w:spacing w:after="0" w:line="240" w:lineRule="auto"/>
              <w:rPr>
                <w:rFonts w:ascii="Times New Roman" w:hAnsi="Times New Roman" w:cs="Times New Roman"/>
                <w:noProof/>
                <w:sz w:val="18"/>
                <w:szCs w:val="18"/>
              </w:rPr>
            </w:pPr>
            <w:r w:rsidRPr="00D1795B" w:rsidDel="00702392">
              <w:rPr>
                <w:rFonts w:ascii="Times New Roman" w:hAnsi="Times New Roman" w:cs="Times New Roman"/>
                <w:noProof/>
                <w:sz w:val="18"/>
                <w:szCs w:val="18"/>
              </w:rPr>
              <w:t>2021</w:t>
            </w:r>
          </w:p>
        </w:tc>
        <w:tc>
          <w:tcPr>
            <w:tcW w:w="3044" w:type="dxa"/>
            <w:tcBorders>
              <w:bottom w:val="single" w:sz="4" w:space="0" w:color="auto"/>
            </w:tcBorders>
            <w:shd w:val="clear" w:color="auto" w:fill="C1F0C7" w:themeFill="accent3" w:themeFillTint="33"/>
            <w:noWrap/>
          </w:tcPr>
          <w:p w14:paraId="1887E983"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sidDel="00702392">
              <w:rPr>
                <w:rFonts w:ascii="Times New Roman" w:hAnsi="Times New Roman" w:cs="Times New Roman"/>
                <w:noProof/>
                <w:sz w:val="18"/>
                <w:szCs w:val="18"/>
              </w:rPr>
              <w:t>Entry into force of the law on Transparency in Decision-Making and Related Matters, including provisions to prevent conflict of interest. The law shall create the obligation to publicise contacts made between persons interested in being involved in public decision-making procedures and officials or members of the State service or of the wider public sector or with employees for the benefit of officials who, by their very position, have competence or possibility of initiating such procedures or formulating their content or contributing or determining the final outcome of such procedures. Information on such a contact, as well as its content and purposes, shall be officially recorded and be publicly available.</w:t>
            </w:r>
          </w:p>
        </w:tc>
      </w:tr>
      <w:tr w:rsidR="00C02B59" w:rsidRPr="00D1795B" w14:paraId="1887E991" w14:textId="77777777" w:rsidTr="002E3454">
        <w:trPr>
          <w:trHeight w:val="309"/>
          <w:jc w:val="center"/>
        </w:trPr>
        <w:tc>
          <w:tcPr>
            <w:tcW w:w="1084" w:type="dxa"/>
            <w:shd w:val="clear" w:color="auto" w:fill="C1F0C7" w:themeFill="accent3" w:themeFillTint="33"/>
            <w:noWrap/>
          </w:tcPr>
          <w:p w14:paraId="1887E98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189</w:t>
            </w:r>
          </w:p>
        </w:tc>
        <w:tc>
          <w:tcPr>
            <w:tcW w:w="1463" w:type="dxa"/>
            <w:shd w:val="clear" w:color="auto" w:fill="C1F0C7" w:themeFill="accent3" w:themeFillTint="33"/>
            <w:noWrap/>
          </w:tcPr>
          <w:p w14:paraId="1887E98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C3.4R10</w:t>
            </w:r>
          </w:p>
          <w:p w14:paraId="1887E98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Improving the legal and institutional framework for fighting corruption</w:t>
            </w:r>
          </w:p>
        </w:tc>
        <w:tc>
          <w:tcPr>
            <w:tcW w:w="1134" w:type="dxa"/>
            <w:shd w:val="clear" w:color="auto" w:fill="C1F0C7" w:themeFill="accent3" w:themeFillTint="33"/>
            <w:noWrap/>
          </w:tcPr>
          <w:p w14:paraId="1887E98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276" w:type="dxa"/>
            <w:shd w:val="clear" w:color="auto" w:fill="C1F0C7" w:themeFill="accent3" w:themeFillTint="33"/>
            <w:noWrap/>
          </w:tcPr>
          <w:p w14:paraId="1887E98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law to protect whistle-blowers</w:t>
            </w:r>
          </w:p>
        </w:tc>
        <w:tc>
          <w:tcPr>
            <w:tcW w:w="1701" w:type="dxa"/>
            <w:shd w:val="clear" w:color="auto" w:fill="C1F0C7" w:themeFill="accent3" w:themeFillTint="33"/>
            <w:noWrap/>
          </w:tcPr>
          <w:p w14:paraId="1887E98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Provision of the law indicating the entry into force of the law</w:t>
            </w:r>
          </w:p>
        </w:tc>
        <w:tc>
          <w:tcPr>
            <w:tcW w:w="1275" w:type="dxa"/>
            <w:shd w:val="clear" w:color="auto" w:fill="C1F0C7" w:themeFill="accent3" w:themeFillTint="33"/>
            <w:noWrap/>
          </w:tcPr>
          <w:p w14:paraId="1887E98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98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76" w:type="dxa"/>
            <w:shd w:val="clear" w:color="auto" w:fill="C1F0C7" w:themeFill="accent3" w:themeFillTint="33"/>
            <w:noWrap/>
          </w:tcPr>
          <w:p w14:paraId="1887E98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04" w:type="dxa"/>
            <w:shd w:val="clear" w:color="auto" w:fill="C1F0C7" w:themeFill="accent3" w:themeFillTint="33"/>
            <w:noWrap/>
          </w:tcPr>
          <w:p w14:paraId="1887E98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Q4 </w:t>
            </w:r>
          </w:p>
        </w:tc>
        <w:tc>
          <w:tcPr>
            <w:tcW w:w="678" w:type="dxa"/>
            <w:shd w:val="clear" w:color="auto" w:fill="C1F0C7" w:themeFill="accent3" w:themeFillTint="33"/>
            <w:noWrap/>
          </w:tcPr>
          <w:p w14:paraId="1887E98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2021</w:t>
            </w:r>
          </w:p>
        </w:tc>
        <w:tc>
          <w:tcPr>
            <w:tcW w:w="3044" w:type="dxa"/>
            <w:shd w:val="clear" w:color="auto" w:fill="C1F0C7" w:themeFill="accent3" w:themeFillTint="33"/>
            <w:noWrap/>
          </w:tcPr>
          <w:p w14:paraId="1887E99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a law to protect whistle-blowers reporting fraud and corruption from internal sanctions. The law shall include supplementary provisions on the protection of persons reporting acts of corruption both in the public and the private sectors (whistle-blowers, persons not involved in the acts), further to the protection already provided for in the Protection of Witnesses Law 95(I)/2001. The law shall also provide measures of leniency for those who are involved in acts of corruption but voluntarily report to the police and/or offer cooperation with the authorities resulting in the full investigation and prosecution of the case.</w:t>
            </w:r>
          </w:p>
        </w:tc>
      </w:tr>
    </w:tbl>
    <w:p w14:paraId="1887E992" w14:textId="77777777" w:rsidR="00C02B59" w:rsidRPr="00D1795B" w:rsidRDefault="00C02B59" w:rsidP="00C02B59">
      <w:pPr>
        <w:rPr>
          <w:rFonts w:ascii="Times New Roman" w:eastAsia="Times New Roman" w:hAnsi="Times New Roman" w:cs="Times New Roman"/>
          <w:noProof/>
        </w:rPr>
      </w:pPr>
    </w:p>
    <w:p w14:paraId="1887E993" w14:textId="77777777" w:rsidR="00C02B59" w:rsidRPr="00D1795B" w:rsidRDefault="00C02B59" w:rsidP="00C02B59">
      <w:pPr>
        <w:rPr>
          <w:noProof/>
        </w:rPr>
        <w:sectPr w:rsidR="00C02B59" w:rsidRPr="00D1795B" w:rsidSect="00C02B59">
          <w:headerReference w:type="even" r:id="rId107"/>
          <w:headerReference w:type="default" r:id="rId108"/>
          <w:footerReference w:type="even" r:id="rId109"/>
          <w:footerReference w:type="default" r:id="rId110"/>
          <w:headerReference w:type="first" r:id="rId111"/>
          <w:footerReference w:type="first" r:id="rId112"/>
          <w:pgSz w:w="15840" w:h="12240" w:orient="landscape"/>
          <w:pgMar w:top="1134" w:right="1134" w:bottom="1134" w:left="1134" w:header="567" w:footer="567" w:gutter="0"/>
          <w:cols w:space="720"/>
          <w:docGrid w:linePitch="360"/>
        </w:sectPr>
      </w:pPr>
    </w:p>
    <w:p w14:paraId="1887E994" w14:textId="77777777" w:rsidR="00C02B59" w:rsidRPr="00D1795B" w:rsidRDefault="00C02B59" w:rsidP="00C02B59">
      <w:pPr>
        <w:spacing w:before="360" w:after="120"/>
        <w:jc w:val="both"/>
        <w:rPr>
          <w:noProof/>
        </w:rPr>
      </w:pPr>
      <w:r w:rsidRPr="00D1795B">
        <w:rPr>
          <w:rFonts w:ascii="Times New Roman" w:eastAsia="Times New Roman" w:hAnsi="Times New Roman" w:cs="Times New Roman"/>
          <w:b/>
          <w:bCs/>
          <w:smallCaps/>
          <w:noProof/>
        </w:rPr>
        <w:t xml:space="preserve">I. </w:t>
      </w:r>
      <w:r w:rsidRPr="00D1795B">
        <w:rPr>
          <w:rFonts w:ascii="Times New Roman" w:eastAsia="Times New Roman" w:hAnsi="Times New Roman" w:cs="Times New Roman"/>
          <w:b/>
          <w:bCs/>
          <w:smallCaps/>
          <w:noProof/>
          <w:sz w:val="22"/>
          <w:szCs w:val="22"/>
        </w:rPr>
        <w:t>COMPONENT 3.5:</w:t>
      </w:r>
      <w:r w:rsidRPr="00D1795B">
        <w:rPr>
          <w:rFonts w:ascii="Times New Roman" w:eastAsia="Times New Roman" w:hAnsi="Times New Roman" w:cs="Times New Roman"/>
          <w:b/>
          <w:bCs/>
          <w:smallCaps/>
          <w:noProof/>
        </w:rPr>
        <w:t xml:space="preserve"> Safeguarding Fiscal and Financial Stability</w:t>
      </w:r>
    </w:p>
    <w:p w14:paraId="1887E995"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This component of the Cypriot recovery and resilience plan addresses the challenges of fiscal and financial vulnerabilities, including macroeconomic imbalances related thereto. The aim is to safeguard financial stability by reducing legacy risks in the banking sector, putting in place measures against high private indebtedness, and for the supervision in the non-bank sector. To ensure fiscal stability, Cyprus aims at combating tax evasion, tax avoidance and aggressive tax planning; and providing policy makers with comprehensive data in order to design a fair tax system. The envisaged measures are expected to make revenue collection more efficient and Cyprus’ tax system fairer, reducing the spill-over effects from aggressive tax planning. </w:t>
      </w:r>
    </w:p>
    <w:p w14:paraId="1887E996"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component supports addressing the Country-Specific Recommendations on financial stability and private indebtedness (Country-Specific Recommendations 2 and 5 of 2019), and on addressing features of the tax system that facilitate aggressive tax planning by individuals and multinationals (Country-Specific Recommendation 4 of 2020 and Country-Specific Recommendation 1 of 2019). </w:t>
      </w:r>
    </w:p>
    <w:p w14:paraId="1887E997"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b/>
          <w:bCs/>
          <w:noProof/>
        </w:rPr>
        <w:t xml:space="preserve"> </w:t>
      </w:r>
    </w:p>
    <w:p w14:paraId="1887E998"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b/>
          <w:bCs/>
          <w:noProof/>
          <w:u w:val="single"/>
        </w:rPr>
        <w:t xml:space="preserve">I.1. </w:t>
      </w:r>
      <w:r w:rsidRPr="00D1795B">
        <w:rPr>
          <w:noProof/>
        </w:rPr>
        <w:tab/>
      </w:r>
      <w:r w:rsidRPr="00D1795B">
        <w:rPr>
          <w:rFonts w:ascii="Times New Roman" w:eastAsia="Times New Roman" w:hAnsi="Times New Roman" w:cs="Times New Roman"/>
          <w:b/>
          <w:bCs/>
          <w:noProof/>
          <w:u w:val="single"/>
        </w:rPr>
        <w:t>Description of the reforms and investments for non-repayable financial support</w:t>
      </w:r>
    </w:p>
    <w:p w14:paraId="1887E999"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b/>
          <w:bCs/>
          <w:noProof/>
          <w:u w:val="single"/>
        </w:rPr>
        <w:t>Safeguarding financial stability</w:t>
      </w:r>
    </w:p>
    <w:p w14:paraId="1887E99A" w14:textId="77777777" w:rsidR="00C02B59" w:rsidRPr="00D1795B" w:rsidRDefault="00C02B59" w:rsidP="00C02B59">
      <w:pPr>
        <w:spacing w:after="200" w:line="276" w:lineRule="auto"/>
        <w:rPr>
          <w:noProof/>
        </w:rPr>
      </w:pPr>
      <w:r w:rsidRPr="00D1795B">
        <w:rPr>
          <w:rFonts w:ascii="Times New Roman" w:eastAsia="Times New Roman" w:hAnsi="Times New Roman" w:cs="Times New Roman"/>
          <w:noProof/>
          <w:u w:val="single"/>
        </w:rPr>
        <w:t>Reform 11 (C3.5R11): Legal framework for a National Sanctions Implementation Unit</w:t>
      </w:r>
    </w:p>
    <w:p w14:paraId="1887E99B" w14:textId="77777777" w:rsidR="00C02B59" w:rsidRPr="00D1795B" w:rsidRDefault="00C02B59" w:rsidP="00C02B59">
      <w:pPr>
        <w:spacing w:before="120" w:after="120" w:line="278" w:lineRule="auto"/>
        <w:rPr>
          <w:noProof/>
        </w:rPr>
      </w:pPr>
      <w:r w:rsidRPr="00D1795B">
        <w:rPr>
          <w:rFonts w:ascii="Times New Roman" w:eastAsia="Times New Roman" w:hAnsi="Times New Roman" w:cs="Times New Roman"/>
          <w:noProof/>
        </w:rPr>
        <w:t xml:space="preserve">The objective of this reform is to reinforce oversight in the banking and non-banking financial sectors. </w:t>
      </w:r>
    </w:p>
    <w:p w14:paraId="1887E99C" w14:textId="77777777" w:rsidR="00C02B59" w:rsidRPr="00D1795B" w:rsidRDefault="00C02B59" w:rsidP="00C02B59">
      <w:pPr>
        <w:spacing w:before="120" w:after="120" w:line="278" w:lineRule="auto"/>
        <w:rPr>
          <w:noProof/>
        </w:rPr>
      </w:pPr>
      <w:r w:rsidRPr="00D1795B">
        <w:rPr>
          <w:rFonts w:ascii="Times New Roman" w:eastAsia="Times New Roman" w:hAnsi="Times New Roman" w:cs="Times New Roman"/>
          <w:noProof/>
        </w:rPr>
        <w:t xml:space="preserve">The reform consists of the entry into force of legal act(s) on establishing the legal framework for a National Sanctions Implementation Unit. </w:t>
      </w:r>
    </w:p>
    <w:p w14:paraId="1887E99D"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b/>
          <w:bCs/>
          <w:i/>
          <w:iCs/>
          <w:noProof/>
        </w:rPr>
        <w:t xml:space="preserve"> </w:t>
      </w:r>
    </w:p>
    <w:p w14:paraId="1887E99E"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 xml:space="preserve">Reform 2 (C3.5R2): Framework and Action Plan for addressing non-performing loans </w:t>
      </w:r>
    </w:p>
    <w:p w14:paraId="1887E99F"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The objective of the measure is to address financial risks related to legacy non-performing loans in the banking sector by continuing efforts to improve the asset quality of banks and strengthening the working environment for servicing of loans.</w:t>
      </w:r>
    </w:p>
    <w:p w14:paraId="1887E9A0" w14:textId="1CC2ECCB"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The reform shall consist in (i) implementing an action plan to address the remaining stock of legacy non-performing loans and (ii) adopting a package of three amending laws regarding credit acquiring companies and servicers (placing of loan servicers under regulation and supervision by the Central Bank; granting access for loan servicers and credit acquiring companies to the Land Registry; and aligning notification requirements in case of purchase of a loan by a credit acquiring company). A progress report on the action plan shall be prepared by 30</w:t>
      </w:r>
      <w:r w:rsidR="00B26491">
        <w:rPr>
          <w:rFonts w:ascii="Times New Roman" w:eastAsia="Times New Roman" w:hAnsi="Times New Roman" w:cs="Times New Roman"/>
          <w:noProof/>
        </w:rPr>
        <w:t> </w:t>
      </w:r>
      <w:r w:rsidRPr="00D1795B">
        <w:rPr>
          <w:rFonts w:ascii="Times New Roman" w:eastAsia="Times New Roman" w:hAnsi="Times New Roman" w:cs="Times New Roman"/>
          <w:noProof/>
        </w:rPr>
        <w:t>June</w:t>
      </w:r>
      <w:r w:rsidR="00B26491">
        <w:rPr>
          <w:rFonts w:ascii="Times New Roman" w:eastAsia="Times New Roman" w:hAnsi="Times New Roman" w:cs="Times New Roman"/>
          <w:noProof/>
        </w:rPr>
        <w:t> </w:t>
      </w:r>
      <w:r w:rsidRPr="00D1795B">
        <w:rPr>
          <w:rFonts w:ascii="Times New Roman" w:eastAsia="Times New Roman" w:hAnsi="Times New Roman" w:cs="Times New Roman"/>
          <w:noProof/>
        </w:rPr>
        <w:t>2023 and approved by the Council of Ministers, tracking the reduction of non-performing loans in the banking sector towards the indicative reference values of 6% gross and 3% net non-performing loans ratio and proposing policy measures where appropriate.</w:t>
      </w:r>
    </w:p>
    <w:p w14:paraId="1887E9A1"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 xml:space="preserve">The implementation of the reform shall be completed by 30 June 2023. </w:t>
      </w:r>
    </w:p>
    <w:p w14:paraId="1887E9A2"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 </w:t>
      </w:r>
    </w:p>
    <w:p w14:paraId="1887E9A3"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 xml:space="preserve">Reform 3 (C3.5R3): Strategy for addressing inadequacies of the property transaction system (title deeds) </w:t>
      </w:r>
    </w:p>
    <w:p w14:paraId="1887E9A4" w14:textId="77777777" w:rsidR="00C02B59" w:rsidRPr="00D1795B" w:rsidRDefault="00C02B59" w:rsidP="00C02B59">
      <w:pPr>
        <w:spacing w:before="120" w:after="120" w:line="278" w:lineRule="auto"/>
        <w:jc w:val="both"/>
        <w:rPr>
          <w:rFonts w:ascii="Times New Roman" w:hAnsi="Times New Roman" w:cs="Times New Roman"/>
          <w:noProof/>
        </w:rPr>
      </w:pPr>
      <w:r w:rsidRPr="00D1795B">
        <w:rPr>
          <w:rFonts w:ascii="Times New Roman" w:eastAsia="Times New Roman" w:hAnsi="Times New Roman" w:cs="Times New Roman"/>
          <w:noProof/>
        </w:rPr>
        <w:t xml:space="preserve">The objective of the reform is to address inefficiencies in the system of issuing and transferring title deeds, which results in property rights not being defined, complicates foreclosure procedures and hinders the liquidation of collateral. </w:t>
      </w:r>
    </w:p>
    <w:p w14:paraId="1887E9A5" w14:textId="77777777" w:rsidR="00C02B59" w:rsidRPr="00D1795B" w:rsidRDefault="00C02B59" w:rsidP="00C02B59">
      <w:pPr>
        <w:spacing w:before="120" w:after="120" w:line="278" w:lineRule="auto"/>
        <w:jc w:val="both"/>
        <w:rPr>
          <w:rFonts w:ascii="Times New Roman" w:hAnsi="Times New Roman" w:cs="Times New Roman"/>
          <w:noProof/>
        </w:rPr>
      </w:pPr>
      <w:r w:rsidRPr="00D1795B">
        <w:rPr>
          <w:rFonts w:ascii="Times New Roman" w:eastAsia="Times New Roman" w:hAnsi="Times New Roman" w:cs="Times New Roman"/>
          <w:noProof/>
        </w:rPr>
        <w:t>The reform shall consist in: (i) examination of pending cases for the issuance of title deeds or rejection of the cases, (ii) extension of the new planning and building permit policy, currently up to two residential units, to four residential units in a plot, which shall reduce the time needed to issue building and spatial permits, (iii) review of the Streets and Buildings Law to introduce the right incentives for the supervising engineer to further discourage irregularities that would result in title deeds not being issued, (iv) amendment of the Sale of Property (Specific Performance) Law, which shall ensure in advance that the transfer of immovable property is executed as soon as the buyer fulfils his/her contractual obligations.</w:t>
      </w:r>
    </w:p>
    <w:p w14:paraId="1887E9A6" w14:textId="77777777" w:rsidR="00C02B59" w:rsidRPr="00D1795B" w:rsidRDefault="00C02B59" w:rsidP="00C02B59">
      <w:pPr>
        <w:spacing w:before="120" w:after="120" w:line="278" w:lineRule="auto"/>
        <w:jc w:val="both"/>
        <w:rPr>
          <w:rFonts w:ascii="Times New Roman" w:hAnsi="Times New Roman" w:cs="Times New Roman"/>
          <w:noProof/>
        </w:rPr>
      </w:pPr>
      <w:r w:rsidRPr="00D1795B">
        <w:rPr>
          <w:rFonts w:ascii="Times New Roman" w:eastAsia="Times New Roman" w:hAnsi="Times New Roman" w:cs="Times New Roman"/>
          <w:noProof/>
        </w:rPr>
        <w:t>The implementation of the reform shall be completed by 31</w:t>
      </w:r>
      <w:r w:rsidRPr="00D1795B">
        <w:rPr>
          <w:rFonts w:ascii="Times New Roman" w:hAnsi="Times New Roman" w:cs="Times New Roman"/>
          <w:noProof/>
        </w:rPr>
        <w:t> </w:t>
      </w:r>
      <w:r w:rsidRPr="00D1795B">
        <w:rPr>
          <w:rFonts w:ascii="Times New Roman" w:eastAsia="Times New Roman" w:hAnsi="Times New Roman" w:cs="Times New Roman"/>
          <w:noProof/>
        </w:rPr>
        <w:t>December</w:t>
      </w:r>
      <w:r w:rsidRPr="00D1795B">
        <w:rPr>
          <w:rFonts w:ascii="Times New Roman" w:hAnsi="Times New Roman" w:cs="Times New Roman"/>
          <w:noProof/>
        </w:rPr>
        <w:t> </w:t>
      </w:r>
      <w:r w:rsidRPr="00D1795B">
        <w:rPr>
          <w:rFonts w:ascii="Times New Roman" w:eastAsia="Times New Roman" w:hAnsi="Times New Roman" w:cs="Times New Roman"/>
          <w:noProof/>
        </w:rPr>
        <w:t xml:space="preserve">2023. </w:t>
      </w:r>
    </w:p>
    <w:p w14:paraId="1887E9A7"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 </w:t>
      </w:r>
    </w:p>
    <w:p w14:paraId="1887E9A8" w14:textId="77777777" w:rsidR="00C02B59" w:rsidRPr="00D1795B" w:rsidRDefault="00C02B59" w:rsidP="00C02B59">
      <w:pPr>
        <w:spacing w:before="120" w:after="120"/>
        <w:jc w:val="both"/>
        <w:rPr>
          <w:rFonts w:ascii="Times New Roman" w:eastAsia="Times New Roman" w:hAnsi="Times New Roman" w:cs="Times New Roman"/>
          <w:noProof/>
          <w:u w:val="single"/>
        </w:rPr>
      </w:pPr>
      <w:r w:rsidRPr="00D1795B">
        <w:rPr>
          <w:rFonts w:ascii="Times New Roman" w:eastAsia="Times New Roman" w:hAnsi="Times New Roman" w:cs="Times New Roman"/>
          <w:noProof/>
          <w:u w:val="single"/>
        </w:rPr>
        <w:t>Reform 4 (C3.5R4): Digital system for the exchange of data and the provision of credit scoring services</w:t>
      </w:r>
    </w:p>
    <w:p w14:paraId="1887E9A9"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objective of this reform is to fight high private indebtedness. </w:t>
      </w:r>
    </w:p>
    <w:p w14:paraId="1887E9AA"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This measure consists in (i) the entry into force of legal act(s) on the ARTEMIS data exchange mechanism and (ii) the ARTEMIS data exchange mechanism in User Acceptance Testing phase.</w:t>
      </w:r>
    </w:p>
    <w:p w14:paraId="1887E9AB"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 </w:t>
      </w:r>
    </w:p>
    <w:p w14:paraId="1887E9AC"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 xml:space="preserve">Reform 5 (C3.5R5): Framework for Management of Private Debt </w:t>
      </w:r>
    </w:p>
    <w:p w14:paraId="1887E9AD"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objective of this reform is to prevent and manage the stock of private debt. </w:t>
      </w:r>
    </w:p>
    <w:p w14:paraId="1887E9AE"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measure consists of (a) an Action Plan on liabilities monitoring (LMR) and (b) the entry into force of legal act(s) for the management of private debt. </w:t>
      </w:r>
    </w:p>
    <w:p w14:paraId="1887E9AF"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 </w:t>
      </w:r>
    </w:p>
    <w:p w14:paraId="1887E9B0"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 xml:space="preserve">Reform 6 (C3.5R6): Reinforcing the insolvency framework </w:t>
      </w:r>
    </w:p>
    <w:p w14:paraId="1887E9B1"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The objective of this reform is to reinforce the insolvency framework, and the functioning of the Department of Insolvency.</w:t>
      </w:r>
    </w:p>
    <w:p w14:paraId="1887E9B2"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This measure consists in (i) adopting the legal and institutional framework for insolvency and (ii) accessible digital systems of the Department of Insolvency. </w:t>
      </w:r>
    </w:p>
    <w:p w14:paraId="1887E9B3"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b/>
          <w:bCs/>
          <w:i/>
          <w:iCs/>
          <w:noProof/>
        </w:rPr>
        <w:t xml:space="preserve"> </w:t>
      </w:r>
    </w:p>
    <w:p w14:paraId="1887E9B4"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 xml:space="preserve">Reform 7 (C3.5R7): Strategy for Combating Financial Illiteracy </w:t>
      </w:r>
    </w:p>
    <w:p w14:paraId="1887E9B5"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The objective of the measure is to promote financial literacy. It aims at enhancing financial education within the general population, improve financial decision making, correct wrong attitudes and biases, support more informed and financially responsible citizens and ultimately, help improve debt repayment discipline.</w:t>
      </w:r>
    </w:p>
    <w:p w14:paraId="1887E9B6"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reform shall consist in preparing a strategy for combating financial illiteracy by: (i) identifying the issues of financial illiteracy (ii) reviewing the international literature on the topic, and (iii) providing an action plan for implementation. </w:t>
      </w:r>
    </w:p>
    <w:p w14:paraId="1887E9B7"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The implementation of the reform shall be completed by 31 December 2023.</w:t>
      </w:r>
    </w:p>
    <w:p w14:paraId="1887E9B8"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 </w:t>
      </w:r>
    </w:p>
    <w:p w14:paraId="1887E9B9"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 xml:space="preserve">Reform 8 (C3.5R8): Enhancing supervision of Insurance and Pension Funds </w:t>
      </w:r>
    </w:p>
    <w:p w14:paraId="1887E9BA"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The objective of this reform is to enhance the supervision of the insurance and pension funds.</w:t>
      </w:r>
    </w:p>
    <w:p w14:paraId="1887E9BB"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This measure consists in (i) the employment of additional permanent employees of the supervisory authorities, (ii) preparing and implementing tools and actions in line with the regulatory frameworks. </w:t>
      </w:r>
    </w:p>
    <w:p w14:paraId="1887E9BC"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b/>
          <w:bCs/>
          <w:i/>
          <w:iCs/>
          <w:noProof/>
        </w:rPr>
        <w:t xml:space="preserve"> </w:t>
      </w:r>
    </w:p>
    <w:p w14:paraId="1887E9BD"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Investment 1 (C3.5I1): Enhancement of the Supervisory Function of Cyprus Securities and Exchange Commission</w:t>
      </w:r>
    </w:p>
    <w:p w14:paraId="1887E9BE"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objective of the measure is to enhance the supervisory capacity of Cyprus Securities and Exchange Commission (CySec) through digitalisation – allowing for better supervision of transactions. </w:t>
      </w:r>
    </w:p>
    <w:p w14:paraId="1887E9BF"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The investment shall consist in developing an advanced digital system, based on cloud architecture, covering the supervision needs of European Market Infrastructure Regulation (EMIR)and the Securities Financing Transactions Regulation (SFTR). The new system shall support the following features: (i) connect to the European Securities and Markets Authority (ESMA) hub; load and pre-process transaction data, (ii) aggregate and perform queries on data to generate regulatory insights (iii) generate on-schedule and ad-hoc reports.</w:t>
      </w:r>
    </w:p>
    <w:p w14:paraId="1887E9C0" w14:textId="77777777" w:rsidR="00C02B59" w:rsidRPr="00D1795B" w:rsidRDefault="00C02B59" w:rsidP="00C02B59">
      <w:pPr>
        <w:spacing w:before="120" w:after="120"/>
        <w:jc w:val="both"/>
        <w:rPr>
          <w:rFonts w:ascii="Times New Roman" w:eastAsia="Times New Roman" w:hAnsi="Times New Roman" w:cs="Times New Roman"/>
          <w:noProof/>
        </w:rPr>
      </w:pPr>
      <w:r w:rsidRPr="00D1795B">
        <w:rPr>
          <w:rFonts w:ascii="Times New Roman" w:eastAsia="Times New Roman" w:hAnsi="Times New Roman" w:cs="Times New Roman"/>
          <w:noProof/>
        </w:rPr>
        <w:t>The implementation of the investment shall be completed by 31 December 2023.</w:t>
      </w:r>
    </w:p>
    <w:p w14:paraId="1887E9C1"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 </w:t>
      </w:r>
    </w:p>
    <w:p w14:paraId="1887E9C2"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b/>
          <w:bCs/>
          <w:noProof/>
          <w:u w:val="single"/>
        </w:rPr>
        <w:t>Safeguarding fiscal stability</w:t>
      </w:r>
    </w:p>
    <w:p w14:paraId="1887E9C3"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Reform 9 (C3.5R9): Digitalising tax collection</w:t>
      </w:r>
    </w:p>
    <w:p w14:paraId="1887E9C4" w14:textId="77777777" w:rsidR="00C02B59" w:rsidRPr="00D1795B" w:rsidRDefault="00C02B59" w:rsidP="00C02B59">
      <w:pPr>
        <w:spacing w:before="120" w:after="120" w:line="278" w:lineRule="auto"/>
        <w:jc w:val="both"/>
        <w:rPr>
          <w:noProof/>
        </w:rPr>
      </w:pPr>
      <w:r w:rsidRPr="00D1795B">
        <w:rPr>
          <w:rFonts w:ascii="Times New Roman" w:eastAsia="Times New Roman" w:hAnsi="Times New Roman" w:cs="Times New Roman"/>
          <w:noProof/>
        </w:rPr>
        <w:t xml:space="preserve">The objective of this reform is to make tax collection more efficient. </w:t>
      </w:r>
    </w:p>
    <w:p w14:paraId="1887E9C5" w14:textId="77777777" w:rsidR="00C02B59" w:rsidRPr="00D1795B" w:rsidRDefault="00C02B59" w:rsidP="00C02B59">
      <w:pPr>
        <w:spacing w:before="120" w:after="120" w:line="278" w:lineRule="auto"/>
        <w:jc w:val="both"/>
        <w:rPr>
          <w:noProof/>
        </w:rPr>
      </w:pPr>
      <w:r w:rsidRPr="00D1795B">
        <w:rPr>
          <w:rFonts w:ascii="Times New Roman" w:eastAsia="Times New Roman" w:hAnsi="Times New Roman" w:cs="Times New Roman"/>
          <w:noProof/>
        </w:rPr>
        <w:t>This measure consists in an IT system as a single point for taxpayer services.</w:t>
      </w:r>
    </w:p>
    <w:p w14:paraId="1887E9C6"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 </w:t>
      </w:r>
    </w:p>
    <w:p w14:paraId="1887E9C7"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Reform 10 (C3.5R10): Addressing Aggressive Tax Planning</w:t>
      </w:r>
    </w:p>
    <w:p w14:paraId="1887E9C8"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objective of this reform is to combat tax evasion and aggressive tax planning by Multinational Enterprises. </w:t>
      </w:r>
    </w:p>
    <w:p w14:paraId="1887E9C9"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This measure consists in the entry into force of legal act(s) to address aggressive tax planning. </w:t>
      </w:r>
    </w:p>
    <w:p w14:paraId="1887E9CA"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 </w:t>
      </w:r>
    </w:p>
    <w:p w14:paraId="1887E9CB"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u w:val="single"/>
        </w:rPr>
        <w:t>Investment 2 (C3.5I2): Modernisation of Customs and Electronic Payment System</w:t>
      </w:r>
    </w:p>
    <w:p w14:paraId="1887E9CC"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The objective of this investment is to simplify customs formalities and reduce the administrative cost for stakeholders. </w:t>
      </w:r>
    </w:p>
    <w:p w14:paraId="1887E9CD" w14:textId="77777777" w:rsidR="00C02B59" w:rsidRPr="00D1795B" w:rsidRDefault="00C02B59" w:rsidP="00C02B59">
      <w:pPr>
        <w:spacing w:before="120" w:after="120"/>
        <w:jc w:val="both"/>
        <w:rPr>
          <w:noProof/>
        </w:rPr>
      </w:pPr>
      <w:r w:rsidRPr="00D1795B">
        <w:rPr>
          <w:rFonts w:ascii="Times New Roman" w:eastAsia="Times New Roman" w:hAnsi="Times New Roman" w:cs="Times New Roman"/>
          <w:noProof/>
        </w:rPr>
        <w:t xml:space="preserve">This measure consists in information systems or functionalities, for which acceptance certificates have been issued. </w:t>
      </w:r>
    </w:p>
    <w:p w14:paraId="1887E9CE" w14:textId="77777777" w:rsidR="00C02B59" w:rsidRPr="00D1795B" w:rsidRDefault="00C02B59">
      <w:pPr>
        <w:rPr>
          <w:noProof/>
        </w:rPr>
      </w:pPr>
    </w:p>
    <w:p w14:paraId="1887E9CF" w14:textId="77777777" w:rsidR="00C02B59" w:rsidRPr="00D1795B" w:rsidRDefault="00C02B59">
      <w:pPr>
        <w:rPr>
          <w:noProof/>
        </w:rPr>
        <w:sectPr w:rsidR="00C02B59" w:rsidRPr="00D1795B" w:rsidSect="00C02B59">
          <w:headerReference w:type="even" r:id="rId113"/>
          <w:headerReference w:type="default" r:id="rId114"/>
          <w:footerReference w:type="even" r:id="rId115"/>
          <w:footerReference w:type="default" r:id="rId116"/>
          <w:headerReference w:type="first" r:id="rId117"/>
          <w:footerReference w:type="first" r:id="rId118"/>
          <w:pgSz w:w="12240" w:h="15840"/>
          <w:pgMar w:top="1134" w:right="1134" w:bottom="1134" w:left="1134" w:header="567" w:footer="567" w:gutter="0"/>
          <w:cols w:space="720"/>
          <w:docGrid w:linePitch="360"/>
        </w:sectPr>
      </w:pPr>
    </w:p>
    <w:p w14:paraId="1887E9D0" w14:textId="77777777" w:rsidR="00C02B59" w:rsidRPr="00D1795B" w:rsidRDefault="00C02B59" w:rsidP="00C02B59">
      <w:pPr>
        <w:spacing w:before="120" w:after="240" w:line="240" w:lineRule="auto"/>
        <w:jc w:val="both"/>
        <w:rPr>
          <w:rFonts w:ascii="Times New Roman" w:hAnsi="Times New Roman"/>
          <w:b/>
          <w:noProof/>
          <w:u w:val="single"/>
        </w:rPr>
      </w:pPr>
      <w:r w:rsidRPr="00D1795B">
        <w:rPr>
          <w:rFonts w:ascii="Times New Roman" w:hAnsi="Times New Roman"/>
          <w:b/>
          <w:noProof/>
          <w:u w:val="single"/>
        </w:rPr>
        <w:t xml:space="preserve">I.2. </w:t>
      </w:r>
      <w:r w:rsidRPr="00D1795B">
        <w:rPr>
          <w:noProof/>
        </w:rPr>
        <w:tab/>
      </w:r>
      <w:r w:rsidRPr="00D1795B">
        <w:rPr>
          <w:rFonts w:ascii="Times New Roman" w:hAnsi="Times New Roman"/>
          <w:b/>
          <w:noProof/>
          <w:u w:val="single"/>
        </w:rPr>
        <w:t>Milestones, targets, indicators, and timetable for monitoring and implementation for non-repayable financial support</w:t>
      </w:r>
    </w:p>
    <w:tbl>
      <w:tblPr>
        <w:tblpPr w:leftFromText="180" w:rightFromText="180" w:vertAnchor="text" w:tblpXSpec="center" w:tblpY="1"/>
        <w:tblOverlap w:val="neve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653"/>
        <w:gridCol w:w="1063"/>
        <w:gridCol w:w="1463"/>
        <w:gridCol w:w="1320"/>
        <w:gridCol w:w="1451"/>
        <w:gridCol w:w="1088"/>
        <w:gridCol w:w="1048"/>
        <w:gridCol w:w="986"/>
        <w:gridCol w:w="984"/>
        <w:gridCol w:w="3260"/>
      </w:tblGrid>
      <w:tr w:rsidR="00C02B59" w:rsidRPr="00D1795B" w14:paraId="1887E9DA" w14:textId="77777777" w:rsidTr="00F54D83">
        <w:trPr>
          <w:trHeight w:val="606"/>
          <w:tblHeader/>
        </w:trPr>
        <w:tc>
          <w:tcPr>
            <w:tcW w:w="1135" w:type="dxa"/>
            <w:vMerge w:val="restart"/>
            <w:shd w:val="clear" w:color="auto" w:fill="BDD7EE"/>
            <w:vAlign w:val="center"/>
            <w:hideMark/>
          </w:tcPr>
          <w:p w14:paraId="1887E9D1" w14:textId="77777777" w:rsidR="00C02B59" w:rsidRPr="00D1795B" w:rsidRDefault="00C02B59" w:rsidP="00F54D83">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1653" w:type="dxa"/>
            <w:vMerge w:val="restart"/>
            <w:shd w:val="clear" w:color="auto" w:fill="BDD7EE"/>
            <w:vAlign w:val="center"/>
            <w:hideMark/>
          </w:tcPr>
          <w:p w14:paraId="1887E9D2" w14:textId="77777777" w:rsidR="00C02B59" w:rsidRPr="00D1795B" w:rsidRDefault="00C02B59" w:rsidP="00F54D83">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1063" w:type="dxa"/>
            <w:vMerge w:val="restart"/>
            <w:shd w:val="clear" w:color="auto" w:fill="BDD7EE"/>
            <w:vAlign w:val="center"/>
            <w:hideMark/>
          </w:tcPr>
          <w:p w14:paraId="1887E9D3" w14:textId="77777777" w:rsidR="00C02B59" w:rsidRPr="00D1795B" w:rsidRDefault="00C02B59" w:rsidP="00F54D83">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Milestone/Target</w:t>
            </w:r>
          </w:p>
        </w:tc>
        <w:tc>
          <w:tcPr>
            <w:tcW w:w="1463" w:type="dxa"/>
            <w:vMerge w:val="restart"/>
            <w:shd w:val="clear" w:color="auto" w:fill="BDD7EE"/>
            <w:vAlign w:val="center"/>
            <w:hideMark/>
          </w:tcPr>
          <w:p w14:paraId="1887E9D4" w14:textId="77777777" w:rsidR="00C02B59" w:rsidRPr="00D1795B" w:rsidRDefault="00C02B59" w:rsidP="00F54D83">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Name</w:t>
            </w:r>
          </w:p>
        </w:tc>
        <w:tc>
          <w:tcPr>
            <w:tcW w:w="1320" w:type="dxa"/>
            <w:vMerge w:val="restart"/>
            <w:shd w:val="clear" w:color="auto" w:fill="BDD7EE"/>
            <w:vAlign w:val="center"/>
            <w:hideMark/>
          </w:tcPr>
          <w:p w14:paraId="1887E9D5" w14:textId="77777777" w:rsidR="00C02B59" w:rsidRPr="00D1795B" w:rsidRDefault="00C02B59" w:rsidP="00F54D83">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Qualitative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milestones)</w:t>
            </w:r>
          </w:p>
        </w:tc>
        <w:tc>
          <w:tcPr>
            <w:tcW w:w="3587" w:type="dxa"/>
            <w:gridSpan w:val="3"/>
            <w:shd w:val="clear" w:color="auto" w:fill="BDD7EE"/>
            <w:vAlign w:val="center"/>
            <w:hideMark/>
          </w:tcPr>
          <w:p w14:paraId="1887E9D6" w14:textId="77777777" w:rsidR="00C02B59" w:rsidRPr="00D1795B" w:rsidRDefault="00C02B59" w:rsidP="00F54D83">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Quantitative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targets)</w:t>
            </w:r>
          </w:p>
        </w:tc>
        <w:tc>
          <w:tcPr>
            <w:tcW w:w="1970" w:type="dxa"/>
            <w:gridSpan w:val="2"/>
            <w:shd w:val="clear" w:color="auto" w:fill="BDD7EE"/>
            <w:vAlign w:val="center"/>
          </w:tcPr>
          <w:p w14:paraId="1887E9D7" w14:textId="77777777" w:rsidR="00C02B59" w:rsidRPr="00D1795B" w:rsidRDefault="00C02B59" w:rsidP="00F54D83">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Indicative timeline for completion</w:t>
            </w:r>
          </w:p>
        </w:tc>
        <w:tc>
          <w:tcPr>
            <w:tcW w:w="3260" w:type="dxa"/>
            <w:vMerge w:val="restart"/>
            <w:shd w:val="clear" w:color="auto" w:fill="BDD7EE"/>
            <w:vAlign w:val="center"/>
          </w:tcPr>
          <w:p w14:paraId="1887E9D9" w14:textId="14724203" w:rsidR="00F54D83" w:rsidRPr="00D1795B" w:rsidRDefault="00F54D83" w:rsidP="00F54D83">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Description of each milestone and target</w:t>
            </w:r>
          </w:p>
        </w:tc>
      </w:tr>
      <w:tr w:rsidR="00C02B59" w:rsidRPr="00D1795B" w14:paraId="1887E9E6" w14:textId="77777777" w:rsidTr="00F54D83">
        <w:trPr>
          <w:trHeight w:val="391"/>
          <w:tblHeader/>
        </w:trPr>
        <w:tc>
          <w:tcPr>
            <w:tcW w:w="1135" w:type="dxa"/>
            <w:vMerge/>
            <w:hideMark/>
          </w:tcPr>
          <w:p w14:paraId="1887E9DB" w14:textId="77777777" w:rsidR="00C02B59" w:rsidRPr="00D1795B" w:rsidRDefault="00C02B59" w:rsidP="00F54D83">
            <w:pPr>
              <w:spacing w:after="0" w:line="240" w:lineRule="auto"/>
              <w:rPr>
                <w:rFonts w:ascii="Times New Roman" w:hAnsi="Times New Roman" w:cs="Times New Roman"/>
                <w:b/>
                <w:noProof/>
                <w:sz w:val="18"/>
                <w:szCs w:val="18"/>
              </w:rPr>
            </w:pPr>
          </w:p>
        </w:tc>
        <w:tc>
          <w:tcPr>
            <w:tcW w:w="1653" w:type="dxa"/>
            <w:vMerge/>
            <w:hideMark/>
          </w:tcPr>
          <w:p w14:paraId="1887E9DC" w14:textId="77777777" w:rsidR="00C02B59" w:rsidRPr="00D1795B" w:rsidRDefault="00C02B59" w:rsidP="00F54D83">
            <w:pPr>
              <w:spacing w:after="0" w:line="240" w:lineRule="auto"/>
              <w:rPr>
                <w:rFonts w:ascii="Times New Roman" w:hAnsi="Times New Roman" w:cs="Times New Roman"/>
                <w:b/>
                <w:noProof/>
                <w:sz w:val="18"/>
                <w:szCs w:val="18"/>
              </w:rPr>
            </w:pPr>
          </w:p>
        </w:tc>
        <w:tc>
          <w:tcPr>
            <w:tcW w:w="1063" w:type="dxa"/>
            <w:vMerge/>
            <w:hideMark/>
          </w:tcPr>
          <w:p w14:paraId="1887E9DD" w14:textId="77777777" w:rsidR="00C02B59" w:rsidRPr="00D1795B" w:rsidRDefault="00C02B59" w:rsidP="00F54D83">
            <w:pPr>
              <w:spacing w:after="0" w:line="240" w:lineRule="auto"/>
              <w:rPr>
                <w:rFonts w:ascii="Times New Roman" w:hAnsi="Times New Roman" w:cs="Times New Roman"/>
                <w:b/>
                <w:noProof/>
                <w:sz w:val="18"/>
                <w:szCs w:val="18"/>
              </w:rPr>
            </w:pPr>
          </w:p>
        </w:tc>
        <w:tc>
          <w:tcPr>
            <w:tcW w:w="1463" w:type="dxa"/>
            <w:vMerge/>
            <w:hideMark/>
          </w:tcPr>
          <w:p w14:paraId="1887E9DE" w14:textId="77777777" w:rsidR="00C02B59" w:rsidRPr="00D1795B" w:rsidRDefault="00C02B59" w:rsidP="00F54D83">
            <w:pPr>
              <w:spacing w:after="0" w:line="240" w:lineRule="auto"/>
              <w:rPr>
                <w:rFonts w:ascii="Times New Roman" w:hAnsi="Times New Roman" w:cs="Times New Roman"/>
                <w:b/>
                <w:noProof/>
                <w:sz w:val="18"/>
                <w:szCs w:val="18"/>
              </w:rPr>
            </w:pPr>
          </w:p>
        </w:tc>
        <w:tc>
          <w:tcPr>
            <w:tcW w:w="1320" w:type="dxa"/>
            <w:vMerge/>
            <w:hideMark/>
          </w:tcPr>
          <w:p w14:paraId="1887E9DF" w14:textId="77777777" w:rsidR="00C02B59" w:rsidRPr="00D1795B" w:rsidRDefault="00C02B59" w:rsidP="00F54D83">
            <w:pPr>
              <w:spacing w:after="0" w:line="240" w:lineRule="auto"/>
              <w:rPr>
                <w:rFonts w:ascii="Times New Roman" w:hAnsi="Times New Roman" w:cs="Times New Roman"/>
                <w:b/>
                <w:noProof/>
                <w:sz w:val="18"/>
                <w:szCs w:val="18"/>
              </w:rPr>
            </w:pPr>
          </w:p>
        </w:tc>
        <w:tc>
          <w:tcPr>
            <w:tcW w:w="1451" w:type="dxa"/>
            <w:shd w:val="clear" w:color="auto" w:fill="BDD7EE"/>
            <w:vAlign w:val="center"/>
            <w:hideMark/>
          </w:tcPr>
          <w:p w14:paraId="1887E9E0" w14:textId="77777777" w:rsidR="00C02B59" w:rsidRPr="00D1795B" w:rsidRDefault="00C02B59" w:rsidP="00F54D83">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Unit of measure</w:t>
            </w:r>
          </w:p>
        </w:tc>
        <w:tc>
          <w:tcPr>
            <w:tcW w:w="1088" w:type="dxa"/>
            <w:shd w:val="clear" w:color="auto" w:fill="BDD7EE"/>
            <w:vAlign w:val="center"/>
            <w:hideMark/>
          </w:tcPr>
          <w:p w14:paraId="1887E9E1" w14:textId="77777777" w:rsidR="00C02B59" w:rsidRPr="00D1795B" w:rsidRDefault="00C02B59" w:rsidP="00F54D83">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Baseline</w:t>
            </w:r>
          </w:p>
        </w:tc>
        <w:tc>
          <w:tcPr>
            <w:tcW w:w="1048" w:type="dxa"/>
            <w:shd w:val="clear" w:color="auto" w:fill="BDD7EE"/>
            <w:vAlign w:val="center"/>
            <w:hideMark/>
          </w:tcPr>
          <w:p w14:paraId="1887E9E2" w14:textId="77777777" w:rsidR="00C02B59" w:rsidRPr="00D1795B" w:rsidRDefault="00C02B59" w:rsidP="00F54D83">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Goal</w:t>
            </w:r>
          </w:p>
        </w:tc>
        <w:tc>
          <w:tcPr>
            <w:tcW w:w="986" w:type="dxa"/>
            <w:shd w:val="clear" w:color="auto" w:fill="BDD7EE"/>
            <w:vAlign w:val="center"/>
          </w:tcPr>
          <w:p w14:paraId="1887E9E3" w14:textId="77777777" w:rsidR="00C02B59" w:rsidRPr="00D1795B" w:rsidRDefault="00C02B59" w:rsidP="00F54D83">
            <w:pPr>
              <w:spacing w:after="0" w:line="240" w:lineRule="auto"/>
              <w:ind w:left="-10"/>
              <w:jc w:val="center"/>
              <w:rPr>
                <w:rFonts w:ascii="Times New Roman" w:hAnsi="Times New Roman" w:cs="Times New Roman"/>
                <w:b/>
                <w:noProof/>
                <w:sz w:val="18"/>
                <w:szCs w:val="18"/>
              </w:rPr>
            </w:pPr>
            <w:r w:rsidRPr="00D1795B">
              <w:rPr>
                <w:rFonts w:ascii="Times New Roman" w:hAnsi="Times New Roman" w:cs="Times New Roman"/>
                <w:b/>
                <w:noProof/>
                <w:sz w:val="18"/>
                <w:szCs w:val="18"/>
              </w:rPr>
              <w:t>Quarter</w:t>
            </w:r>
          </w:p>
        </w:tc>
        <w:tc>
          <w:tcPr>
            <w:tcW w:w="984" w:type="dxa"/>
            <w:shd w:val="clear" w:color="auto" w:fill="BDD7EE"/>
            <w:vAlign w:val="center"/>
            <w:hideMark/>
          </w:tcPr>
          <w:p w14:paraId="1887E9E4" w14:textId="77777777" w:rsidR="00C02B59" w:rsidRPr="00D1795B" w:rsidRDefault="00C02B59" w:rsidP="00F54D83">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Year</w:t>
            </w:r>
          </w:p>
        </w:tc>
        <w:tc>
          <w:tcPr>
            <w:tcW w:w="3260" w:type="dxa"/>
            <w:vMerge/>
          </w:tcPr>
          <w:p w14:paraId="1887E9E5" w14:textId="77777777" w:rsidR="00C02B59" w:rsidRPr="00D1795B" w:rsidRDefault="00C02B59" w:rsidP="00F54D83">
            <w:pPr>
              <w:spacing w:after="0" w:line="240" w:lineRule="auto"/>
              <w:jc w:val="both"/>
              <w:rPr>
                <w:rFonts w:ascii="Times New Roman" w:hAnsi="Times New Roman" w:cs="Times New Roman"/>
                <w:b/>
                <w:noProof/>
                <w:sz w:val="18"/>
                <w:szCs w:val="18"/>
              </w:rPr>
            </w:pPr>
          </w:p>
        </w:tc>
      </w:tr>
      <w:tr w:rsidR="00C02B59" w:rsidRPr="00D1795B" w14:paraId="1887E9F3" w14:textId="77777777" w:rsidTr="00F54D83">
        <w:trPr>
          <w:trHeight w:val="300"/>
        </w:trPr>
        <w:tc>
          <w:tcPr>
            <w:tcW w:w="1135" w:type="dxa"/>
            <w:shd w:val="clear" w:color="auto" w:fill="C6EFCE"/>
            <w:noWrap/>
          </w:tcPr>
          <w:p w14:paraId="1887E9E7" w14:textId="77777777" w:rsidR="00C02B59" w:rsidRPr="00D1795B" w:rsidRDefault="00C02B59" w:rsidP="00F54D83">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191a</w:t>
            </w:r>
          </w:p>
        </w:tc>
        <w:tc>
          <w:tcPr>
            <w:tcW w:w="1653" w:type="dxa"/>
            <w:shd w:val="clear" w:color="auto" w:fill="C6EFCE"/>
            <w:noWrap/>
          </w:tcPr>
          <w:p w14:paraId="1887E9E8"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C3.5R11</w:t>
            </w:r>
          </w:p>
          <w:p w14:paraId="1887E9E9" w14:textId="77777777" w:rsidR="00C02B59" w:rsidRPr="00D1795B" w:rsidRDefault="00C02B59" w:rsidP="00F54D83">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Legal framework for a National Sanctions Implementation Unit </w:t>
            </w:r>
          </w:p>
        </w:tc>
        <w:tc>
          <w:tcPr>
            <w:tcW w:w="1063" w:type="dxa"/>
            <w:shd w:val="clear" w:color="auto" w:fill="C6EFCE"/>
            <w:noWrap/>
          </w:tcPr>
          <w:p w14:paraId="1887E9EA" w14:textId="77777777" w:rsidR="00C02B59" w:rsidRPr="00D1795B" w:rsidRDefault="00C02B59" w:rsidP="00F54D83">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6EFCE"/>
            <w:noWrap/>
          </w:tcPr>
          <w:p w14:paraId="1887E9EB" w14:textId="77777777" w:rsidR="00C02B59" w:rsidRPr="00D1795B" w:rsidRDefault="00C02B59" w:rsidP="00F54D83">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Legal framework for a National Sanctions Implementation Unit </w:t>
            </w:r>
          </w:p>
        </w:tc>
        <w:tc>
          <w:tcPr>
            <w:tcW w:w="1320" w:type="dxa"/>
            <w:shd w:val="clear" w:color="auto" w:fill="C6EFCE"/>
            <w:noWrap/>
          </w:tcPr>
          <w:p w14:paraId="1887E9EC" w14:textId="77777777" w:rsidR="00C02B59" w:rsidRPr="00D1795B" w:rsidRDefault="00C02B59" w:rsidP="00F54D83">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w:t>
            </w:r>
            <w:r w:rsidRPr="00D1795B">
              <w:rPr>
                <w:rFonts w:ascii="Times New Roman" w:eastAsia="Calibri" w:hAnsi="Times New Roman" w:cs="Times New Roman"/>
                <w:noProof/>
                <w:sz w:val="18"/>
                <w:szCs w:val="18"/>
              </w:rPr>
              <w:t>of the legal act(s)</w:t>
            </w:r>
          </w:p>
        </w:tc>
        <w:tc>
          <w:tcPr>
            <w:tcW w:w="1451" w:type="dxa"/>
            <w:shd w:val="clear" w:color="auto" w:fill="C6EFCE"/>
            <w:noWrap/>
          </w:tcPr>
          <w:p w14:paraId="1887E9ED" w14:textId="77777777" w:rsidR="00C02B59" w:rsidRPr="00D1795B" w:rsidRDefault="00C02B59" w:rsidP="00F54D83">
            <w:pPr>
              <w:spacing w:line="240" w:lineRule="auto"/>
              <w:jc w:val="center"/>
              <w:rPr>
                <w:rFonts w:ascii="Times New Roman" w:hAnsi="Times New Roman" w:cs="Times New Roman"/>
                <w:noProof/>
                <w:sz w:val="18"/>
                <w:szCs w:val="18"/>
              </w:rPr>
            </w:pPr>
          </w:p>
        </w:tc>
        <w:tc>
          <w:tcPr>
            <w:tcW w:w="1088" w:type="dxa"/>
            <w:shd w:val="clear" w:color="auto" w:fill="C6EFCE"/>
            <w:noWrap/>
          </w:tcPr>
          <w:p w14:paraId="1887E9EE" w14:textId="77777777" w:rsidR="00C02B59" w:rsidRPr="00D1795B" w:rsidRDefault="00C02B59" w:rsidP="00F54D83">
            <w:pPr>
              <w:spacing w:line="240" w:lineRule="auto"/>
              <w:jc w:val="center"/>
              <w:rPr>
                <w:rFonts w:ascii="Times New Roman" w:hAnsi="Times New Roman" w:cs="Times New Roman"/>
                <w:noProof/>
                <w:sz w:val="18"/>
                <w:szCs w:val="18"/>
              </w:rPr>
            </w:pPr>
          </w:p>
        </w:tc>
        <w:tc>
          <w:tcPr>
            <w:tcW w:w="1048" w:type="dxa"/>
            <w:shd w:val="clear" w:color="auto" w:fill="C6EFCE"/>
            <w:noWrap/>
          </w:tcPr>
          <w:p w14:paraId="1887E9EF" w14:textId="77777777" w:rsidR="00C02B59" w:rsidRPr="00D1795B" w:rsidRDefault="00C02B59" w:rsidP="00F54D83">
            <w:pPr>
              <w:spacing w:line="240" w:lineRule="auto"/>
              <w:jc w:val="center"/>
              <w:rPr>
                <w:rFonts w:ascii="Times New Roman" w:hAnsi="Times New Roman" w:cs="Times New Roman"/>
                <w:noProof/>
                <w:sz w:val="18"/>
                <w:szCs w:val="18"/>
              </w:rPr>
            </w:pPr>
          </w:p>
        </w:tc>
        <w:tc>
          <w:tcPr>
            <w:tcW w:w="986" w:type="dxa"/>
            <w:shd w:val="clear" w:color="auto" w:fill="C6EFCE"/>
          </w:tcPr>
          <w:p w14:paraId="1887E9F0" w14:textId="77777777" w:rsidR="00C02B59" w:rsidRPr="00D1795B" w:rsidRDefault="00C02B59" w:rsidP="00F54D83">
            <w:pPr>
              <w:spacing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84" w:type="dxa"/>
            <w:shd w:val="clear" w:color="auto" w:fill="C6EFCE"/>
            <w:noWrap/>
          </w:tcPr>
          <w:p w14:paraId="1887E9F1" w14:textId="77777777" w:rsidR="00C02B59" w:rsidRPr="00D1795B" w:rsidRDefault="00C02B59" w:rsidP="00F54D83">
            <w:pPr>
              <w:spacing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260" w:type="dxa"/>
            <w:shd w:val="clear" w:color="auto" w:fill="C6EFCE"/>
          </w:tcPr>
          <w:p w14:paraId="1887E9F2" w14:textId="77777777" w:rsidR="00C02B59" w:rsidRPr="00D1795B" w:rsidRDefault="00C02B59" w:rsidP="00F54D83">
            <w:pPr>
              <w:spacing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legal act(s) establishing the legal framework for a National Sanctions Implementation Unit.</w:t>
            </w:r>
          </w:p>
        </w:tc>
      </w:tr>
      <w:tr w:rsidR="00C02B59" w:rsidRPr="00D1795B" w14:paraId="1887E9FF" w14:textId="77777777" w:rsidTr="00F54D83">
        <w:trPr>
          <w:trHeight w:val="309"/>
        </w:trPr>
        <w:tc>
          <w:tcPr>
            <w:tcW w:w="1135" w:type="dxa"/>
            <w:shd w:val="clear" w:color="auto" w:fill="C1F0C7" w:themeFill="accent3" w:themeFillTint="33"/>
            <w:noWrap/>
          </w:tcPr>
          <w:p w14:paraId="1887E9F4"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192</w:t>
            </w:r>
          </w:p>
        </w:tc>
        <w:tc>
          <w:tcPr>
            <w:tcW w:w="1653" w:type="dxa"/>
            <w:shd w:val="clear" w:color="auto" w:fill="C1F0C7" w:themeFill="accent3" w:themeFillTint="33"/>
            <w:noWrap/>
          </w:tcPr>
          <w:p w14:paraId="1887E9F5"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C3.5R2 Framework and Action Plan for addressing NPLs</w:t>
            </w:r>
          </w:p>
        </w:tc>
        <w:tc>
          <w:tcPr>
            <w:tcW w:w="1063" w:type="dxa"/>
            <w:shd w:val="clear" w:color="auto" w:fill="C1F0C7" w:themeFill="accent3" w:themeFillTint="33"/>
            <w:noWrap/>
          </w:tcPr>
          <w:p w14:paraId="1887E9F6"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tcPr>
          <w:p w14:paraId="1887E9F7"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package of amending laws regarding credit acquiring companies (CAC) and credit servicers to improve the working environment for non-performing loans management</w:t>
            </w:r>
          </w:p>
        </w:tc>
        <w:tc>
          <w:tcPr>
            <w:tcW w:w="1320" w:type="dxa"/>
            <w:shd w:val="clear" w:color="auto" w:fill="C1F0C7" w:themeFill="accent3" w:themeFillTint="33"/>
            <w:noWrap/>
          </w:tcPr>
          <w:p w14:paraId="1887E9F8"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Provision in the law indicating the entry into force of the respective laws</w:t>
            </w:r>
          </w:p>
        </w:tc>
        <w:tc>
          <w:tcPr>
            <w:tcW w:w="1451" w:type="dxa"/>
            <w:shd w:val="clear" w:color="auto" w:fill="C1F0C7" w:themeFill="accent3" w:themeFillTint="33"/>
            <w:noWrap/>
          </w:tcPr>
          <w:p w14:paraId="1887E9F9"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88" w:type="dxa"/>
            <w:shd w:val="clear" w:color="auto" w:fill="C1F0C7" w:themeFill="accent3" w:themeFillTint="33"/>
            <w:noWrap/>
          </w:tcPr>
          <w:p w14:paraId="1887E9FA"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8" w:type="dxa"/>
            <w:shd w:val="clear" w:color="auto" w:fill="C1F0C7" w:themeFill="accent3" w:themeFillTint="33"/>
            <w:noWrap/>
          </w:tcPr>
          <w:p w14:paraId="1887E9FB"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6" w:type="dxa"/>
            <w:shd w:val="clear" w:color="auto" w:fill="C1F0C7" w:themeFill="accent3" w:themeFillTint="33"/>
          </w:tcPr>
          <w:p w14:paraId="1887E9FC"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84" w:type="dxa"/>
            <w:shd w:val="clear" w:color="auto" w:fill="C1F0C7" w:themeFill="accent3" w:themeFillTint="33"/>
            <w:noWrap/>
          </w:tcPr>
          <w:p w14:paraId="1887E9FD"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2021</w:t>
            </w:r>
          </w:p>
        </w:tc>
        <w:tc>
          <w:tcPr>
            <w:tcW w:w="3260" w:type="dxa"/>
            <w:shd w:val="clear" w:color="auto" w:fill="C1F0C7" w:themeFill="accent3" w:themeFillTint="33"/>
          </w:tcPr>
          <w:p w14:paraId="1887E9FE"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the following three laws: </w:t>
            </w:r>
            <w:r w:rsidRPr="00D1795B">
              <w:rPr>
                <w:rFonts w:ascii="Times New Roman" w:hAnsi="Times New Roman" w:cs="Times New Roman"/>
                <w:noProof/>
                <w:sz w:val="18"/>
                <w:szCs w:val="18"/>
              </w:rPr>
              <w:br/>
              <w:t xml:space="preserve">(a) The Credit Facilities Purchase and Related Matters (Amending) Law of 2021, which shall put non-performing loan servicers under regulation and supervision by the Central Bank; </w:t>
            </w:r>
            <w:r w:rsidRPr="00D1795B">
              <w:rPr>
                <w:rFonts w:ascii="Times New Roman" w:hAnsi="Times New Roman" w:cs="Times New Roman"/>
                <w:noProof/>
                <w:sz w:val="18"/>
                <w:szCs w:val="18"/>
              </w:rPr>
              <w:br/>
              <w:t xml:space="preserve">(b) The Immovable Property (Transfer, Registration and Valuation) (Amending) Law of 2021, which shall give access for non-performing loan servicers and credit acquiring companies to the Land Registry </w:t>
            </w:r>
            <w:r w:rsidRPr="00D1795B">
              <w:rPr>
                <w:rFonts w:ascii="Times New Roman" w:hAnsi="Times New Roman" w:cs="Times New Roman"/>
                <w:noProof/>
                <w:sz w:val="18"/>
                <w:szCs w:val="18"/>
              </w:rPr>
              <w:br/>
              <w:t>(c) Evidence (Amending) Law 2020, which shall align notification requirements in case of purchase of a loan by a credit acquiring company.</w:t>
            </w:r>
          </w:p>
        </w:tc>
      </w:tr>
      <w:tr w:rsidR="00C02B59" w:rsidRPr="00D1795B" w14:paraId="1887EA0C" w14:textId="77777777" w:rsidTr="00F54D83">
        <w:trPr>
          <w:trHeight w:val="309"/>
        </w:trPr>
        <w:tc>
          <w:tcPr>
            <w:tcW w:w="1135" w:type="dxa"/>
            <w:shd w:val="clear" w:color="auto" w:fill="C1F0C7" w:themeFill="accent3" w:themeFillTint="33"/>
            <w:noWrap/>
          </w:tcPr>
          <w:p w14:paraId="1887EA00"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193</w:t>
            </w:r>
          </w:p>
        </w:tc>
        <w:tc>
          <w:tcPr>
            <w:tcW w:w="1653" w:type="dxa"/>
            <w:shd w:val="clear" w:color="auto" w:fill="C1F0C7" w:themeFill="accent3" w:themeFillTint="33"/>
            <w:noWrap/>
          </w:tcPr>
          <w:p w14:paraId="1887EA01"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C3.5R3 </w:t>
            </w:r>
          </w:p>
          <w:p w14:paraId="1887EA02"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Strategy for addressing inadequacies of the property transaction system (title deeds)</w:t>
            </w:r>
          </w:p>
        </w:tc>
        <w:tc>
          <w:tcPr>
            <w:tcW w:w="1063" w:type="dxa"/>
            <w:shd w:val="clear" w:color="auto" w:fill="C1F0C7" w:themeFill="accent3" w:themeFillTint="33"/>
            <w:noWrap/>
          </w:tcPr>
          <w:p w14:paraId="1887EA03"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463" w:type="dxa"/>
            <w:shd w:val="clear" w:color="auto" w:fill="C1F0C7" w:themeFill="accent3" w:themeFillTint="33"/>
            <w:noWrap/>
          </w:tcPr>
          <w:p w14:paraId="1887EA04"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Reduction of backlog of cases for issuance of title deed either by issuing title deeds or by rejecting the case</w:t>
            </w:r>
          </w:p>
        </w:tc>
        <w:tc>
          <w:tcPr>
            <w:tcW w:w="1320" w:type="dxa"/>
            <w:shd w:val="clear" w:color="auto" w:fill="C1F0C7" w:themeFill="accent3" w:themeFillTint="33"/>
            <w:noWrap/>
          </w:tcPr>
          <w:p w14:paraId="1887EA05"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451" w:type="dxa"/>
            <w:shd w:val="clear" w:color="auto" w:fill="C1F0C7" w:themeFill="accent3" w:themeFillTint="33"/>
            <w:noWrap/>
          </w:tcPr>
          <w:p w14:paraId="1887EA06"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 (Percentage)</w:t>
            </w:r>
          </w:p>
        </w:tc>
        <w:tc>
          <w:tcPr>
            <w:tcW w:w="1088" w:type="dxa"/>
            <w:shd w:val="clear" w:color="auto" w:fill="C1F0C7" w:themeFill="accent3" w:themeFillTint="33"/>
            <w:noWrap/>
          </w:tcPr>
          <w:p w14:paraId="1887EA07"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048" w:type="dxa"/>
            <w:shd w:val="clear" w:color="auto" w:fill="C1F0C7" w:themeFill="accent3" w:themeFillTint="33"/>
            <w:noWrap/>
          </w:tcPr>
          <w:p w14:paraId="1887EA08"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80</w:t>
            </w:r>
          </w:p>
        </w:tc>
        <w:tc>
          <w:tcPr>
            <w:tcW w:w="986" w:type="dxa"/>
            <w:shd w:val="clear" w:color="auto" w:fill="C1F0C7" w:themeFill="accent3" w:themeFillTint="33"/>
          </w:tcPr>
          <w:p w14:paraId="1887EA09"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84" w:type="dxa"/>
            <w:shd w:val="clear" w:color="auto" w:fill="C1F0C7" w:themeFill="accent3" w:themeFillTint="33"/>
            <w:noWrap/>
          </w:tcPr>
          <w:p w14:paraId="1887EA0A"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260" w:type="dxa"/>
            <w:shd w:val="clear" w:color="auto" w:fill="C1F0C7" w:themeFill="accent3" w:themeFillTint="33"/>
          </w:tcPr>
          <w:p w14:paraId="1887EA0B"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Reduction of backlog of pending cases for issuance of title deeds either by issuing title deeds (the legal document constituting the evidence of a right to the ownership of a property) or by rejecting the case. Title deeds for 1 050 developments are pending for assessment, corresponding to 20 000 title deeds. Of this total of 20 000 pending title deeds, 80% shall be resolved resulting either to the issuance of title deeds or to a rejection of the case.</w:t>
            </w:r>
          </w:p>
        </w:tc>
      </w:tr>
      <w:tr w:rsidR="00C02B59" w:rsidRPr="00D1795B" w14:paraId="1887EA19" w14:textId="77777777" w:rsidTr="00F54D83">
        <w:trPr>
          <w:trHeight w:val="309"/>
        </w:trPr>
        <w:tc>
          <w:tcPr>
            <w:tcW w:w="1135" w:type="dxa"/>
            <w:shd w:val="clear" w:color="auto" w:fill="C1F0C7" w:themeFill="accent3" w:themeFillTint="33"/>
            <w:noWrap/>
          </w:tcPr>
          <w:p w14:paraId="1887EA0D"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194</w:t>
            </w:r>
          </w:p>
        </w:tc>
        <w:tc>
          <w:tcPr>
            <w:tcW w:w="1653" w:type="dxa"/>
            <w:shd w:val="clear" w:color="auto" w:fill="C1F0C7" w:themeFill="accent3" w:themeFillTint="33"/>
            <w:noWrap/>
          </w:tcPr>
          <w:p w14:paraId="1887EA0E"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C3.5R3</w:t>
            </w:r>
          </w:p>
          <w:p w14:paraId="1887EA0F"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Strategy for addressing inadequacies of the property transaction system (title deeds)</w:t>
            </w:r>
          </w:p>
        </w:tc>
        <w:tc>
          <w:tcPr>
            <w:tcW w:w="1063" w:type="dxa"/>
            <w:shd w:val="clear" w:color="auto" w:fill="C1F0C7" w:themeFill="accent3" w:themeFillTint="33"/>
            <w:noWrap/>
          </w:tcPr>
          <w:p w14:paraId="1887EA10"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tcPr>
          <w:p w14:paraId="1887EA11"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Extension of the New Planning and Building Permit Policy </w:t>
            </w:r>
          </w:p>
        </w:tc>
        <w:tc>
          <w:tcPr>
            <w:tcW w:w="1320" w:type="dxa"/>
            <w:shd w:val="clear" w:color="auto" w:fill="C1F0C7" w:themeFill="accent3" w:themeFillTint="33"/>
            <w:noWrap/>
          </w:tcPr>
          <w:p w14:paraId="1887EA12"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Decree issued by the Minister of Interior</w:t>
            </w:r>
          </w:p>
        </w:tc>
        <w:tc>
          <w:tcPr>
            <w:tcW w:w="1451" w:type="dxa"/>
            <w:shd w:val="clear" w:color="auto" w:fill="C1F0C7" w:themeFill="accent3" w:themeFillTint="33"/>
            <w:noWrap/>
          </w:tcPr>
          <w:p w14:paraId="5D1256A7" w14:textId="77777777" w:rsidR="00C02B59"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p w14:paraId="5D625A45" w14:textId="77777777" w:rsidR="00B26491" w:rsidRPr="00B26491" w:rsidRDefault="00B26491" w:rsidP="00F54D83">
            <w:pPr>
              <w:rPr>
                <w:rFonts w:ascii="Times New Roman" w:hAnsi="Times New Roman" w:cs="Times New Roman"/>
                <w:noProof/>
                <w:sz w:val="18"/>
                <w:szCs w:val="18"/>
              </w:rPr>
            </w:pPr>
          </w:p>
          <w:p w14:paraId="1887EA13" w14:textId="77777777" w:rsidR="00B26491" w:rsidRPr="00B26491" w:rsidRDefault="00B26491" w:rsidP="00F54D83">
            <w:pPr>
              <w:jc w:val="center"/>
              <w:rPr>
                <w:rFonts w:ascii="Times New Roman" w:hAnsi="Times New Roman" w:cs="Times New Roman"/>
                <w:noProof/>
                <w:sz w:val="18"/>
                <w:szCs w:val="18"/>
              </w:rPr>
            </w:pPr>
          </w:p>
        </w:tc>
        <w:tc>
          <w:tcPr>
            <w:tcW w:w="1088" w:type="dxa"/>
            <w:shd w:val="clear" w:color="auto" w:fill="C1F0C7" w:themeFill="accent3" w:themeFillTint="33"/>
            <w:noWrap/>
          </w:tcPr>
          <w:p w14:paraId="1887EA14"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8" w:type="dxa"/>
            <w:shd w:val="clear" w:color="auto" w:fill="C1F0C7" w:themeFill="accent3" w:themeFillTint="33"/>
            <w:noWrap/>
          </w:tcPr>
          <w:p w14:paraId="1887EA15"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6" w:type="dxa"/>
            <w:shd w:val="clear" w:color="auto" w:fill="C1F0C7" w:themeFill="accent3" w:themeFillTint="33"/>
          </w:tcPr>
          <w:p w14:paraId="1887EA16"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84" w:type="dxa"/>
            <w:shd w:val="clear" w:color="auto" w:fill="C1F0C7" w:themeFill="accent3" w:themeFillTint="33"/>
            <w:noWrap/>
          </w:tcPr>
          <w:p w14:paraId="1887EA17"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260" w:type="dxa"/>
            <w:shd w:val="clear" w:color="auto" w:fill="C1F0C7" w:themeFill="accent3" w:themeFillTint="33"/>
          </w:tcPr>
          <w:p w14:paraId="1887EA18"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Extension of the New Planning and Building Permit Policy for up to four residential units in residential plots. The Policy provides the possibility to submit applications electronically and introduces fixed deadlines to grant planning and building permits (ten to twenty days). </w:t>
            </w:r>
          </w:p>
        </w:tc>
      </w:tr>
      <w:tr w:rsidR="00C02B59" w:rsidRPr="00D1795B" w14:paraId="1887EA26" w14:textId="77777777" w:rsidTr="00F54D83">
        <w:trPr>
          <w:trHeight w:val="309"/>
        </w:trPr>
        <w:tc>
          <w:tcPr>
            <w:tcW w:w="1135" w:type="dxa"/>
            <w:shd w:val="clear" w:color="auto" w:fill="C1F0C7" w:themeFill="accent3" w:themeFillTint="33"/>
            <w:noWrap/>
          </w:tcPr>
          <w:p w14:paraId="1887EA1A"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195</w:t>
            </w:r>
          </w:p>
        </w:tc>
        <w:tc>
          <w:tcPr>
            <w:tcW w:w="1653" w:type="dxa"/>
            <w:shd w:val="clear" w:color="auto" w:fill="C1F0C7" w:themeFill="accent3" w:themeFillTint="33"/>
            <w:noWrap/>
          </w:tcPr>
          <w:p w14:paraId="1887EA1B"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C3.5R3 </w:t>
            </w:r>
          </w:p>
          <w:p w14:paraId="1887EA1C"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Strategy for addressing inadequacies of the property transaction system (title deeds)</w:t>
            </w:r>
          </w:p>
        </w:tc>
        <w:tc>
          <w:tcPr>
            <w:tcW w:w="1063" w:type="dxa"/>
            <w:shd w:val="clear" w:color="auto" w:fill="C1F0C7" w:themeFill="accent3" w:themeFillTint="33"/>
            <w:noWrap/>
          </w:tcPr>
          <w:p w14:paraId="1887EA1D"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tcPr>
          <w:p w14:paraId="1887EA1E"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the amendment of the Sale of Property (Specific Performance) Law </w:t>
            </w:r>
          </w:p>
        </w:tc>
        <w:tc>
          <w:tcPr>
            <w:tcW w:w="1320" w:type="dxa"/>
            <w:shd w:val="clear" w:color="auto" w:fill="C1F0C7" w:themeFill="accent3" w:themeFillTint="33"/>
            <w:noWrap/>
          </w:tcPr>
          <w:p w14:paraId="1887EA1F"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Provision in the law indicating the entry into force of the amended Sale of Property (Specific Performance) Law</w:t>
            </w:r>
          </w:p>
        </w:tc>
        <w:tc>
          <w:tcPr>
            <w:tcW w:w="1451" w:type="dxa"/>
            <w:shd w:val="clear" w:color="auto" w:fill="C1F0C7" w:themeFill="accent3" w:themeFillTint="33"/>
            <w:noWrap/>
          </w:tcPr>
          <w:p w14:paraId="1887EA20"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88" w:type="dxa"/>
            <w:shd w:val="clear" w:color="auto" w:fill="C1F0C7" w:themeFill="accent3" w:themeFillTint="33"/>
            <w:noWrap/>
          </w:tcPr>
          <w:p w14:paraId="1887EA21"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8" w:type="dxa"/>
            <w:shd w:val="clear" w:color="auto" w:fill="C1F0C7" w:themeFill="accent3" w:themeFillTint="33"/>
            <w:noWrap/>
          </w:tcPr>
          <w:p w14:paraId="1887EA22"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6" w:type="dxa"/>
            <w:shd w:val="clear" w:color="auto" w:fill="C1F0C7" w:themeFill="accent3" w:themeFillTint="33"/>
          </w:tcPr>
          <w:p w14:paraId="1887EA23"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84" w:type="dxa"/>
            <w:shd w:val="clear" w:color="auto" w:fill="C1F0C7" w:themeFill="accent3" w:themeFillTint="33"/>
            <w:noWrap/>
          </w:tcPr>
          <w:p w14:paraId="1887EA24"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260" w:type="dxa"/>
            <w:shd w:val="clear" w:color="auto" w:fill="C1F0C7" w:themeFill="accent3" w:themeFillTint="33"/>
          </w:tcPr>
          <w:p w14:paraId="1887EA25"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amended Sale of Property (Specific Performance) Law to safeguard the buyers interests in advance. The amendment shall allow for transfer of Title Deeds, under full safety and legal certainty, while minimizing operational costs and delays through checks at a preliminary stage to identify specific obstacles to the transfer before the payment of the purchase price. The aim is to create a mechanism to safeguard the interests of the buyers of immovable property and ensure in advance that the transfer of immovable property shall be executed as soon as the buyer fulfils his/her contractual obligations.</w:t>
            </w:r>
          </w:p>
        </w:tc>
      </w:tr>
      <w:tr w:rsidR="00C02B59" w:rsidRPr="00D1795B" w14:paraId="1887EA33" w14:textId="77777777" w:rsidTr="00F54D83">
        <w:trPr>
          <w:trHeight w:val="309"/>
        </w:trPr>
        <w:tc>
          <w:tcPr>
            <w:tcW w:w="1135" w:type="dxa"/>
            <w:shd w:val="clear" w:color="auto" w:fill="C1F0C7" w:themeFill="accent3" w:themeFillTint="33"/>
            <w:noWrap/>
          </w:tcPr>
          <w:p w14:paraId="1887EA27"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196</w:t>
            </w:r>
          </w:p>
        </w:tc>
        <w:tc>
          <w:tcPr>
            <w:tcW w:w="1653" w:type="dxa"/>
            <w:shd w:val="clear" w:color="auto" w:fill="C1F0C7" w:themeFill="accent3" w:themeFillTint="33"/>
            <w:noWrap/>
          </w:tcPr>
          <w:p w14:paraId="1887EA28"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C3.5R3 </w:t>
            </w:r>
          </w:p>
          <w:p w14:paraId="1887EA29"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Strategy for addressing inadequacies of the property transaction system (title deeds)</w:t>
            </w:r>
          </w:p>
        </w:tc>
        <w:tc>
          <w:tcPr>
            <w:tcW w:w="1063" w:type="dxa"/>
            <w:shd w:val="clear" w:color="auto" w:fill="C1F0C7" w:themeFill="accent3" w:themeFillTint="33"/>
            <w:noWrap/>
          </w:tcPr>
          <w:p w14:paraId="1887EA2A"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tcPr>
          <w:p w14:paraId="1887EA2B"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Review of the Streets and Building Law </w:t>
            </w:r>
          </w:p>
        </w:tc>
        <w:tc>
          <w:tcPr>
            <w:tcW w:w="1320" w:type="dxa"/>
            <w:shd w:val="clear" w:color="auto" w:fill="C1F0C7" w:themeFill="accent3" w:themeFillTint="33"/>
            <w:noWrap/>
          </w:tcPr>
          <w:p w14:paraId="1887EA2C"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Provision in the law indicating the entry into force of the amended Streets and Building Law</w:t>
            </w:r>
          </w:p>
        </w:tc>
        <w:tc>
          <w:tcPr>
            <w:tcW w:w="1451" w:type="dxa"/>
            <w:shd w:val="clear" w:color="auto" w:fill="C1F0C7" w:themeFill="accent3" w:themeFillTint="33"/>
            <w:noWrap/>
          </w:tcPr>
          <w:p w14:paraId="1887EA2D"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88" w:type="dxa"/>
            <w:shd w:val="clear" w:color="auto" w:fill="C1F0C7" w:themeFill="accent3" w:themeFillTint="33"/>
            <w:noWrap/>
          </w:tcPr>
          <w:p w14:paraId="1887EA2E"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8" w:type="dxa"/>
            <w:shd w:val="clear" w:color="auto" w:fill="C1F0C7" w:themeFill="accent3" w:themeFillTint="33"/>
            <w:noWrap/>
          </w:tcPr>
          <w:p w14:paraId="1887EA2F"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6" w:type="dxa"/>
            <w:shd w:val="clear" w:color="auto" w:fill="C1F0C7" w:themeFill="accent3" w:themeFillTint="33"/>
          </w:tcPr>
          <w:p w14:paraId="1887EA30"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84" w:type="dxa"/>
            <w:shd w:val="clear" w:color="auto" w:fill="C1F0C7" w:themeFill="accent3" w:themeFillTint="33"/>
            <w:noWrap/>
          </w:tcPr>
          <w:p w14:paraId="1887EA31"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260" w:type="dxa"/>
            <w:shd w:val="clear" w:color="auto" w:fill="C1F0C7" w:themeFill="accent3" w:themeFillTint="33"/>
          </w:tcPr>
          <w:p w14:paraId="1887EA32"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Streets and Building Law which shall introduce the right incentives for the supervising engineer to (i) oversee the project development in accordance with the permit issued, to further discourage irregularities that would result in title deeds not being issued and (ii) submit to the competent authority a certificate confirming the completion of work in line with the permit issued.</w:t>
            </w:r>
          </w:p>
        </w:tc>
      </w:tr>
      <w:tr w:rsidR="00C02B59" w:rsidRPr="00D1795B" w14:paraId="1887EA40" w14:textId="77777777" w:rsidTr="00F54D83">
        <w:trPr>
          <w:trHeight w:val="309"/>
        </w:trPr>
        <w:tc>
          <w:tcPr>
            <w:tcW w:w="1135" w:type="dxa"/>
            <w:shd w:val="clear" w:color="auto" w:fill="C1F0C7" w:themeFill="accent3" w:themeFillTint="33"/>
            <w:noWrap/>
          </w:tcPr>
          <w:p w14:paraId="1887EA34"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197</w:t>
            </w:r>
          </w:p>
        </w:tc>
        <w:tc>
          <w:tcPr>
            <w:tcW w:w="1653" w:type="dxa"/>
            <w:shd w:val="clear" w:color="auto" w:fill="C1F0C7" w:themeFill="accent3" w:themeFillTint="33"/>
            <w:noWrap/>
          </w:tcPr>
          <w:p w14:paraId="1887EA35"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C3.5R4 </w:t>
            </w:r>
          </w:p>
          <w:p w14:paraId="1887EA36"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New legal framework and system of exchange of data and credit bureau</w:t>
            </w:r>
          </w:p>
        </w:tc>
        <w:tc>
          <w:tcPr>
            <w:tcW w:w="1063" w:type="dxa"/>
            <w:shd w:val="clear" w:color="auto" w:fill="C1F0C7" w:themeFill="accent3" w:themeFillTint="33"/>
            <w:noWrap/>
          </w:tcPr>
          <w:p w14:paraId="1887EA37"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tcPr>
          <w:p w14:paraId="1887EA38"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framework and system of exchange of data legislation</w:t>
            </w:r>
          </w:p>
        </w:tc>
        <w:tc>
          <w:tcPr>
            <w:tcW w:w="1320" w:type="dxa"/>
            <w:shd w:val="clear" w:color="auto" w:fill="C1F0C7" w:themeFill="accent3" w:themeFillTint="33"/>
            <w:noWrap/>
          </w:tcPr>
          <w:p w14:paraId="1887EA39"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Provision in the legislation indicating the entry into force of the legislation</w:t>
            </w:r>
          </w:p>
        </w:tc>
        <w:tc>
          <w:tcPr>
            <w:tcW w:w="1451" w:type="dxa"/>
            <w:shd w:val="clear" w:color="auto" w:fill="C1F0C7" w:themeFill="accent3" w:themeFillTint="33"/>
            <w:noWrap/>
          </w:tcPr>
          <w:p w14:paraId="1887EA3A"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88" w:type="dxa"/>
            <w:shd w:val="clear" w:color="auto" w:fill="C1F0C7" w:themeFill="accent3" w:themeFillTint="33"/>
            <w:noWrap/>
          </w:tcPr>
          <w:p w14:paraId="1887EA3B"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8" w:type="dxa"/>
            <w:shd w:val="clear" w:color="auto" w:fill="C1F0C7" w:themeFill="accent3" w:themeFillTint="33"/>
            <w:noWrap/>
          </w:tcPr>
          <w:p w14:paraId="1887EA3C"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6" w:type="dxa"/>
            <w:shd w:val="clear" w:color="auto" w:fill="C1F0C7" w:themeFill="accent3" w:themeFillTint="33"/>
          </w:tcPr>
          <w:p w14:paraId="1887EA3D"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984" w:type="dxa"/>
            <w:shd w:val="clear" w:color="auto" w:fill="C1F0C7" w:themeFill="accent3" w:themeFillTint="33"/>
            <w:noWrap/>
          </w:tcPr>
          <w:p w14:paraId="1887EA3E"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260" w:type="dxa"/>
            <w:shd w:val="clear" w:color="auto" w:fill="C1F0C7" w:themeFill="accent3" w:themeFillTint="33"/>
          </w:tcPr>
          <w:p w14:paraId="1887EA3F"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legislation on the framework and system of exchange of data by ARTEMIS credit bureau, which shall eliminate impediments in the current framework so as to allow it to provide credit scoring services. The main elements of the amendment shall be to broaden the supervisory role of the Central Bank of Cyprus, to maintain a duty to collect data for credit facilities by credit institutions and other creditors, to provide Insolvency Department data, and to define the terms and conditions of access to data and its protection.</w:t>
            </w:r>
          </w:p>
        </w:tc>
      </w:tr>
      <w:tr w:rsidR="00C02B59" w:rsidRPr="00D1795B" w14:paraId="1887EA52" w14:textId="77777777" w:rsidTr="00F54D83">
        <w:trPr>
          <w:trHeight w:val="309"/>
        </w:trPr>
        <w:tc>
          <w:tcPr>
            <w:tcW w:w="1135" w:type="dxa"/>
            <w:shd w:val="clear" w:color="auto" w:fill="C1F0C7" w:themeFill="accent3" w:themeFillTint="33"/>
            <w:noWrap/>
          </w:tcPr>
          <w:p w14:paraId="1887EA41"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198</w:t>
            </w:r>
          </w:p>
        </w:tc>
        <w:tc>
          <w:tcPr>
            <w:tcW w:w="1653" w:type="dxa"/>
            <w:shd w:val="clear" w:color="auto" w:fill="C1F0C7" w:themeFill="accent3" w:themeFillTint="33"/>
            <w:noWrap/>
          </w:tcPr>
          <w:p w14:paraId="1887EA42"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C3.5R4 </w:t>
            </w:r>
          </w:p>
          <w:p w14:paraId="1887EA43"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 system for the exchange of data and the provision of credit scoring services</w:t>
            </w:r>
          </w:p>
        </w:tc>
        <w:tc>
          <w:tcPr>
            <w:tcW w:w="1063" w:type="dxa"/>
            <w:shd w:val="clear" w:color="auto" w:fill="C1F0C7" w:themeFill="accent3" w:themeFillTint="33"/>
            <w:noWrap/>
          </w:tcPr>
          <w:p w14:paraId="1887EA44"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tcPr>
          <w:p w14:paraId="1887EA45"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Entry into force of legal act(s) on the ARTEMIS data exchange mechanism and ARTEMIS data exchange mechanism providing credit scoring services in User Acceptance Testing phase</w:t>
            </w:r>
          </w:p>
        </w:tc>
        <w:tc>
          <w:tcPr>
            <w:tcW w:w="1320" w:type="dxa"/>
            <w:shd w:val="clear" w:color="auto" w:fill="C1F0C7" w:themeFill="accent3" w:themeFillTint="33"/>
            <w:noWrap/>
          </w:tcPr>
          <w:p w14:paraId="1887EA46" w14:textId="77777777" w:rsidR="00C02B59" w:rsidRPr="00D1795B" w:rsidRDefault="00C02B59" w:rsidP="00F54D83">
            <w:pPr>
              <w:spacing w:after="0" w:line="240" w:lineRule="auto"/>
              <w:rPr>
                <w:rFonts w:ascii="Times New Roman" w:eastAsia="Calibri" w:hAnsi="Times New Roman" w:cs="Times New Roman"/>
                <w:noProof/>
                <w:color w:val="FF0000"/>
                <w:sz w:val="18"/>
                <w:szCs w:val="18"/>
              </w:rPr>
            </w:pPr>
            <w:r w:rsidRPr="00D1795B">
              <w:rPr>
                <w:rFonts w:ascii="Times New Roman" w:hAnsi="Times New Roman" w:cs="Times New Roman"/>
                <w:noProof/>
                <w:sz w:val="18"/>
                <w:szCs w:val="18"/>
              </w:rPr>
              <w:t>Entry into force of legal act(s); digital system in User Acceptance Testing phase</w:t>
            </w:r>
          </w:p>
        </w:tc>
        <w:tc>
          <w:tcPr>
            <w:tcW w:w="1451" w:type="dxa"/>
            <w:shd w:val="clear" w:color="auto" w:fill="C1F0C7" w:themeFill="accent3" w:themeFillTint="33"/>
            <w:noWrap/>
          </w:tcPr>
          <w:p w14:paraId="1887EA47"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88" w:type="dxa"/>
            <w:shd w:val="clear" w:color="auto" w:fill="C1F0C7" w:themeFill="accent3" w:themeFillTint="33"/>
            <w:noWrap/>
          </w:tcPr>
          <w:p w14:paraId="1887EA48"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8" w:type="dxa"/>
            <w:shd w:val="clear" w:color="auto" w:fill="C1F0C7" w:themeFill="accent3" w:themeFillTint="33"/>
            <w:noWrap/>
          </w:tcPr>
          <w:p w14:paraId="1887EA49"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6" w:type="dxa"/>
            <w:shd w:val="clear" w:color="auto" w:fill="C1F0C7" w:themeFill="accent3" w:themeFillTint="33"/>
          </w:tcPr>
          <w:p w14:paraId="1887EA4A"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84" w:type="dxa"/>
            <w:shd w:val="clear" w:color="auto" w:fill="C1F0C7" w:themeFill="accent3" w:themeFillTint="33"/>
            <w:noWrap/>
          </w:tcPr>
          <w:p w14:paraId="1887EA4B"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260" w:type="dxa"/>
            <w:shd w:val="clear" w:color="auto" w:fill="C1F0C7" w:themeFill="accent3" w:themeFillTint="33"/>
          </w:tcPr>
          <w:p w14:paraId="1887EA4C" w14:textId="77777777" w:rsidR="00C02B59" w:rsidRPr="00D1795B" w:rsidRDefault="00C02B59" w:rsidP="00F54D83">
            <w:pPr>
              <w:spacing w:after="0" w:line="240" w:lineRule="auto"/>
              <w:jc w:val="both"/>
              <w:rPr>
                <w:rFonts w:ascii="Times New Roman" w:eastAsia="Calibri" w:hAnsi="Times New Roman" w:cs="Times New Roman"/>
                <w:noProof/>
                <w:sz w:val="18"/>
                <w:szCs w:val="18"/>
              </w:rPr>
            </w:pPr>
            <w:r w:rsidRPr="00D1795B">
              <w:rPr>
                <w:rFonts w:ascii="Times New Roman" w:eastAsia="Calibri" w:hAnsi="Times New Roman" w:cs="Times New Roman"/>
                <w:noProof/>
                <w:sz w:val="18"/>
                <w:szCs w:val="18"/>
              </w:rPr>
              <w:t xml:space="preserve">Entry into force of legal act(s), which shall: </w:t>
            </w:r>
          </w:p>
          <w:p w14:paraId="1887EA4D" w14:textId="77777777" w:rsidR="00C02B59" w:rsidRPr="00D1795B" w:rsidRDefault="00C02B59" w:rsidP="00F54D83">
            <w:pPr>
              <w:pStyle w:val="ListParagraph"/>
              <w:numPr>
                <w:ilvl w:val="0"/>
                <w:numId w:val="27"/>
              </w:numPr>
              <w:spacing w:after="0" w:line="240" w:lineRule="auto"/>
              <w:jc w:val="both"/>
              <w:rPr>
                <w:rFonts w:ascii="Times New Roman" w:eastAsia="Calibri" w:hAnsi="Times New Roman" w:cs="Times New Roman"/>
                <w:noProof/>
                <w:sz w:val="18"/>
                <w:szCs w:val="18"/>
                <w:lang w:val="en-GB"/>
              </w:rPr>
            </w:pPr>
            <w:r w:rsidRPr="00D1795B">
              <w:rPr>
                <w:rFonts w:ascii="Times New Roman" w:eastAsia="Calibri" w:hAnsi="Times New Roman" w:cs="Times New Roman"/>
                <w:noProof/>
                <w:sz w:val="18"/>
                <w:szCs w:val="18"/>
                <w:lang w:val="en-GB"/>
              </w:rPr>
              <w:t>Include credit scoring services</w:t>
            </w:r>
          </w:p>
          <w:p w14:paraId="1887EA4E" w14:textId="77777777" w:rsidR="00C02B59" w:rsidRPr="00D1795B" w:rsidRDefault="00C02B59" w:rsidP="00F54D83">
            <w:pPr>
              <w:pStyle w:val="ListParagraph"/>
              <w:numPr>
                <w:ilvl w:val="0"/>
                <w:numId w:val="27"/>
              </w:numPr>
              <w:spacing w:after="0" w:line="240" w:lineRule="auto"/>
              <w:jc w:val="both"/>
              <w:rPr>
                <w:rFonts w:ascii="Times New Roman" w:eastAsia="Calibri" w:hAnsi="Times New Roman" w:cs="Times New Roman"/>
                <w:noProof/>
                <w:sz w:val="18"/>
                <w:szCs w:val="18"/>
                <w:lang w:val="en-GB"/>
              </w:rPr>
            </w:pPr>
            <w:r w:rsidRPr="00D1795B">
              <w:rPr>
                <w:rFonts w:ascii="Times New Roman" w:eastAsia="Calibri" w:hAnsi="Times New Roman" w:cs="Times New Roman"/>
                <w:noProof/>
                <w:sz w:val="18"/>
                <w:szCs w:val="18"/>
                <w:lang w:val="en-GB"/>
              </w:rPr>
              <w:t>Specify the data to be submitted and the procedure for submitting data to the ARTEMIS data exchange mechanism</w:t>
            </w:r>
          </w:p>
          <w:p w14:paraId="1887EA4F" w14:textId="77777777" w:rsidR="00C02B59" w:rsidRPr="00D1795B" w:rsidRDefault="00C02B59" w:rsidP="00F54D83">
            <w:pPr>
              <w:pStyle w:val="ListParagraph"/>
              <w:numPr>
                <w:ilvl w:val="0"/>
                <w:numId w:val="27"/>
              </w:numPr>
              <w:spacing w:after="0" w:line="240" w:lineRule="auto"/>
              <w:jc w:val="both"/>
              <w:rPr>
                <w:rFonts w:ascii="Times New Roman" w:eastAsia="Calibri" w:hAnsi="Times New Roman" w:cs="Times New Roman"/>
                <w:noProof/>
                <w:sz w:val="18"/>
                <w:szCs w:val="18"/>
                <w:lang w:val="en-GB"/>
              </w:rPr>
            </w:pPr>
            <w:r w:rsidRPr="00D1795B">
              <w:rPr>
                <w:rFonts w:ascii="Times New Roman" w:eastAsia="Calibri" w:hAnsi="Times New Roman" w:cs="Times New Roman"/>
                <w:noProof/>
                <w:sz w:val="18"/>
                <w:szCs w:val="18"/>
                <w:lang w:val="en-GB"/>
              </w:rPr>
              <w:t>Mandate the production of credit scoring.</w:t>
            </w:r>
          </w:p>
          <w:p w14:paraId="1887EA51" w14:textId="308B2E7C"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eastAsia="Calibri" w:hAnsi="Times New Roman" w:cs="Times New Roman"/>
                <w:noProof/>
                <w:sz w:val="18"/>
                <w:szCs w:val="18"/>
              </w:rPr>
              <w:t>Furthermore, the ARTEMIS data exchange mechanism in User Acceptance Testing (UAT) phase shall demonstrate the capacity to provide credit scoring services.</w:t>
            </w:r>
          </w:p>
        </w:tc>
      </w:tr>
      <w:tr w:rsidR="00C02B59" w:rsidRPr="00D1795B" w14:paraId="1887EA5F" w14:textId="77777777" w:rsidTr="00F54D83">
        <w:trPr>
          <w:trHeight w:val="309"/>
        </w:trPr>
        <w:tc>
          <w:tcPr>
            <w:tcW w:w="1135" w:type="dxa"/>
            <w:shd w:val="clear" w:color="auto" w:fill="C1F0C7" w:themeFill="accent3" w:themeFillTint="33"/>
            <w:noWrap/>
          </w:tcPr>
          <w:p w14:paraId="1887EA53"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199</w:t>
            </w:r>
          </w:p>
        </w:tc>
        <w:tc>
          <w:tcPr>
            <w:tcW w:w="1653" w:type="dxa"/>
            <w:shd w:val="clear" w:color="auto" w:fill="C1F0C7" w:themeFill="accent3" w:themeFillTint="33"/>
            <w:noWrap/>
          </w:tcPr>
          <w:p w14:paraId="1887EA54"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C3.5R5 </w:t>
            </w:r>
          </w:p>
          <w:p w14:paraId="1887EA55"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Action plan for the development of a liability monitoring register</w:t>
            </w:r>
          </w:p>
        </w:tc>
        <w:tc>
          <w:tcPr>
            <w:tcW w:w="1063" w:type="dxa"/>
            <w:shd w:val="clear" w:color="auto" w:fill="C1F0C7" w:themeFill="accent3" w:themeFillTint="33"/>
            <w:noWrap/>
          </w:tcPr>
          <w:p w14:paraId="1887EA56"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tcPr>
          <w:p w14:paraId="1887EA57"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Action Plan for the development of a liability monitoring register </w:t>
            </w:r>
          </w:p>
        </w:tc>
        <w:tc>
          <w:tcPr>
            <w:tcW w:w="1320" w:type="dxa"/>
            <w:shd w:val="clear" w:color="auto" w:fill="C1F0C7" w:themeFill="accent3" w:themeFillTint="33"/>
            <w:noWrap/>
          </w:tcPr>
          <w:p w14:paraId="1887EA58"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Approval of the Action Plan by the Council of Ministers</w:t>
            </w:r>
          </w:p>
        </w:tc>
        <w:tc>
          <w:tcPr>
            <w:tcW w:w="1451" w:type="dxa"/>
            <w:shd w:val="clear" w:color="auto" w:fill="C1F0C7" w:themeFill="accent3" w:themeFillTint="33"/>
            <w:noWrap/>
          </w:tcPr>
          <w:p w14:paraId="1887EA59"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88" w:type="dxa"/>
            <w:shd w:val="clear" w:color="auto" w:fill="C1F0C7" w:themeFill="accent3" w:themeFillTint="33"/>
            <w:noWrap/>
          </w:tcPr>
          <w:p w14:paraId="1887EA5A"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8" w:type="dxa"/>
            <w:shd w:val="clear" w:color="auto" w:fill="C1F0C7" w:themeFill="accent3" w:themeFillTint="33"/>
            <w:noWrap/>
          </w:tcPr>
          <w:p w14:paraId="1887EA5B"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6" w:type="dxa"/>
            <w:shd w:val="clear" w:color="auto" w:fill="C1F0C7" w:themeFill="accent3" w:themeFillTint="33"/>
          </w:tcPr>
          <w:p w14:paraId="1887EA5C"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84" w:type="dxa"/>
            <w:shd w:val="clear" w:color="auto" w:fill="C1F0C7" w:themeFill="accent3" w:themeFillTint="33"/>
            <w:noWrap/>
          </w:tcPr>
          <w:p w14:paraId="1887EA5D"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260" w:type="dxa"/>
            <w:shd w:val="clear" w:color="auto" w:fill="C1F0C7" w:themeFill="accent3" w:themeFillTint="33"/>
          </w:tcPr>
          <w:p w14:paraId="1887EA5E"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The Action Plan shall put forward the necessary steps for introducing the liability monitor register that shall: </w:t>
            </w:r>
            <w:r w:rsidRPr="00D1795B">
              <w:rPr>
                <w:rFonts w:ascii="Times New Roman" w:hAnsi="Times New Roman" w:cs="Times New Roman"/>
                <w:noProof/>
                <w:sz w:val="18"/>
                <w:szCs w:val="18"/>
              </w:rPr>
              <w:br/>
              <w:t xml:space="preserve">- utilise an electronic database, collecting data on liabilities from various public and private creditors, such as the credit registry under reform C3.5R4. </w:t>
            </w:r>
            <w:r w:rsidRPr="00D1795B">
              <w:rPr>
                <w:rFonts w:ascii="Times New Roman" w:hAnsi="Times New Roman" w:cs="Times New Roman"/>
                <w:noProof/>
                <w:sz w:val="18"/>
                <w:szCs w:val="18"/>
              </w:rPr>
              <w:br/>
              <w:t>- enable the design and implementation of targeted policies for preventing and managing private indebtedness.</w:t>
            </w:r>
          </w:p>
        </w:tc>
      </w:tr>
      <w:tr w:rsidR="00C02B59" w:rsidRPr="00D1795B" w14:paraId="1887EA6C" w14:textId="77777777" w:rsidTr="00F54D83">
        <w:trPr>
          <w:trHeight w:val="309"/>
        </w:trPr>
        <w:tc>
          <w:tcPr>
            <w:tcW w:w="1135" w:type="dxa"/>
            <w:shd w:val="clear" w:color="auto" w:fill="C1F0C7" w:themeFill="accent3" w:themeFillTint="33"/>
            <w:noWrap/>
          </w:tcPr>
          <w:p w14:paraId="1887EA60" w14:textId="77777777" w:rsidR="00C02B59" w:rsidRPr="00D1795B" w:rsidRDefault="00C02B59" w:rsidP="00F54D83">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200</w:t>
            </w:r>
          </w:p>
        </w:tc>
        <w:tc>
          <w:tcPr>
            <w:tcW w:w="1653" w:type="dxa"/>
            <w:shd w:val="clear" w:color="auto" w:fill="C1F0C7" w:themeFill="accent3" w:themeFillTint="33"/>
            <w:noWrap/>
          </w:tcPr>
          <w:p w14:paraId="1887EA61"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C3.5R5 </w:t>
            </w:r>
          </w:p>
          <w:p w14:paraId="1887EA62" w14:textId="77777777" w:rsidR="00C02B59" w:rsidRPr="00D1795B" w:rsidRDefault="00C02B59" w:rsidP="00F54D83">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Framework for Management of Private Debt</w:t>
            </w:r>
          </w:p>
        </w:tc>
        <w:tc>
          <w:tcPr>
            <w:tcW w:w="1063" w:type="dxa"/>
            <w:shd w:val="clear" w:color="auto" w:fill="C1F0C7" w:themeFill="accent3" w:themeFillTint="33"/>
            <w:noWrap/>
          </w:tcPr>
          <w:p w14:paraId="1887EA63" w14:textId="77777777" w:rsidR="00C02B59" w:rsidRPr="00D1795B" w:rsidRDefault="00C02B59" w:rsidP="00F54D83">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tcPr>
          <w:p w14:paraId="1887EA64" w14:textId="77777777" w:rsidR="00C02B59" w:rsidRPr="00D1795B" w:rsidRDefault="00C02B59" w:rsidP="00F54D83">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legal act(s) for the management of private debt. </w:t>
            </w:r>
          </w:p>
        </w:tc>
        <w:tc>
          <w:tcPr>
            <w:tcW w:w="1320" w:type="dxa"/>
            <w:shd w:val="clear" w:color="auto" w:fill="C1F0C7" w:themeFill="accent3" w:themeFillTint="33"/>
            <w:noWrap/>
          </w:tcPr>
          <w:p w14:paraId="1887EA65" w14:textId="77777777" w:rsidR="00C02B59" w:rsidRPr="00D1795B" w:rsidRDefault="00C02B59" w:rsidP="00F54D83">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legal act(s)</w:t>
            </w:r>
          </w:p>
        </w:tc>
        <w:tc>
          <w:tcPr>
            <w:tcW w:w="1451" w:type="dxa"/>
            <w:shd w:val="clear" w:color="auto" w:fill="C1F0C7" w:themeFill="accent3" w:themeFillTint="33"/>
            <w:noWrap/>
          </w:tcPr>
          <w:p w14:paraId="1887EA66" w14:textId="77777777" w:rsidR="00C02B59" w:rsidRPr="00D1795B" w:rsidRDefault="00C02B59" w:rsidP="00F54D83">
            <w:pPr>
              <w:spacing w:line="240" w:lineRule="auto"/>
              <w:jc w:val="center"/>
              <w:rPr>
                <w:rFonts w:ascii="Times New Roman" w:hAnsi="Times New Roman" w:cs="Times New Roman"/>
                <w:noProof/>
                <w:sz w:val="18"/>
                <w:szCs w:val="18"/>
              </w:rPr>
            </w:pPr>
          </w:p>
        </w:tc>
        <w:tc>
          <w:tcPr>
            <w:tcW w:w="1088" w:type="dxa"/>
            <w:shd w:val="clear" w:color="auto" w:fill="C1F0C7" w:themeFill="accent3" w:themeFillTint="33"/>
            <w:noWrap/>
          </w:tcPr>
          <w:p w14:paraId="1887EA67" w14:textId="77777777" w:rsidR="00C02B59" w:rsidRPr="00D1795B" w:rsidRDefault="00C02B59" w:rsidP="00F54D83">
            <w:pPr>
              <w:spacing w:line="240" w:lineRule="auto"/>
              <w:jc w:val="center"/>
              <w:rPr>
                <w:rFonts w:ascii="Times New Roman" w:hAnsi="Times New Roman" w:cs="Times New Roman"/>
                <w:noProof/>
                <w:sz w:val="18"/>
                <w:szCs w:val="18"/>
              </w:rPr>
            </w:pPr>
          </w:p>
        </w:tc>
        <w:tc>
          <w:tcPr>
            <w:tcW w:w="1048" w:type="dxa"/>
            <w:shd w:val="clear" w:color="auto" w:fill="C1F0C7" w:themeFill="accent3" w:themeFillTint="33"/>
            <w:noWrap/>
          </w:tcPr>
          <w:p w14:paraId="1887EA68" w14:textId="77777777" w:rsidR="00C02B59" w:rsidRPr="00D1795B" w:rsidRDefault="00C02B59" w:rsidP="00F54D83">
            <w:pPr>
              <w:spacing w:line="240" w:lineRule="auto"/>
              <w:jc w:val="center"/>
              <w:rPr>
                <w:rFonts w:ascii="Times New Roman" w:hAnsi="Times New Roman" w:cs="Times New Roman"/>
                <w:noProof/>
                <w:sz w:val="18"/>
                <w:szCs w:val="18"/>
              </w:rPr>
            </w:pPr>
          </w:p>
        </w:tc>
        <w:tc>
          <w:tcPr>
            <w:tcW w:w="986" w:type="dxa"/>
            <w:shd w:val="clear" w:color="auto" w:fill="C1F0C7" w:themeFill="accent3" w:themeFillTint="33"/>
          </w:tcPr>
          <w:p w14:paraId="1887EA69" w14:textId="77777777" w:rsidR="00C02B59" w:rsidRPr="00D1795B" w:rsidRDefault="00C02B59" w:rsidP="00F54D83">
            <w:pPr>
              <w:spacing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84" w:type="dxa"/>
            <w:shd w:val="clear" w:color="auto" w:fill="C1F0C7" w:themeFill="accent3" w:themeFillTint="33"/>
            <w:noWrap/>
          </w:tcPr>
          <w:p w14:paraId="1887EA6A" w14:textId="77777777" w:rsidR="00C02B59" w:rsidRPr="00D1795B" w:rsidRDefault="00C02B59" w:rsidP="00F54D83">
            <w:pPr>
              <w:spacing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260" w:type="dxa"/>
            <w:shd w:val="clear" w:color="auto" w:fill="C1F0C7" w:themeFill="accent3" w:themeFillTint="33"/>
          </w:tcPr>
          <w:p w14:paraId="1887EA6B" w14:textId="77777777" w:rsidR="00C02B59" w:rsidRPr="00D1795B" w:rsidRDefault="00C02B59" w:rsidP="00F54D83">
            <w:pPr>
              <w:spacing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legal act(s) for the management of private debt.</w:t>
            </w:r>
          </w:p>
        </w:tc>
      </w:tr>
      <w:tr w:rsidR="00C02B59" w:rsidRPr="00D1795B" w14:paraId="1887EA78" w14:textId="77777777" w:rsidTr="00F54D83">
        <w:trPr>
          <w:trHeight w:val="309"/>
        </w:trPr>
        <w:tc>
          <w:tcPr>
            <w:tcW w:w="1135" w:type="dxa"/>
            <w:shd w:val="clear" w:color="auto" w:fill="C1F0C7" w:themeFill="accent3" w:themeFillTint="33"/>
            <w:noWrap/>
          </w:tcPr>
          <w:p w14:paraId="1887EA6D"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201</w:t>
            </w:r>
          </w:p>
        </w:tc>
        <w:tc>
          <w:tcPr>
            <w:tcW w:w="1653" w:type="dxa"/>
            <w:shd w:val="clear" w:color="auto" w:fill="C1F0C7" w:themeFill="accent3" w:themeFillTint="33"/>
            <w:noWrap/>
          </w:tcPr>
          <w:p w14:paraId="1887EA6E"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C3.5R6 Reinforcing and strengthening the insolvency framework</w:t>
            </w:r>
          </w:p>
        </w:tc>
        <w:tc>
          <w:tcPr>
            <w:tcW w:w="1063" w:type="dxa"/>
            <w:shd w:val="clear" w:color="auto" w:fill="C1F0C7" w:themeFill="accent3" w:themeFillTint="33"/>
            <w:noWrap/>
          </w:tcPr>
          <w:p w14:paraId="1887EA6F"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tcPr>
          <w:p w14:paraId="1887EA70"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Full implementation and full operation of the legal and institutional framework for insolvency </w:t>
            </w:r>
          </w:p>
        </w:tc>
        <w:tc>
          <w:tcPr>
            <w:tcW w:w="1320" w:type="dxa"/>
            <w:shd w:val="clear" w:color="auto" w:fill="C1F0C7" w:themeFill="accent3" w:themeFillTint="33"/>
            <w:noWrap/>
          </w:tcPr>
          <w:p w14:paraId="1887EA71"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Appointment of staff confirmed by the Official Gazette. Council of Ministers’ approval of the Progress Report </w:t>
            </w:r>
          </w:p>
        </w:tc>
        <w:tc>
          <w:tcPr>
            <w:tcW w:w="1451" w:type="dxa"/>
            <w:shd w:val="clear" w:color="auto" w:fill="C1F0C7" w:themeFill="accent3" w:themeFillTint="33"/>
            <w:noWrap/>
          </w:tcPr>
          <w:p w14:paraId="1887EA72"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88" w:type="dxa"/>
            <w:shd w:val="clear" w:color="auto" w:fill="C1F0C7" w:themeFill="accent3" w:themeFillTint="33"/>
            <w:noWrap/>
          </w:tcPr>
          <w:p w14:paraId="1887EA73"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8" w:type="dxa"/>
            <w:shd w:val="clear" w:color="auto" w:fill="C1F0C7" w:themeFill="accent3" w:themeFillTint="33"/>
            <w:noWrap/>
          </w:tcPr>
          <w:p w14:paraId="1887EA74"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6" w:type="dxa"/>
            <w:shd w:val="clear" w:color="auto" w:fill="C1F0C7" w:themeFill="accent3" w:themeFillTint="33"/>
          </w:tcPr>
          <w:p w14:paraId="1887EA75"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84" w:type="dxa"/>
            <w:shd w:val="clear" w:color="auto" w:fill="C1F0C7" w:themeFill="accent3" w:themeFillTint="33"/>
            <w:noWrap/>
          </w:tcPr>
          <w:p w14:paraId="1887EA76"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260" w:type="dxa"/>
            <w:shd w:val="clear" w:color="auto" w:fill="C1F0C7" w:themeFill="accent3" w:themeFillTint="33"/>
          </w:tcPr>
          <w:p w14:paraId="1887EA77" w14:textId="77777777" w:rsidR="00C02B59" w:rsidRPr="00D1795B" w:rsidRDefault="00C02B59" w:rsidP="00F54D83">
            <w:pPr>
              <w:autoSpaceDE w:val="0"/>
              <w:autoSpaceDN w:val="0"/>
              <w:adjustRightInd w:val="0"/>
              <w:spacing w:after="0" w:line="240" w:lineRule="auto"/>
              <w:jc w:val="both"/>
              <w:rPr>
                <w:rFonts w:ascii="Times New Roman" w:hAnsi="Times New Roman" w:cs="Times New Roman"/>
                <w:noProof/>
                <w:color w:val="000000"/>
                <w:sz w:val="18"/>
                <w:szCs w:val="18"/>
              </w:rPr>
            </w:pPr>
            <w:r w:rsidRPr="00D1795B">
              <w:rPr>
                <w:rFonts w:ascii="Times New Roman" w:hAnsi="Times New Roman" w:cs="Times New Roman"/>
                <w:noProof/>
                <w:sz w:val="18"/>
                <w:szCs w:val="18"/>
              </w:rPr>
              <w:t xml:space="preserve">Full implementation and full operation of the legal and institutional framework on insolvency through: (a) appointment of staff for all levels of the organisational structure of the Department of Insolvency, </w:t>
            </w:r>
            <w:r w:rsidRPr="00D1795B">
              <w:rPr>
                <w:rFonts w:ascii="Times New Roman" w:hAnsi="Times New Roman" w:cs="Times New Roman"/>
                <w:noProof/>
                <w:color w:val="000000" w:themeColor="text1"/>
                <w:sz w:val="18"/>
                <w:szCs w:val="18"/>
              </w:rPr>
              <w:t xml:space="preserve">and delivery of trainings for the personnel, (b) establishment of a communication plan for promoting insolvency proceedings, (c) approval of a customer service line, (d) establishment of a framework for continuous professional development for insolvency Practitioners. </w:t>
            </w:r>
          </w:p>
        </w:tc>
      </w:tr>
      <w:tr w:rsidR="00C02B59" w:rsidRPr="00D1795B" w14:paraId="1887EA84" w14:textId="77777777" w:rsidTr="00F54D83">
        <w:trPr>
          <w:trHeight w:val="309"/>
        </w:trPr>
        <w:tc>
          <w:tcPr>
            <w:tcW w:w="1135" w:type="dxa"/>
            <w:shd w:val="clear" w:color="auto" w:fill="C1F0C7" w:themeFill="accent3" w:themeFillTint="33"/>
            <w:noWrap/>
          </w:tcPr>
          <w:p w14:paraId="1887EA79"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202</w:t>
            </w:r>
          </w:p>
        </w:tc>
        <w:tc>
          <w:tcPr>
            <w:tcW w:w="1653" w:type="dxa"/>
            <w:shd w:val="clear" w:color="auto" w:fill="C1F0C7" w:themeFill="accent3" w:themeFillTint="33"/>
            <w:noWrap/>
          </w:tcPr>
          <w:p w14:paraId="1887EA7A"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C3.5R6 </w:t>
            </w:r>
            <w:r w:rsidRPr="00D1795B" w:rsidDel="006D0823">
              <w:rPr>
                <w:rFonts w:ascii="Times New Roman" w:hAnsi="Times New Roman" w:cs="Times New Roman"/>
                <w:noProof/>
                <w:sz w:val="18"/>
                <w:szCs w:val="18"/>
              </w:rPr>
              <w:t xml:space="preserve">Reinforcing </w:t>
            </w:r>
            <w:r w:rsidRPr="00D1795B">
              <w:rPr>
                <w:rFonts w:ascii="Times New Roman" w:hAnsi="Times New Roman" w:cs="Times New Roman"/>
                <w:noProof/>
                <w:sz w:val="18"/>
                <w:szCs w:val="18"/>
              </w:rPr>
              <w:t>the insolvency framework</w:t>
            </w:r>
          </w:p>
        </w:tc>
        <w:tc>
          <w:tcPr>
            <w:tcW w:w="1063" w:type="dxa"/>
            <w:shd w:val="clear" w:color="auto" w:fill="C1F0C7" w:themeFill="accent3" w:themeFillTint="33"/>
            <w:noWrap/>
          </w:tcPr>
          <w:p w14:paraId="1887EA7B"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tcPr>
          <w:p w14:paraId="1887EA7C"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Digital systems of the Department of Insolvency accessible </w:t>
            </w:r>
          </w:p>
        </w:tc>
        <w:tc>
          <w:tcPr>
            <w:tcW w:w="1320" w:type="dxa"/>
            <w:shd w:val="clear" w:color="auto" w:fill="C1F0C7" w:themeFill="accent3" w:themeFillTint="33"/>
            <w:noWrap/>
          </w:tcPr>
          <w:p w14:paraId="1887EA7D"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Digital system accessible </w:t>
            </w:r>
          </w:p>
        </w:tc>
        <w:tc>
          <w:tcPr>
            <w:tcW w:w="1451" w:type="dxa"/>
            <w:shd w:val="clear" w:color="auto" w:fill="C1F0C7" w:themeFill="accent3" w:themeFillTint="33"/>
            <w:noWrap/>
          </w:tcPr>
          <w:p w14:paraId="1887EA7E"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88" w:type="dxa"/>
            <w:shd w:val="clear" w:color="auto" w:fill="C1F0C7" w:themeFill="accent3" w:themeFillTint="33"/>
            <w:noWrap/>
          </w:tcPr>
          <w:p w14:paraId="1887EA7F"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8" w:type="dxa"/>
            <w:shd w:val="clear" w:color="auto" w:fill="C1F0C7" w:themeFill="accent3" w:themeFillTint="33"/>
            <w:noWrap/>
          </w:tcPr>
          <w:p w14:paraId="1887EA80"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6" w:type="dxa"/>
            <w:shd w:val="clear" w:color="auto" w:fill="C1F0C7" w:themeFill="accent3" w:themeFillTint="33"/>
          </w:tcPr>
          <w:p w14:paraId="1887EA81"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84" w:type="dxa"/>
            <w:shd w:val="clear" w:color="auto" w:fill="C1F0C7" w:themeFill="accent3" w:themeFillTint="33"/>
            <w:noWrap/>
          </w:tcPr>
          <w:p w14:paraId="1887EA82"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260" w:type="dxa"/>
            <w:shd w:val="clear" w:color="auto" w:fill="C1F0C7" w:themeFill="accent3" w:themeFillTint="33"/>
          </w:tcPr>
          <w:p w14:paraId="1887EA83"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digital systems of the Department of Insolvency shall be accessible.</w:t>
            </w:r>
          </w:p>
        </w:tc>
      </w:tr>
      <w:tr w:rsidR="00C02B59" w:rsidRPr="00D1795B" w14:paraId="1887EA91" w14:textId="77777777" w:rsidTr="00F54D83">
        <w:trPr>
          <w:trHeight w:val="309"/>
        </w:trPr>
        <w:tc>
          <w:tcPr>
            <w:tcW w:w="1135" w:type="dxa"/>
            <w:shd w:val="clear" w:color="auto" w:fill="C1F0C7" w:themeFill="accent3" w:themeFillTint="33"/>
            <w:noWrap/>
          </w:tcPr>
          <w:p w14:paraId="1887EA85"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203</w:t>
            </w:r>
          </w:p>
        </w:tc>
        <w:tc>
          <w:tcPr>
            <w:tcW w:w="1653" w:type="dxa"/>
            <w:shd w:val="clear" w:color="auto" w:fill="C1F0C7" w:themeFill="accent3" w:themeFillTint="33"/>
            <w:noWrap/>
          </w:tcPr>
          <w:p w14:paraId="1887EA86"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C3.5R7 </w:t>
            </w:r>
          </w:p>
          <w:p w14:paraId="1887EA87"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Strategy for Combating Financial Illiteracy</w:t>
            </w:r>
          </w:p>
        </w:tc>
        <w:tc>
          <w:tcPr>
            <w:tcW w:w="1063" w:type="dxa"/>
            <w:shd w:val="clear" w:color="auto" w:fill="C1F0C7" w:themeFill="accent3" w:themeFillTint="33"/>
            <w:noWrap/>
          </w:tcPr>
          <w:p w14:paraId="1887EA88"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tcPr>
          <w:p w14:paraId="1887EA89"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Strategy for Combating Financial Illiteracy</w:t>
            </w:r>
          </w:p>
        </w:tc>
        <w:tc>
          <w:tcPr>
            <w:tcW w:w="1320" w:type="dxa"/>
            <w:shd w:val="clear" w:color="auto" w:fill="C1F0C7" w:themeFill="accent3" w:themeFillTint="33"/>
            <w:noWrap/>
          </w:tcPr>
          <w:p w14:paraId="1887EA8A"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Approval of the Strategy for Combating Financial Illiteracy by the Council of Ministers</w:t>
            </w:r>
          </w:p>
        </w:tc>
        <w:tc>
          <w:tcPr>
            <w:tcW w:w="1451" w:type="dxa"/>
            <w:shd w:val="clear" w:color="auto" w:fill="C1F0C7" w:themeFill="accent3" w:themeFillTint="33"/>
            <w:noWrap/>
          </w:tcPr>
          <w:p w14:paraId="1887EA8B"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88" w:type="dxa"/>
            <w:shd w:val="clear" w:color="auto" w:fill="C1F0C7" w:themeFill="accent3" w:themeFillTint="33"/>
            <w:noWrap/>
          </w:tcPr>
          <w:p w14:paraId="1887EA8C"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8" w:type="dxa"/>
            <w:shd w:val="clear" w:color="auto" w:fill="C1F0C7" w:themeFill="accent3" w:themeFillTint="33"/>
            <w:noWrap/>
          </w:tcPr>
          <w:p w14:paraId="1887EA8D"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6" w:type="dxa"/>
            <w:shd w:val="clear" w:color="auto" w:fill="C1F0C7" w:themeFill="accent3" w:themeFillTint="33"/>
          </w:tcPr>
          <w:p w14:paraId="1887EA8E"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84" w:type="dxa"/>
            <w:shd w:val="clear" w:color="auto" w:fill="C1F0C7" w:themeFill="accent3" w:themeFillTint="33"/>
            <w:noWrap/>
          </w:tcPr>
          <w:p w14:paraId="1887EA8F"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260" w:type="dxa"/>
            <w:shd w:val="clear" w:color="auto" w:fill="C1F0C7" w:themeFill="accent3" w:themeFillTint="33"/>
          </w:tcPr>
          <w:p w14:paraId="1887EA90"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The Strategy for Combating Financial Illiteracy shall outline its goal and objectives, specify the channels for promoting financial literacy, and include specific actions for implementation. The reform shall also include completion of initiatives promoting financial literacy. </w:t>
            </w:r>
          </w:p>
        </w:tc>
      </w:tr>
      <w:tr w:rsidR="00C02B59" w:rsidRPr="00D1795B" w14:paraId="1887EA9D" w14:textId="77777777" w:rsidTr="00F54D83">
        <w:trPr>
          <w:trHeight w:val="309"/>
        </w:trPr>
        <w:tc>
          <w:tcPr>
            <w:tcW w:w="1135" w:type="dxa"/>
            <w:shd w:val="clear" w:color="auto" w:fill="C1F0C7" w:themeFill="accent3" w:themeFillTint="33"/>
            <w:noWrap/>
          </w:tcPr>
          <w:p w14:paraId="1887EA92"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204</w:t>
            </w:r>
          </w:p>
        </w:tc>
        <w:tc>
          <w:tcPr>
            <w:tcW w:w="1653" w:type="dxa"/>
            <w:shd w:val="clear" w:color="auto" w:fill="C1F0C7" w:themeFill="accent3" w:themeFillTint="33"/>
            <w:noWrap/>
          </w:tcPr>
          <w:p w14:paraId="1887EA93"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C3.5R8 Enhancing supervision of Insurance and Pension Funds</w:t>
            </w:r>
          </w:p>
        </w:tc>
        <w:tc>
          <w:tcPr>
            <w:tcW w:w="1063" w:type="dxa"/>
            <w:shd w:val="clear" w:color="auto" w:fill="C1F0C7" w:themeFill="accent3" w:themeFillTint="33"/>
            <w:noWrap/>
          </w:tcPr>
          <w:p w14:paraId="1887EA94"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463" w:type="dxa"/>
            <w:shd w:val="clear" w:color="auto" w:fill="C1F0C7" w:themeFill="accent3" w:themeFillTint="33"/>
            <w:noWrap/>
          </w:tcPr>
          <w:p w14:paraId="1887EA95"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Employment of additional permanent employees of the Registrar of Occupational Retirement Benefits Fund (RORBF) and the Insurance Companies Control Service (ICCS) </w:t>
            </w:r>
          </w:p>
        </w:tc>
        <w:tc>
          <w:tcPr>
            <w:tcW w:w="1320" w:type="dxa"/>
            <w:shd w:val="clear" w:color="auto" w:fill="C1F0C7" w:themeFill="accent3" w:themeFillTint="33"/>
            <w:noWrap/>
          </w:tcPr>
          <w:p w14:paraId="1887EA96"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451" w:type="dxa"/>
            <w:shd w:val="clear" w:color="auto" w:fill="C1F0C7" w:themeFill="accent3" w:themeFillTint="33"/>
            <w:noWrap/>
          </w:tcPr>
          <w:p w14:paraId="1887EA97"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1088" w:type="dxa"/>
            <w:shd w:val="clear" w:color="auto" w:fill="C1F0C7" w:themeFill="accent3" w:themeFillTint="33"/>
            <w:noWrap/>
          </w:tcPr>
          <w:p w14:paraId="1887EA98"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048" w:type="dxa"/>
            <w:shd w:val="clear" w:color="auto" w:fill="C1F0C7" w:themeFill="accent3" w:themeFillTint="33"/>
            <w:noWrap/>
          </w:tcPr>
          <w:p w14:paraId="1887EA99"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16</w:t>
            </w:r>
          </w:p>
        </w:tc>
        <w:tc>
          <w:tcPr>
            <w:tcW w:w="986" w:type="dxa"/>
            <w:shd w:val="clear" w:color="auto" w:fill="C1F0C7" w:themeFill="accent3" w:themeFillTint="33"/>
          </w:tcPr>
          <w:p w14:paraId="1887EA9A"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84" w:type="dxa"/>
            <w:shd w:val="clear" w:color="auto" w:fill="C1F0C7" w:themeFill="accent3" w:themeFillTint="33"/>
            <w:noWrap/>
          </w:tcPr>
          <w:p w14:paraId="1887EA9B"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260" w:type="dxa"/>
            <w:shd w:val="clear" w:color="auto" w:fill="C1F0C7" w:themeFill="accent3" w:themeFillTint="33"/>
          </w:tcPr>
          <w:p w14:paraId="1887EA9C"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Employment (placing or seconding or transferring) of thirteen additional permanent employees for the Registrar of Occupational Retirement Benefit Funds (RORBF) and three additional permanent employees for the Insurance Companies Control Service (ICCS). </w:t>
            </w:r>
          </w:p>
        </w:tc>
      </w:tr>
      <w:tr w:rsidR="00C02B59" w:rsidRPr="00D1795B" w14:paraId="1887EAA9" w14:textId="77777777" w:rsidTr="00F54D83">
        <w:trPr>
          <w:trHeight w:val="309"/>
        </w:trPr>
        <w:tc>
          <w:tcPr>
            <w:tcW w:w="1135" w:type="dxa"/>
            <w:shd w:val="clear" w:color="auto" w:fill="C1F0C7" w:themeFill="accent3" w:themeFillTint="33"/>
            <w:noWrap/>
          </w:tcPr>
          <w:p w14:paraId="1887EA9E"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205</w:t>
            </w:r>
          </w:p>
        </w:tc>
        <w:tc>
          <w:tcPr>
            <w:tcW w:w="1653" w:type="dxa"/>
            <w:shd w:val="clear" w:color="auto" w:fill="C1F0C7" w:themeFill="accent3" w:themeFillTint="33"/>
            <w:noWrap/>
          </w:tcPr>
          <w:p w14:paraId="1887EA9F"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C3.5R8 Enhancing supervision of Insurance and Pension Funds</w:t>
            </w:r>
          </w:p>
        </w:tc>
        <w:tc>
          <w:tcPr>
            <w:tcW w:w="1063" w:type="dxa"/>
            <w:shd w:val="clear" w:color="auto" w:fill="C1F0C7" w:themeFill="accent3" w:themeFillTint="33"/>
            <w:noWrap/>
          </w:tcPr>
          <w:p w14:paraId="1887EAA0"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tcPr>
          <w:p w14:paraId="1887EAA1"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Supervisory tools including data collection and analysis tool</w:t>
            </w:r>
          </w:p>
        </w:tc>
        <w:tc>
          <w:tcPr>
            <w:tcW w:w="1320" w:type="dxa"/>
            <w:shd w:val="clear" w:color="auto" w:fill="C1F0C7" w:themeFill="accent3" w:themeFillTint="33"/>
            <w:noWrap/>
          </w:tcPr>
          <w:p w14:paraId="1887EAA2"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Support tools for enhancing the supervision of pension funds and insurance companies </w:t>
            </w:r>
          </w:p>
        </w:tc>
        <w:tc>
          <w:tcPr>
            <w:tcW w:w="1451" w:type="dxa"/>
            <w:shd w:val="clear" w:color="auto" w:fill="C1F0C7" w:themeFill="accent3" w:themeFillTint="33"/>
            <w:noWrap/>
          </w:tcPr>
          <w:p w14:paraId="1887EAA3"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88" w:type="dxa"/>
            <w:shd w:val="clear" w:color="auto" w:fill="C1F0C7" w:themeFill="accent3" w:themeFillTint="33"/>
            <w:noWrap/>
          </w:tcPr>
          <w:p w14:paraId="1887EAA4"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8" w:type="dxa"/>
            <w:shd w:val="clear" w:color="auto" w:fill="C1F0C7" w:themeFill="accent3" w:themeFillTint="33"/>
            <w:noWrap/>
          </w:tcPr>
          <w:p w14:paraId="1887EAA5"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6" w:type="dxa"/>
            <w:shd w:val="clear" w:color="auto" w:fill="C1F0C7" w:themeFill="accent3" w:themeFillTint="33"/>
          </w:tcPr>
          <w:p w14:paraId="1887EAA6"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84" w:type="dxa"/>
            <w:shd w:val="clear" w:color="auto" w:fill="C1F0C7" w:themeFill="accent3" w:themeFillTint="33"/>
            <w:noWrap/>
          </w:tcPr>
          <w:p w14:paraId="1887EAA7"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260" w:type="dxa"/>
            <w:shd w:val="clear" w:color="auto" w:fill="C1F0C7" w:themeFill="accent3" w:themeFillTint="33"/>
          </w:tcPr>
          <w:p w14:paraId="1887EAA8"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 Implementation of tools (for example, procedures, checklists, fitness and propriety applications) in line with new legislation (providing for the establishment, activities and supervision of Institutions for Occupational Retirement Benefits Law of 2020 -L 10(I)/2020 and the legislation of the Insurance and Reinsurance Business and Other Related Issues Law of 2016 (Ν.38(Ι)/2016.</w:t>
            </w:r>
          </w:p>
        </w:tc>
      </w:tr>
      <w:tr w:rsidR="00C02B59" w:rsidRPr="00D1795B" w14:paraId="1887EAB6" w14:textId="77777777" w:rsidTr="00F54D83">
        <w:trPr>
          <w:trHeight w:val="309"/>
        </w:trPr>
        <w:tc>
          <w:tcPr>
            <w:tcW w:w="1135" w:type="dxa"/>
            <w:shd w:val="clear" w:color="auto" w:fill="C1F0C7" w:themeFill="accent3" w:themeFillTint="33"/>
            <w:noWrap/>
            <w:hideMark/>
          </w:tcPr>
          <w:p w14:paraId="1887EAAA"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206</w:t>
            </w:r>
          </w:p>
        </w:tc>
        <w:tc>
          <w:tcPr>
            <w:tcW w:w="1653" w:type="dxa"/>
            <w:shd w:val="clear" w:color="auto" w:fill="C1F0C7" w:themeFill="accent3" w:themeFillTint="33"/>
            <w:noWrap/>
            <w:hideMark/>
          </w:tcPr>
          <w:p w14:paraId="1887EAAB"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C3.5I1 Enhancement of the Supervisory Function of the Cyprus Securities and Exchange Commission</w:t>
            </w:r>
          </w:p>
        </w:tc>
        <w:tc>
          <w:tcPr>
            <w:tcW w:w="1063" w:type="dxa"/>
            <w:shd w:val="clear" w:color="auto" w:fill="C1F0C7" w:themeFill="accent3" w:themeFillTint="33"/>
            <w:noWrap/>
            <w:hideMark/>
          </w:tcPr>
          <w:p w14:paraId="1887EAAC"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hideMark/>
          </w:tcPr>
          <w:p w14:paraId="1887EAAD"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Digital system for supervision of transactions for the Cyprus Securities and Exchange Commission </w:t>
            </w:r>
          </w:p>
        </w:tc>
        <w:tc>
          <w:tcPr>
            <w:tcW w:w="1320" w:type="dxa"/>
            <w:shd w:val="clear" w:color="auto" w:fill="C1F0C7" w:themeFill="accent3" w:themeFillTint="33"/>
            <w:noWrap/>
            <w:hideMark/>
          </w:tcPr>
          <w:p w14:paraId="1887EAAE"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Project management committee verifies acceptance of deliverables in due time; and quality and standards as specified in tender documents</w:t>
            </w:r>
          </w:p>
          <w:p w14:paraId="1887EAAF" w14:textId="77777777" w:rsidR="00C02B59" w:rsidRPr="00D1795B" w:rsidRDefault="00C02B59" w:rsidP="00F54D83">
            <w:pPr>
              <w:spacing w:after="0" w:line="240" w:lineRule="auto"/>
              <w:rPr>
                <w:rFonts w:ascii="Times New Roman" w:hAnsi="Times New Roman" w:cs="Times New Roman"/>
                <w:noProof/>
                <w:sz w:val="18"/>
                <w:szCs w:val="18"/>
              </w:rPr>
            </w:pPr>
          </w:p>
        </w:tc>
        <w:tc>
          <w:tcPr>
            <w:tcW w:w="1451" w:type="dxa"/>
            <w:shd w:val="clear" w:color="auto" w:fill="C1F0C7" w:themeFill="accent3" w:themeFillTint="33"/>
            <w:noWrap/>
            <w:hideMark/>
          </w:tcPr>
          <w:p w14:paraId="1887EAB0"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88" w:type="dxa"/>
            <w:shd w:val="clear" w:color="auto" w:fill="C1F0C7" w:themeFill="accent3" w:themeFillTint="33"/>
            <w:noWrap/>
            <w:hideMark/>
          </w:tcPr>
          <w:p w14:paraId="1887EAB1"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8" w:type="dxa"/>
            <w:shd w:val="clear" w:color="auto" w:fill="C1F0C7" w:themeFill="accent3" w:themeFillTint="33"/>
            <w:noWrap/>
            <w:hideMark/>
          </w:tcPr>
          <w:p w14:paraId="1887EAB2"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6" w:type="dxa"/>
            <w:shd w:val="clear" w:color="auto" w:fill="C1F0C7" w:themeFill="accent3" w:themeFillTint="33"/>
          </w:tcPr>
          <w:p w14:paraId="1887EAB3"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84" w:type="dxa"/>
            <w:shd w:val="clear" w:color="auto" w:fill="C1F0C7" w:themeFill="accent3" w:themeFillTint="33"/>
            <w:noWrap/>
            <w:hideMark/>
          </w:tcPr>
          <w:p w14:paraId="1887EAB4"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260" w:type="dxa"/>
            <w:shd w:val="clear" w:color="auto" w:fill="C1F0C7" w:themeFill="accent3" w:themeFillTint="33"/>
          </w:tcPr>
          <w:p w14:paraId="1887EAB5"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Implementation of a new digital system of supervision of transactions. The new digital system shall have the following features: </w:t>
            </w:r>
            <w:r w:rsidRPr="00D1795B">
              <w:rPr>
                <w:rFonts w:ascii="Times New Roman" w:hAnsi="Times New Roman" w:cs="Times New Roman"/>
                <w:noProof/>
                <w:sz w:val="18"/>
                <w:szCs w:val="18"/>
              </w:rPr>
              <w:br/>
              <w:t xml:space="preserve">- Loading and pre-processing of Transaction data. </w:t>
            </w:r>
            <w:r w:rsidRPr="00D1795B">
              <w:rPr>
                <w:rFonts w:ascii="Times New Roman" w:hAnsi="Times New Roman" w:cs="Times New Roman"/>
                <w:noProof/>
                <w:sz w:val="18"/>
                <w:szCs w:val="18"/>
              </w:rPr>
              <w:br/>
              <w:t xml:space="preserve">- Aggregations and queries on data to generate regulatory insights. </w:t>
            </w:r>
            <w:r w:rsidRPr="00D1795B">
              <w:rPr>
                <w:rFonts w:ascii="Times New Roman" w:hAnsi="Times New Roman" w:cs="Times New Roman"/>
                <w:noProof/>
                <w:sz w:val="18"/>
                <w:szCs w:val="18"/>
              </w:rPr>
              <w:br/>
              <w:t>- Generation of on-schedule and ad-hoc reports.</w:t>
            </w:r>
          </w:p>
        </w:tc>
      </w:tr>
      <w:tr w:rsidR="00C02B59" w:rsidRPr="00D1795B" w14:paraId="1887EAC2" w14:textId="77777777" w:rsidTr="00F54D83">
        <w:trPr>
          <w:trHeight w:val="309"/>
        </w:trPr>
        <w:tc>
          <w:tcPr>
            <w:tcW w:w="1135" w:type="dxa"/>
            <w:shd w:val="clear" w:color="auto" w:fill="C1F0C7" w:themeFill="accent3" w:themeFillTint="33"/>
            <w:noWrap/>
            <w:hideMark/>
          </w:tcPr>
          <w:p w14:paraId="1887EAB7"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207a</w:t>
            </w:r>
          </w:p>
        </w:tc>
        <w:tc>
          <w:tcPr>
            <w:tcW w:w="1653" w:type="dxa"/>
            <w:shd w:val="clear" w:color="auto" w:fill="C1F0C7" w:themeFill="accent3" w:themeFillTint="33"/>
            <w:noWrap/>
            <w:hideMark/>
          </w:tcPr>
          <w:p w14:paraId="1887EAB8"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C3.5R9 Improving tax collection and effectiveness of the Tax Department</w:t>
            </w:r>
          </w:p>
        </w:tc>
        <w:tc>
          <w:tcPr>
            <w:tcW w:w="1063" w:type="dxa"/>
            <w:shd w:val="clear" w:color="auto" w:fill="C1F0C7" w:themeFill="accent3" w:themeFillTint="33"/>
            <w:noWrap/>
            <w:hideMark/>
          </w:tcPr>
          <w:p w14:paraId="1887EAB9"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hideMark/>
          </w:tcPr>
          <w:p w14:paraId="1887EABA"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Operation of VAT Services within an Integrated Tax Administration System (ITAS)</w:t>
            </w:r>
          </w:p>
        </w:tc>
        <w:tc>
          <w:tcPr>
            <w:tcW w:w="1320" w:type="dxa"/>
            <w:shd w:val="clear" w:color="auto" w:fill="C1F0C7" w:themeFill="accent3" w:themeFillTint="33"/>
            <w:noWrap/>
            <w:hideMark/>
          </w:tcPr>
          <w:p w14:paraId="1887EABB"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Project Board Approval of the Project Deliverables for completion, installation, and operation of a new integrated VAT System </w:t>
            </w:r>
          </w:p>
        </w:tc>
        <w:tc>
          <w:tcPr>
            <w:tcW w:w="1451" w:type="dxa"/>
            <w:shd w:val="clear" w:color="auto" w:fill="C1F0C7" w:themeFill="accent3" w:themeFillTint="33"/>
            <w:noWrap/>
            <w:hideMark/>
          </w:tcPr>
          <w:p w14:paraId="1887EABC"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88" w:type="dxa"/>
            <w:shd w:val="clear" w:color="auto" w:fill="C1F0C7" w:themeFill="accent3" w:themeFillTint="33"/>
            <w:noWrap/>
            <w:hideMark/>
          </w:tcPr>
          <w:p w14:paraId="1887EABD"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8" w:type="dxa"/>
            <w:shd w:val="clear" w:color="auto" w:fill="C1F0C7" w:themeFill="accent3" w:themeFillTint="33"/>
            <w:noWrap/>
            <w:hideMark/>
          </w:tcPr>
          <w:p w14:paraId="1887EABE"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6" w:type="dxa"/>
            <w:shd w:val="clear" w:color="auto" w:fill="C1F0C7" w:themeFill="accent3" w:themeFillTint="33"/>
          </w:tcPr>
          <w:p w14:paraId="1887EABF"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984" w:type="dxa"/>
            <w:shd w:val="clear" w:color="auto" w:fill="C1F0C7" w:themeFill="accent3" w:themeFillTint="33"/>
            <w:noWrap/>
            <w:hideMark/>
          </w:tcPr>
          <w:p w14:paraId="1887EAC0"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260" w:type="dxa"/>
            <w:shd w:val="clear" w:color="auto" w:fill="C1F0C7" w:themeFill="accent3" w:themeFillTint="33"/>
          </w:tcPr>
          <w:p w14:paraId="1887EAC1"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Cyprus Tax Department (CTD) shall put into operation an Integrated Tax Administration System (ITAS) that shall support the tax administration functionalities and processes. The functionalities related to the VAT Services shall be completed and operational within this system.</w:t>
            </w:r>
          </w:p>
        </w:tc>
      </w:tr>
      <w:tr w:rsidR="00C02B59" w:rsidRPr="00D1795B" w14:paraId="1887EACE" w14:textId="77777777" w:rsidTr="00F54D83">
        <w:trPr>
          <w:trHeight w:val="309"/>
        </w:trPr>
        <w:tc>
          <w:tcPr>
            <w:tcW w:w="1135" w:type="dxa"/>
            <w:shd w:val="clear" w:color="auto" w:fill="C1F0C7" w:themeFill="accent3" w:themeFillTint="33"/>
            <w:noWrap/>
          </w:tcPr>
          <w:p w14:paraId="1887EAC3"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207b</w:t>
            </w:r>
          </w:p>
        </w:tc>
        <w:tc>
          <w:tcPr>
            <w:tcW w:w="1653" w:type="dxa"/>
            <w:shd w:val="clear" w:color="auto" w:fill="C1F0C7" w:themeFill="accent3" w:themeFillTint="33"/>
            <w:noWrap/>
          </w:tcPr>
          <w:p w14:paraId="1887EAC4"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C3.5R9 Improving tax collection and effectiveness of the Tax Department</w:t>
            </w:r>
          </w:p>
        </w:tc>
        <w:tc>
          <w:tcPr>
            <w:tcW w:w="1063" w:type="dxa"/>
            <w:shd w:val="clear" w:color="auto" w:fill="C1F0C7" w:themeFill="accent3" w:themeFillTint="33"/>
            <w:noWrap/>
          </w:tcPr>
          <w:p w14:paraId="1887EAC5"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tcPr>
          <w:p w14:paraId="1887EAC6"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Purchase of the new building for the integrated Nicosia District Office and Large Taxpayers’ Office</w:t>
            </w:r>
          </w:p>
        </w:tc>
        <w:tc>
          <w:tcPr>
            <w:tcW w:w="1320" w:type="dxa"/>
            <w:shd w:val="clear" w:color="auto" w:fill="C1F0C7" w:themeFill="accent3" w:themeFillTint="33"/>
            <w:noWrap/>
          </w:tcPr>
          <w:p w14:paraId="1887EAC7"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Completion of the purchase and start of operations</w:t>
            </w:r>
          </w:p>
        </w:tc>
        <w:tc>
          <w:tcPr>
            <w:tcW w:w="1451" w:type="dxa"/>
            <w:shd w:val="clear" w:color="auto" w:fill="C1F0C7" w:themeFill="accent3" w:themeFillTint="33"/>
            <w:noWrap/>
          </w:tcPr>
          <w:p w14:paraId="1887EAC8" w14:textId="77777777" w:rsidR="00C02B59" w:rsidRPr="00D1795B" w:rsidRDefault="00C02B59" w:rsidP="00F54D83">
            <w:pPr>
              <w:spacing w:after="0" w:line="240" w:lineRule="auto"/>
              <w:jc w:val="center"/>
              <w:rPr>
                <w:rFonts w:ascii="Times New Roman" w:hAnsi="Times New Roman" w:cs="Times New Roman"/>
                <w:noProof/>
                <w:sz w:val="18"/>
                <w:szCs w:val="18"/>
              </w:rPr>
            </w:pPr>
          </w:p>
        </w:tc>
        <w:tc>
          <w:tcPr>
            <w:tcW w:w="1088" w:type="dxa"/>
            <w:shd w:val="clear" w:color="auto" w:fill="C1F0C7" w:themeFill="accent3" w:themeFillTint="33"/>
            <w:noWrap/>
          </w:tcPr>
          <w:p w14:paraId="1887EAC9" w14:textId="77777777" w:rsidR="00C02B59" w:rsidRPr="00D1795B" w:rsidRDefault="00C02B59" w:rsidP="00F54D83">
            <w:pPr>
              <w:spacing w:after="0" w:line="240" w:lineRule="auto"/>
              <w:jc w:val="center"/>
              <w:rPr>
                <w:rFonts w:ascii="Times New Roman" w:hAnsi="Times New Roman" w:cs="Times New Roman"/>
                <w:noProof/>
                <w:sz w:val="18"/>
                <w:szCs w:val="18"/>
              </w:rPr>
            </w:pPr>
          </w:p>
        </w:tc>
        <w:tc>
          <w:tcPr>
            <w:tcW w:w="1048" w:type="dxa"/>
            <w:shd w:val="clear" w:color="auto" w:fill="C1F0C7" w:themeFill="accent3" w:themeFillTint="33"/>
            <w:noWrap/>
          </w:tcPr>
          <w:p w14:paraId="1887EACA" w14:textId="77777777" w:rsidR="00C02B59" w:rsidRPr="00D1795B" w:rsidRDefault="00C02B59" w:rsidP="00F54D83">
            <w:pPr>
              <w:spacing w:after="0" w:line="240" w:lineRule="auto"/>
              <w:jc w:val="center"/>
              <w:rPr>
                <w:rFonts w:ascii="Times New Roman" w:hAnsi="Times New Roman" w:cs="Times New Roman"/>
                <w:noProof/>
                <w:sz w:val="18"/>
                <w:szCs w:val="18"/>
              </w:rPr>
            </w:pPr>
          </w:p>
        </w:tc>
        <w:tc>
          <w:tcPr>
            <w:tcW w:w="986" w:type="dxa"/>
            <w:shd w:val="clear" w:color="auto" w:fill="C1F0C7" w:themeFill="accent3" w:themeFillTint="33"/>
          </w:tcPr>
          <w:p w14:paraId="1887EACB"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Q3</w:t>
            </w:r>
          </w:p>
        </w:tc>
        <w:tc>
          <w:tcPr>
            <w:tcW w:w="984" w:type="dxa"/>
            <w:shd w:val="clear" w:color="auto" w:fill="C1F0C7" w:themeFill="accent3" w:themeFillTint="33"/>
            <w:noWrap/>
          </w:tcPr>
          <w:p w14:paraId="1887EACC"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260" w:type="dxa"/>
            <w:shd w:val="clear" w:color="auto" w:fill="C1F0C7" w:themeFill="accent3" w:themeFillTint="33"/>
          </w:tcPr>
          <w:p w14:paraId="1887EACD"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The new building for the integrated Nicosia District Office and Large Taxpayers’ Office has been purchased. </w:t>
            </w:r>
          </w:p>
        </w:tc>
      </w:tr>
      <w:tr w:rsidR="00C02B59" w:rsidRPr="00D1795B" w14:paraId="1887EAE6" w14:textId="77777777" w:rsidTr="00F54D83">
        <w:trPr>
          <w:trHeight w:val="309"/>
        </w:trPr>
        <w:tc>
          <w:tcPr>
            <w:tcW w:w="1135" w:type="dxa"/>
            <w:shd w:val="clear" w:color="auto" w:fill="C1F0C7" w:themeFill="accent3" w:themeFillTint="33"/>
            <w:noWrap/>
          </w:tcPr>
          <w:p w14:paraId="1887EACF" w14:textId="77777777" w:rsidR="00C02B59" w:rsidRPr="00D1795B" w:rsidRDefault="00C02B59" w:rsidP="00F54D83">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208</w:t>
            </w:r>
          </w:p>
        </w:tc>
        <w:tc>
          <w:tcPr>
            <w:tcW w:w="1653" w:type="dxa"/>
            <w:shd w:val="clear" w:color="auto" w:fill="C1F0C7" w:themeFill="accent3" w:themeFillTint="33"/>
            <w:noWrap/>
          </w:tcPr>
          <w:p w14:paraId="1887EAD0" w14:textId="77777777" w:rsidR="00C02B59" w:rsidRPr="00D1795B" w:rsidRDefault="00C02B59" w:rsidP="00F54D83">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 xml:space="preserve">C3.5R9 Digitalising tax collection </w:t>
            </w:r>
          </w:p>
        </w:tc>
        <w:tc>
          <w:tcPr>
            <w:tcW w:w="1063" w:type="dxa"/>
            <w:shd w:val="clear" w:color="auto" w:fill="C1F0C7" w:themeFill="accent3" w:themeFillTint="33"/>
            <w:noWrap/>
          </w:tcPr>
          <w:p w14:paraId="1887EAD1" w14:textId="77777777" w:rsidR="00C02B59" w:rsidRPr="00D1795B" w:rsidRDefault="00C02B59" w:rsidP="00F54D83">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Milestone</w:t>
            </w:r>
          </w:p>
        </w:tc>
        <w:tc>
          <w:tcPr>
            <w:tcW w:w="1463" w:type="dxa"/>
            <w:shd w:val="clear" w:color="auto" w:fill="C1F0C7" w:themeFill="accent3" w:themeFillTint="33"/>
            <w:noWrap/>
          </w:tcPr>
          <w:p w14:paraId="1887EAD2" w14:textId="77777777" w:rsidR="00C02B59" w:rsidRPr="00D1795B" w:rsidRDefault="00C02B59" w:rsidP="00F54D83">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Direct tax administration services of the Tax department within the ITAS</w:t>
            </w:r>
          </w:p>
        </w:tc>
        <w:tc>
          <w:tcPr>
            <w:tcW w:w="1320" w:type="dxa"/>
            <w:shd w:val="clear" w:color="auto" w:fill="C1F0C7" w:themeFill="accent3" w:themeFillTint="33"/>
            <w:noWrap/>
          </w:tcPr>
          <w:p w14:paraId="1887EAD3" w14:textId="77777777" w:rsidR="00C02B59" w:rsidRPr="00D1795B" w:rsidRDefault="00C02B59" w:rsidP="00F54D83">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Direct Taxes are ready to be put into productive operation within ITAS and have been approved by the board</w:t>
            </w:r>
          </w:p>
        </w:tc>
        <w:tc>
          <w:tcPr>
            <w:tcW w:w="1451" w:type="dxa"/>
            <w:shd w:val="clear" w:color="auto" w:fill="C1F0C7" w:themeFill="accent3" w:themeFillTint="33"/>
            <w:noWrap/>
          </w:tcPr>
          <w:p w14:paraId="1887EAD4" w14:textId="77777777" w:rsidR="00C02B59" w:rsidRPr="00D1795B" w:rsidRDefault="00C02B59" w:rsidP="00F54D83">
            <w:pPr>
              <w:spacing w:after="0" w:line="240" w:lineRule="auto"/>
              <w:jc w:val="center"/>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w:t>
            </w:r>
          </w:p>
        </w:tc>
        <w:tc>
          <w:tcPr>
            <w:tcW w:w="1088" w:type="dxa"/>
            <w:shd w:val="clear" w:color="auto" w:fill="C1F0C7" w:themeFill="accent3" w:themeFillTint="33"/>
            <w:noWrap/>
          </w:tcPr>
          <w:p w14:paraId="1887EAD5" w14:textId="77777777" w:rsidR="00C02B59" w:rsidRPr="00D1795B" w:rsidRDefault="00C02B59" w:rsidP="00F54D83">
            <w:pPr>
              <w:spacing w:after="0" w:line="240" w:lineRule="auto"/>
              <w:jc w:val="center"/>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w:t>
            </w:r>
          </w:p>
        </w:tc>
        <w:tc>
          <w:tcPr>
            <w:tcW w:w="1048" w:type="dxa"/>
            <w:shd w:val="clear" w:color="auto" w:fill="C1F0C7" w:themeFill="accent3" w:themeFillTint="33"/>
            <w:noWrap/>
          </w:tcPr>
          <w:p w14:paraId="1887EAD6" w14:textId="77777777" w:rsidR="00C02B59" w:rsidRPr="00D1795B" w:rsidRDefault="00C02B59" w:rsidP="00F54D83">
            <w:pPr>
              <w:spacing w:after="0" w:line="240" w:lineRule="auto"/>
              <w:jc w:val="center"/>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w:t>
            </w:r>
          </w:p>
        </w:tc>
        <w:tc>
          <w:tcPr>
            <w:tcW w:w="986" w:type="dxa"/>
            <w:shd w:val="clear" w:color="auto" w:fill="C1F0C7" w:themeFill="accent3" w:themeFillTint="33"/>
          </w:tcPr>
          <w:p w14:paraId="1887EAD7" w14:textId="77777777" w:rsidR="00C02B59" w:rsidRPr="00D1795B" w:rsidRDefault="00C02B59" w:rsidP="00F54D83">
            <w:pPr>
              <w:spacing w:after="0" w:line="240" w:lineRule="auto"/>
              <w:jc w:val="center"/>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Q1</w:t>
            </w:r>
          </w:p>
        </w:tc>
        <w:tc>
          <w:tcPr>
            <w:tcW w:w="984" w:type="dxa"/>
            <w:shd w:val="clear" w:color="auto" w:fill="C1F0C7" w:themeFill="accent3" w:themeFillTint="33"/>
            <w:noWrap/>
          </w:tcPr>
          <w:p w14:paraId="1887EAD8" w14:textId="77777777" w:rsidR="00C02B59" w:rsidRPr="00D1795B" w:rsidRDefault="00C02B59" w:rsidP="00F54D83">
            <w:pPr>
              <w:spacing w:after="0" w:line="240" w:lineRule="auto"/>
              <w:jc w:val="center"/>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2026</w:t>
            </w:r>
          </w:p>
          <w:p w14:paraId="1887EAD9" w14:textId="77777777" w:rsidR="00C02B59" w:rsidRPr="00D1795B" w:rsidRDefault="00C02B59" w:rsidP="00F54D83">
            <w:pPr>
              <w:spacing w:after="0" w:line="240" w:lineRule="auto"/>
              <w:jc w:val="center"/>
              <w:rPr>
                <w:rFonts w:ascii="Times New Roman" w:eastAsia="Times New Roman" w:hAnsi="Times New Roman" w:cs="Times New Roman"/>
                <w:noProof/>
                <w:sz w:val="18"/>
                <w:szCs w:val="18"/>
              </w:rPr>
            </w:pPr>
          </w:p>
        </w:tc>
        <w:tc>
          <w:tcPr>
            <w:tcW w:w="3260" w:type="dxa"/>
            <w:shd w:val="clear" w:color="auto" w:fill="C1F0C7" w:themeFill="accent3" w:themeFillTint="33"/>
          </w:tcPr>
          <w:p w14:paraId="1887EADA" w14:textId="77777777" w:rsidR="00C02B59" w:rsidRPr="00D1795B" w:rsidRDefault="00C02B59" w:rsidP="00F54D83">
            <w:pPr>
              <w:spacing w:line="240" w:lineRule="auto"/>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The Tax administration services for the following Direct Taxes are ready to be put into productive operation within ITAS and have been approved by the board:</w:t>
            </w:r>
          </w:p>
          <w:p w14:paraId="1887EADB" w14:textId="77777777" w:rsidR="00C02B59" w:rsidRPr="00D1795B" w:rsidRDefault="00C02B59" w:rsidP="00F54D83">
            <w:pPr>
              <w:pStyle w:val="ListParagraph"/>
              <w:numPr>
                <w:ilvl w:val="0"/>
                <w:numId w:val="26"/>
              </w:numPr>
              <w:spacing w:after="0" w:line="240" w:lineRule="auto"/>
              <w:jc w:val="both"/>
              <w:rPr>
                <w:rFonts w:ascii="Times New Roman" w:eastAsia="Times New Roman" w:hAnsi="Times New Roman" w:cs="Times New Roman"/>
                <w:noProof/>
                <w:sz w:val="18"/>
                <w:szCs w:val="18"/>
                <w:lang w:val="en-GB" w:eastAsia="ja-JP"/>
              </w:rPr>
            </w:pPr>
            <w:r w:rsidRPr="00D1795B">
              <w:rPr>
                <w:rFonts w:ascii="Times New Roman" w:eastAsia="Times New Roman" w:hAnsi="Times New Roman" w:cs="Times New Roman"/>
                <w:noProof/>
                <w:sz w:val="18"/>
                <w:szCs w:val="18"/>
                <w:lang w:val="en-GB"/>
              </w:rPr>
              <w:t>Income Tax withheld at source by employers (PAYE),</w:t>
            </w:r>
          </w:p>
          <w:p w14:paraId="1887EADC" w14:textId="77777777" w:rsidR="00C02B59" w:rsidRPr="00D1795B" w:rsidRDefault="00C02B59" w:rsidP="00F54D83">
            <w:pPr>
              <w:pStyle w:val="ListParagraph"/>
              <w:numPr>
                <w:ilvl w:val="0"/>
                <w:numId w:val="26"/>
              </w:numPr>
              <w:spacing w:after="0" w:line="240" w:lineRule="auto"/>
              <w:jc w:val="both"/>
              <w:rPr>
                <w:rFonts w:ascii="Times New Roman" w:eastAsia="Times New Roman" w:hAnsi="Times New Roman" w:cs="Times New Roman"/>
                <w:noProof/>
                <w:sz w:val="18"/>
                <w:szCs w:val="18"/>
                <w:lang w:val="en-GB"/>
              </w:rPr>
            </w:pPr>
            <w:r w:rsidRPr="00D1795B">
              <w:rPr>
                <w:rFonts w:ascii="Times New Roman" w:eastAsia="Times New Roman" w:hAnsi="Times New Roman" w:cs="Times New Roman"/>
                <w:noProof/>
                <w:sz w:val="18"/>
                <w:szCs w:val="18"/>
                <w:lang w:val="en-GB"/>
              </w:rPr>
              <w:t>Defence Tax</w:t>
            </w:r>
          </w:p>
          <w:p w14:paraId="1887EADD" w14:textId="77777777" w:rsidR="00C02B59" w:rsidRPr="00D1795B" w:rsidRDefault="00C02B59" w:rsidP="00F54D83">
            <w:pPr>
              <w:pStyle w:val="ListParagraph"/>
              <w:numPr>
                <w:ilvl w:val="0"/>
                <w:numId w:val="26"/>
              </w:numPr>
              <w:spacing w:after="0" w:line="240" w:lineRule="auto"/>
              <w:jc w:val="both"/>
              <w:rPr>
                <w:rFonts w:ascii="Times New Roman" w:eastAsia="Times New Roman" w:hAnsi="Times New Roman" w:cs="Times New Roman"/>
                <w:noProof/>
                <w:sz w:val="18"/>
                <w:szCs w:val="18"/>
                <w:lang w:val="en-GB"/>
              </w:rPr>
            </w:pPr>
            <w:r w:rsidRPr="00D1795B">
              <w:rPr>
                <w:rFonts w:ascii="Times New Roman" w:eastAsia="Times New Roman" w:hAnsi="Times New Roman" w:cs="Times New Roman"/>
                <w:noProof/>
                <w:sz w:val="18"/>
                <w:szCs w:val="18"/>
                <w:lang w:val="en-GB"/>
              </w:rPr>
              <w:t>Submission Services for the Summary Information Table for Controlled Transactions</w:t>
            </w:r>
          </w:p>
          <w:p w14:paraId="1887EADE" w14:textId="77777777" w:rsidR="00C02B59" w:rsidRPr="00D1795B" w:rsidRDefault="00C02B59" w:rsidP="00F54D83">
            <w:pPr>
              <w:pStyle w:val="ListParagraph"/>
              <w:spacing w:after="0" w:line="240" w:lineRule="auto"/>
              <w:jc w:val="both"/>
              <w:rPr>
                <w:rFonts w:ascii="Times New Roman" w:eastAsia="Times New Roman" w:hAnsi="Times New Roman" w:cs="Times New Roman"/>
                <w:noProof/>
                <w:sz w:val="18"/>
                <w:szCs w:val="18"/>
                <w:lang w:val="en-GB"/>
              </w:rPr>
            </w:pPr>
          </w:p>
          <w:p w14:paraId="1887EADF" w14:textId="77777777" w:rsidR="00C02B59" w:rsidRPr="00D1795B" w:rsidRDefault="00C02B59" w:rsidP="00F54D83">
            <w:pPr>
              <w:spacing w:after="0" w:line="240" w:lineRule="auto"/>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Together with the following horizontal functionalities:</w:t>
            </w:r>
          </w:p>
          <w:p w14:paraId="1887EAE0" w14:textId="77777777" w:rsidR="00C02B59" w:rsidRPr="00D1795B" w:rsidRDefault="00C02B59" w:rsidP="00F54D83">
            <w:pPr>
              <w:pStyle w:val="ListParagraph"/>
              <w:numPr>
                <w:ilvl w:val="0"/>
                <w:numId w:val="28"/>
              </w:numPr>
              <w:spacing w:after="0" w:line="240" w:lineRule="auto"/>
              <w:jc w:val="both"/>
              <w:rPr>
                <w:rFonts w:ascii="Times New Roman" w:eastAsia="Times New Roman" w:hAnsi="Times New Roman" w:cs="Times New Roman"/>
                <w:noProof/>
                <w:sz w:val="18"/>
                <w:szCs w:val="18"/>
                <w:lang w:val="en-GB"/>
              </w:rPr>
            </w:pPr>
            <w:r w:rsidRPr="00D1795B">
              <w:rPr>
                <w:rFonts w:ascii="Times New Roman" w:eastAsia="Times New Roman" w:hAnsi="Times New Roman" w:cs="Times New Roman"/>
                <w:noProof/>
                <w:sz w:val="18"/>
                <w:szCs w:val="18"/>
                <w:lang w:val="en-GB"/>
              </w:rPr>
              <w:t xml:space="preserve">Online Registration to the Tax Registry of the Department </w:t>
            </w:r>
          </w:p>
          <w:p w14:paraId="1887EAE1" w14:textId="77777777" w:rsidR="00C02B59" w:rsidRPr="00D1795B" w:rsidRDefault="00C02B59" w:rsidP="00F54D83">
            <w:pPr>
              <w:pStyle w:val="ListParagraph"/>
              <w:numPr>
                <w:ilvl w:val="0"/>
                <w:numId w:val="28"/>
              </w:numPr>
              <w:spacing w:after="0" w:line="240" w:lineRule="auto"/>
              <w:jc w:val="both"/>
              <w:rPr>
                <w:rFonts w:ascii="Times New Roman" w:eastAsia="Times New Roman" w:hAnsi="Times New Roman" w:cs="Times New Roman"/>
                <w:noProof/>
                <w:sz w:val="18"/>
                <w:szCs w:val="18"/>
                <w:lang w:val="en-GB"/>
              </w:rPr>
            </w:pPr>
            <w:r w:rsidRPr="00D1795B">
              <w:rPr>
                <w:rFonts w:ascii="Times New Roman" w:eastAsia="Times New Roman" w:hAnsi="Times New Roman" w:cs="Times New Roman"/>
                <w:noProof/>
                <w:sz w:val="18"/>
                <w:szCs w:val="18"/>
                <w:lang w:val="en-GB"/>
              </w:rPr>
              <w:t>Tax Audit Operation Services,</w:t>
            </w:r>
          </w:p>
          <w:p w14:paraId="1887EAE2" w14:textId="77777777" w:rsidR="00C02B59" w:rsidRPr="00D1795B" w:rsidRDefault="00C02B59" w:rsidP="00F54D83">
            <w:pPr>
              <w:pStyle w:val="ListParagraph"/>
              <w:numPr>
                <w:ilvl w:val="0"/>
                <w:numId w:val="28"/>
              </w:numPr>
              <w:spacing w:after="0" w:line="240" w:lineRule="auto"/>
              <w:jc w:val="both"/>
              <w:rPr>
                <w:rFonts w:ascii="Times New Roman" w:eastAsia="Times New Roman" w:hAnsi="Times New Roman" w:cs="Times New Roman"/>
                <w:noProof/>
                <w:sz w:val="18"/>
                <w:szCs w:val="18"/>
                <w:lang w:val="en-GB"/>
              </w:rPr>
            </w:pPr>
            <w:r w:rsidRPr="00D1795B">
              <w:rPr>
                <w:rFonts w:ascii="Times New Roman" w:eastAsia="Times New Roman" w:hAnsi="Times New Roman" w:cs="Times New Roman"/>
                <w:noProof/>
                <w:sz w:val="18"/>
                <w:szCs w:val="18"/>
                <w:lang w:val="en-GB"/>
              </w:rPr>
              <w:t>Objections Services,</w:t>
            </w:r>
          </w:p>
          <w:p w14:paraId="1887EAE3" w14:textId="77777777" w:rsidR="00C02B59" w:rsidRPr="00D1795B" w:rsidRDefault="00C02B59" w:rsidP="00F54D83">
            <w:pPr>
              <w:pStyle w:val="ListParagraph"/>
              <w:numPr>
                <w:ilvl w:val="0"/>
                <w:numId w:val="28"/>
              </w:numPr>
              <w:spacing w:after="0" w:line="240" w:lineRule="auto"/>
              <w:jc w:val="both"/>
              <w:rPr>
                <w:rFonts w:ascii="Times New Roman" w:eastAsia="Times New Roman" w:hAnsi="Times New Roman" w:cs="Times New Roman"/>
                <w:noProof/>
                <w:sz w:val="18"/>
                <w:szCs w:val="18"/>
                <w:lang w:val="en-GB"/>
              </w:rPr>
            </w:pPr>
            <w:r w:rsidRPr="00D1795B">
              <w:rPr>
                <w:rFonts w:ascii="Times New Roman" w:eastAsia="Times New Roman" w:hAnsi="Times New Roman" w:cs="Times New Roman"/>
                <w:noProof/>
                <w:sz w:val="18"/>
                <w:szCs w:val="18"/>
                <w:lang w:val="en-GB"/>
              </w:rPr>
              <w:t>Cy Login Authentication Functionality,</w:t>
            </w:r>
          </w:p>
          <w:p w14:paraId="1887EAE4" w14:textId="77777777" w:rsidR="00C02B59" w:rsidRPr="00D1795B" w:rsidRDefault="00C02B59" w:rsidP="00F54D83">
            <w:pPr>
              <w:pStyle w:val="ListParagraph"/>
              <w:numPr>
                <w:ilvl w:val="0"/>
                <w:numId w:val="28"/>
              </w:numPr>
              <w:spacing w:after="0" w:line="240" w:lineRule="auto"/>
              <w:jc w:val="both"/>
              <w:rPr>
                <w:rFonts w:ascii="Times New Roman" w:eastAsia="Times New Roman" w:hAnsi="Times New Roman" w:cs="Times New Roman"/>
                <w:noProof/>
                <w:sz w:val="18"/>
                <w:szCs w:val="18"/>
                <w:lang w:val="en-GB"/>
              </w:rPr>
            </w:pPr>
            <w:r w:rsidRPr="00D1795B">
              <w:rPr>
                <w:rFonts w:ascii="Times New Roman" w:eastAsia="Times New Roman" w:hAnsi="Times New Roman" w:cs="Times New Roman"/>
                <w:noProof/>
                <w:sz w:val="18"/>
                <w:szCs w:val="18"/>
                <w:lang w:val="en-GB"/>
              </w:rPr>
              <w:t>Appeals Services.</w:t>
            </w:r>
          </w:p>
          <w:p w14:paraId="1887EAE5" w14:textId="77777777" w:rsidR="00C02B59" w:rsidRPr="00D1795B" w:rsidRDefault="00C02B59" w:rsidP="00F54D83">
            <w:pPr>
              <w:spacing w:after="0" w:line="240" w:lineRule="auto"/>
              <w:jc w:val="both"/>
              <w:rPr>
                <w:rFonts w:ascii="Times New Roman" w:eastAsia="Times New Roman" w:hAnsi="Times New Roman" w:cs="Times New Roman"/>
                <w:noProof/>
                <w:color w:val="D13438"/>
                <w:sz w:val="18"/>
                <w:szCs w:val="18"/>
              </w:rPr>
            </w:pPr>
          </w:p>
        </w:tc>
      </w:tr>
      <w:tr w:rsidR="00C02B59" w:rsidRPr="00D1795B" w14:paraId="1887EAF2" w14:textId="77777777" w:rsidTr="00F54D83">
        <w:trPr>
          <w:trHeight w:val="309"/>
        </w:trPr>
        <w:tc>
          <w:tcPr>
            <w:tcW w:w="1135" w:type="dxa"/>
            <w:shd w:val="clear" w:color="auto" w:fill="C1F0C7" w:themeFill="accent3" w:themeFillTint="33"/>
            <w:noWrap/>
          </w:tcPr>
          <w:p w14:paraId="1887EAE7"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209</w:t>
            </w:r>
          </w:p>
        </w:tc>
        <w:tc>
          <w:tcPr>
            <w:tcW w:w="1653" w:type="dxa"/>
            <w:shd w:val="clear" w:color="auto" w:fill="C1F0C7" w:themeFill="accent3" w:themeFillTint="33"/>
            <w:noWrap/>
          </w:tcPr>
          <w:p w14:paraId="1887EAE8"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C3.5R10 Addressing Aggressive Tax Planning</w:t>
            </w:r>
          </w:p>
        </w:tc>
        <w:tc>
          <w:tcPr>
            <w:tcW w:w="1063" w:type="dxa"/>
            <w:shd w:val="clear" w:color="auto" w:fill="C1F0C7" w:themeFill="accent3" w:themeFillTint="33"/>
            <w:noWrap/>
          </w:tcPr>
          <w:p w14:paraId="1887EAE9"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tcPr>
          <w:p w14:paraId="1887EAEA"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the law to tackle aggressive tax planning </w:t>
            </w:r>
          </w:p>
        </w:tc>
        <w:tc>
          <w:tcPr>
            <w:tcW w:w="1320" w:type="dxa"/>
            <w:shd w:val="clear" w:color="auto" w:fill="C1F0C7" w:themeFill="accent3" w:themeFillTint="33"/>
            <w:noWrap/>
          </w:tcPr>
          <w:p w14:paraId="1887EAEB"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Provision in the law indicating the entry into force of the law </w:t>
            </w:r>
          </w:p>
        </w:tc>
        <w:tc>
          <w:tcPr>
            <w:tcW w:w="1451" w:type="dxa"/>
            <w:shd w:val="clear" w:color="auto" w:fill="C1F0C7" w:themeFill="accent3" w:themeFillTint="33"/>
            <w:noWrap/>
          </w:tcPr>
          <w:p w14:paraId="1887EAEC"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88" w:type="dxa"/>
            <w:shd w:val="clear" w:color="auto" w:fill="C1F0C7" w:themeFill="accent3" w:themeFillTint="33"/>
            <w:noWrap/>
          </w:tcPr>
          <w:p w14:paraId="1887EAED"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8" w:type="dxa"/>
            <w:shd w:val="clear" w:color="auto" w:fill="C1F0C7" w:themeFill="accent3" w:themeFillTint="33"/>
            <w:noWrap/>
          </w:tcPr>
          <w:p w14:paraId="1887EAEE"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6" w:type="dxa"/>
            <w:shd w:val="clear" w:color="auto" w:fill="C1F0C7" w:themeFill="accent3" w:themeFillTint="33"/>
          </w:tcPr>
          <w:p w14:paraId="1887EAEF"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84" w:type="dxa"/>
            <w:shd w:val="clear" w:color="auto" w:fill="C1F0C7" w:themeFill="accent3" w:themeFillTint="33"/>
            <w:noWrap/>
          </w:tcPr>
          <w:p w14:paraId="1887EAF0"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260" w:type="dxa"/>
            <w:shd w:val="clear" w:color="auto" w:fill="C1F0C7" w:themeFill="accent3" w:themeFillTint="33"/>
          </w:tcPr>
          <w:p w14:paraId="1887EAF1"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a law to tackle aggressive tax planning by (a) imposing a withholding tax on interest, dividends and royalty payments to jurisdictions included in Annex I of the Council conclusions on the revised EU list of non-cooperative jurisdictions for tax purposes and (b) introduction of a further corporate tax residency test based on the incorporation of each entity. </w:t>
            </w:r>
          </w:p>
        </w:tc>
      </w:tr>
      <w:tr w:rsidR="00C02B59" w:rsidRPr="00D1795B" w14:paraId="1887EAFF" w14:textId="77777777" w:rsidTr="00F54D83">
        <w:trPr>
          <w:trHeight w:val="309"/>
        </w:trPr>
        <w:tc>
          <w:tcPr>
            <w:tcW w:w="1135" w:type="dxa"/>
            <w:shd w:val="clear" w:color="auto" w:fill="C1F0C7" w:themeFill="accent3" w:themeFillTint="33"/>
            <w:noWrap/>
          </w:tcPr>
          <w:p w14:paraId="1887EAF3"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210</w:t>
            </w:r>
          </w:p>
        </w:tc>
        <w:tc>
          <w:tcPr>
            <w:tcW w:w="1653" w:type="dxa"/>
            <w:shd w:val="clear" w:color="auto" w:fill="C1F0C7" w:themeFill="accent3" w:themeFillTint="33"/>
            <w:noWrap/>
          </w:tcPr>
          <w:p w14:paraId="1887EAF4"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C3.5R10 Addressing Aggressive Tax Planning</w:t>
            </w:r>
          </w:p>
        </w:tc>
        <w:tc>
          <w:tcPr>
            <w:tcW w:w="1063" w:type="dxa"/>
            <w:shd w:val="clear" w:color="auto" w:fill="C1F0C7" w:themeFill="accent3" w:themeFillTint="33"/>
            <w:noWrap/>
          </w:tcPr>
          <w:p w14:paraId="1887EAF5"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tcPr>
          <w:p w14:paraId="1887EAF6"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legal act(s) to tackle aggressive tax planning </w:t>
            </w:r>
          </w:p>
        </w:tc>
        <w:tc>
          <w:tcPr>
            <w:tcW w:w="1320" w:type="dxa"/>
            <w:shd w:val="clear" w:color="auto" w:fill="C1F0C7" w:themeFill="accent3" w:themeFillTint="33"/>
            <w:noWrap/>
          </w:tcPr>
          <w:p w14:paraId="1887EAF7"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legal act(s) </w:t>
            </w:r>
          </w:p>
        </w:tc>
        <w:tc>
          <w:tcPr>
            <w:tcW w:w="1451" w:type="dxa"/>
            <w:shd w:val="clear" w:color="auto" w:fill="C1F0C7" w:themeFill="accent3" w:themeFillTint="33"/>
            <w:noWrap/>
          </w:tcPr>
          <w:p w14:paraId="1887EAF8"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88" w:type="dxa"/>
            <w:shd w:val="clear" w:color="auto" w:fill="C1F0C7" w:themeFill="accent3" w:themeFillTint="33"/>
            <w:noWrap/>
          </w:tcPr>
          <w:p w14:paraId="1887EAF9"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8" w:type="dxa"/>
            <w:shd w:val="clear" w:color="auto" w:fill="C1F0C7" w:themeFill="accent3" w:themeFillTint="33"/>
            <w:noWrap/>
          </w:tcPr>
          <w:p w14:paraId="1887EAFA"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6" w:type="dxa"/>
            <w:shd w:val="clear" w:color="auto" w:fill="C1F0C7" w:themeFill="accent3" w:themeFillTint="33"/>
          </w:tcPr>
          <w:p w14:paraId="1887EAFB"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84" w:type="dxa"/>
            <w:shd w:val="clear" w:color="auto" w:fill="C1F0C7" w:themeFill="accent3" w:themeFillTint="33"/>
            <w:noWrap/>
          </w:tcPr>
          <w:p w14:paraId="1887EAFC"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260" w:type="dxa"/>
            <w:shd w:val="clear" w:color="auto" w:fill="C1F0C7" w:themeFill="accent3" w:themeFillTint="33"/>
          </w:tcPr>
          <w:p w14:paraId="1887EAFE" w14:textId="668322DC"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legal act(s) to introduce withholding tax on dividend payments to low tax jurisdictions and applying non-deductibility on interest and royalty payments to low tax jurisdictions. </w:t>
            </w:r>
          </w:p>
        </w:tc>
      </w:tr>
      <w:tr w:rsidR="00C02B59" w:rsidRPr="00D1795B" w14:paraId="1887EB0B" w14:textId="77777777" w:rsidTr="00F54D83">
        <w:trPr>
          <w:trHeight w:val="309"/>
        </w:trPr>
        <w:tc>
          <w:tcPr>
            <w:tcW w:w="1135" w:type="dxa"/>
            <w:shd w:val="clear" w:color="auto" w:fill="C1F0C7" w:themeFill="accent3" w:themeFillTint="33"/>
            <w:noWrap/>
          </w:tcPr>
          <w:p w14:paraId="1887EB00"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211</w:t>
            </w:r>
          </w:p>
        </w:tc>
        <w:tc>
          <w:tcPr>
            <w:tcW w:w="1653" w:type="dxa"/>
            <w:shd w:val="clear" w:color="auto" w:fill="C1F0C7" w:themeFill="accent3" w:themeFillTint="33"/>
            <w:noWrap/>
          </w:tcPr>
          <w:p w14:paraId="1887EB01"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C3.5R10 Addressing Aggressive Tax Planning</w:t>
            </w:r>
          </w:p>
        </w:tc>
        <w:tc>
          <w:tcPr>
            <w:tcW w:w="1063" w:type="dxa"/>
            <w:shd w:val="clear" w:color="auto" w:fill="C1F0C7" w:themeFill="accent3" w:themeFillTint="33"/>
            <w:noWrap/>
          </w:tcPr>
          <w:p w14:paraId="1887EB02"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63" w:type="dxa"/>
            <w:shd w:val="clear" w:color="auto" w:fill="C1F0C7" w:themeFill="accent3" w:themeFillTint="33"/>
            <w:noWrap/>
          </w:tcPr>
          <w:p w14:paraId="1887EB03"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legal act(s) addressing aggressive tax planning </w:t>
            </w:r>
          </w:p>
        </w:tc>
        <w:tc>
          <w:tcPr>
            <w:tcW w:w="1320" w:type="dxa"/>
            <w:shd w:val="clear" w:color="auto" w:fill="C1F0C7" w:themeFill="accent3" w:themeFillTint="33"/>
            <w:noWrap/>
          </w:tcPr>
          <w:p w14:paraId="1887EB04"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legal act(s) </w:t>
            </w:r>
          </w:p>
        </w:tc>
        <w:tc>
          <w:tcPr>
            <w:tcW w:w="1451" w:type="dxa"/>
            <w:shd w:val="clear" w:color="auto" w:fill="C1F0C7" w:themeFill="accent3" w:themeFillTint="33"/>
            <w:noWrap/>
          </w:tcPr>
          <w:p w14:paraId="1887EB05"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88" w:type="dxa"/>
            <w:shd w:val="clear" w:color="auto" w:fill="C1F0C7" w:themeFill="accent3" w:themeFillTint="33"/>
            <w:noWrap/>
          </w:tcPr>
          <w:p w14:paraId="1887EB06"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48" w:type="dxa"/>
            <w:shd w:val="clear" w:color="auto" w:fill="C1F0C7" w:themeFill="accent3" w:themeFillTint="33"/>
            <w:noWrap/>
          </w:tcPr>
          <w:p w14:paraId="1887EB07"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6" w:type="dxa"/>
            <w:shd w:val="clear" w:color="auto" w:fill="C1F0C7" w:themeFill="accent3" w:themeFillTint="33"/>
          </w:tcPr>
          <w:p w14:paraId="1887EB08"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84" w:type="dxa"/>
            <w:shd w:val="clear" w:color="auto" w:fill="C1F0C7" w:themeFill="accent3" w:themeFillTint="33"/>
            <w:noWrap/>
          </w:tcPr>
          <w:p w14:paraId="1887EB09"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260" w:type="dxa"/>
            <w:shd w:val="clear" w:color="auto" w:fill="C1F0C7" w:themeFill="accent3" w:themeFillTint="33"/>
          </w:tcPr>
          <w:p w14:paraId="1887EB0A"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 study shall assess the tax framework with respect to measures related to aggressive tax planning. Legal act(s) addressing aggressive tax planning based on the findings of this study shall enter into force.</w:t>
            </w:r>
          </w:p>
        </w:tc>
      </w:tr>
      <w:tr w:rsidR="00C02B59" w:rsidRPr="00D1795B" w14:paraId="1887EB1A" w14:textId="77777777" w:rsidTr="00F54D83">
        <w:trPr>
          <w:trHeight w:val="309"/>
        </w:trPr>
        <w:tc>
          <w:tcPr>
            <w:tcW w:w="1135" w:type="dxa"/>
            <w:shd w:val="clear" w:color="auto" w:fill="C1F0C7" w:themeFill="accent3" w:themeFillTint="33"/>
            <w:noWrap/>
          </w:tcPr>
          <w:p w14:paraId="1887EB0C"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212</w:t>
            </w:r>
          </w:p>
        </w:tc>
        <w:tc>
          <w:tcPr>
            <w:tcW w:w="1653" w:type="dxa"/>
            <w:shd w:val="clear" w:color="auto" w:fill="C1F0C7" w:themeFill="accent3" w:themeFillTint="33"/>
            <w:noWrap/>
          </w:tcPr>
          <w:p w14:paraId="1887EB0D"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C3.5I2 Modernisation of Customs and Electronic Payment System </w:t>
            </w:r>
          </w:p>
        </w:tc>
        <w:tc>
          <w:tcPr>
            <w:tcW w:w="1063" w:type="dxa"/>
            <w:shd w:val="clear" w:color="auto" w:fill="C1F0C7" w:themeFill="accent3" w:themeFillTint="33"/>
            <w:noWrap/>
          </w:tcPr>
          <w:p w14:paraId="1887EB0E"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463" w:type="dxa"/>
            <w:shd w:val="clear" w:color="auto" w:fill="C1F0C7" w:themeFill="accent3" w:themeFillTint="33"/>
            <w:noWrap/>
          </w:tcPr>
          <w:p w14:paraId="1887EB0F"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Putting into operation the information systems– envisaged under the Union Customs Code (UCC)</w:t>
            </w:r>
          </w:p>
        </w:tc>
        <w:tc>
          <w:tcPr>
            <w:tcW w:w="1320" w:type="dxa"/>
            <w:shd w:val="clear" w:color="auto" w:fill="C1F0C7" w:themeFill="accent3" w:themeFillTint="33"/>
            <w:noWrap/>
          </w:tcPr>
          <w:p w14:paraId="1887EB10"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451" w:type="dxa"/>
            <w:shd w:val="clear" w:color="auto" w:fill="C1F0C7" w:themeFill="accent3" w:themeFillTint="33"/>
            <w:noWrap/>
          </w:tcPr>
          <w:p w14:paraId="1887EB11"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1088" w:type="dxa"/>
            <w:shd w:val="clear" w:color="auto" w:fill="C1F0C7" w:themeFill="accent3" w:themeFillTint="33"/>
            <w:noWrap/>
          </w:tcPr>
          <w:p w14:paraId="1887EB12"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048" w:type="dxa"/>
            <w:shd w:val="clear" w:color="auto" w:fill="C1F0C7" w:themeFill="accent3" w:themeFillTint="33"/>
            <w:noWrap/>
          </w:tcPr>
          <w:p w14:paraId="1887EB13"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w:t>
            </w:r>
          </w:p>
        </w:tc>
        <w:tc>
          <w:tcPr>
            <w:tcW w:w="986" w:type="dxa"/>
            <w:shd w:val="clear" w:color="auto" w:fill="C1F0C7" w:themeFill="accent3" w:themeFillTint="33"/>
          </w:tcPr>
          <w:p w14:paraId="1887EB14"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84" w:type="dxa"/>
            <w:shd w:val="clear" w:color="auto" w:fill="C1F0C7" w:themeFill="accent3" w:themeFillTint="33"/>
            <w:noWrap/>
          </w:tcPr>
          <w:p w14:paraId="1887EB15"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260" w:type="dxa"/>
            <w:shd w:val="clear" w:color="auto" w:fill="C1F0C7" w:themeFill="accent3" w:themeFillTint="33"/>
          </w:tcPr>
          <w:p w14:paraId="1887EB16"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At least two of the following import-related information systems have been completed, installed, and put into operation: </w:t>
            </w:r>
          </w:p>
          <w:p w14:paraId="1887EB17"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1. Automated Export System </w:t>
            </w:r>
            <w:r w:rsidRPr="00D1795B">
              <w:rPr>
                <w:rFonts w:ascii="Times New Roman" w:hAnsi="Times New Roman" w:cs="Times New Roman"/>
                <w:noProof/>
                <w:sz w:val="18"/>
                <w:szCs w:val="18"/>
              </w:rPr>
              <w:br/>
              <w:t>2. New Computerised Transit System</w:t>
            </w:r>
            <w:r w:rsidRPr="00D1795B">
              <w:rPr>
                <w:rFonts w:ascii="Times New Roman" w:hAnsi="Times New Roman" w:cs="Times New Roman"/>
                <w:noProof/>
                <w:sz w:val="18"/>
                <w:szCs w:val="18"/>
              </w:rPr>
              <w:br/>
              <w:t xml:space="preserve">3. EU Single Window </w:t>
            </w:r>
            <w:r w:rsidRPr="00D1795B">
              <w:rPr>
                <w:rFonts w:ascii="Times New Roman" w:hAnsi="Times New Roman" w:cs="Times New Roman"/>
                <w:noProof/>
                <w:sz w:val="18"/>
                <w:szCs w:val="18"/>
              </w:rPr>
              <w:br/>
              <w:t xml:space="preserve">4. Union Customs Code </w:t>
            </w:r>
            <w:r w:rsidRPr="00D1795B">
              <w:rPr>
                <w:rFonts w:ascii="Times New Roman" w:hAnsi="Times New Roman" w:cs="Times New Roman"/>
                <w:noProof/>
                <w:sz w:val="18"/>
                <w:szCs w:val="18"/>
              </w:rPr>
              <w:br/>
              <w:t>5. Guarantee Management</w:t>
            </w:r>
          </w:p>
          <w:p w14:paraId="1887EB18"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6. Union Customs Code </w:t>
            </w:r>
            <w:r w:rsidRPr="00D1795B">
              <w:rPr>
                <w:rFonts w:ascii="Times New Roman" w:hAnsi="Times New Roman" w:cs="Times New Roman"/>
                <w:noProof/>
                <w:sz w:val="18"/>
                <w:szCs w:val="18"/>
              </w:rPr>
              <w:br/>
              <w:t xml:space="preserve">7. SURVEILLANCE 3 </w:t>
            </w:r>
            <w:r w:rsidRPr="00D1795B">
              <w:rPr>
                <w:rFonts w:ascii="Times New Roman" w:hAnsi="Times New Roman" w:cs="Times New Roman"/>
                <w:noProof/>
                <w:sz w:val="18"/>
                <w:szCs w:val="18"/>
              </w:rPr>
              <w:br/>
              <w:t xml:space="preserve">8. Union Customs Code - Import Control System 2 </w:t>
            </w:r>
            <w:r w:rsidRPr="00D1795B">
              <w:rPr>
                <w:rFonts w:ascii="Times New Roman" w:hAnsi="Times New Roman" w:cs="Times New Roman"/>
                <w:noProof/>
                <w:sz w:val="18"/>
                <w:szCs w:val="18"/>
              </w:rPr>
              <w:br/>
              <w:t xml:space="preserve">9. Import Applications under the Union Customs Code </w:t>
            </w:r>
            <w:r w:rsidRPr="00D1795B">
              <w:rPr>
                <w:rFonts w:ascii="Times New Roman" w:hAnsi="Times New Roman" w:cs="Times New Roman"/>
                <w:noProof/>
                <w:sz w:val="18"/>
                <w:szCs w:val="18"/>
              </w:rPr>
              <w:br/>
              <w:t xml:space="preserve">10. Customs Union Performance – Management Information System </w:t>
            </w:r>
            <w:r w:rsidRPr="00D1795B">
              <w:rPr>
                <w:rFonts w:ascii="Times New Roman" w:hAnsi="Times New Roman" w:cs="Times New Roman"/>
                <w:noProof/>
                <w:sz w:val="18"/>
                <w:szCs w:val="18"/>
              </w:rPr>
              <w:br/>
              <w:t xml:space="preserve">11. Union Customs Code Proof of Union Status </w:t>
            </w:r>
            <w:r w:rsidRPr="00D1795B">
              <w:rPr>
                <w:rFonts w:ascii="Times New Roman" w:hAnsi="Times New Roman" w:cs="Times New Roman"/>
                <w:noProof/>
                <w:sz w:val="18"/>
                <w:szCs w:val="18"/>
              </w:rPr>
              <w:br/>
              <w:t>12. Uniform User Management and Digital Signature</w:t>
            </w:r>
          </w:p>
          <w:p w14:paraId="1887EB19" w14:textId="77777777" w:rsidR="00C02B59" w:rsidRPr="00D1795B" w:rsidRDefault="00C02B59" w:rsidP="00F54D83">
            <w:pPr>
              <w:spacing w:after="0" w:line="240" w:lineRule="auto"/>
              <w:jc w:val="both"/>
              <w:rPr>
                <w:rFonts w:ascii="Times New Roman" w:hAnsi="Times New Roman" w:cs="Times New Roman"/>
                <w:noProof/>
                <w:sz w:val="18"/>
                <w:szCs w:val="18"/>
              </w:rPr>
            </w:pPr>
          </w:p>
        </w:tc>
      </w:tr>
      <w:tr w:rsidR="00C02B59" w:rsidRPr="00D1795B" w14:paraId="1887EB2F" w14:textId="77777777" w:rsidTr="00F54D83">
        <w:trPr>
          <w:trHeight w:val="309"/>
        </w:trPr>
        <w:tc>
          <w:tcPr>
            <w:tcW w:w="1135" w:type="dxa"/>
            <w:shd w:val="clear" w:color="auto" w:fill="C1F0C7" w:themeFill="accent3" w:themeFillTint="33"/>
            <w:noWrap/>
          </w:tcPr>
          <w:p w14:paraId="1887EB1B"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213</w:t>
            </w:r>
          </w:p>
        </w:tc>
        <w:tc>
          <w:tcPr>
            <w:tcW w:w="1653" w:type="dxa"/>
            <w:shd w:val="clear" w:color="auto" w:fill="C1F0C7" w:themeFill="accent3" w:themeFillTint="33"/>
            <w:noWrap/>
          </w:tcPr>
          <w:p w14:paraId="1887EB1C"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C3.5I2 Modernisation of Customs and Electronic Payment System </w:t>
            </w:r>
          </w:p>
        </w:tc>
        <w:tc>
          <w:tcPr>
            <w:tcW w:w="1063" w:type="dxa"/>
            <w:shd w:val="clear" w:color="auto" w:fill="C1F0C7" w:themeFill="accent3" w:themeFillTint="33"/>
            <w:noWrap/>
          </w:tcPr>
          <w:p w14:paraId="1887EB1D"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463" w:type="dxa"/>
            <w:shd w:val="clear" w:color="auto" w:fill="C1F0C7" w:themeFill="accent3" w:themeFillTint="33"/>
            <w:noWrap/>
          </w:tcPr>
          <w:p w14:paraId="1887EB1E"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Information systems or functionalities</w:t>
            </w:r>
          </w:p>
        </w:tc>
        <w:tc>
          <w:tcPr>
            <w:tcW w:w="1320" w:type="dxa"/>
            <w:shd w:val="clear" w:color="auto" w:fill="C1F0C7" w:themeFill="accent3" w:themeFillTint="33"/>
            <w:noWrap/>
          </w:tcPr>
          <w:p w14:paraId="1887EB1F" w14:textId="77777777" w:rsidR="00C02B59" w:rsidRPr="00D1795B" w:rsidRDefault="00C02B59" w:rsidP="00F54D83">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451" w:type="dxa"/>
            <w:shd w:val="clear" w:color="auto" w:fill="C1F0C7" w:themeFill="accent3" w:themeFillTint="33"/>
            <w:noWrap/>
          </w:tcPr>
          <w:p w14:paraId="1887EB20"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1088" w:type="dxa"/>
            <w:shd w:val="clear" w:color="auto" w:fill="C1F0C7" w:themeFill="accent3" w:themeFillTint="33"/>
            <w:noWrap/>
          </w:tcPr>
          <w:p w14:paraId="1887EB21"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w:t>
            </w:r>
          </w:p>
        </w:tc>
        <w:tc>
          <w:tcPr>
            <w:tcW w:w="1048" w:type="dxa"/>
            <w:shd w:val="clear" w:color="auto" w:fill="C1F0C7" w:themeFill="accent3" w:themeFillTint="33"/>
            <w:noWrap/>
          </w:tcPr>
          <w:p w14:paraId="1887EB22"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11</w:t>
            </w:r>
          </w:p>
        </w:tc>
        <w:tc>
          <w:tcPr>
            <w:tcW w:w="986" w:type="dxa"/>
            <w:shd w:val="clear" w:color="auto" w:fill="C1F0C7" w:themeFill="accent3" w:themeFillTint="33"/>
          </w:tcPr>
          <w:p w14:paraId="1887EB23"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84" w:type="dxa"/>
            <w:shd w:val="clear" w:color="auto" w:fill="C1F0C7" w:themeFill="accent3" w:themeFillTint="33"/>
            <w:noWrap/>
          </w:tcPr>
          <w:p w14:paraId="1887EB24" w14:textId="77777777" w:rsidR="00C02B59" w:rsidRPr="00D1795B" w:rsidRDefault="00C02B59" w:rsidP="00F54D83">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260" w:type="dxa"/>
            <w:shd w:val="clear" w:color="auto" w:fill="C1F0C7" w:themeFill="accent3" w:themeFillTint="33"/>
          </w:tcPr>
          <w:p w14:paraId="1887EB25" w14:textId="77777777" w:rsidR="00C02B59" w:rsidRPr="00D1795B" w:rsidRDefault="00C02B59" w:rsidP="00F54D83">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Acceptance Certificates shall be issued on the following:</w:t>
            </w:r>
          </w:p>
          <w:p w14:paraId="1887EB26" w14:textId="77777777" w:rsidR="00C02B59" w:rsidRPr="00D1795B" w:rsidRDefault="00C02B59" w:rsidP="00F54D83">
            <w:pPr>
              <w:pStyle w:val="ListParagraph"/>
              <w:numPr>
                <w:ilvl w:val="0"/>
                <w:numId w:val="29"/>
              </w:numPr>
              <w:spacing w:after="0" w:line="240" w:lineRule="auto"/>
              <w:jc w:val="both"/>
              <w:rPr>
                <w:rFonts w:ascii="Times New Roman" w:eastAsia="Times New Roman" w:hAnsi="Times New Roman" w:cs="Times New Roman"/>
                <w:noProof/>
                <w:sz w:val="18"/>
                <w:szCs w:val="18"/>
                <w:lang w:val="en-GB"/>
              </w:rPr>
            </w:pPr>
            <w:r w:rsidRPr="00D1795B">
              <w:rPr>
                <w:rFonts w:ascii="Times New Roman" w:eastAsia="Times New Roman" w:hAnsi="Times New Roman" w:cs="Times New Roman"/>
                <w:noProof/>
                <w:sz w:val="18"/>
                <w:szCs w:val="18"/>
                <w:lang w:val="en-GB"/>
              </w:rPr>
              <w:t>New Computerised Transit System</w:t>
            </w:r>
          </w:p>
          <w:p w14:paraId="1887EB27" w14:textId="77777777" w:rsidR="00C02B59" w:rsidRPr="00D1795B" w:rsidRDefault="00C02B59" w:rsidP="00F54D83">
            <w:pPr>
              <w:pStyle w:val="ListParagraph"/>
              <w:numPr>
                <w:ilvl w:val="0"/>
                <w:numId w:val="29"/>
              </w:numPr>
              <w:spacing w:after="0" w:line="240" w:lineRule="auto"/>
              <w:jc w:val="both"/>
              <w:rPr>
                <w:rFonts w:ascii="Times New Roman" w:eastAsia="Times New Roman" w:hAnsi="Times New Roman" w:cs="Times New Roman"/>
                <w:noProof/>
                <w:sz w:val="18"/>
                <w:szCs w:val="18"/>
                <w:lang w:val="en-GB"/>
              </w:rPr>
            </w:pPr>
            <w:r w:rsidRPr="00D1795B">
              <w:rPr>
                <w:rFonts w:ascii="Times New Roman" w:eastAsia="Times New Roman" w:hAnsi="Times New Roman" w:cs="Times New Roman"/>
                <w:noProof/>
                <w:sz w:val="18"/>
                <w:szCs w:val="18"/>
                <w:lang w:val="en-GB"/>
              </w:rPr>
              <w:t>EU Single Window</w:t>
            </w:r>
          </w:p>
          <w:p w14:paraId="1887EB28" w14:textId="77777777" w:rsidR="00C02B59" w:rsidRPr="00D1795B" w:rsidRDefault="00C02B59" w:rsidP="00F54D83">
            <w:pPr>
              <w:pStyle w:val="ListParagraph"/>
              <w:numPr>
                <w:ilvl w:val="0"/>
                <w:numId w:val="29"/>
              </w:numPr>
              <w:spacing w:after="0" w:line="240" w:lineRule="auto"/>
              <w:jc w:val="both"/>
              <w:rPr>
                <w:rFonts w:ascii="Times New Roman" w:eastAsia="Times New Roman" w:hAnsi="Times New Roman" w:cs="Times New Roman"/>
                <w:noProof/>
                <w:sz w:val="18"/>
                <w:szCs w:val="18"/>
                <w:lang w:val="en-GB"/>
              </w:rPr>
            </w:pPr>
            <w:r w:rsidRPr="00D1795B">
              <w:rPr>
                <w:rFonts w:ascii="Times New Roman" w:eastAsia="Times New Roman" w:hAnsi="Times New Roman" w:cs="Times New Roman"/>
                <w:noProof/>
                <w:sz w:val="18"/>
                <w:szCs w:val="18"/>
                <w:lang w:val="en-GB"/>
              </w:rPr>
              <w:t>Automated Import System (AIS)</w:t>
            </w:r>
          </w:p>
          <w:p w14:paraId="1887EB29" w14:textId="77777777" w:rsidR="00C02B59" w:rsidRPr="00D1795B" w:rsidRDefault="00C02B59" w:rsidP="00F54D83">
            <w:pPr>
              <w:pStyle w:val="ListParagraph"/>
              <w:numPr>
                <w:ilvl w:val="0"/>
                <w:numId w:val="29"/>
              </w:numPr>
              <w:spacing w:after="0" w:line="240" w:lineRule="auto"/>
              <w:jc w:val="both"/>
              <w:rPr>
                <w:rFonts w:ascii="Times New Roman" w:eastAsia="Times New Roman" w:hAnsi="Times New Roman" w:cs="Times New Roman"/>
                <w:noProof/>
                <w:sz w:val="18"/>
                <w:szCs w:val="18"/>
                <w:lang w:val="en-GB"/>
              </w:rPr>
            </w:pPr>
            <w:r w:rsidRPr="00D1795B">
              <w:rPr>
                <w:rFonts w:ascii="Times New Roman" w:eastAsia="Times New Roman" w:hAnsi="Times New Roman" w:cs="Times New Roman"/>
                <w:noProof/>
                <w:sz w:val="18"/>
                <w:szCs w:val="18"/>
                <w:lang w:val="en-GB"/>
              </w:rPr>
              <w:t>The Union Customs Code – Special Procedures for Import</w:t>
            </w:r>
            <w:r w:rsidRPr="00D1795B">
              <w:rPr>
                <w:rFonts w:ascii="Times New Roman" w:hAnsi="Times New Roman" w:cs="Times New Roman"/>
                <w:noProof/>
                <w:sz w:val="18"/>
                <w:szCs w:val="18"/>
                <w:lang w:val="en-GB"/>
              </w:rPr>
              <w:t xml:space="preserve"> and </w:t>
            </w:r>
            <w:r w:rsidRPr="00D1795B">
              <w:rPr>
                <w:rFonts w:ascii="Times New Roman" w:eastAsia="Times New Roman" w:hAnsi="Times New Roman" w:cs="Times New Roman"/>
                <w:noProof/>
                <w:sz w:val="18"/>
                <w:szCs w:val="18"/>
                <w:lang w:val="en-GB"/>
              </w:rPr>
              <w:t>Export</w:t>
            </w:r>
          </w:p>
          <w:p w14:paraId="1887EB2A" w14:textId="77777777" w:rsidR="00C02B59" w:rsidRPr="00D1795B" w:rsidRDefault="00C02B59" w:rsidP="00F54D83">
            <w:pPr>
              <w:pStyle w:val="ListParagraph"/>
              <w:numPr>
                <w:ilvl w:val="0"/>
                <w:numId w:val="29"/>
              </w:numPr>
              <w:spacing w:after="0" w:line="240" w:lineRule="auto"/>
              <w:jc w:val="both"/>
              <w:rPr>
                <w:rFonts w:ascii="Times New Roman" w:eastAsia="Times New Roman" w:hAnsi="Times New Roman" w:cs="Times New Roman"/>
                <w:noProof/>
                <w:sz w:val="18"/>
                <w:szCs w:val="18"/>
                <w:lang w:val="en-GB"/>
              </w:rPr>
            </w:pPr>
            <w:r w:rsidRPr="00D1795B">
              <w:rPr>
                <w:rFonts w:ascii="Times New Roman" w:eastAsia="Times New Roman" w:hAnsi="Times New Roman" w:cs="Times New Roman"/>
                <w:noProof/>
                <w:sz w:val="18"/>
                <w:szCs w:val="18"/>
                <w:lang w:val="en-GB"/>
              </w:rPr>
              <w:t>SURVEILLANCE 3</w:t>
            </w:r>
          </w:p>
          <w:p w14:paraId="1887EB2B" w14:textId="77777777" w:rsidR="00C02B59" w:rsidRPr="00D1795B" w:rsidRDefault="00C02B59" w:rsidP="00F54D83">
            <w:pPr>
              <w:pStyle w:val="ListParagraph"/>
              <w:numPr>
                <w:ilvl w:val="0"/>
                <w:numId w:val="29"/>
              </w:numPr>
              <w:spacing w:after="0" w:line="240" w:lineRule="auto"/>
              <w:jc w:val="both"/>
              <w:rPr>
                <w:rFonts w:ascii="Times New Roman" w:eastAsia="Times New Roman" w:hAnsi="Times New Roman" w:cs="Times New Roman"/>
                <w:noProof/>
                <w:sz w:val="18"/>
                <w:szCs w:val="18"/>
                <w:lang w:val="en-GB"/>
              </w:rPr>
            </w:pPr>
            <w:r w:rsidRPr="00D1795B">
              <w:rPr>
                <w:rFonts w:ascii="Times New Roman" w:eastAsia="Times New Roman" w:hAnsi="Times New Roman" w:cs="Times New Roman"/>
                <w:noProof/>
                <w:sz w:val="18"/>
                <w:szCs w:val="18"/>
                <w:lang w:val="en-GB"/>
              </w:rPr>
              <w:t>Centralized Clearance for Import Applications under the Union Customs Code</w:t>
            </w:r>
          </w:p>
          <w:p w14:paraId="1887EB2C" w14:textId="77777777" w:rsidR="00C02B59" w:rsidRPr="00D1795B" w:rsidRDefault="00C02B59" w:rsidP="00F54D83">
            <w:pPr>
              <w:pStyle w:val="ListParagraph"/>
              <w:numPr>
                <w:ilvl w:val="0"/>
                <w:numId w:val="29"/>
              </w:numPr>
              <w:spacing w:after="0" w:line="240" w:lineRule="auto"/>
              <w:jc w:val="both"/>
              <w:rPr>
                <w:rFonts w:ascii="Times New Roman" w:eastAsia="Times New Roman" w:hAnsi="Times New Roman" w:cs="Times New Roman"/>
                <w:noProof/>
                <w:sz w:val="18"/>
                <w:szCs w:val="18"/>
                <w:lang w:val="en-GB"/>
              </w:rPr>
            </w:pPr>
            <w:r w:rsidRPr="00D1795B">
              <w:rPr>
                <w:rFonts w:ascii="Times New Roman" w:eastAsia="Times New Roman" w:hAnsi="Times New Roman" w:cs="Times New Roman"/>
                <w:noProof/>
                <w:sz w:val="18"/>
                <w:szCs w:val="18"/>
                <w:lang w:val="en-GB"/>
              </w:rPr>
              <w:t>Customs Union Performance – Management Information System</w:t>
            </w:r>
          </w:p>
          <w:p w14:paraId="1887EB2D" w14:textId="77777777" w:rsidR="00C02B59" w:rsidRPr="00D1795B" w:rsidRDefault="00C02B59" w:rsidP="00F54D83">
            <w:pPr>
              <w:pStyle w:val="ListParagraph"/>
              <w:numPr>
                <w:ilvl w:val="0"/>
                <w:numId w:val="29"/>
              </w:numPr>
              <w:spacing w:after="0" w:line="240" w:lineRule="auto"/>
              <w:jc w:val="both"/>
              <w:rPr>
                <w:rFonts w:ascii="Times New Roman" w:eastAsia="Times New Roman" w:hAnsi="Times New Roman" w:cs="Times New Roman"/>
                <w:noProof/>
                <w:sz w:val="18"/>
                <w:szCs w:val="18"/>
                <w:lang w:val="en-GB"/>
              </w:rPr>
            </w:pPr>
            <w:r w:rsidRPr="00D1795B">
              <w:rPr>
                <w:rFonts w:ascii="Times New Roman" w:eastAsia="Times New Roman" w:hAnsi="Times New Roman" w:cs="Times New Roman"/>
                <w:noProof/>
                <w:sz w:val="18"/>
                <w:szCs w:val="18"/>
                <w:lang w:val="en-GB"/>
              </w:rPr>
              <w:t>Union Customs Code Proof of Union Status</w:t>
            </w:r>
          </w:p>
          <w:p w14:paraId="1887EB2E" w14:textId="77777777" w:rsidR="00C02B59" w:rsidRPr="00D1795B" w:rsidRDefault="00C02B59" w:rsidP="00F54D83">
            <w:pPr>
              <w:pStyle w:val="ListParagraph"/>
              <w:numPr>
                <w:ilvl w:val="0"/>
                <w:numId w:val="29"/>
              </w:numPr>
              <w:spacing w:after="0" w:line="240" w:lineRule="auto"/>
              <w:jc w:val="both"/>
              <w:rPr>
                <w:rFonts w:ascii="Times New Roman" w:hAnsi="Times New Roman" w:cs="Times New Roman"/>
                <w:noProof/>
                <w:sz w:val="18"/>
                <w:szCs w:val="18"/>
                <w:lang w:val="en-GB"/>
              </w:rPr>
            </w:pPr>
            <w:r w:rsidRPr="00D1795B">
              <w:rPr>
                <w:rFonts w:ascii="Times New Roman" w:eastAsia="Times New Roman" w:hAnsi="Times New Roman" w:cs="Times New Roman"/>
                <w:noProof/>
                <w:sz w:val="18"/>
                <w:szCs w:val="18"/>
                <w:lang w:val="en-GB"/>
              </w:rPr>
              <w:t>The Uniform User Management and Digital Signature system</w:t>
            </w:r>
          </w:p>
        </w:tc>
      </w:tr>
    </w:tbl>
    <w:p w14:paraId="1887EB30" w14:textId="7E5B2DAD" w:rsidR="00C02B59" w:rsidRPr="00D1795B" w:rsidRDefault="00F54D83">
      <w:pPr>
        <w:rPr>
          <w:noProof/>
        </w:rPr>
      </w:pPr>
      <w:r>
        <w:rPr>
          <w:noProof/>
        </w:rPr>
        <w:br w:type="textWrapping" w:clear="all"/>
      </w:r>
    </w:p>
    <w:p w14:paraId="1887EB31" w14:textId="77777777" w:rsidR="00C02B59" w:rsidRPr="00D1795B" w:rsidRDefault="00C02B59">
      <w:pPr>
        <w:rPr>
          <w:noProof/>
        </w:rPr>
        <w:sectPr w:rsidR="00C02B59" w:rsidRPr="00D1795B" w:rsidSect="00C02B59">
          <w:headerReference w:type="even" r:id="rId119"/>
          <w:headerReference w:type="default" r:id="rId120"/>
          <w:footerReference w:type="even" r:id="rId121"/>
          <w:footerReference w:type="default" r:id="rId122"/>
          <w:headerReference w:type="first" r:id="rId123"/>
          <w:footerReference w:type="first" r:id="rId124"/>
          <w:pgSz w:w="15840" w:h="12240" w:orient="landscape"/>
          <w:pgMar w:top="1134" w:right="1134" w:bottom="1134" w:left="1134" w:header="567" w:footer="567" w:gutter="0"/>
          <w:cols w:space="720"/>
          <w:docGrid w:linePitch="360"/>
        </w:sectPr>
      </w:pPr>
    </w:p>
    <w:p w14:paraId="1887EB32" w14:textId="77777777" w:rsidR="00C02B59" w:rsidRPr="00D1795B" w:rsidRDefault="00C02B59" w:rsidP="00C02B59">
      <w:pPr>
        <w:keepNext/>
        <w:tabs>
          <w:tab w:val="left" w:pos="850"/>
        </w:tabs>
        <w:spacing w:before="360" w:after="120" w:line="240" w:lineRule="auto"/>
        <w:jc w:val="both"/>
        <w:outlineLvl w:val="0"/>
        <w:rPr>
          <w:rFonts w:ascii="Times New Roman" w:hAnsi="Times New Roman"/>
          <w:b/>
          <w:bCs/>
          <w:smallCaps/>
          <w:noProof/>
        </w:rPr>
      </w:pPr>
      <w:r w:rsidRPr="00D1795B">
        <w:rPr>
          <w:rFonts w:ascii="Times New Roman" w:hAnsi="Times New Roman"/>
          <w:b/>
          <w:bCs/>
          <w:smallCaps/>
          <w:noProof/>
        </w:rPr>
        <w:t xml:space="preserve">J. </w:t>
      </w:r>
      <w:r w:rsidRPr="00D1795B">
        <w:rPr>
          <w:rFonts w:ascii="Times New Roman" w:hAnsi="Times New Roman"/>
          <w:b/>
          <w:smallCaps/>
          <w:noProof/>
        </w:rPr>
        <w:t>COMPO</w:t>
      </w:r>
      <w:r w:rsidRPr="00D1795B">
        <w:rPr>
          <w:rFonts w:ascii="Times New Roman" w:hAnsi="Times New Roman"/>
          <w:b/>
          <w:bCs/>
          <w:smallCaps/>
          <w:noProof/>
        </w:rPr>
        <w:t xml:space="preserve">NENT 4.1: </w:t>
      </w:r>
      <w:r w:rsidRPr="00D1795B">
        <w:rPr>
          <w:rFonts w:ascii="Times New Roman" w:hAnsi="Times New Roman"/>
          <w:b/>
          <w:noProof/>
        </w:rPr>
        <w:t xml:space="preserve">Upgrade </w:t>
      </w:r>
      <w:r w:rsidRPr="00D1795B">
        <w:rPr>
          <w:rFonts w:ascii="Times New Roman" w:hAnsi="Times New Roman"/>
          <w:b/>
          <w:bCs/>
          <w:noProof/>
        </w:rPr>
        <w:t>infrastructure for connectivity</w:t>
      </w:r>
    </w:p>
    <w:p w14:paraId="1887EB33"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 xml:space="preserve">This component of the Cypriot recovery and resilience plan contributes to addressing infrastructure challenges in the area of data connectivity, in particular in rural areas, with a view to narrowing the rural-urban divide, as well as differences along gender, age, income and education. </w:t>
      </w:r>
    </w:p>
    <w:p w14:paraId="1887EB34"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 xml:space="preserve">The objective of the component is to enhance access to communication infrastructure for all citizens, thus bridging the digital divide and supporting an inclusive digital transformation. </w:t>
      </w:r>
    </w:p>
    <w:p w14:paraId="1887EB35"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 xml:space="preserve">The component addresses the country-specific recommendation on investment in the digital transition and the digitalisation (Country-Specific Recommendation 4 of 2019 and Country-Specific Recommendation 3 of 2020). </w:t>
      </w:r>
    </w:p>
    <w:p w14:paraId="1887EB36" w14:textId="77777777" w:rsidR="00C02B59" w:rsidRPr="00D1795B" w:rsidRDefault="00C02B59" w:rsidP="00C02B59">
      <w:pPr>
        <w:pStyle w:val="Text1"/>
        <w:spacing w:line="278" w:lineRule="auto"/>
        <w:ind w:left="0"/>
        <w:rPr>
          <w:i/>
          <w:iCs/>
          <w:noProof/>
          <w:lang w:val="en-GB"/>
        </w:rPr>
      </w:pPr>
      <w:r w:rsidRPr="00D1795B">
        <w:rPr>
          <w:noProof/>
          <w:lang w:val="en-GB"/>
        </w:rPr>
        <w:t>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887EB37" w14:textId="77777777" w:rsidR="00C02B59" w:rsidRPr="00D1795B" w:rsidRDefault="00C02B59" w:rsidP="00C02B59">
      <w:pPr>
        <w:spacing w:before="120" w:after="120" w:line="240" w:lineRule="auto"/>
        <w:jc w:val="both"/>
        <w:rPr>
          <w:rFonts w:ascii="Times New Roman" w:hAnsi="Times New Roman"/>
          <w:b/>
          <w:noProof/>
          <w:u w:val="single"/>
        </w:rPr>
      </w:pPr>
    </w:p>
    <w:p w14:paraId="1887EB38" w14:textId="77777777" w:rsidR="00C02B59" w:rsidRPr="00D1795B" w:rsidRDefault="00C02B59" w:rsidP="00C02B59">
      <w:pPr>
        <w:spacing w:before="120" w:after="120" w:line="240" w:lineRule="auto"/>
        <w:jc w:val="both"/>
        <w:rPr>
          <w:rFonts w:ascii="Times New Roman" w:hAnsi="Times New Roman"/>
          <w:b/>
          <w:i/>
          <w:noProof/>
          <w:u w:val="single"/>
        </w:rPr>
      </w:pPr>
      <w:r w:rsidRPr="00D1795B">
        <w:rPr>
          <w:rFonts w:ascii="Times New Roman" w:hAnsi="Times New Roman"/>
          <w:b/>
          <w:noProof/>
          <w:u w:val="single"/>
        </w:rPr>
        <w:t xml:space="preserve">J.1. </w:t>
      </w:r>
      <w:r w:rsidRPr="00D1795B">
        <w:rPr>
          <w:noProof/>
        </w:rPr>
        <w:tab/>
      </w:r>
      <w:r w:rsidRPr="00D1795B">
        <w:rPr>
          <w:rFonts w:ascii="Times New Roman" w:hAnsi="Times New Roman"/>
          <w:b/>
          <w:noProof/>
          <w:u w:val="single"/>
        </w:rPr>
        <w:t>Description of the reforms and investments for non-repayable financial support</w:t>
      </w:r>
    </w:p>
    <w:p w14:paraId="1887EB39"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Reform 1 (C4.1R1): Empower the National Regulatory Authority (OCECPR)</w:t>
      </w:r>
    </w:p>
    <w:p w14:paraId="1887EB3A" w14:textId="77777777" w:rsidR="00C02B59" w:rsidRPr="00D1795B" w:rsidRDefault="00C02B59" w:rsidP="00C02B59">
      <w:pPr>
        <w:spacing w:before="120" w:after="120" w:line="278" w:lineRule="auto"/>
        <w:jc w:val="both"/>
        <w:rPr>
          <w:rFonts w:ascii="Times New Roman" w:hAnsi="Times New Roman" w:cs="Times New Roman"/>
          <w:noProof/>
        </w:rPr>
      </w:pPr>
      <w:r w:rsidRPr="00D1795B">
        <w:rPr>
          <w:rFonts w:ascii="Times New Roman" w:hAnsi="Times New Roman" w:cs="Times New Roman"/>
          <w:noProof/>
        </w:rPr>
        <w:t>The objective of this reform is to facilitate broadband connectivity in Cyprus.</w:t>
      </w:r>
    </w:p>
    <w:p w14:paraId="1887EB3B" w14:textId="77777777" w:rsidR="00C02B59" w:rsidRPr="00D1795B" w:rsidRDefault="00C02B59" w:rsidP="00C02B59">
      <w:pPr>
        <w:spacing w:before="120" w:after="120" w:line="278" w:lineRule="auto"/>
        <w:jc w:val="both"/>
        <w:rPr>
          <w:rFonts w:ascii="Times New Roman" w:hAnsi="Times New Roman" w:cs="Times New Roman"/>
          <w:noProof/>
        </w:rPr>
      </w:pPr>
      <w:r w:rsidRPr="00D1795B">
        <w:rPr>
          <w:rFonts w:ascii="Times New Roman" w:hAnsi="Times New Roman" w:cs="Times New Roman"/>
          <w:noProof/>
        </w:rPr>
        <w:t xml:space="preserve">This measure consists in enabling the Office of the Commissioner of Electronic Communications and Postal Regulation (OCECPR) to collect and publish geographical data on electronic communication networks. </w:t>
      </w:r>
    </w:p>
    <w:p w14:paraId="1887EB3C" w14:textId="77777777" w:rsidR="00C02B59" w:rsidRPr="00D1795B" w:rsidRDefault="00C02B59" w:rsidP="00C02B59">
      <w:pPr>
        <w:spacing w:before="120" w:after="120" w:line="240" w:lineRule="auto"/>
        <w:jc w:val="both"/>
        <w:rPr>
          <w:rFonts w:ascii="Times New Roman" w:hAnsi="Times New Roman" w:cs="Times New Roman"/>
          <w:noProof/>
        </w:rPr>
      </w:pPr>
    </w:p>
    <w:p w14:paraId="1887EB3D"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u w:val="single"/>
        </w:rPr>
        <w:t>Reform 2 (C4.1R2): Simplification of the administrative procedures for the deployment of VHCN</w:t>
      </w:r>
      <w:r w:rsidRPr="00D1795B">
        <w:rPr>
          <w:rFonts w:ascii="Times New Roman" w:hAnsi="Times New Roman" w:cs="Times New Roman"/>
          <w:noProof/>
        </w:rPr>
        <w:t xml:space="preserve"> </w:t>
      </w:r>
    </w:p>
    <w:p w14:paraId="1887EB3E"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The objective of this reform is to facilitate the build-up of Very High Capacity Networks (VHCN) infrastructure.</w:t>
      </w:r>
    </w:p>
    <w:p w14:paraId="1887EB3F" w14:textId="77777777" w:rsidR="00C02B59" w:rsidRPr="00D1795B" w:rsidDel="00AF79D0"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The reform consists in the entry into force of administrative acts for the deployment of very high capacity networks.</w:t>
      </w:r>
    </w:p>
    <w:p w14:paraId="1887EB40" w14:textId="77777777" w:rsidR="00C02B59" w:rsidRPr="00D1795B" w:rsidRDefault="00C02B59" w:rsidP="00C02B59">
      <w:pPr>
        <w:spacing w:before="120" w:after="120" w:line="240" w:lineRule="auto"/>
        <w:jc w:val="both"/>
        <w:rPr>
          <w:rFonts w:ascii="Times New Roman" w:hAnsi="Times New Roman" w:cs="Times New Roman"/>
          <w:noProof/>
        </w:rPr>
      </w:pPr>
    </w:p>
    <w:p w14:paraId="1887EB41" w14:textId="77777777" w:rsidR="00C02B59" w:rsidRPr="00D1795B" w:rsidRDefault="00C02B59" w:rsidP="00C02B59">
      <w:pPr>
        <w:keepNext/>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Investment 1 (C4.1I1): Expansion of Very High-Capacity Networks in underserved areas</w:t>
      </w:r>
    </w:p>
    <w:p w14:paraId="1887EB42"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 xml:space="preserve">The objective of this investment is to expand VHCN, addressing territorial disparities of broadband availability. </w:t>
      </w:r>
    </w:p>
    <w:p w14:paraId="1887EB43"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This measure consists in supporting investment in VHCN in areas of no interest to private investors.</w:t>
      </w:r>
    </w:p>
    <w:p w14:paraId="1887EB44" w14:textId="77777777" w:rsidR="00C02B59" w:rsidRPr="00D1795B" w:rsidRDefault="00C02B59" w:rsidP="00C02B59">
      <w:pPr>
        <w:spacing w:before="120" w:after="120" w:line="240" w:lineRule="auto"/>
        <w:jc w:val="both"/>
        <w:rPr>
          <w:rFonts w:ascii="Times New Roman" w:hAnsi="Times New Roman" w:cs="Times New Roman"/>
          <w:noProof/>
        </w:rPr>
      </w:pPr>
    </w:p>
    <w:p w14:paraId="1887EB45"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Investment 2 (C4.1I2): Upgrade internet connection to be “Gigabit-ready” and support connectivity take-up</w:t>
      </w:r>
    </w:p>
    <w:p w14:paraId="1887EB46"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The objective of this investment is to encourage the widespread take-up of VHCN.</w:t>
      </w:r>
    </w:p>
    <w:p w14:paraId="1887EB47"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cs="Times New Roman"/>
          <w:noProof/>
        </w:rPr>
        <w:t xml:space="preserve">This measure consists in vouchers for higher capacity internet connections. </w:t>
      </w:r>
    </w:p>
    <w:p w14:paraId="1887EB48" w14:textId="77777777" w:rsidR="00C02B59" w:rsidRPr="00D1795B" w:rsidRDefault="00C02B59" w:rsidP="00C02B59">
      <w:pPr>
        <w:rPr>
          <w:noProof/>
        </w:rPr>
        <w:sectPr w:rsidR="00C02B59" w:rsidRPr="00D1795B" w:rsidSect="00C02B59">
          <w:headerReference w:type="even" r:id="rId125"/>
          <w:headerReference w:type="default" r:id="rId126"/>
          <w:footerReference w:type="even" r:id="rId127"/>
          <w:footerReference w:type="default" r:id="rId128"/>
          <w:headerReference w:type="first" r:id="rId129"/>
          <w:footerReference w:type="first" r:id="rId130"/>
          <w:pgSz w:w="12240" w:h="15840"/>
          <w:pgMar w:top="1134" w:right="1134" w:bottom="1134" w:left="1134" w:header="567" w:footer="567" w:gutter="0"/>
          <w:cols w:space="720"/>
          <w:docGrid w:linePitch="360"/>
        </w:sectPr>
      </w:pPr>
    </w:p>
    <w:p w14:paraId="1887EB49" w14:textId="77777777" w:rsidR="00C02B59" w:rsidRPr="00D1795B" w:rsidRDefault="00C02B59" w:rsidP="00C02B59">
      <w:pPr>
        <w:spacing w:before="120" w:after="240" w:line="240" w:lineRule="auto"/>
        <w:jc w:val="center"/>
        <w:rPr>
          <w:rFonts w:ascii="Times New Roman" w:hAnsi="Times New Roman"/>
          <w:b/>
          <w:noProof/>
          <w:u w:val="single"/>
        </w:rPr>
      </w:pPr>
      <w:r w:rsidRPr="00D1795B">
        <w:rPr>
          <w:rFonts w:ascii="Times New Roman" w:hAnsi="Times New Roman"/>
          <w:b/>
          <w:noProof/>
          <w:u w:val="single"/>
        </w:rPr>
        <w:t xml:space="preserve">J.2. </w:t>
      </w:r>
      <w:r w:rsidRPr="00D1795B">
        <w:rPr>
          <w:noProof/>
        </w:rPr>
        <w:tab/>
      </w:r>
      <w:r w:rsidRPr="00D1795B">
        <w:rPr>
          <w:rFonts w:ascii="Times New Roman" w:hAnsi="Times New Roman"/>
          <w:b/>
          <w:noProof/>
          <w:u w:val="single"/>
        </w:rPr>
        <w:t>Milestones, targets, indicators, and timetable for monitoring and implementation for non-repayable financial support</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3"/>
        <w:gridCol w:w="1304"/>
        <w:gridCol w:w="1133"/>
        <w:gridCol w:w="1418"/>
        <w:gridCol w:w="1418"/>
        <w:gridCol w:w="992"/>
        <w:gridCol w:w="992"/>
        <w:gridCol w:w="851"/>
        <w:gridCol w:w="992"/>
        <w:gridCol w:w="851"/>
        <w:gridCol w:w="4115"/>
      </w:tblGrid>
      <w:tr w:rsidR="00C02B59" w:rsidRPr="00D1795B" w14:paraId="1887EB54" w14:textId="77777777" w:rsidTr="00C02B59">
        <w:trPr>
          <w:trHeight w:val="747"/>
          <w:tblHeader/>
          <w:jc w:val="center"/>
        </w:trPr>
        <w:tc>
          <w:tcPr>
            <w:tcW w:w="406" w:type="pct"/>
            <w:vMerge w:val="restart"/>
            <w:tcBorders>
              <w:top w:val="single" w:sz="4" w:space="0" w:color="auto"/>
            </w:tcBorders>
            <w:shd w:val="clear" w:color="auto" w:fill="BDD7EE"/>
            <w:vAlign w:val="center"/>
            <w:hideMark/>
          </w:tcPr>
          <w:p w14:paraId="1887EB4A"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426" w:type="pct"/>
            <w:vMerge w:val="restart"/>
            <w:tcBorders>
              <w:top w:val="single" w:sz="4" w:space="0" w:color="auto"/>
            </w:tcBorders>
            <w:shd w:val="clear" w:color="auto" w:fill="BDD7EE"/>
            <w:vAlign w:val="center"/>
            <w:hideMark/>
          </w:tcPr>
          <w:p w14:paraId="1887EB4B"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Related</w:t>
            </w:r>
          </w:p>
          <w:p w14:paraId="1887EB4C"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Measure</w:t>
            </w:r>
          </w:p>
          <w:p w14:paraId="1887EB4D"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(Reform or Investment)</w:t>
            </w:r>
          </w:p>
        </w:tc>
        <w:tc>
          <w:tcPr>
            <w:tcW w:w="370" w:type="pct"/>
            <w:vMerge w:val="restart"/>
            <w:tcBorders>
              <w:top w:val="single" w:sz="4" w:space="0" w:color="auto"/>
            </w:tcBorders>
            <w:shd w:val="clear" w:color="auto" w:fill="BDD7EE"/>
            <w:vAlign w:val="center"/>
            <w:hideMark/>
          </w:tcPr>
          <w:p w14:paraId="1887EB4E"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Milestone/Target</w:t>
            </w:r>
          </w:p>
        </w:tc>
        <w:tc>
          <w:tcPr>
            <w:tcW w:w="463" w:type="pct"/>
            <w:vMerge w:val="restart"/>
            <w:tcBorders>
              <w:top w:val="single" w:sz="4" w:space="0" w:color="auto"/>
            </w:tcBorders>
            <w:shd w:val="clear" w:color="auto" w:fill="BDD7EE"/>
            <w:vAlign w:val="center"/>
            <w:hideMark/>
          </w:tcPr>
          <w:p w14:paraId="1887EB4F"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Name</w:t>
            </w:r>
          </w:p>
        </w:tc>
        <w:tc>
          <w:tcPr>
            <w:tcW w:w="463" w:type="pct"/>
            <w:vMerge w:val="restart"/>
            <w:tcBorders>
              <w:top w:val="single" w:sz="4" w:space="0" w:color="auto"/>
            </w:tcBorders>
            <w:shd w:val="clear" w:color="auto" w:fill="BDD7EE"/>
            <w:vAlign w:val="center"/>
            <w:hideMark/>
          </w:tcPr>
          <w:p w14:paraId="1887EB50"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Qualitative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milestones)</w:t>
            </w:r>
          </w:p>
        </w:tc>
        <w:tc>
          <w:tcPr>
            <w:tcW w:w="926" w:type="pct"/>
            <w:gridSpan w:val="3"/>
            <w:tcBorders>
              <w:top w:val="single" w:sz="4" w:space="0" w:color="auto"/>
            </w:tcBorders>
            <w:shd w:val="clear" w:color="auto" w:fill="BDD7EE"/>
            <w:vAlign w:val="center"/>
            <w:hideMark/>
          </w:tcPr>
          <w:p w14:paraId="1887EB51"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Quantitative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targets)</w:t>
            </w:r>
          </w:p>
        </w:tc>
        <w:tc>
          <w:tcPr>
            <w:tcW w:w="602" w:type="pct"/>
            <w:gridSpan w:val="2"/>
            <w:tcBorders>
              <w:top w:val="single" w:sz="4" w:space="0" w:color="auto"/>
            </w:tcBorders>
            <w:shd w:val="clear" w:color="auto" w:fill="BDD7EE"/>
            <w:vAlign w:val="center"/>
            <w:hideMark/>
          </w:tcPr>
          <w:p w14:paraId="1887EB52"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Indicative timeline for completion</w:t>
            </w:r>
          </w:p>
        </w:tc>
        <w:tc>
          <w:tcPr>
            <w:tcW w:w="1344" w:type="pct"/>
            <w:vMerge w:val="restart"/>
            <w:tcBorders>
              <w:top w:val="single" w:sz="4" w:space="0" w:color="auto"/>
            </w:tcBorders>
            <w:shd w:val="clear" w:color="auto" w:fill="BDD7EE"/>
            <w:vAlign w:val="center"/>
            <w:hideMark/>
          </w:tcPr>
          <w:p w14:paraId="1887EB53"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Description of each milestone and target</w:t>
            </w:r>
          </w:p>
        </w:tc>
      </w:tr>
      <w:tr w:rsidR="00C02B59" w:rsidRPr="00D1795B" w14:paraId="1887EB60" w14:textId="77777777" w:rsidTr="00C02B59">
        <w:trPr>
          <w:trHeight w:val="391"/>
          <w:tblHeader/>
          <w:jc w:val="center"/>
        </w:trPr>
        <w:tc>
          <w:tcPr>
            <w:tcW w:w="406" w:type="pct"/>
            <w:vMerge/>
            <w:hideMark/>
          </w:tcPr>
          <w:p w14:paraId="1887EB55" w14:textId="77777777" w:rsidR="00C02B59" w:rsidRPr="00D1795B" w:rsidRDefault="00C02B59" w:rsidP="00C02B59">
            <w:pPr>
              <w:spacing w:after="0" w:line="240" w:lineRule="auto"/>
              <w:rPr>
                <w:rFonts w:ascii="Times New Roman" w:hAnsi="Times New Roman" w:cs="Times New Roman"/>
                <w:b/>
                <w:noProof/>
                <w:sz w:val="18"/>
                <w:szCs w:val="18"/>
              </w:rPr>
            </w:pPr>
          </w:p>
        </w:tc>
        <w:tc>
          <w:tcPr>
            <w:tcW w:w="426" w:type="pct"/>
            <w:vMerge/>
            <w:hideMark/>
          </w:tcPr>
          <w:p w14:paraId="1887EB56" w14:textId="77777777" w:rsidR="00C02B59" w:rsidRPr="00D1795B" w:rsidRDefault="00C02B59" w:rsidP="00C02B59">
            <w:pPr>
              <w:spacing w:after="0" w:line="240" w:lineRule="auto"/>
              <w:rPr>
                <w:rFonts w:ascii="Times New Roman" w:hAnsi="Times New Roman" w:cs="Times New Roman"/>
                <w:b/>
                <w:noProof/>
                <w:sz w:val="18"/>
                <w:szCs w:val="18"/>
              </w:rPr>
            </w:pPr>
          </w:p>
        </w:tc>
        <w:tc>
          <w:tcPr>
            <w:tcW w:w="370" w:type="pct"/>
            <w:vMerge/>
            <w:hideMark/>
          </w:tcPr>
          <w:p w14:paraId="1887EB57" w14:textId="77777777" w:rsidR="00C02B59" w:rsidRPr="00D1795B" w:rsidRDefault="00C02B59" w:rsidP="00C02B59">
            <w:pPr>
              <w:spacing w:after="0" w:line="240" w:lineRule="auto"/>
              <w:rPr>
                <w:rFonts w:ascii="Times New Roman" w:hAnsi="Times New Roman" w:cs="Times New Roman"/>
                <w:b/>
                <w:noProof/>
                <w:sz w:val="18"/>
                <w:szCs w:val="18"/>
              </w:rPr>
            </w:pPr>
          </w:p>
        </w:tc>
        <w:tc>
          <w:tcPr>
            <w:tcW w:w="463" w:type="pct"/>
            <w:vMerge/>
            <w:hideMark/>
          </w:tcPr>
          <w:p w14:paraId="1887EB58" w14:textId="77777777" w:rsidR="00C02B59" w:rsidRPr="00D1795B" w:rsidRDefault="00C02B59" w:rsidP="00C02B59">
            <w:pPr>
              <w:spacing w:after="0" w:line="240" w:lineRule="auto"/>
              <w:rPr>
                <w:rFonts w:ascii="Times New Roman" w:hAnsi="Times New Roman" w:cs="Times New Roman"/>
                <w:b/>
                <w:noProof/>
                <w:sz w:val="18"/>
                <w:szCs w:val="18"/>
              </w:rPr>
            </w:pPr>
          </w:p>
        </w:tc>
        <w:tc>
          <w:tcPr>
            <w:tcW w:w="463" w:type="pct"/>
            <w:vMerge/>
            <w:hideMark/>
          </w:tcPr>
          <w:p w14:paraId="1887EB59" w14:textId="77777777" w:rsidR="00C02B59" w:rsidRPr="00D1795B" w:rsidRDefault="00C02B59" w:rsidP="00C02B59">
            <w:pPr>
              <w:spacing w:after="0" w:line="240" w:lineRule="auto"/>
              <w:rPr>
                <w:rFonts w:ascii="Times New Roman" w:hAnsi="Times New Roman" w:cs="Times New Roman"/>
                <w:b/>
                <w:noProof/>
                <w:sz w:val="18"/>
                <w:szCs w:val="18"/>
              </w:rPr>
            </w:pPr>
          </w:p>
        </w:tc>
        <w:tc>
          <w:tcPr>
            <w:tcW w:w="324" w:type="pct"/>
            <w:shd w:val="clear" w:color="auto" w:fill="BDD7EE"/>
            <w:vAlign w:val="center"/>
            <w:hideMark/>
          </w:tcPr>
          <w:p w14:paraId="1887EB5A"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Unit of measure</w:t>
            </w:r>
          </w:p>
        </w:tc>
        <w:tc>
          <w:tcPr>
            <w:tcW w:w="324" w:type="pct"/>
            <w:shd w:val="clear" w:color="auto" w:fill="BDD7EE"/>
            <w:vAlign w:val="center"/>
            <w:hideMark/>
          </w:tcPr>
          <w:p w14:paraId="1887EB5B"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Baseline</w:t>
            </w:r>
          </w:p>
        </w:tc>
        <w:tc>
          <w:tcPr>
            <w:tcW w:w="278" w:type="pct"/>
            <w:shd w:val="clear" w:color="auto" w:fill="BDD7EE"/>
            <w:vAlign w:val="center"/>
            <w:hideMark/>
          </w:tcPr>
          <w:p w14:paraId="1887EB5C"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Goal</w:t>
            </w:r>
          </w:p>
        </w:tc>
        <w:tc>
          <w:tcPr>
            <w:tcW w:w="324" w:type="pct"/>
            <w:shd w:val="clear" w:color="auto" w:fill="BDD7EE"/>
            <w:vAlign w:val="center"/>
            <w:hideMark/>
          </w:tcPr>
          <w:p w14:paraId="1887EB5D"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Quarter</w:t>
            </w:r>
          </w:p>
        </w:tc>
        <w:tc>
          <w:tcPr>
            <w:tcW w:w="278" w:type="pct"/>
            <w:shd w:val="clear" w:color="auto" w:fill="BDD7EE"/>
            <w:vAlign w:val="center"/>
            <w:hideMark/>
          </w:tcPr>
          <w:p w14:paraId="1887EB5E"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Year</w:t>
            </w:r>
          </w:p>
        </w:tc>
        <w:tc>
          <w:tcPr>
            <w:tcW w:w="1344" w:type="pct"/>
            <w:vMerge/>
            <w:vAlign w:val="center"/>
            <w:hideMark/>
          </w:tcPr>
          <w:p w14:paraId="1887EB5F" w14:textId="77777777" w:rsidR="00C02B59" w:rsidRPr="00D1795B" w:rsidRDefault="00C02B59" w:rsidP="00C02B59">
            <w:pPr>
              <w:spacing w:after="0" w:line="240" w:lineRule="auto"/>
              <w:jc w:val="both"/>
              <w:rPr>
                <w:rFonts w:ascii="Times New Roman" w:hAnsi="Times New Roman" w:cs="Times New Roman"/>
                <w:b/>
                <w:noProof/>
                <w:sz w:val="18"/>
                <w:szCs w:val="18"/>
              </w:rPr>
            </w:pPr>
          </w:p>
        </w:tc>
      </w:tr>
      <w:tr w:rsidR="00C02B59" w:rsidRPr="00D1795B" w14:paraId="1887EB6E" w14:textId="77777777" w:rsidTr="00C02B59">
        <w:trPr>
          <w:trHeight w:val="309"/>
          <w:jc w:val="center"/>
        </w:trPr>
        <w:tc>
          <w:tcPr>
            <w:tcW w:w="406" w:type="pct"/>
            <w:shd w:val="clear" w:color="auto" w:fill="C6EFCE"/>
            <w:noWrap/>
            <w:hideMark/>
          </w:tcPr>
          <w:p w14:paraId="1887EB61" w14:textId="77777777" w:rsidR="00C02B59" w:rsidRPr="00D1795B" w:rsidRDefault="00C02B59" w:rsidP="00C02B59">
            <w:pPr>
              <w:spacing w:after="0" w:line="240" w:lineRule="auto"/>
              <w:rPr>
                <w:rFonts w:ascii="Times New Roman" w:hAnsi="Times New Roman" w:cs="Times New Roman"/>
                <w:noProof/>
                <w:sz w:val="18"/>
                <w:szCs w:val="18"/>
                <w:highlight w:val="green"/>
              </w:rPr>
            </w:pPr>
            <w:r w:rsidRPr="00D1795B">
              <w:rPr>
                <w:rFonts w:ascii="Times New Roman" w:hAnsi="Times New Roman" w:cs="Times New Roman"/>
                <w:noProof/>
                <w:sz w:val="18"/>
                <w:szCs w:val="18"/>
              </w:rPr>
              <w:t>214</w:t>
            </w:r>
          </w:p>
        </w:tc>
        <w:tc>
          <w:tcPr>
            <w:tcW w:w="426" w:type="pct"/>
            <w:shd w:val="clear" w:color="auto" w:fill="C6EFCE"/>
            <w:noWrap/>
            <w:hideMark/>
          </w:tcPr>
          <w:p w14:paraId="1887EB6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C4.1R1</w:t>
            </w:r>
          </w:p>
          <w:p w14:paraId="1887EB6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Empower the National Regulatory Authority (OCECPR)</w:t>
            </w:r>
          </w:p>
        </w:tc>
        <w:tc>
          <w:tcPr>
            <w:tcW w:w="370" w:type="pct"/>
            <w:shd w:val="clear" w:color="auto" w:fill="C6EFCE"/>
            <w:noWrap/>
            <w:hideMark/>
          </w:tcPr>
          <w:p w14:paraId="1887EB6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63" w:type="pct"/>
            <w:shd w:val="clear" w:color="auto" w:fill="C6EFCE"/>
            <w:noWrap/>
            <w:hideMark/>
          </w:tcPr>
          <w:p w14:paraId="1887EB6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Launch of the geographical survey and entry into force of secondary legislation </w:t>
            </w:r>
          </w:p>
        </w:tc>
        <w:tc>
          <w:tcPr>
            <w:tcW w:w="463" w:type="pct"/>
            <w:shd w:val="clear" w:color="auto" w:fill="C6EFCE"/>
            <w:noWrap/>
            <w:hideMark/>
          </w:tcPr>
          <w:p w14:paraId="1887EB6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secondary legislation and launch of the survey</w:t>
            </w:r>
          </w:p>
        </w:tc>
        <w:tc>
          <w:tcPr>
            <w:tcW w:w="324" w:type="pct"/>
            <w:shd w:val="clear" w:color="auto" w:fill="C6EFCE"/>
            <w:noWrap/>
            <w:hideMark/>
          </w:tcPr>
          <w:p w14:paraId="1887EB6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4" w:type="pct"/>
            <w:shd w:val="clear" w:color="auto" w:fill="C6EFCE"/>
            <w:noWrap/>
            <w:hideMark/>
          </w:tcPr>
          <w:p w14:paraId="1887EB6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78" w:type="pct"/>
            <w:shd w:val="clear" w:color="auto" w:fill="C6EFCE"/>
            <w:noWrap/>
            <w:hideMark/>
          </w:tcPr>
          <w:p w14:paraId="1887EB6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4" w:type="pct"/>
            <w:shd w:val="clear" w:color="auto" w:fill="C6EFCE"/>
            <w:noWrap/>
            <w:hideMark/>
          </w:tcPr>
          <w:p w14:paraId="1887EB6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278" w:type="pct"/>
            <w:shd w:val="clear" w:color="auto" w:fill="C6EFCE"/>
            <w:noWrap/>
            <w:hideMark/>
          </w:tcPr>
          <w:p w14:paraId="1887EB6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1344" w:type="pct"/>
            <w:shd w:val="clear" w:color="auto" w:fill="C6EFCE"/>
            <w:noWrap/>
            <w:hideMark/>
          </w:tcPr>
          <w:p w14:paraId="1887EB6C"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secondary legislation shall enter into force and cover the main aspects related to the survey such as the type, the degree of analysis and the form of the required information, as well as the persons from whom the required information is requested.</w:t>
            </w:r>
          </w:p>
          <w:p w14:paraId="1887EB6D"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Launch of the geographical survey of the reach of electronic networks capable of delivering broadband networks and physical infrastructures based on Article 22 of the European Electronic Communications Code.</w:t>
            </w:r>
          </w:p>
        </w:tc>
      </w:tr>
      <w:tr w:rsidR="00C02B59" w:rsidRPr="00D1795B" w14:paraId="1887EB7B" w14:textId="77777777" w:rsidTr="00C02B59">
        <w:trPr>
          <w:trHeight w:val="309"/>
          <w:jc w:val="center"/>
        </w:trPr>
        <w:tc>
          <w:tcPr>
            <w:tcW w:w="406" w:type="pct"/>
            <w:shd w:val="clear" w:color="auto" w:fill="C6EFCE"/>
            <w:noWrap/>
          </w:tcPr>
          <w:p w14:paraId="1887EB6F" w14:textId="77777777" w:rsidR="00C02B59" w:rsidRPr="00D1795B" w:rsidRDefault="00C02B59" w:rsidP="00C02B59">
            <w:pPr>
              <w:spacing w:after="0" w:line="240" w:lineRule="auto"/>
              <w:rPr>
                <w:rFonts w:ascii="Times New Roman" w:hAnsi="Times New Roman" w:cs="Times New Roman"/>
                <w:noProof/>
                <w:sz w:val="18"/>
                <w:szCs w:val="18"/>
                <w:highlight w:val="yellow"/>
              </w:rPr>
            </w:pPr>
            <w:r w:rsidRPr="00D1795B">
              <w:rPr>
                <w:rFonts w:ascii="Times New Roman" w:hAnsi="Times New Roman" w:cs="Times New Roman"/>
                <w:noProof/>
                <w:sz w:val="18"/>
                <w:szCs w:val="18"/>
              </w:rPr>
              <w:t>215</w:t>
            </w:r>
          </w:p>
        </w:tc>
        <w:tc>
          <w:tcPr>
            <w:tcW w:w="426" w:type="pct"/>
            <w:shd w:val="clear" w:color="auto" w:fill="C6EFCE"/>
            <w:noWrap/>
          </w:tcPr>
          <w:p w14:paraId="1887EB7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C4.1R1</w:t>
            </w:r>
          </w:p>
          <w:p w14:paraId="1887EB7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Empower the National Regulatory Authority (OCECPR)</w:t>
            </w:r>
          </w:p>
        </w:tc>
        <w:tc>
          <w:tcPr>
            <w:tcW w:w="370" w:type="pct"/>
            <w:shd w:val="clear" w:color="auto" w:fill="C6EFCE"/>
            <w:noWrap/>
          </w:tcPr>
          <w:p w14:paraId="1887EB7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63" w:type="pct"/>
            <w:shd w:val="clear" w:color="auto" w:fill="C6EFCE"/>
            <w:noWrap/>
          </w:tcPr>
          <w:p w14:paraId="1887EB7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Web portal on broadband and infrastructure mapping</w:t>
            </w:r>
          </w:p>
        </w:tc>
        <w:tc>
          <w:tcPr>
            <w:tcW w:w="463" w:type="pct"/>
            <w:shd w:val="clear" w:color="auto" w:fill="C6EFCE"/>
            <w:noWrap/>
          </w:tcPr>
          <w:p w14:paraId="1887EB7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The web portal is accessible </w:t>
            </w:r>
          </w:p>
        </w:tc>
        <w:tc>
          <w:tcPr>
            <w:tcW w:w="324" w:type="pct"/>
            <w:shd w:val="clear" w:color="auto" w:fill="C6EFCE"/>
            <w:noWrap/>
          </w:tcPr>
          <w:p w14:paraId="1887EB7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4" w:type="pct"/>
            <w:shd w:val="clear" w:color="auto" w:fill="C6EFCE"/>
            <w:noWrap/>
          </w:tcPr>
          <w:p w14:paraId="1887EB7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78" w:type="pct"/>
            <w:shd w:val="clear" w:color="auto" w:fill="C6EFCE"/>
            <w:noWrap/>
          </w:tcPr>
          <w:p w14:paraId="1887EB7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4" w:type="pct"/>
            <w:shd w:val="clear" w:color="auto" w:fill="C6EFCE"/>
            <w:noWrap/>
          </w:tcPr>
          <w:p w14:paraId="1887EB7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78" w:type="pct"/>
            <w:shd w:val="clear" w:color="auto" w:fill="C6EFCE"/>
            <w:noWrap/>
          </w:tcPr>
          <w:p w14:paraId="1887EB7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1344" w:type="pct"/>
            <w:shd w:val="clear" w:color="auto" w:fill="C6EFCE"/>
            <w:noWrap/>
          </w:tcPr>
          <w:p w14:paraId="1887EB7A"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web portal on broadband and infrastructure mapping is accessible.</w:t>
            </w:r>
          </w:p>
        </w:tc>
      </w:tr>
      <w:tr w:rsidR="00C02B59" w:rsidRPr="00D1795B" w14:paraId="1887EB88" w14:textId="77777777" w:rsidTr="00C02B59">
        <w:trPr>
          <w:trHeight w:val="300"/>
          <w:jc w:val="center"/>
        </w:trPr>
        <w:tc>
          <w:tcPr>
            <w:tcW w:w="406" w:type="pct"/>
            <w:shd w:val="clear" w:color="auto" w:fill="C6EFCE"/>
            <w:noWrap/>
          </w:tcPr>
          <w:p w14:paraId="1887EB7C" w14:textId="77777777" w:rsidR="00C02B59" w:rsidRPr="00D1795B" w:rsidRDefault="00C02B59" w:rsidP="00C02B59">
            <w:pPr>
              <w:spacing w:after="0" w:line="240" w:lineRule="auto"/>
              <w:rPr>
                <w:rFonts w:ascii="Times New Roman" w:hAnsi="Times New Roman" w:cs="Times New Roman"/>
                <w:noProof/>
                <w:sz w:val="18"/>
                <w:szCs w:val="18"/>
                <w:highlight w:val="green"/>
              </w:rPr>
            </w:pPr>
            <w:r w:rsidRPr="00D1795B">
              <w:rPr>
                <w:rFonts w:ascii="Times New Roman" w:hAnsi="Times New Roman" w:cs="Times New Roman"/>
                <w:noProof/>
                <w:sz w:val="18"/>
                <w:szCs w:val="18"/>
              </w:rPr>
              <w:t>216</w:t>
            </w:r>
          </w:p>
        </w:tc>
        <w:tc>
          <w:tcPr>
            <w:tcW w:w="426" w:type="pct"/>
            <w:shd w:val="clear" w:color="auto" w:fill="C6EFCE"/>
            <w:noWrap/>
          </w:tcPr>
          <w:p w14:paraId="1887EB7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C4.1R2</w:t>
            </w:r>
          </w:p>
          <w:p w14:paraId="1887EB7E" w14:textId="42F37674"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Simplification of the administrative procedures for the deployment of VHCN</w:t>
            </w:r>
            <w:r w:rsidR="00D1795B">
              <w:rPr>
                <w:rFonts w:ascii="Times New Roman" w:hAnsi="Times New Roman" w:cs="Times New Roman"/>
                <w:noProof/>
                <w:sz w:val="18"/>
                <w:szCs w:val="18"/>
              </w:rPr>
              <w:t xml:space="preserve"> </w:t>
            </w:r>
          </w:p>
        </w:tc>
        <w:tc>
          <w:tcPr>
            <w:tcW w:w="370" w:type="pct"/>
            <w:shd w:val="clear" w:color="auto" w:fill="C6EFCE"/>
            <w:noWrap/>
          </w:tcPr>
          <w:p w14:paraId="1887EB7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63" w:type="pct"/>
            <w:shd w:val="clear" w:color="auto" w:fill="C6EFCE"/>
            <w:noWrap/>
          </w:tcPr>
          <w:p w14:paraId="1887EB8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administrative acts for very high capacity networks’ deployment</w:t>
            </w:r>
          </w:p>
        </w:tc>
        <w:tc>
          <w:tcPr>
            <w:tcW w:w="463" w:type="pct"/>
            <w:shd w:val="clear" w:color="auto" w:fill="C6EFCE"/>
            <w:noWrap/>
          </w:tcPr>
          <w:p w14:paraId="1887EB8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Provision in the administrative acts indicating the entry into force of the respective acts</w:t>
            </w:r>
          </w:p>
        </w:tc>
        <w:tc>
          <w:tcPr>
            <w:tcW w:w="324" w:type="pct"/>
            <w:shd w:val="clear" w:color="auto" w:fill="C6EFCE"/>
            <w:noWrap/>
          </w:tcPr>
          <w:p w14:paraId="1887EB8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4" w:type="pct"/>
            <w:shd w:val="clear" w:color="auto" w:fill="C6EFCE"/>
            <w:noWrap/>
          </w:tcPr>
          <w:p w14:paraId="1887EB8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78" w:type="pct"/>
            <w:shd w:val="clear" w:color="auto" w:fill="C6EFCE"/>
            <w:noWrap/>
          </w:tcPr>
          <w:p w14:paraId="1887EB8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4" w:type="pct"/>
            <w:shd w:val="clear" w:color="auto" w:fill="C6EFCE"/>
            <w:noWrap/>
          </w:tcPr>
          <w:p w14:paraId="1887EB8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78" w:type="pct"/>
            <w:shd w:val="clear" w:color="auto" w:fill="C6EFCE"/>
            <w:noWrap/>
          </w:tcPr>
          <w:p w14:paraId="1887EB8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1344" w:type="pct"/>
            <w:shd w:val="clear" w:color="auto" w:fill="C6EFCE"/>
            <w:noWrap/>
          </w:tcPr>
          <w:p w14:paraId="1887EB87"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administrative acts for the reduction of administrative barriers for the deployment of very high capacity networks, which may include, but not be limited to, acts facilitating permit granting procedures or access to physical infrastructure.</w:t>
            </w:r>
          </w:p>
        </w:tc>
      </w:tr>
      <w:tr w:rsidR="00C02B59" w:rsidRPr="00D1795B" w14:paraId="1887EB95" w14:textId="77777777" w:rsidTr="00C02B59">
        <w:trPr>
          <w:trHeight w:val="309"/>
          <w:jc w:val="center"/>
        </w:trPr>
        <w:tc>
          <w:tcPr>
            <w:tcW w:w="406" w:type="pct"/>
            <w:shd w:val="clear" w:color="auto" w:fill="C6EFCE"/>
            <w:noWrap/>
          </w:tcPr>
          <w:p w14:paraId="1887EB89" w14:textId="77777777" w:rsidR="00C02B59" w:rsidRPr="00D1795B" w:rsidRDefault="00C02B59" w:rsidP="00C02B59">
            <w:pPr>
              <w:spacing w:after="0" w:line="240" w:lineRule="auto"/>
              <w:rPr>
                <w:rFonts w:ascii="Times New Roman" w:hAnsi="Times New Roman" w:cs="Times New Roman"/>
                <w:noProof/>
                <w:sz w:val="18"/>
                <w:szCs w:val="18"/>
                <w:highlight w:val="green"/>
              </w:rPr>
            </w:pPr>
            <w:r w:rsidRPr="00D1795B">
              <w:rPr>
                <w:rFonts w:ascii="Times New Roman" w:hAnsi="Times New Roman" w:cs="Times New Roman"/>
                <w:noProof/>
                <w:sz w:val="18"/>
                <w:szCs w:val="18"/>
              </w:rPr>
              <w:t>217</w:t>
            </w:r>
          </w:p>
        </w:tc>
        <w:tc>
          <w:tcPr>
            <w:tcW w:w="426" w:type="pct"/>
            <w:shd w:val="clear" w:color="auto" w:fill="C6EFCE"/>
            <w:noWrap/>
          </w:tcPr>
          <w:p w14:paraId="1887EB8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C4.1I1</w:t>
            </w:r>
          </w:p>
          <w:p w14:paraId="1887EB8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Expansion of very high capacity Networks in underserved areas</w:t>
            </w:r>
          </w:p>
        </w:tc>
        <w:tc>
          <w:tcPr>
            <w:tcW w:w="370" w:type="pct"/>
            <w:shd w:val="clear" w:color="auto" w:fill="C6EFCE"/>
            <w:noWrap/>
          </w:tcPr>
          <w:p w14:paraId="1887EB8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63" w:type="pct"/>
            <w:shd w:val="clear" w:color="auto" w:fill="C6EFCE"/>
            <w:noWrap/>
          </w:tcPr>
          <w:p w14:paraId="1887EB8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Start of very high capacity networks’ deployment in underserved areas</w:t>
            </w:r>
          </w:p>
        </w:tc>
        <w:tc>
          <w:tcPr>
            <w:tcW w:w="463" w:type="pct"/>
            <w:shd w:val="clear" w:color="auto" w:fill="C6EFCE"/>
            <w:noWrap/>
          </w:tcPr>
          <w:p w14:paraId="1887EB8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Signed contracts with contractors to deploy very high capacity networks in areas of no interest to private very high capacity network investors</w:t>
            </w:r>
          </w:p>
        </w:tc>
        <w:tc>
          <w:tcPr>
            <w:tcW w:w="324" w:type="pct"/>
            <w:shd w:val="clear" w:color="auto" w:fill="C6EFCE"/>
            <w:noWrap/>
          </w:tcPr>
          <w:p w14:paraId="1887EB8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4" w:type="pct"/>
            <w:shd w:val="clear" w:color="auto" w:fill="C6EFCE"/>
            <w:noWrap/>
          </w:tcPr>
          <w:p w14:paraId="1887EB9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78" w:type="pct"/>
            <w:shd w:val="clear" w:color="auto" w:fill="C6EFCE"/>
            <w:noWrap/>
          </w:tcPr>
          <w:p w14:paraId="1887EB9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4" w:type="pct"/>
            <w:shd w:val="clear" w:color="auto" w:fill="C6EFCE"/>
            <w:noWrap/>
          </w:tcPr>
          <w:p w14:paraId="1887EB9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78" w:type="pct"/>
            <w:shd w:val="clear" w:color="auto" w:fill="C6EFCE"/>
            <w:noWrap/>
          </w:tcPr>
          <w:p w14:paraId="1887EB9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1344" w:type="pct"/>
            <w:shd w:val="clear" w:color="auto" w:fill="C6EFCE"/>
            <w:noWrap/>
          </w:tcPr>
          <w:p w14:paraId="1887EB94"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Contracts have been signed with contractors, which shall have been selected through an open tender procedure, to deploy very high capacity networks (in particular, fixed or mobile (5G) networks offering a download speed of at least 100Mbps, which shall be readily upgradable to Gigabit for fixed access) in areas of no interest to private very high capacity network investors.</w:t>
            </w:r>
          </w:p>
        </w:tc>
      </w:tr>
      <w:tr w:rsidR="00C02B59" w:rsidRPr="00D1795B" w14:paraId="1887EBA2" w14:textId="77777777" w:rsidTr="00C02B59">
        <w:trPr>
          <w:trHeight w:val="309"/>
          <w:jc w:val="center"/>
        </w:trPr>
        <w:tc>
          <w:tcPr>
            <w:tcW w:w="406" w:type="pct"/>
            <w:shd w:val="clear" w:color="auto" w:fill="C6EFCE"/>
            <w:noWrap/>
          </w:tcPr>
          <w:p w14:paraId="1887EB9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219</w:t>
            </w:r>
          </w:p>
        </w:tc>
        <w:tc>
          <w:tcPr>
            <w:tcW w:w="426" w:type="pct"/>
            <w:shd w:val="clear" w:color="auto" w:fill="C6EFCE"/>
            <w:noWrap/>
          </w:tcPr>
          <w:p w14:paraId="1887EB9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C4.1I1</w:t>
            </w:r>
          </w:p>
          <w:p w14:paraId="1887EB9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Expansion of very high capacity Networks in underserved areas</w:t>
            </w:r>
          </w:p>
        </w:tc>
        <w:tc>
          <w:tcPr>
            <w:tcW w:w="370" w:type="pct"/>
            <w:shd w:val="clear" w:color="auto" w:fill="C6EFCE"/>
            <w:noWrap/>
          </w:tcPr>
          <w:p w14:paraId="1887EB9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463" w:type="pct"/>
            <w:shd w:val="clear" w:color="auto" w:fill="C6EFCE"/>
            <w:noWrap/>
          </w:tcPr>
          <w:p w14:paraId="1887EB9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Very high capacity networks are accessible in areas of no interest to private investors</w:t>
            </w:r>
          </w:p>
        </w:tc>
        <w:tc>
          <w:tcPr>
            <w:tcW w:w="463" w:type="pct"/>
            <w:shd w:val="clear" w:color="auto" w:fill="C6EFCE"/>
            <w:noWrap/>
          </w:tcPr>
          <w:p w14:paraId="1887EB9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Three acceptance certificates (one per lot) issued by the contracting authority</w:t>
            </w:r>
          </w:p>
        </w:tc>
        <w:tc>
          <w:tcPr>
            <w:tcW w:w="324" w:type="pct"/>
            <w:shd w:val="clear" w:color="auto" w:fill="C6EFCE"/>
            <w:noWrap/>
          </w:tcPr>
          <w:p w14:paraId="1887EB9C"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324" w:type="pct"/>
            <w:shd w:val="clear" w:color="auto" w:fill="C6EFCE"/>
            <w:noWrap/>
          </w:tcPr>
          <w:p w14:paraId="1887EB9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78" w:type="pct"/>
            <w:shd w:val="clear" w:color="auto" w:fill="C6EFCE"/>
            <w:noWrap/>
          </w:tcPr>
          <w:p w14:paraId="1887EB9E"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324" w:type="pct"/>
            <w:shd w:val="clear" w:color="auto" w:fill="C6EFCE"/>
            <w:noWrap/>
          </w:tcPr>
          <w:p w14:paraId="1887EB9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78" w:type="pct"/>
            <w:shd w:val="clear" w:color="auto" w:fill="C6EFCE"/>
            <w:noWrap/>
          </w:tcPr>
          <w:p w14:paraId="1887EBA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1344" w:type="pct"/>
            <w:shd w:val="clear" w:color="auto" w:fill="C6EFCE"/>
            <w:noWrap/>
          </w:tcPr>
          <w:p w14:paraId="1887EBA1"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At least three areas (lots) as defined in contracts under milestone 217 are covered by very high capacity networks.</w:t>
            </w:r>
          </w:p>
        </w:tc>
      </w:tr>
      <w:tr w:rsidR="00C02B59" w:rsidRPr="00D1795B" w14:paraId="1887EBAF" w14:textId="77777777" w:rsidTr="00C02B59">
        <w:trPr>
          <w:trHeight w:val="1871"/>
          <w:jc w:val="center"/>
        </w:trPr>
        <w:tc>
          <w:tcPr>
            <w:tcW w:w="406" w:type="pct"/>
            <w:shd w:val="clear" w:color="auto" w:fill="C6EFCE"/>
            <w:noWrap/>
          </w:tcPr>
          <w:p w14:paraId="1887EBA3" w14:textId="77777777" w:rsidR="00C02B59" w:rsidRPr="00D1795B" w:rsidRDefault="00C02B59" w:rsidP="00C02B59">
            <w:pPr>
              <w:spacing w:after="0" w:line="240" w:lineRule="auto"/>
              <w:rPr>
                <w:rFonts w:ascii="Times New Roman" w:hAnsi="Times New Roman" w:cs="Times New Roman"/>
                <w:noProof/>
                <w:sz w:val="18"/>
                <w:szCs w:val="18"/>
                <w:highlight w:val="green"/>
              </w:rPr>
            </w:pPr>
            <w:r w:rsidRPr="00D1795B">
              <w:rPr>
                <w:rFonts w:ascii="Times New Roman" w:hAnsi="Times New Roman" w:cs="Times New Roman"/>
                <w:noProof/>
                <w:sz w:val="18"/>
                <w:szCs w:val="18"/>
              </w:rPr>
              <w:t>220</w:t>
            </w:r>
          </w:p>
        </w:tc>
        <w:tc>
          <w:tcPr>
            <w:tcW w:w="426" w:type="pct"/>
            <w:shd w:val="clear" w:color="auto" w:fill="C6EFCE"/>
            <w:noWrap/>
          </w:tcPr>
          <w:p w14:paraId="1887EBA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C4.1I2</w:t>
            </w:r>
          </w:p>
          <w:p w14:paraId="1887EBA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Upgrade internet connection to be “Gigabit-ready” and promote connectivity take-up </w:t>
            </w:r>
          </w:p>
        </w:tc>
        <w:tc>
          <w:tcPr>
            <w:tcW w:w="370" w:type="pct"/>
            <w:shd w:val="clear" w:color="auto" w:fill="C6EFCE"/>
            <w:noWrap/>
          </w:tcPr>
          <w:p w14:paraId="1887EBA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463" w:type="pct"/>
            <w:shd w:val="clear" w:color="auto" w:fill="C6EFCE"/>
            <w:noWrap/>
          </w:tcPr>
          <w:p w14:paraId="1887EBA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Expansion of Gigabit-ready internet connection take-up by households</w:t>
            </w:r>
          </w:p>
        </w:tc>
        <w:tc>
          <w:tcPr>
            <w:tcW w:w="463" w:type="pct"/>
            <w:shd w:val="clear" w:color="auto" w:fill="C6EFCE"/>
            <w:noWrap/>
          </w:tcPr>
          <w:p w14:paraId="1887EBA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4" w:type="pct"/>
            <w:shd w:val="clear" w:color="auto" w:fill="C6EFCE"/>
            <w:noWrap/>
          </w:tcPr>
          <w:p w14:paraId="1887EBA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24" w:type="pct"/>
            <w:shd w:val="clear" w:color="auto" w:fill="C6EFCE"/>
            <w:noWrap/>
          </w:tcPr>
          <w:p w14:paraId="1887EBA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78" w:type="pct"/>
            <w:shd w:val="clear" w:color="auto" w:fill="C6EFCE"/>
            <w:noWrap/>
          </w:tcPr>
          <w:p w14:paraId="1887EBA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24 300</w:t>
            </w:r>
          </w:p>
        </w:tc>
        <w:tc>
          <w:tcPr>
            <w:tcW w:w="324" w:type="pct"/>
            <w:shd w:val="clear" w:color="auto" w:fill="C6EFCE"/>
            <w:noWrap/>
          </w:tcPr>
          <w:p w14:paraId="1887EBA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78" w:type="pct"/>
            <w:shd w:val="clear" w:color="auto" w:fill="C6EFCE"/>
            <w:noWrap/>
          </w:tcPr>
          <w:p w14:paraId="1887EBA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1344" w:type="pct"/>
            <w:shd w:val="clear" w:color="auto" w:fill="C6EFCE"/>
            <w:noWrap/>
          </w:tcPr>
          <w:p w14:paraId="1887EBAE"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Internet connection has been upgraded to be able to support provision of Gigabit connectivity in at least 24 300 homes.</w:t>
            </w:r>
          </w:p>
        </w:tc>
      </w:tr>
      <w:tr w:rsidR="00C02B59" w:rsidRPr="00D1795B" w14:paraId="1887EBBC" w14:textId="77777777" w:rsidTr="00C02B59">
        <w:trPr>
          <w:trHeight w:val="309"/>
          <w:jc w:val="center"/>
        </w:trPr>
        <w:tc>
          <w:tcPr>
            <w:tcW w:w="406" w:type="pct"/>
            <w:shd w:val="clear" w:color="auto" w:fill="C6EFCE"/>
            <w:noWrap/>
          </w:tcPr>
          <w:p w14:paraId="1887EBB0" w14:textId="77777777" w:rsidR="00C02B59" w:rsidRPr="00D1795B" w:rsidRDefault="00C02B59" w:rsidP="00C02B59">
            <w:pPr>
              <w:spacing w:after="0" w:line="240" w:lineRule="auto"/>
              <w:rPr>
                <w:rFonts w:ascii="Times New Roman" w:hAnsi="Times New Roman" w:cs="Times New Roman"/>
                <w:noProof/>
                <w:sz w:val="18"/>
                <w:szCs w:val="18"/>
                <w:highlight w:val="yellow"/>
              </w:rPr>
            </w:pPr>
            <w:r w:rsidRPr="00D1795B">
              <w:rPr>
                <w:rFonts w:ascii="Times New Roman" w:hAnsi="Times New Roman" w:cs="Times New Roman"/>
                <w:noProof/>
                <w:sz w:val="18"/>
                <w:szCs w:val="18"/>
              </w:rPr>
              <w:t>221</w:t>
            </w:r>
          </w:p>
        </w:tc>
        <w:tc>
          <w:tcPr>
            <w:tcW w:w="426" w:type="pct"/>
            <w:shd w:val="clear" w:color="auto" w:fill="C6EFCE"/>
            <w:noWrap/>
          </w:tcPr>
          <w:p w14:paraId="1887EBB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C4.1I2</w:t>
            </w:r>
          </w:p>
          <w:p w14:paraId="1887EBB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Upgrade internet connection to be “Gigabit-ready” and support connectivity take-up</w:t>
            </w:r>
          </w:p>
        </w:tc>
        <w:tc>
          <w:tcPr>
            <w:tcW w:w="370" w:type="pct"/>
            <w:shd w:val="clear" w:color="auto" w:fill="C6EFCE"/>
            <w:noWrap/>
          </w:tcPr>
          <w:p w14:paraId="1887EBB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463" w:type="pct"/>
            <w:shd w:val="clear" w:color="auto" w:fill="C6EFCE"/>
            <w:noWrap/>
          </w:tcPr>
          <w:p w14:paraId="1887EBB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Gigabit-ready internet connection take-up by at least 82 000 households</w:t>
            </w:r>
          </w:p>
        </w:tc>
        <w:tc>
          <w:tcPr>
            <w:tcW w:w="463" w:type="pct"/>
            <w:shd w:val="clear" w:color="auto" w:fill="C6EFCE"/>
            <w:noWrap/>
          </w:tcPr>
          <w:p w14:paraId="1887EBB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4" w:type="pct"/>
            <w:shd w:val="clear" w:color="auto" w:fill="C6EFCE"/>
            <w:noWrap/>
          </w:tcPr>
          <w:p w14:paraId="1887EBB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24" w:type="pct"/>
            <w:shd w:val="clear" w:color="auto" w:fill="C6EFCE"/>
            <w:noWrap/>
          </w:tcPr>
          <w:p w14:paraId="1887EBB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24 300</w:t>
            </w:r>
          </w:p>
        </w:tc>
        <w:tc>
          <w:tcPr>
            <w:tcW w:w="278" w:type="pct"/>
            <w:shd w:val="clear" w:color="auto" w:fill="C6EFCE"/>
            <w:noWrap/>
          </w:tcPr>
          <w:p w14:paraId="1887EBB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82 000</w:t>
            </w:r>
          </w:p>
        </w:tc>
        <w:tc>
          <w:tcPr>
            <w:tcW w:w="324" w:type="pct"/>
            <w:shd w:val="clear" w:color="auto" w:fill="C6EFCE"/>
            <w:noWrap/>
          </w:tcPr>
          <w:p w14:paraId="1887EBB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78" w:type="pct"/>
            <w:shd w:val="clear" w:color="auto" w:fill="C6EFCE"/>
            <w:noWrap/>
          </w:tcPr>
          <w:p w14:paraId="1887EBB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1344" w:type="pct"/>
            <w:shd w:val="clear" w:color="auto" w:fill="C6EFCE"/>
            <w:noWrap/>
          </w:tcPr>
          <w:p w14:paraId="1887EBBB"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Internet connection has been upgraded to be able to support provision of gigabit connectivity in at least 82 000 households.</w:t>
            </w:r>
          </w:p>
        </w:tc>
      </w:tr>
    </w:tbl>
    <w:p w14:paraId="1887EBBD" w14:textId="77777777" w:rsidR="00C02B59" w:rsidRPr="00D1795B" w:rsidRDefault="00C02B59" w:rsidP="00C02B59">
      <w:pPr>
        <w:rPr>
          <w:noProof/>
        </w:rPr>
      </w:pPr>
    </w:p>
    <w:p w14:paraId="1887EBBE" w14:textId="77777777" w:rsidR="00C02B59" w:rsidRPr="00D1795B" w:rsidRDefault="00C02B59">
      <w:pPr>
        <w:rPr>
          <w:noProof/>
        </w:rPr>
        <w:sectPr w:rsidR="00C02B59" w:rsidRPr="00D1795B" w:rsidSect="00C02B59">
          <w:headerReference w:type="even" r:id="rId131"/>
          <w:headerReference w:type="default" r:id="rId132"/>
          <w:footerReference w:type="even" r:id="rId133"/>
          <w:footerReference w:type="default" r:id="rId134"/>
          <w:headerReference w:type="first" r:id="rId135"/>
          <w:footerReference w:type="first" r:id="rId136"/>
          <w:pgSz w:w="15840" w:h="12240" w:orient="landscape"/>
          <w:pgMar w:top="1134" w:right="1134" w:bottom="1134" w:left="1134" w:header="567" w:footer="567" w:gutter="0"/>
          <w:cols w:space="720"/>
          <w:docGrid w:linePitch="360"/>
        </w:sectPr>
      </w:pPr>
    </w:p>
    <w:p w14:paraId="1887EBBF" w14:textId="77777777" w:rsidR="00C02B59" w:rsidRPr="00D1795B" w:rsidRDefault="00C02B59" w:rsidP="00C02B59">
      <w:pPr>
        <w:keepNext/>
        <w:tabs>
          <w:tab w:val="left" w:pos="850"/>
        </w:tabs>
        <w:spacing w:before="360" w:after="120" w:line="240" w:lineRule="auto"/>
        <w:ind w:left="850" w:hanging="850"/>
        <w:jc w:val="both"/>
        <w:outlineLvl w:val="0"/>
        <w:rPr>
          <w:rFonts w:ascii="Times New Roman" w:hAnsi="Times New Roman"/>
          <w:b/>
          <w:smallCaps/>
          <w:noProof/>
        </w:rPr>
      </w:pPr>
      <w:r w:rsidRPr="00D1795B">
        <w:rPr>
          <w:rFonts w:ascii="Times New Roman" w:hAnsi="Times New Roman"/>
          <w:b/>
          <w:smallCaps/>
          <w:noProof/>
        </w:rPr>
        <w:t>K. COMPONENT 4.2: Promote e-government</w:t>
      </w:r>
    </w:p>
    <w:p w14:paraId="1887EBC0"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This component of the Cypriot recovery and resilience plan contributes to accelerating the digital transformation of Cyprus through the digitalisation of government services enhancing the efficiency and the provision of online, secure, and prompt services to citizens, in a user friendly, efficient, and effective way. This is expected to facilitate the interaction between citizens and the public services, without the need for physical presence.</w:t>
      </w:r>
    </w:p>
    <w:p w14:paraId="1887EBC1"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 xml:space="preserve">The objective of the component is to build a secured, integrated, and modern digital architecture to achieve the transformation to a digital government. </w:t>
      </w:r>
    </w:p>
    <w:p w14:paraId="1887EBC2"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The component addresses the country-specific recommendation on investment in the digital transition and the digitalisation (Country-Specific Recommendation 4 of 2019 and Country-Specific Recommendation 3 of 2020).</w:t>
      </w:r>
    </w:p>
    <w:p w14:paraId="1887EBC3" w14:textId="77777777" w:rsidR="00C02B59" w:rsidRPr="00D1795B" w:rsidRDefault="00C02B59" w:rsidP="00C02B59">
      <w:pPr>
        <w:spacing w:before="120" w:after="120" w:line="240" w:lineRule="auto"/>
        <w:jc w:val="both"/>
        <w:rPr>
          <w:rFonts w:ascii="Times New Roman" w:hAnsi="Times New Roman" w:cs="Times New Roman"/>
          <w:noProof/>
        </w:rPr>
      </w:pPr>
    </w:p>
    <w:p w14:paraId="1887EBC4"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b/>
          <w:noProof/>
          <w:u w:val="single"/>
        </w:rPr>
        <w:t xml:space="preserve">K.1. </w:t>
      </w:r>
      <w:r w:rsidRPr="00D1795B">
        <w:rPr>
          <w:noProof/>
        </w:rPr>
        <w:tab/>
      </w:r>
      <w:r w:rsidRPr="00D1795B">
        <w:rPr>
          <w:rFonts w:ascii="Times New Roman" w:hAnsi="Times New Roman"/>
          <w:b/>
          <w:noProof/>
          <w:u w:val="single"/>
        </w:rPr>
        <w:t>Description of the reforms and investments for non-repayable financial support</w:t>
      </w:r>
    </w:p>
    <w:p w14:paraId="1887EBC5"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Reform 1 (C4.2R1): Digital Services Factory (DSF)</w:t>
      </w:r>
    </w:p>
    <w:p w14:paraId="1887EBC6"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this reform is to facilitate the interaction with public services.</w:t>
      </w:r>
    </w:p>
    <w:p w14:paraId="1887EBC7" w14:textId="07A77F38"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noProof/>
        </w:rPr>
        <w:t xml:space="preserve">This measure </w:t>
      </w:r>
      <w:r w:rsidR="004902A5" w:rsidRPr="00D1795B">
        <w:rPr>
          <w:rFonts w:ascii="Times New Roman" w:hAnsi="Times New Roman"/>
          <w:noProof/>
        </w:rPr>
        <w:t>consists</w:t>
      </w:r>
      <w:r w:rsidRPr="00D1795B">
        <w:rPr>
          <w:rFonts w:ascii="Times New Roman" w:hAnsi="Times New Roman"/>
          <w:noProof/>
        </w:rPr>
        <w:t xml:space="preserve"> in designing a Service Delivery Model for the provision of digital services to the public.</w:t>
      </w:r>
    </w:p>
    <w:p w14:paraId="1887EBC8" w14:textId="77777777" w:rsidR="00C02B59" w:rsidRPr="00D1795B" w:rsidRDefault="00C02B59" w:rsidP="00C02B59">
      <w:pPr>
        <w:spacing w:before="120" w:after="120" w:line="240" w:lineRule="auto"/>
        <w:jc w:val="both"/>
        <w:rPr>
          <w:rFonts w:ascii="Times New Roman" w:hAnsi="Times New Roman" w:cs="Times New Roman"/>
          <w:bCs/>
          <w:iCs/>
          <w:noProof/>
        </w:rPr>
      </w:pPr>
    </w:p>
    <w:p w14:paraId="1887EBC9"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 xml:space="preserve">Reform 2 (C4.2R2): New cloud policy with regard to government IT systems and services </w:t>
      </w:r>
      <w:r w:rsidRPr="00D1795B">
        <w:rPr>
          <w:rFonts w:ascii="Times New Roman" w:hAnsi="Times New Roman" w:cs="Times New Roman"/>
          <w:noProof/>
          <w:u w:val="single"/>
        </w:rPr>
        <w:t>and infrastructure set-up</w:t>
      </w:r>
    </w:p>
    <w:p w14:paraId="1887EBCA"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this measure is to elaborate the cloud policy of the government.</w:t>
      </w:r>
    </w:p>
    <w:p w14:paraId="1887EBCB"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This measure consists in two data centres </w:t>
      </w:r>
      <w:r w:rsidRPr="00D1795B">
        <w:rPr>
          <w:rFonts w:ascii="Times New Roman" w:hAnsi="Times New Roman" w:cs="Times New Roman"/>
          <w:noProof/>
        </w:rPr>
        <w:t>providing</w:t>
      </w:r>
      <w:r w:rsidRPr="00D1795B">
        <w:rPr>
          <w:rFonts w:ascii="Times New Roman" w:hAnsi="Times New Roman"/>
          <w:noProof/>
        </w:rPr>
        <w:t xml:space="preserve"> hosting services to government IT systems, and the adoption of a national cloud policy.</w:t>
      </w:r>
      <w:r w:rsidRPr="00D1795B">
        <w:rPr>
          <w:noProof/>
        </w:rPr>
        <w:t xml:space="preserve"> </w:t>
      </w:r>
    </w:p>
    <w:p w14:paraId="1887EBCC" w14:textId="77777777" w:rsidR="00C02B59" w:rsidRPr="00D1795B" w:rsidRDefault="00C02B59" w:rsidP="00C02B59">
      <w:pPr>
        <w:spacing w:before="120" w:after="120" w:line="240" w:lineRule="auto"/>
        <w:jc w:val="both"/>
        <w:rPr>
          <w:rFonts w:ascii="Times New Roman" w:hAnsi="Times New Roman" w:cs="Times New Roman"/>
          <w:noProof/>
        </w:rPr>
      </w:pPr>
    </w:p>
    <w:p w14:paraId="1887EBCD"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Reform 3 (C4.2R3): Police procedures digitalisation (Digipol)</w:t>
      </w:r>
    </w:p>
    <w:p w14:paraId="1887EBCE"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The objective of this reform is to digitalise procedures for the Cyprus Police. </w:t>
      </w:r>
    </w:p>
    <w:p w14:paraId="1887EBCF"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This measure consists in a platform (Digipol) of demands for police procedures and services. </w:t>
      </w:r>
    </w:p>
    <w:p w14:paraId="1887EBD0" w14:textId="77777777" w:rsidR="00C02B59" w:rsidRPr="00D1795B" w:rsidRDefault="00C02B59" w:rsidP="00C02B59">
      <w:pPr>
        <w:spacing w:before="120" w:after="120" w:line="240" w:lineRule="auto"/>
        <w:jc w:val="both"/>
        <w:rPr>
          <w:rFonts w:ascii="Times New Roman" w:hAnsi="Times New Roman"/>
          <w:noProof/>
        </w:rPr>
      </w:pPr>
    </w:p>
    <w:p w14:paraId="1887EBD1"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Reform 4 (C4.2R4): Setting up the beneficial ownership registry</w:t>
      </w:r>
    </w:p>
    <w:p w14:paraId="1887EBD2"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 xml:space="preserve">The objective of the measure is to set up the register for the submission of the data of beneficial owners of all corporate and other legal entities. Such registration aims to improve corporate trust and transparency in Cyprus and shall make it clear who ultimately owns and controls companies and other legal entities. </w:t>
      </w:r>
    </w:p>
    <w:p w14:paraId="1887EBD3"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The reform shall consist in setting up the register. Currently, an online platform has been developed as an interim solution but its functionalities are limited. The reform shall result in a solution with the necessary functionalities to support the maintenance of the register and management of relevant information (for example by sending out notifications for updating, enforcement of late filing fees, search facilities with prescribed levels of access). This aims to support the registration of the data of beneficial owners of all corporate and other legal entities and achieve interconnection with the beneficial ownership registers of other Member States.</w:t>
      </w:r>
    </w:p>
    <w:p w14:paraId="1887EBD4"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The implementation of the reform shall be completed by 31 December 2023.</w:t>
      </w:r>
    </w:p>
    <w:p w14:paraId="1887EBD5" w14:textId="77777777" w:rsidR="00C02B59" w:rsidRPr="00D1795B" w:rsidRDefault="00C02B59" w:rsidP="00C02B59">
      <w:pPr>
        <w:spacing w:before="120" w:after="120" w:line="240" w:lineRule="auto"/>
        <w:jc w:val="both"/>
        <w:rPr>
          <w:rFonts w:ascii="Times New Roman" w:hAnsi="Times New Roman"/>
          <w:noProof/>
        </w:rPr>
      </w:pPr>
    </w:p>
    <w:p w14:paraId="1887EBD6"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Investment 1 (C4.2I1): Digitalisation of central government ministries or departments</w:t>
      </w:r>
    </w:p>
    <w:p w14:paraId="1887EBD7"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this investment is to digitalise workflows in a number of central government ministries or departments.</w:t>
      </w:r>
    </w:p>
    <w:p w14:paraId="1887EBD8" w14:textId="3657FDA1"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noProof/>
        </w:rPr>
        <w:t xml:space="preserve">This measure </w:t>
      </w:r>
      <w:r w:rsidR="004902A5" w:rsidRPr="00D1795B">
        <w:rPr>
          <w:rFonts w:ascii="Times New Roman" w:hAnsi="Times New Roman"/>
          <w:noProof/>
        </w:rPr>
        <w:t>consists</w:t>
      </w:r>
      <w:r w:rsidRPr="00D1795B">
        <w:rPr>
          <w:rFonts w:ascii="Times New Roman" w:hAnsi="Times New Roman"/>
          <w:noProof/>
        </w:rPr>
        <w:t xml:space="preserve"> in digitalisation projects in five central government ministries or departments.</w:t>
      </w:r>
      <w:r w:rsidRPr="00D1795B">
        <w:rPr>
          <w:rFonts w:ascii="Times New Roman" w:hAnsi="Times New Roman"/>
          <w:noProof/>
          <w:u w:val="single"/>
        </w:rPr>
        <w:t xml:space="preserve"> </w:t>
      </w:r>
    </w:p>
    <w:p w14:paraId="1887EBD9" w14:textId="77777777" w:rsidR="00C02B59" w:rsidRPr="00D1795B" w:rsidRDefault="00C02B59" w:rsidP="00C02B59">
      <w:pPr>
        <w:spacing w:before="120" w:after="120" w:line="240" w:lineRule="auto"/>
        <w:jc w:val="both"/>
        <w:rPr>
          <w:rFonts w:ascii="Times New Roman" w:hAnsi="Times New Roman"/>
          <w:noProof/>
        </w:rPr>
      </w:pPr>
    </w:p>
    <w:p w14:paraId="1887EBDA"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Investment 2 (C4.2I2): Digitalisation of the Cyprus Ports Authority</w:t>
      </w:r>
    </w:p>
    <w:p w14:paraId="1887EBDB"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this investment is to support digital infrastructure and processes of the Cyprus Ports Authority (CPA).</w:t>
      </w:r>
    </w:p>
    <w:p w14:paraId="1887EBDC" w14:textId="532C3A0B"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noProof/>
        </w:rPr>
        <w:t xml:space="preserve">The measure </w:t>
      </w:r>
      <w:r w:rsidR="004902A5" w:rsidRPr="00D1795B">
        <w:rPr>
          <w:rFonts w:ascii="Times New Roman" w:hAnsi="Times New Roman"/>
          <w:noProof/>
        </w:rPr>
        <w:t>consists</w:t>
      </w:r>
      <w:r w:rsidRPr="00D1795B">
        <w:rPr>
          <w:rFonts w:ascii="Times New Roman" w:hAnsi="Times New Roman"/>
          <w:noProof/>
        </w:rPr>
        <w:t xml:space="preserve"> in investing in information technology equipment and systems for CPA. </w:t>
      </w:r>
    </w:p>
    <w:p w14:paraId="1887EBDD" w14:textId="77777777" w:rsidR="00C02B59" w:rsidRPr="00D1795B" w:rsidRDefault="00C02B59" w:rsidP="00C02B59">
      <w:pPr>
        <w:spacing w:before="120" w:after="120" w:line="240" w:lineRule="auto"/>
        <w:jc w:val="both"/>
        <w:rPr>
          <w:rFonts w:ascii="Times New Roman" w:hAnsi="Times New Roman"/>
          <w:noProof/>
        </w:rPr>
      </w:pPr>
    </w:p>
    <w:p w14:paraId="1887EBDE" w14:textId="77777777" w:rsidR="00C02B59" w:rsidRPr="00D1795B" w:rsidRDefault="00C02B59" w:rsidP="00C02B59">
      <w:pPr>
        <w:rPr>
          <w:noProof/>
        </w:rPr>
        <w:sectPr w:rsidR="00C02B59" w:rsidRPr="00D1795B" w:rsidSect="00C02B59">
          <w:headerReference w:type="even" r:id="rId137"/>
          <w:headerReference w:type="default" r:id="rId138"/>
          <w:footerReference w:type="even" r:id="rId139"/>
          <w:footerReference w:type="default" r:id="rId140"/>
          <w:headerReference w:type="first" r:id="rId141"/>
          <w:footerReference w:type="first" r:id="rId142"/>
          <w:pgSz w:w="12240" w:h="15840"/>
          <w:pgMar w:top="1134" w:right="1134" w:bottom="1134" w:left="1134" w:header="567" w:footer="567" w:gutter="0"/>
          <w:cols w:space="720"/>
          <w:docGrid w:linePitch="360"/>
        </w:sectPr>
      </w:pPr>
    </w:p>
    <w:p w14:paraId="1887EBDF" w14:textId="77777777" w:rsidR="00C02B59" w:rsidRPr="00D1795B" w:rsidRDefault="00C02B59" w:rsidP="00C02B59">
      <w:pPr>
        <w:spacing w:before="120" w:after="240" w:line="240" w:lineRule="auto"/>
        <w:jc w:val="center"/>
        <w:rPr>
          <w:rFonts w:ascii="Times New Roman" w:hAnsi="Times New Roman"/>
          <w:b/>
          <w:noProof/>
          <w:u w:val="single"/>
        </w:rPr>
      </w:pPr>
      <w:r w:rsidRPr="00D1795B">
        <w:rPr>
          <w:rFonts w:ascii="Times New Roman" w:hAnsi="Times New Roman"/>
          <w:b/>
          <w:noProof/>
          <w:u w:val="single"/>
        </w:rPr>
        <w:t xml:space="preserve">K.2. </w:t>
      </w:r>
      <w:r w:rsidRPr="00D1795B">
        <w:rPr>
          <w:noProof/>
        </w:rPr>
        <w:tab/>
      </w:r>
      <w:r w:rsidRPr="00D1795B">
        <w:rPr>
          <w:rFonts w:ascii="Times New Roman" w:hAnsi="Times New Roman"/>
          <w:b/>
          <w:noProof/>
          <w:u w:val="single"/>
        </w:rPr>
        <w:t>Milestones, targets, indicators, and timetable for monitoring and implementation for non-repayable financial support</w:t>
      </w:r>
    </w:p>
    <w:tbl>
      <w:tblPr>
        <w:tblW w:w="15050" w:type="dxa"/>
        <w:jc w:val="center"/>
        <w:tblLayout w:type="fixed"/>
        <w:tblCellMar>
          <w:left w:w="70" w:type="dxa"/>
          <w:right w:w="70" w:type="dxa"/>
        </w:tblCellMar>
        <w:tblLook w:val="04A0" w:firstRow="1" w:lastRow="0" w:firstColumn="1" w:lastColumn="0" w:noHBand="0" w:noVBand="1"/>
      </w:tblPr>
      <w:tblGrid>
        <w:gridCol w:w="988"/>
        <w:gridCol w:w="1423"/>
        <w:gridCol w:w="1125"/>
        <w:gridCol w:w="1546"/>
        <w:gridCol w:w="1434"/>
        <w:gridCol w:w="791"/>
        <w:gridCol w:w="985"/>
        <w:gridCol w:w="1128"/>
        <w:gridCol w:w="845"/>
        <w:gridCol w:w="929"/>
        <w:gridCol w:w="3856"/>
      </w:tblGrid>
      <w:tr w:rsidR="00C02B59" w:rsidRPr="00D1795B" w14:paraId="1887EBE8" w14:textId="77777777" w:rsidTr="00C02B59">
        <w:trPr>
          <w:trHeight w:val="1103"/>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0"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14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1"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11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2"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Milestone/ Target</w:t>
            </w:r>
          </w:p>
        </w:tc>
        <w:tc>
          <w:tcPr>
            <w:tcW w:w="15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3"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Name</w:t>
            </w:r>
          </w:p>
        </w:tc>
        <w:tc>
          <w:tcPr>
            <w:tcW w:w="14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4"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Qualitative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milestones)</w:t>
            </w:r>
          </w:p>
        </w:tc>
        <w:tc>
          <w:tcPr>
            <w:tcW w:w="290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5"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Quantitative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targets)</w:t>
            </w:r>
          </w:p>
        </w:tc>
        <w:tc>
          <w:tcPr>
            <w:tcW w:w="177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6"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Timeline for completion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(indicate the quarter and the year)</w:t>
            </w:r>
          </w:p>
        </w:tc>
        <w:tc>
          <w:tcPr>
            <w:tcW w:w="38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7"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Description and clear definition of each milestone and target</w:t>
            </w:r>
          </w:p>
        </w:tc>
      </w:tr>
      <w:tr w:rsidR="00C02B59" w:rsidRPr="00D1795B" w14:paraId="1887EBF4" w14:textId="77777777" w:rsidTr="00C02B59">
        <w:trPr>
          <w:trHeight w:val="451"/>
          <w:tblHeader/>
          <w:jc w:val="center"/>
        </w:trPr>
        <w:tc>
          <w:tcPr>
            <w:tcW w:w="988" w:type="dxa"/>
            <w:vMerge/>
            <w:tcBorders>
              <w:top w:val="single" w:sz="4" w:space="0" w:color="auto"/>
              <w:left w:val="single" w:sz="4" w:space="0" w:color="auto"/>
              <w:bottom w:val="single" w:sz="4" w:space="0" w:color="auto"/>
              <w:right w:val="single" w:sz="4" w:space="0" w:color="auto"/>
            </w:tcBorders>
            <w:hideMark/>
          </w:tcPr>
          <w:p w14:paraId="1887EBE9"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423" w:type="dxa"/>
            <w:vMerge/>
            <w:tcBorders>
              <w:top w:val="single" w:sz="4" w:space="0" w:color="auto"/>
              <w:left w:val="single" w:sz="4" w:space="0" w:color="auto"/>
              <w:bottom w:val="single" w:sz="4" w:space="0" w:color="auto"/>
              <w:right w:val="single" w:sz="4" w:space="0" w:color="auto"/>
            </w:tcBorders>
            <w:hideMark/>
          </w:tcPr>
          <w:p w14:paraId="1887EBEA"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125" w:type="dxa"/>
            <w:vMerge/>
            <w:tcBorders>
              <w:top w:val="single" w:sz="4" w:space="0" w:color="auto"/>
              <w:left w:val="single" w:sz="4" w:space="0" w:color="auto"/>
              <w:bottom w:val="single" w:sz="4" w:space="0" w:color="auto"/>
              <w:right w:val="single" w:sz="4" w:space="0" w:color="auto"/>
            </w:tcBorders>
            <w:hideMark/>
          </w:tcPr>
          <w:p w14:paraId="1887EBEB"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546" w:type="dxa"/>
            <w:vMerge/>
            <w:tcBorders>
              <w:top w:val="single" w:sz="4" w:space="0" w:color="auto"/>
              <w:left w:val="single" w:sz="4" w:space="0" w:color="auto"/>
              <w:bottom w:val="single" w:sz="4" w:space="0" w:color="auto"/>
              <w:right w:val="single" w:sz="4" w:space="0" w:color="auto"/>
            </w:tcBorders>
            <w:hideMark/>
          </w:tcPr>
          <w:p w14:paraId="1887EBEC"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434" w:type="dxa"/>
            <w:vMerge/>
            <w:tcBorders>
              <w:top w:val="single" w:sz="4" w:space="0" w:color="auto"/>
              <w:left w:val="single" w:sz="4" w:space="0" w:color="auto"/>
              <w:bottom w:val="single" w:sz="4" w:space="0" w:color="auto"/>
              <w:right w:val="single" w:sz="4" w:space="0" w:color="auto"/>
            </w:tcBorders>
            <w:hideMark/>
          </w:tcPr>
          <w:p w14:paraId="1887EBED" w14:textId="77777777" w:rsidR="00C02B59" w:rsidRPr="00D1795B" w:rsidRDefault="00C02B59" w:rsidP="00C02B59">
            <w:pPr>
              <w:spacing w:after="0" w:line="240" w:lineRule="auto"/>
              <w:rPr>
                <w:rFonts w:ascii="Times New Roman" w:hAnsi="Times New Roman" w:cs="Times New Roman"/>
                <w:b/>
                <w:noProof/>
                <w:sz w:val="18"/>
                <w:szCs w:val="18"/>
              </w:rPr>
            </w:pPr>
          </w:p>
        </w:tc>
        <w:tc>
          <w:tcPr>
            <w:tcW w:w="79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E"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Unit of measure</w:t>
            </w:r>
          </w:p>
        </w:tc>
        <w:tc>
          <w:tcPr>
            <w:tcW w:w="9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EF"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Baseline</w:t>
            </w:r>
          </w:p>
        </w:tc>
        <w:tc>
          <w:tcPr>
            <w:tcW w:w="112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F0"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Goal</w:t>
            </w:r>
          </w:p>
        </w:tc>
        <w:tc>
          <w:tcPr>
            <w:tcW w:w="84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F1"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Quarter</w:t>
            </w:r>
          </w:p>
        </w:tc>
        <w:tc>
          <w:tcPr>
            <w:tcW w:w="92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7EBF2"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Year</w:t>
            </w:r>
          </w:p>
        </w:tc>
        <w:tc>
          <w:tcPr>
            <w:tcW w:w="3856" w:type="dxa"/>
            <w:vMerge/>
            <w:tcBorders>
              <w:top w:val="single" w:sz="4" w:space="0" w:color="auto"/>
              <w:left w:val="single" w:sz="4" w:space="0" w:color="auto"/>
              <w:bottom w:val="single" w:sz="4" w:space="0" w:color="auto"/>
              <w:right w:val="single" w:sz="4" w:space="0" w:color="auto"/>
            </w:tcBorders>
            <w:hideMark/>
          </w:tcPr>
          <w:p w14:paraId="1887EBF3" w14:textId="77777777" w:rsidR="00C02B59" w:rsidRPr="00D1795B" w:rsidRDefault="00C02B59" w:rsidP="00C02B59">
            <w:pPr>
              <w:spacing w:after="0" w:line="240" w:lineRule="auto"/>
              <w:jc w:val="both"/>
              <w:rPr>
                <w:rFonts w:ascii="Times New Roman" w:hAnsi="Times New Roman" w:cs="Times New Roman"/>
                <w:b/>
                <w:noProof/>
                <w:sz w:val="18"/>
                <w:szCs w:val="18"/>
              </w:rPr>
            </w:pPr>
          </w:p>
        </w:tc>
      </w:tr>
      <w:tr w:rsidR="00C02B59" w:rsidRPr="00D1795B" w14:paraId="1887EC01" w14:textId="77777777" w:rsidTr="00C02B59">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887EBF5" w14:textId="77777777" w:rsidR="00C02B59" w:rsidRPr="00D1795B" w:rsidRDefault="00C02B59" w:rsidP="00C02B59">
            <w:pPr>
              <w:spacing w:before="120"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224</w:t>
            </w:r>
          </w:p>
        </w:tc>
        <w:tc>
          <w:tcPr>
            <w:tcW w:w="1423" w:type="dxa"/>
            <w:tcBorders>
              <w:top w:val="single" w:sz="4" w:space="0" w:color="auto"/>
              <w:left w:val="nil"/>
              <w:bottom w:val="single" w:sz="4" w:space="0" w:color="auto"/>
              <w:right w:val="single" w:sz="4" w:space="0" w:color="auto"/>
            </w:tcBorders>
            <w:shd w:val="clear" w:color="auto" w:fill="C6EFCE"/>
          </w:tcPr>
          <w:p w14:paraId="1887EBF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C4.2R1</w:t>
            </w:r>
          </w:p>
          <w:p w14:paraId="1887EBF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 Services Factory</w:t>
            </w:r>
          </w:p>
        </w:tc>
        <w:tc>
          <w:tcPr>
            <w:tcW w:w="1125" w:type="dxa"/>
            <w:tcBorders>
              <w:top w:val="single" w:sz="4" w:space="0" w:color="auto"/>
              <w:left w:val="nil"/>
              <w:bottom w:val="single" w:sz="4" w:space="0" w:color="auto"/>
              <w:right w:val="single" w:sz="4" w:space="0" w:color="auto"/>
            </w:tcBorders>
            <w:shd w:val="clear" w:color="auto" w:fill="C6EFCE"/>
            <w:hideMark/>
          </w:tcPr>
          <w:p w14:paraId="1887EBF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546" w:type="dxa"/>
            <w:tcBorders>
              <w:top w:val="single" w:sz="4" w:space="0" w:color="auto"/>
              <w:left w:val="nil"/>
              <w:bottom w:val="single" w:sz="4" w:space="0" w:color="auto"/>
              <w:right w:val="single" w:sz="4" w:space="0" w:color="auto"/>
            </w:tcBorders>
            <w:shd w:val="clear" w:color="auto" w:fill="C6EFCE"/>
            <w:hideMark/>
          </w:tcPr>
          <w:p w14:paraId="1887EBF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Definition of the Service Delivery Model for the Digital Services Factory </w:t>
            </w:r>
          </w:p>
        </w:tc>
        <w:tc>
          <w:tcPr>
            <w:tcW w:w="1434" w:type="dxa"/>
            <w:tcBorders>
              <w:top w:val="single" w:sz="4" w:space="0" w:color="auto"/>
              <w:left w:val="nil"/>
              <w:bottom w:val="single" w:sz="4" w:space="0" w:color="auto"/>
              <w:right w:val="single" w:sz="4" w:space="0" w:color="auto"/>
            </w:tcBorders>
            <w:shd w:val="clear" w:color="auto" w:fill="C6EFCE"/>
            <w:hideMark/>
          </w:tcPr>
          <w:p w14:paraId="1887EBF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Appointment decision of the Deputy Minister of Research, Innovation and Digital Policy establishing the team; publication of the standards on the website of the Deputy Ministry </w:t>
            </w:r>
          </w:p>
        </w:tc>
        <w:tc>
          <w:tcPr>
            <w:tcW w:w="791" w:type="dxa"/>
            <w:tcBorders>
              <w:top w:val="single" w:sz="4" w:space="0" w:color="auto"/>
              <w:left w:val="nil"/>
              <w:bottom w:val="single" w:sz="4" w:space="0" w:color="auto"/>
              <w:right w:val="single" w:sz="4" w:space="0" w:color="auto"/>
            </w:tcBorders>
            <w:shd w:val="clear" w:color="auto" w:fill="C6EFCE"/>
            <w:hideMark/>
          </w:tcPr>
          <w:p w14:paraId="1887EBF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5" w:type="dxa"/>
            <w:tcBorders>
              <w:top w:val="single" w:sz="4" w:space="0" w:color="auto"/>
              <w:left w:val="nil"/>
              <w:bottom w:val="single" w:sz="4" w:space="0" w:color="auto"/>
              <w:right w:val="single" w:sz="4" w:space="0" w:color="auto"/>
            </w:tcBorders>
            <w:shd w:val="clear" w:color="auto" w:fill="C6EFCE"/>
            <w:hideMark/>
          </w:tcPr>
          <w:p w14:paraId="1887EBF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128" w:type="dxa"/>
            <w:tcBorders>
              <w:top w:val="single" w:sz="4" w:space="0" w:color="auto"/>
              <w:left w:val="nil"/>
              <w:bottom w:val="single" w:sz="4" w:space="0" w:color="auto"/>
              <w:right w:val="single" w:sz="4" w:space="0" w:color="auto"/>
            </w:tcBorders>
            <w:shd w:val="clear" w:color="auto" w:fill="C6EFCE"/>
            <w:hideMark/>
          </w:tcPr>
          <w:p w14:paraId="1887EBF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845" w:type="dxa"/>
            <w:tcBorders>
              <w:top w:val="single" w:sz="4" w:space="0" w:color="auto"/>
              <w:left w:val="nil"/>
              <w:bottom w:val="single" w:sz="4" w:space="0" w:color="auto"/>
              <w:right w:val="single" w:sz="4" w:space="0" w:color="auto"/>
            </w:tcBorders>
            <w:shd w:val="clear" w:color="auto" w:fill="C6EFCE"/>
            <w:hideMark/>
          </w:tcPr>
          <w:p w14:paraId="1887EBF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29" w:type="dxa"/>
            <w:tcBorders>
              <w:top w:val="single" w:sz="4" w:space="0" w:color="auto"/>
              <w:left w:val="nil"/>
              <w:bottom w:val="single" w:sz="4" w:space="0" w:color="auto"/>
              <w:right w:val="single" w:sz="4" w:space="0" w:color="auto"/>
            </w:tcBorders>
            <w:shd w:val="clear" w:color="auto" w:fill="C6EFCE"/>
            <w:hideMark/>
          </w:tcPr>
          <w:p w14:paraId="1887EBF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856" w:type="dxa"/>
            <w:tcBorders>
              <w:top w:val="single" w:sz="4" w:space="0" w:color="auto"/>
              <w:left w:val="nil"/>
              <w:bottom w:val="single" w:sz="4" w:space="0" w:color="auto"/>
              <w:right w:val="single" w:sz="4" w:space="0" w:color="auto"/>
            </w:tcBorders>
            <w:shd w:val="clear" w:color="auto" w:fill="C6EFCE"/>
            <w:hideMark/>
          </w:tcPr>
          <w:p w14:paraId="1887EC0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The Service Delivery Model for the Digital Services Factory has been defined so as to enable the efficient provision of high-quality and user-friendly digital services to the public. This shall include: (a) the establishment of the core Digital Services Factory team (including the procurement of services of experts from the private sector), and (b) definition of the standards and procedures for the development of digital services. </w:t>
            </w:r>
          </w:p>
        </w:tc>
      </w:tr>
      <w:tr w:rsidR="00C02B59" w:rsidRPr="00D1795B" w14:paraId="1887EC0E" w14:textId="77777777" w:rsidTr="00C02B59">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02" w14:textId="77777777" w:rsidR="00C02B59" w:rsidRPr="00D1795B" w:rsidRDefault="00C02B59" w:rsidP="00C02B59">
            <w:pPr>
              <w:spacing w:before="120"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225</w:t>
            </w:r>
          </w:p>
        </w:tc>
        <w:tc>
          <w:tcPr>
            <w:tcW w:w="1423" w:type="dxa"/>
            <w:tcBorders>
              <w:top w:val="nil"/>
              <w:left w:val="nil"/>
              <w:bottom w:val="single" w:sz="4" w:space="0" w:color="auto"/>
              <w:right w:val="single" w:sz="4" w:space="0" w:color="auto"/>
            </w:tcBorders>
            <w:shd w:val="clear" w:color="auto" w:fill="C6EFCE"/>
          </w:tcPr>
          <w:p w14:paraId="1887EC0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C4.2R1</w:t>
            </w:r>
          </w:p>
          <w:p w14:paraId="1887EC0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 Services Factory</w:t>
            </w:r>
          </w:p>
        </w:tc>
        <w:tc>
          <w:tcPr>
            <w:tcW w:w="1125" w:type="dxa"/>
            <w:tcBorders>
              <w:top w:val="nil"/>
              <w:left w:val="nil"/>
              <w:bottom w:val="single" w:sz="4" w:space="0" w:color="auto"/>
              <w:right w:val="single" w:sz="4" w:space="0" w:color="auto"/>
            </w:tcBorders>
            <w:shd w:val="clear" w:color="auto" w:fill="C6EFCE"/>
            <w:hideMark/>
          </w:tcPr>
          <w:p w14:paraId="1887EC0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546" w:type="dxa"/>
            <w:tcBorders>
              <w:top w:val="nil"/>
              <w:left w:val="nil"/>
              <w:bottom w:val="single" w:sz="4" w:space="0" w:color="auto"/>
              <w:right w:val="single" w:sz="4" w:space="0" w:color="auto"/>
            </w:tcBorders>
            <w:shd w:val="clear" w:color="auto" w:fill="C6EFCE"/>
            <w:hideMark/>
          </w:tcPr>
          <w:p w14:paraId="1887EC0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Expansion of delivery of government services online through the Digital Services Factory</w:t>
            </w:r>
          </w:p>
        </w:tc>
        <w:tc>
          <w:tcPr>
            <w:tcW w:w="1434" w:type="dxa"/>
            <w:tcBorders>
              <w:top w:val="nil"/>
              <w:left w:val="nil"/>
              <w:bottom w:val="single" w:sz="4" w:space="0" w:color="auto"/>
              <w:right w:val="single" w:sz="4" w:space="0" w:color="auto"/>
            </w:tcBorders>
            <w:shd w:val="clear" w:color="auto" w:fill="C6EFCE"/>
            <w:hideMark/>
          </w:tcPr>
          <w:p w14:paraId="1887EC07" w14:textId="1449C42D" w:rsidR="00C02B59" w:rsidRPr="00D1795B" w:rsidRDefault="00C02B59" w:rsidP="00B26491">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91" w:type="dxa"/>
            <w:tcBorders>
              <w:top w:val="nil"/>
              <w:left w:val="nil"/>
              <w:bottom w:val="single" w:sz="4" w:space="0" w:color="auto"/>
              <w:right w:val="single" w:sz="4" w:space="0" w:color="auto"/>
            </w:tcBorders>
            <w:shd w:val="clear" w:color="auto" w:fill="C6EFCE"/>
            <w:hideMark/>
          </w:tcPr>
          <w:p w14:paraId="1887EC0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85" w:type="dxa"/>
            <w:tcBorders>
              <w:top w:val="nil"/>
              <w:left w:val="nil"/>
              <w:bottom w:val="single" w:sz="4" w:space="0" w:color="auto"/>
              <w:right w:val="single" w:sz="4" w:space="0" w:color="auto"/>
            </w:tcBorders>
            <w:shd w:val="clear" w:color="auto" w:fill="C6EFCE"/>
            <w:hideMark/>
          </w:tcPr>
          <w:p w14:paraId="1887EC0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128" w:type="dxa"/>
            <w:tcBorders>
              <w:top w:val="nil"/>
              <w:left w:val="nil"/>
              <w:bottom w:val="single" w:sz="4" w:space="0" w:color="auto"/>
              <w:right w:val="single" w:sz="4" w:space="0" w:color="auto"/>
            </w:tcBorders>
            <w:shd w:val="clear" w:color="auto" w:fill="C6EFCE"/>
            <w:hideMark/>
          </w:tcPr>
          <w:p w14:paraId="1887EC0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w:t>
            </w:r>
          </w:p>
        </w:tc>
        <w:tc>
          <w:tcPr>
            <w:tcW w:w="845" w:type="dxa"/>
            <w:tcBorders>
              <w:top w:val="nil"/>
              <w:left w:val="nil"/>
              <w:bottom w:val="single" w:sz="4" w:space="0" w:color="auto"/>
              <w:right w:val="single" w:sz="4" w:space="0" w:color="auto"/>
            </w:tcBorders>
            <w:shd w:val="clear" w:color="auto" w:fill="C6EFCE"/>
            <w:hideMark/>
          </w:tcPr>
          <w:p w14:paraId="1887EC0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29" w:type="dxa"/>
            <w:tcBorders>
              <w:top w:val="nil"/>
              <w:left w:val="nil"/>
              <w:bottom w:val="single" w:sz="4" w:space="0" w:color="auto"/>
              <w:right w:val="single" w:sz="4" w:space="0" w:color="auto"/>
            </w:tcBorders>
            <w:shd w:val="clear" w:color="auto" w:fill="C6EFCE"/>
            <w:hideMark/>
          </w:tcPr>
          <w:p w14:paraId="1887EC0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856" w:type="dxa"/>
            <w:tcBorders>
              <w:top w:val="nil"/>
              <w:left w:val="nil"/>
              <w:bottom w:val="single" w:sz="4" w:space="0" w:color="auto"/>
              <w:right w:val="single" w:sz="4" w:space="0" w:color="auto"/>
            </w:tcBorders>
            <w:shd w:val="clear" w:color="auto" w:fill="C6EFCE"/>
            <w:hideMark/>
          </w:tcPr>
          <w:p w14:paraId="1887EC0D"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Digitalisation and delivery online of at least 20 services to the public through the Digital Services Factory, using the defined Service Delivery Model (under milestone with a sequential number 224) and agile methodologies.</w:t>
            </w:r>
          </w:p>
        </w:tc>
      </w:tr>
      <w:tr w:rsidR="00C02B59" w:rsidRPr="00D1795B" w14:paraId="1887EC1B" w14:textId="77777777" w:rsidTr="00C02B59">
        <w:trPr>
          <w:trHeight w:val="753"/>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0F" w14:textId="77777777" w:rsidR="00C02B59" w:rsidRPr="00D1795B" w:rsidRDefault="00C02B59" w:rsidP="00C02B59">
            <w:pPr>
              <w:spacing w:before="120"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226</w:t>
            </w:r>
          </w:p>
        </w:tc>
        <w:tc>
          <w:tcPr>
            <w:tcW w:w="1423" w:type="dxa"/>
            <w:tcBorders>
              <w:top w:val="nil"/>
              <w:left w:val="nil"/>
              <w:bottom w:val="single" w:sz="4" w:space="0" w:color="auto"/>
              <w:right w:val="single" w:sz="4" w:space="0" w:color="auto"/>
            </w:tcBorders>
            <w:shd w:val="clear" w:color="auto" w:fill="C6EFCE"/>
          </w:tcPr>
          <w:p w14:paraId="1887EC1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C4.2R1</w:t>
            </w:r>
          </w:p>
          <w:p w14:paraId="1887EC1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 Services Factory</w:t>
            </w:r>
          </w:p>
        </w:tc>
        <w:tc>
          <w:tcPr>
            <w:tcW w:w="1125" w:type="dxa"/>
            <w:tcBorders>
              <w:top w:val="nil"/>
              <w:left w:val="nil"/>
              <w:bottom w:val="single" w:sz="4" w:space="0" w:color="auto"/>
              <w:right w:val="single" w:sz="4" w:space="0" w:color="auto"/>
            </w:tcBorders>
            <w:shd w:val="clear" w:color="auto" w:fill="C6EFCE"/>
            <w:hideMark/>
          </w:tcPr>
          <w:p w14:paraId="1887EC1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546" w:type="dxa"/>
            <w:tcBorders>
              <w:top w:val="nil"/>
              <w:left w:val="nil"/>
              <w:bottom w:val="single" w:sz="4" w:space="0" w:color="auto"/>
              <w:right w:val="single" w:sz="4" w:space="0" w:color="auto"/>
            </w:tcBorders>
            <w:shd w:val="clear" w:color="auto" w:fill="C6EFCE"/>
            <w:hideMark/>
          </w:tcPr>
          <w:p w14:paraId="1887EC1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At least 70 services through the Digital Services Factory</w:t>
            </w:r>
          </w:p>
        </w:tc>
        <w:tc>
          <w:tcPr>
            <w:tcW w:w="1434" w:type="dxa"/>
            <w:tcBorders>
              <w:top w:val="nil"/>
              <w:left w:val="nil"/>
              <w:bottom w:val="single" w:sz="4" w:space="0" w:color="auto"/>
              <w:right w:val="single" w:sz="4" w:space="0" w:color="auto"/>
            </w:tcBorders>
            <w:shd w:val="clear" w:color="auto" w:fill="C6EFCE"/>
            <w:hideMark/>
          </w:tcPr>
          <w:p w14:paraId="1887EC14" w14:textId="77777777" w:rsidR="00C02B59" w:rsidRPr="00D1795B" w:rsidRDefault="00C02B59" w:rsidP="00B26491">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91" w:type="dxa"/>
            <w:tcBorders>
              <w:top w:val="nil"/>
              <w:left w:val="nil"/>
              <w:bottom w:val="single" w:sz="4" w:space="0" w:color="auto"/>
              <w:right w:val="single" w:sz="4" w:space="0" w:color="auto"/>
            </w:tcBorders>
            <w:shd w:val="clear" w:color="auto" w:fill="C6EFCE"/>
            <w:hideMark/>
          </w:tcPr>
          <w:p w14:paraId="1887EC1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85" w:type="dxa"/>
            <w:tcBorders>
              <w:top w:val="nil"/>
              <w:left w:val="nil"/>
              <w:bottom w:val="single" w:sz="4" w:space="0" w:color="auto"/>
              <w:right w:val="single" w:sz="4" w:space="0" w:color="auto"/>
            </w:tcBorders>
            <w:shd w:val="clear" w:color="auto" w:fill="C6EFCE"/>
            <w:hideMark/>
          </w:tcPr>
          <w:p w14:paraId="1887EC1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w:t>
            </w:r>
          </w:p>
        </w:tc>
        <w:tc>
          <w:tcPr>
            <w:tcW w:w="1128" w:type="dxa"/>
            <w:tcBorders>
              <w:top w:val="nil"/>
              <w:left w:val="nil"/>
              <w:bottom w:val="single" w:sz="4" w:space="0" w:color="auto"/>
              <w:right w:val="single" w:sz="4" w:space="0" w:color="auto"/>
            </w:tcBorders>
            <w:shd w:val="clear" w:color="auto" w:fill="C6EFCE"/>
            <w:hideMark/>
          </w:tcPr>
          <w:p w14:paraId="1887EC1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70</w:t>
            </w:r>
          </w:p>
        </w:tc>
        <w:tc>
          <w:tcPr>
            <w:tcW w:w="845" w:type="dxa"/>
            <w:tcBorders>
              <w:top w:val="nil"/>
              <w:left w:val="nil"/>
              <w:bottom w:val="single" w:sz="4" w:space="0" w:color="auto"/>
              <w:right w:val="single" w:sz="4" w:space="0" w:color="auto"/>
            </w:tcBorders>
            <w:shd w:val="clear" w:color="auto" w:fill="C6EFCE"/>
            <w:hideMark/>
          </w:tcPr>
          <w:p w14:paraId="1887EC1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29" w:type="dxa"/>
            <w:tcBorders>
              <w:top w:val="nil"/>
              <w:left w:val="nil"/>
              <w:bottom w:val="single" w:sz="4" w:space="0" w:color="auto"/>
              <w:right w:val="single" w:sz="4" w:space="0" w:color="auto"/>
            </w:tcBorders>
            <w:shd w:val="clear" w:color="auto" w:fill="C6EFCE"/>
            <w:hideMark/>
          </w:tcPr>
          <w:p w14:paraId="1887EC1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856" w:type="dxa"/>
            <w:tcBorders>
              <w:top w:val="nil"/>
              <w:left w:val="nil"/>
              <w:bottom w:val="single" w:sz="4" w:space="0" w:color="auto"/>
              <w:right w:val="single" w:sz="4" w:space="0" w:color="auto"/>
            </w:tcBorders>
            <w:shd w:val="clear" w:color="auto" w:fill="C6EFCE"/>
            <w:hideMark/>
          </w:tcPr>
          <w:p w14:paraId="1887EC1A"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Digitalisation of at least 70 services through the Digital Services Factory.</w:t>
            </w:r>
          </w:p>
        </w:tc>
      </w:tr>
      <w:tr w:rsidR="00C02B59" w:rsidRPr="00D1795B" w14:paraId="1887EC29" w14:textId="77777777" w:rsidTr="00C02B59">
        <w:trPr>
          <w:trHeight w:val="2119"/>
          <w:jc w:val="center"/>
        </w:trPr>
        <w:tc>
          <w:tcPr>
            <w:tcW w:w="988" w:type="dxa"/>
            <w:tcBorders>
              <w:top w:val="nil"/>
              <w:left w:val="single" w:sz="4" w:space="0" w:color="auto"/>
              <w:bottom w:val="single" w:sz="4" w:space="0" w:color="auto"/>
              <w:right w:val="single" w:sz="4" w:space="0" w:color="auto"/>
            </w:tcBorders>
            <w:shd w:val="clear" w:color="auto" w:fill="C6EFCE"/>
            <w:noWrap/>
          </w:tcPr>
          <w:p w14:paraId="1887EC1C" w14:textId="77777777" w:rsidR="00C02B59" w:rsidRPr="00D1795B" w:rsidRDefault="00C02B59" w:rsidP="00C02B59">
            <w:pPr>
              <w:spacing w:before="120"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227</w:t>
            </w:r>
          </w:p>
        </w:tc>
        <w:tc>
          <w:tcPr>
            <w:tcW w:w="1423" w:type="dxa"/>
            <w:tcBorders>
              <w:top w:val="nil"/>
              <w:left w:val="nil"/>
              <w:bottom w:val="single" w:sz="4" w:space="0" w:color="auto"/>
              <w:right w:val="single" w:sz="4" w:space="0" w:color="auto"/>
            </w:tcBorders>
            <w:shd w:val="clear" w:color="auto" w:fill="C6EFCE"/>
          </w:tcPr>
          <w:p w14:paraId="1887EC1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C4.2R2</w:t>
            </w:r>
          </w:p>
          <w:p w14:paraId="1887EC1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New cloud policy with regard to government IT systems and services and infrastructure set-up</w:t>
            </w:r>
          </w:p>
        </w:tc>
        <w:tc>
          <w:tcPr>
            <w:tcW w:w="1125" w:type="dxa"/>
            <w:tcBorders>
              <w:top w:val="nil"/>
              <w:left w:val="nil"/>
              <w:bottom w:val="single" w:sz="4" w:space="0" w:color="auto"/>
              <w:right w:val="single" w:sz="4" w:space="0" w:color="auto"/>
            </w:tcBorders>
            <w:shd w:val="clear" w:color="auto" w:fill="C6EFCE"/>
          </w:tcPr>
          <w:p w14:paraId="1887EC1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546" w:type="dxa"/>
            <w:tcBorders>
              <w:top w:val="nil"/>
              <w:left w:val="nil"/>
              <w:bottom w:val="single" w:sz="4" w:space="0" w:color="auto"/>
              <w:right w:val="single" w:sz="4" w:space="0" w:color="auto"/>
            </w:tcBorders>
            <w:shd w:val="clear" w:color="auto" w:fill="C6EFCE"/>
          </w:tcPr>
          <w:p w14:paraId="1887EC2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Two data centres with hosting services</w:t>
            </w:r>
          </w:p>
        </w:tc>
        <w:tc>
          <w:tcPr>
            <w:tcW w:w="1434" w:type="dxa"/>
            <w:tcBorders>
              <w:top w:val="nil"/>
              <w:left w:val="nil"/>
              <w:bottom w:val="single" w:sz="4" w:space="0" w:color="auto"/>
              <w:right w:val="single" w:sz="4" w:space="0" w:color="auto"/>
            </w:tcBorders>
            <w:shd w:val="clear" w:color="auto" w:fill="C6EFCE"/>
          </w:tcPr>
          <w:p w14:paraId="1887EC21" w14:textId="6CF7A1ED" w:rsidR="00C02B59" w:rsidRPr="00B26491" w:rsidRDefault="00B26491" w:rsidP="00B26491">
            <w:pPr>
              <w:spacing w:after="0" w:line="240" w:lineRule="auto"/>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w:t>
            </w:r>
          </w:p>
        </w:tc>
        <w:tc>
          <w:tcPr>
            <w:tcW w:w="791" w:type="dxa"/>
            <w:tcBorders>
              <w:top w:val="nil"/>
              <w:left w:val="nil"/>
              <w:bottom w:val="single" w:sz="4" w:space="0" w:color="auto"/>
              <w:right w:val="single" w:sz="4" w:space="0" w:color="auto"/>
            </w:tcBorders>
            <w:shd w:val="clear" w:color="auto" w:fill="C6EFCE"/>
          </w:tcPr>
          <w:p w14:paraId="1887EC2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85" w:type="dxa"/>
            <w:tcBorders>
              <w:top w:val="nil"/>
              <w:left w:val="nil"/>
              <w:bottom w:val="single" w:sz="4" w:space="0" w:color="auto"/>
              <w:right w:val="single" w:sz="4" w:space="0" w:color="auto"/>
            </w:tcBorders>
            <w:shd w:val="clear" w:color="auto" w:fill="C6EFCE"/>
          </w:tcPr>
          <w:p w14:paraId="1887EC2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128" w:type="dxa"/>
            <w:tcBorders>
              <w:top w:val="nil"/>
              <w:left w:val="nil"/>
              <w:bottom w:val="single" w:sz="4" w:space="0" w:color="auto"/>
              <w:right w:val="single" w:sz="4" w:space="0" w:color="auto"/>
            </w:tcBorders>
            <w:shd w:val="clear" w:color="auto" w:fill="C6EFCE"/>
          </w:tcPr>
          <w:p w14:paraId="1887EC2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w:t>
            </w:r>
          </w:p>
        </w:tc>
        <w:tc>
          <w:tcPr>
            <w:tcW w:w="845" w:type="dxa"/>
            <w:tcBorders>
              <w:top w:val="nil"/>
              <w:left w:val="nil"/>
              <w:bottom w:val="single" w:sz="4" w:space="0" w:color="auto"/>
              <w:right w:val="single" w:sz="4" w:space="0" w:color="auto"/>
            </w:tcBorders>
            <w:shd w:val="clear" w:color="auto" w:fill="C6EFCE"/>
          </w:tcPr>
          <w:p w14:paraId="1887EC2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29" w:type="dxa"/>
            <w:tcBorders>
              <w:top w:val="nil"/>
              <w:left w:val="nil"/>
              <w:bottom w:val="single" w:sz="4" w:space="0" w:color="auto"/>
              <w:right w:val="single" w:sz="4" w:space="0" w:color="auto"/>
            </w:tcBorders>
            <w:shd w:val="clear" w:color="auto" w:fill="C6EFCE"/>
          </w:tcPr>
          <w:p w14:paraId="1887EC2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856" w:type="dxa"/>
            <w:tcBorders>
              <w:top w:val="nil"/>
              <w:left w:val="nil"/>
              <w:bottom w:val="single" w:sz="4" w:space="0" w:color="auto"/>
              <w:right w:val="single" w:sz="4" w:space="0" w:color="auto"/>
            </w:tcBorders>
            <w:shd w:val="clear" w:color="auto" w:fill="C6EFCE"/>
          </w:tcPr>
          <w:p w14:paraId="1887EC28" w14:textId="6A12EAC3" w:rsidR="00C02B59" w:rsidRPr="00D1795B" w:rsidRDefault="00C02B59" w:rsidP="00B26491">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Two data centres with hosting services for government IT systems.</w:t>
            </w:r>
          </w:p>
        </w:tc>
      </w:tr>
      <w:tr w:rsidR="00C02B59" w:rsidRPr="00D1795B" w14:paraId="1887EC36" w14:textId="77777777" w:rsidTr="00C02B59">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887EC2A" w14:textId="77777777" w:rsidR="00C02B59" w:rsidRPr="00D1795B" w:rsidRDefault="00C02B59" w:rsidP="00C02B59">
            <w:pPr>
              <w:spacing w:before="120"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228</w:t>
            </w:r>
          </w:p>
        </w:tc>
        <w:tc>
          <w:tcPr>
            <w:tcW w:w="1423" w:type="dxa"/>
            <w:tcBorders>
              <w:top w:val="single" w:sz="4" w:space="0" w:color="auto"/>
              <w:left w:val="single" w:sz="4" w:space="0" w:color="auto"/>
              <w:bottom w:val="single" w:sz="4" w:space="0" w:color="auto"/>
              <w:right w:val="single" w:sz="4" w:space="0" w:color="auto"/>
            </w:tcBorders>
            <w:shd w:val="clear" w:color="auto" w:fill="C6EFCE"/>
          </w:tcPr>
          <w:p w14:paraId="1887EC2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C4.2R2</w:t>
            </w:r>
          </w:p>
          <w:p w14:paraId="1887EC2C" w14:textId="77777777" w:rsidR="00C02B59" w:rsidRPr="00D1795B" w:rsidRDefault="00C02B59" w:rsidP="00C02B59">
            <w:pPr>
              <w:spacing w:after="0" w:line="240" w:lineRule="auto"/>
              <w:rPr>
                <w:rFonts w:ascii="Times New Roman" w:hAnsi="Times New Roman" w:cs="Times New Roman"/>
                <w:strike/>
                <w:noProof/>
                <w:sz w:val="18"/>
                <w:szCs w:val="18"/>
              </w:rPr>
            </w:pPr>
            <w:r w:rsidRPr="00D1795B">
              <w:rPr>
                <w:rFonts w:ascii="Times New Roman" w:hAnsi="Times New Roman" w:cs="Times New Roman"/>
                <w:noProof/>
                <w:sz w:val="18"/>
                <w:szCs w:val="18"/>
              </w:rPr>
              <w:t>New cloud policy with regard to government IT systems and services and infrastructure set-up</w:t>
            </w:r>
          </w:p>
        </w:tc>
        <w:tc>
          <w:tcPr>
            <w:tcW w:w="1125" w:type="dxa"/>
            <w:tcBorders>
              <w:top w:val="single" w:sz="4" w:space="0" w:color="auto"/>
              <w:left w:val="single" w:sz="4" w:space="0" w:color="auto"/>
              <w:bottom w:val="single" w:sz="4" w:space="0" w:color="auto"/>
              <w:right w:val="single" w:sz="4" w:space="0" w:color="auto"/>
            </w:tcBorders>
            <w:shd w:val="clear" w:color="auto" w:fill="C6EFCE"/>
            <w:hideMark/>
          </w:tcPr>
          <w:p w14:paraId="1887EC2D" w14:textId="77777777" w:rsidR="00C02B59" w:rsidRPr="00D1795B" w:rsidRDefault="00C02B59" w:rsidP="00C02B59">
            <w:pPr>
              <w:spacing w:after="0" w:line="240" w:lineRule="auto"/>
              <w:rPr>
                <w:rFonts w:ascii="Times New Roman" w:hAnsi="Times New Roman" w:cs="Times New Roman"/>
                <w:strike/>
                <w:noProof/>
                <w:sz w:val="18"/>
                <w:szCs w:val="18"/>
              </w:rPr>
            </w:pPr>
            <w:r w:rsidRPr="00D1795B">
              <w:rPr>
                <w:rFonts w:ascii="Times New Roman" w:hAnsi="Times New Roman" w:cs="Times New Roman"/>
                <w:noProof/>
                <w:sz w:val="18"/>
                <w:szCs w:val="18"/>
              </w:rPr>
              <w:t>Milestone</w:t>
            </w:r>
            <w:r w:rsidRPr="00D1795B">
              <w:rPr>
                <w:rFonts w:ascii="Times New Roman" w:hAnsi="Times New Roman" w:cs="Times New Roman"/>
                <w:strike/>
                <w:noProof/>
                <w:sz w:val="18"/>
                <w:szCs w:val="18"/>
              </w:rPr>
              <w:t xml:space="preserve"> </w:t>
            </w:r>
          </w:p>
        </w:tc>
        <w:tc>
          <w:tcPr>
            <w:tcW w:w="1546" w:type="dxa"/>
            <w:tcBorders>
              <w:top w:val="single" w:sz="4" w:space="0" w:color="auto"/>
              <w:left w:val="single" w:sz="4" w:space="0" w:color="auto"/>
              <w:bottom w:val="single" w:sz="4" w:space="0" w:color="auto"/>
              <w:right w:val="single" w:sz="4" w:space="0" w:color="auto"/>
            </w:tcBorders>
            <w:shd w:val="clear" w:color="auto" w:fill="C6EFCE"/>
            <w:hideMark/>
          </w:tcPr>
          <w:p w14:paraId="1887EC2E" w14:textId="77777777" w:rsidR="00C02B59" w:rsidRPr="00D1795B" w:rsidRDefault="00C02B59" w:rsidP="00C02B59">
            <w:pPr>
              <w:spacing w:after="0" w:line="240" w:lineRule="auto"/>
              <w:rPr>
                <w:rFonts w:ascii="Times New Roman" w:hAnsi="Times New Roman" w:cs="Times New Roman"/>
                <w:strike/>
                <w:noProof/>
                <w:sz w:val="18"/>
                <w:szCs w:val="18"/>
              </w:rPr>
            </w:pPr>
            <w:r w:rsidRPr="00D1795B">
              <w:rPr>
                <w:rFonts w:ascii="Times New Roman" w:hAnsi="Times New Roman" w:cs="Times New Roman"/>
                <w:noProof/>
                <w:sz w:val="18"/>
                <w:szCs w:val="18"/>
              </w:rPr>
              <w:t>Adoption of a national cloud policy by the Council of Ministers</w:t>
            </w:r>
          </w:p>
        </w:tc>
        <w:tc>
          <w:tcPr>
            <w:tcW w:w="1434" w:type="dxa"/>
            <w:tcBorders>
              <w:top w:val="single" w:sz="4" w:space="0" w:color="auto"/>
              <w:left w:val="single" w:sz="4" w:space="0" w:color="auto"/>
              <w:bottom w:val="single" w:sz="4" w:space="0" w:color="auto"/>
              <w:right w:val="single" w:sz="4" w:space="0" w:color="auto"/>
            </w:tcBorders>
            <w:shd w:val="clear" w:color="auto" w:fill="C6EFCE"/>
            <w:hideMark/>
          </w:tcPr>
          <w:p w14:paraId="1887EC2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National cloud policy adopted by the Council of Ministers</w:t>
            </w:r>
          </w:p>
        </w:tc>
        <w:tc>
          <w:tcPr>
            <w:tcW w:w="791" w:type="dxa"/>
            <w:tcBorders>
              <w:top w:val="single" w:sz="4" w:space="0" w:color="auto"/>
              <w:left w:val="single" w:sz="4" w:space="0" w:color="auto"/>
              <w:bottom w:val="single" w:sz="4" w:space="0" w:color="auto"/>
              <w:right w:val="single" w:sz="4" w:space="0" w:color="auto"/>
            </w:tcBorders>
            <w:shd w:val="clear" w:color="auto" w:fill="C6EFCE"/>
          </w:tcPr>
          <w:p w14:paraId="1887EC30" w14:textId="77777777" w:rsidR="00C02B59" w:rsidRPr="00D1795B" w:rsidRDefault="00C02B59" w:rsidP="00C02B59">
            <w:pPr>
              <w:spacing w:after="0" w:line="240" w:lineRule="auto"/>
              <w:jc w:val="center"/>
              <w:rPr>
                <w:rFonts w:ascii="Times New Roman" w:hAnsi="Times New Roman" w:cs="Times New Roman"/>
                <w:strike/>
                <w:noProof/>
                <w:sz w:val="18"/>
                <w:szCs w:val="18"/>
              </w:rPr>
            </w:pPr>
          </w:p>
        </w:tc>
        <w:tc>
          <w:tcPr>
            <w:tcW w:w="985" w:type="dxa"/>
            <w:tcBorders>
              <w:top w:val="single" w:sz="4" w:space="0" w:color="auto"/>
              <w:left w:val="single" w:sz="4" w:space="0" w:color="auto"/>
              <w:bottom w:val="single" w:sz="4" w:space="0" w:color="auto"/>
              <w:right w:val="single" w:sz="4" w:space="0" w:color="auto"/>
            </w:tcBorders>
            <w:shd w:val="clear" w:color="auto" w:fill="C6EFCE"/>
          </w:tcPr>
          <w:p w14:paraId="1887EC31" w14:textId="77777777" w:rsidR="00C02B59" w:rsidRPr="00D1795B" w:rsidRDefault="00C02B59" w:rsidP="00C02B59">
            <w:pPr>
              <w:spacing w:after="0" w:line="240" w:lineRule="auto"/>
              <w:jc w:val="center"/>
              <w:rPr>
                <w:rFonts w:ascii="Times New Roman" w:hAnsi="Times New Roman" w:cs="Times New Roman"/>
                <w:strike/>
                <w:noProof/>
                <w:sz w:val="18"/>
                <w:szCs w:val="18"/>
              </w:rPr>
            </w:pP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887EC32" w14:textId="77777777" w:rsidR="00C02B59" w:rsidRPr="00D1795B" w:rsidRDefault="00C02B59" w:rsidP="00C02B59">
            <w:pPr>
              <w:spacing w:after="0" w:line="240" w:lineRule="auto"/>
              <w:jc w:val="center"/>
              <w:rPr>
                <w:rFonts w:ascii="Times New Roman" w:hAnsi="Times New Roman" w:cs="Times New Roman"/>
                <w:strike/>
                <w:noProof/>
                <w:sz w:val="18"/>
                <w:szCs w:val="18"/>
              </w:rPr>
            </w:pPr>
          </w:p>
        </w:tc>
        <w:tc>
          <w:tcPr>
            <w:tcW w:w="845" w:type="dxa"/>
            <w:tcBorders>
              <w:top w:val="single" w:sz="4" w:space="0" w:color="auto"/>
              <w:left w:val="single" w:sz="4" w:space="0" w:color="auto"/>
              <w:bottom w:val="single" w:sz="4" w:space="0" w:color="auto"/>
              <w:right w:val="single" w:sz="4" w:space="0" w:color="auto"/>
            </w:tcBorders>
            <w:shd w:val="clear" w:color="auto" w:fill="C6EFCE"/>
            <w:hideMark/>
          </w:tcPr>
          <w:p w14:paraId="1887EC3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29" w:type="dxa"/>
            <w:tcBorders>
              <w:top w:val="single" w:sz="4" w:space="0" w:color="auto"/>
              <w:left w:val="single" w:sz="4" w:space="0" w:color="auto"/>
              <w:bottom w:val="single" w:sz="4" w:space="0" w:color="auto"/>
              <w:right w:val="single" w:sz="4" w:space="0" w:color="auto"/>
            </w:tcBorders>
            <w:shd w:val="clear" w:color="auto" w:fill="C6EFCE"/>
            <w:hideMark/>
          </w:tcPr>
          <w:p w14:paraId="1887EC34" w14:textId="77777777" w:rsidR="00C02B59" w:rsidRPr="00D1795B" w:rsidRDefault="00C02B59" w:rsidP="00C02B59">
            <w:pPr>
              <w:spacing w:after="0" w:line="240" w:lineRule="auto"/>
              <w:jc w:val="center"/>
              <w:rPr>
                <w:rFonts w:ascii="Times New Roman" w:hAnsi="Times New Roman" w:cs="Times New Roman"/>
                <w:strike/>
                <w:noProof/>
                <w:sz w:val="18"/>
                <w:szCs w:val="18"/>
              </w:rPr>
            </w:pPr>
            <w:r w:rsidRPr="00D1795B">
              <w:rPr>
                <w:rFonts w:ascii="Times New Roman" w:hAnsi="Times New Roman" w:cs="Times New Roman"/>
                <w:noProof/>
                <w:sz w:val="18"/>
                <w:szCs w:val="18"/>
              </w:rPr>
              <w:t>2025</w:t>
            </w:r>
          </w:p>
        </w:tc>
        <w:tc>
          <w:tcPr>
            <w:tcW w:w="3856" w:type="dxa"/>
            <w:tcBorders>
              <w:top w:val="single" w:sz="4" w:space="0" w:color="auto"/>
              <w:left w:val="single" w:sz="4" w:space="0" w:color="auto"/>
              <w:bottom w:val="single" w:sz="4" w:space="0" w:color="auto"/>
              <w:right w:val="single" w:sz="4" w:space="0" w:color="auto"/>
            </w:tcBorders>
            <w:shd w:val="clear" w:color="auto" w:fill="C6EFCE"/>
            <w:hideMark/>
          </w:tcPr>
          <w:p w14:paraId="1887EC35" w14:textId="77777777" w:rsidR="00C02B59" w:rsidRPr="00D1795B" w:rsidRDefault="00C02B59" w:rsidP="00C02B59">
            <w:pPr>
              <w:spacing w:after="0" w:line="240" w:lineRule="auto"/>
              <w:jc w:val="both"/>
              <w:rPr>
                <w:rFonts w:ascii="Times New Roman" w:hAnsi="Times New Roman" w:cs="Times New Roman"/>
                <w:strike/>
                <w:noProof/>
                <w:sz w:val="18"/>
                <w:szCs w:val="18"/>
              </w:rPr>
            </w:pPr>
            <w:r w:rsidRPr="00D1795B">
              <w:rPr>
                <w:rFonts w:ascii="Times New Roman" w:hAnsi="Times New Roman" w:cs="Times New Roman"/>
                <w:noProof/>
                <w:sz w:val="18"/>
                <w:szCs w:val="18"/>
              </w:rPr>
              <w:t>A National Cloud Policy on the use of cloud computing technologies in the public sector is adopted by the Council of Ministers.</w:t>
            </w:r>
          </w:p>
        </w:tc>
      </w:tr>
      <w:tr w:rsidR="00C02B59" w:rsidRPr="00D1795B" w14:paraId="1887EC43" w14:textId="77777777" w:rsidTr="00C02B59">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887EC37" w14:textId="77777777" w:rsidR="00C02B59" w:rsidRPr="00D1795B" w:rsidRDefault="00C02B59" w:rsidP="00C02B59">
            <w:pPr>
              <w:spacing w:before="120"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229</w:t>
            </w:r>
          </w:p>
        </w:tc>
        <w:tc>
          <w:tcPr>
            <w:tcW w:w="1423" w:type="dxa"/>
            <w:tcBorders>
              <w:top w:val="single" w:sz="4" w:space="0" w:color="auto"/>
              <w:left w:val="nil"/>
              <w:bottom w:val="single" w:sz="4" w:space="0" w:color="auto"/>
              <w:right w:val="single" w:sz="4" w:space="0" w:color="auto"/>
            </w:tcBorders>
            <w:shd w:val="clear" w:color="auto" w:fill="C6EFCE"/>
          </w:tcPr>
          <w:p w14:paraId="1887EC3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C4.2R3</w:t>
            </w:r>
          </w:p>
          <w:p w14:paraId="1887EC3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Police Procedures digitalisation Digipol</w:t>
            </w:r>
          </w:p>
        </w:tc>
        <w:tc>
          <w:tcPr>
            <w:tcW w:w="1125" w:type="dxa"/>
            <w:tcBorders>
              <w:top w:val="single" w:sz="4" w:space="0" w:color="auto"/>
              <w:left w:val="nil"/>
              <w:bottom w:val="single" w:sz="4" w:space="0" w:color="auto"/>
              <w:right w:val="single" w:sz="4" w:space="0" w:color="auto"/>
            </w:tcBorders>
            <w:shd w:val="clear" w:color="auto" w:fill="C6EFCE"/>
            <w:hideMark/>
          </w:tcPr>
          <w:p w14:paraId="1887EC3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546" w:type="dxa"/>
            <w:tcBorders>
              <w:top w:val="single" w:sz="4" w:space="0" w:color="auto"/>
              <w:left w:val="nil"/>
              <w:bottom w:val="single" w:sz="4" w:space="0" w:color="auto"/>
              <w:right w:val="single" w:sz="4" w:space="0" w:color="auto"/>
            </w:tcBorders>
            <w:shd w:val="clear" w:color="auto" w:fill="C6EFCE"/>
            <w:hideMark/>
          </w:tcPr>
          <w:p w14:paraId="1887EC3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Digipol prototype operational </w:t>
            </w:r>
          </w:p>
        </w:tc>
        <w:tc>
          <w:tcPr>
            <w:tcW w:w="1434" w:type="dxa"/>
            <w:tcBorders>
              <w:top w:val="single" w:sz="4" w:space="0" w:color="auto"/>
              <w:left w:val="nil"/>
              <w:bottom w:val="single" w:sz="4" w:space="0" w:color="auto"/>
              <w:right w:val="single" w:sz="4" w:space="0" w:color="auto"/>
            </w:tcBorders>
            <w:shd w:val="clear" w:color="auto" w:fill="C6EFCE"/>
            <w:hideMark/>
          </w:tcPr>
          <w:p w14:paraId="1887EC3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Declaration by Cyprus Police confirming that the prototype platform (Digipol) is operational</w:t>
            </w:r>
          </w:p>
        </w:tc>
        <w:tc>
          <w:tcPr>
            <w:tcW w:w="791" w:type="dxa"/>
            <w:tcBorders>
              <w:top w:val="single" w:sz="4" w:space="0" w:color="auto"/>
              <w:left w:val="nil"/>
              <w:bottom w:val="single" w:sz="4" w:space="0" w:color="auto"/>
              <w:right w:val="single" w:sz="4" w:space="0" w:color="auto"/>
            </w:tcBorders>
            <w:shd w:val="clear" w:color="auto" w:fill="C6EFCE"/>
            <w:hideMark/>
          </w:tcPr>
          <w:p w14:paraId="1887EC3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5" w:type="dxa"/>
            <w:tcBorders>
              <w:top w:val="single" w:sz="4" w:space="0" w:color="auto"/>
              <w:left w:val="nil"/>
              <w:bottom w:val="single" w:sz="4" w:space="0" w:color="auto"/>
              <w:right w:val="single" w:sz="4" w:space="0" w:color="auto"/>
            </w:tcBorders>
            <w:shd w:val="clear" w:color="auto" w:fill="C6EFCE"/>
            <w:hideMark/>
          </w:tcPr>
          <w:p w14:paraId="1887EC3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128" w:type="dxa"/>
            <w:tcBorders>
              <w:top w:val="single" w:sz="4" w:space="0" w:color="auto"/>
              <w:left w:val="nil"/>
              <w:bottom w:val="single" w:sz="4" w:space="0" w:color="auto"/>
              <w:right w:val="single" w:sz="4" w:space="0" w:color="auto"/>
            </w:tcBorders>
            <w:shd w:val="clear" w:color="auto" w:fill="C6EFCE"/>
            <w:hideMark/>
          </w:tcPr>
          <w:p w14:paraId="1887EC3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845" w:type="dxa"/>
            <w:tcBorders>
              <w:top w:val="single" w:sz="4" w:space="0" w:color="auto"/>
              <w:left w:val="nil"/>
              <w:bottom w:val="single" w:sz="4" w:space="0" w:color="auto"/>
              <w:right w:val="single" w:sz="4" w:space="0" w:color="auto"/>
            </w:tcBorders>
            <w:shd w:val="clear" w:color="auto" w:fill="C6EFCE"/>
            <w:hideMark/>
          </w:tcPr>
          <w:p w14:paraId="1887EC4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29" w:type="dxa"/>
            <w:tcBorders>
              <w:top w:val="single" w:sz="4" w:space="0" w:color="auto"/>
              <w:left w:val="nil"/>
              <w:bottom w:val="single" w:sz="4" w:space="0" w:color="auto"/>
              <w:right w:val="single" w:sz="4" w:space="0" w:color="auto"/>
            </w:tcBorders>
            <w:shd w:val="clear" w:color="auto" w:fill="C6EFCE"/>
            <w:hideMark/>
          </w:tcPr>
          <w:p w14:paraId="1887EC4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856" w:type="dxa"/>
            <w:tcBorders>
              <w:top w:val="single" w:sz="4" w:space="0" w:color="auto"/>
              <w:left w:val="nil"/>
              <w:bottom w:val="single" w:sz="4" w:space="0" w:color="auto"/>
              <w:right w:val="single" w:sz="4" w:space="0" w:color="auto"/>
            </w:tcBorders>
            <w:shd w:val="clear" w:color="auto" w:fill="C6EFCE"/>
            <w:hideMark/>
          </w:tcPr>
          <w:p w14:paraId="1887EC4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The prototype platform (Digipol) is operational. Police officers shall be the users and have access to the prototype Digipol for familiarity and training purposes. </w:t>
            </w:r>
          </w:p>
        </w:tc>
      </w:tr>
      <w:tr w:rsidR="00C02B59" w:rsidRPr="00D1795B" w14:paraId="1887EC50" w14:textId="77777777" w:rsidTr="00C02B59">
        <w:trPr>
          <w:trHeight w:val="1104"/>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44" w14:textId="77777777" w:rsidR="00C02B59" w:rsidRPr="00D1795B" w:rsidRDefault="00C02B59" w:rsidP="00C02B59">
            <w:pPr>
              <w:spacing w:before="120"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230</w:t>
            </w:r>
          </w:p>
        </w:tc>
        <w:tc>
          <w:tcPr>
            <w:tcW w:w="1423" w:type="dxa"/>
            <w:tcBorders>
              <w:top w:val="nil"/>
              <w:left w:val="nil"/>
              <w:bottom w:val="single" w:sz="4" w:space="0" w:color="auto"/>
              <w:right w:val="single" w:sz="4" w:space="0" w:color="auto"/>
            </w:tcBorders>
            <w:shd w:val="clear" w:color="auto" w:fill="C6EFCE"/>
          </w:tcPr>
          <w:p w14:paraId="1887EC45"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C4.2R3</w:t>
            </w:r>
          </w:p>
          <w:p w14:paraId="1887EC46"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Police Procedures digitalisation (Digipol)</w:t>
            </w:r>
          </w:p>
        </w:tc>
        <w:tc>
          <w:tcPr>
            <w:tcW w:w="1125" w:type="dxa"/>
            <w:tcBorders>
              <w:top w:val="nil"/>
              <w:left w:val="nil"/>
              <w:bottom w:val="single" w:sz="4" w:space="0" w:color="auto"/>
              <w:right w:val="single" w:sz="4" w:space="0" w:color="auto"/>
            </w:tcBorders>
            <w:shd w:val="clear" w:color="auto" w:fill="C6EFCE"/>
            <w:hideMark/>
          </w:tcPr>
          <w:p w14:paraId="1887EC4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546" w:type="dxa"/>
            <w:tcBorders>
              <w:top w:val="nil"/>
              <w:left w:val="nil"/>
              <w:bottom w:val="single" w:sz="4" w:space="0" w:color="auto"/>
              <w:right w:val="single" w:sz="4" w:space="0" w:color="auto"/>
            </w:tcBorders>
            <w:shd w:val="clear" w:color="auto" w:fill="C6EFCE"/>
            <w:hideMark/>
          </w:tcPr>
          <w:p w14:paraId="1887EC4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Digipol accessible</w:t>
            </w:r>
          </w:p>
        </w:tc>
        <w:tc>
          <w:tcPr>
            <w:tcW w:w="1434" w:type="dxa"/>
            <w:tcBorders>
              <w:top w:val="nil"/>
              <w:left w:val="nil"/>
              <w:bottom w:val="single" w:sz="4" w:space="0" w:color="auto"/>
              <w:right w:val="single" w:sz="4" w:space="0" w:color="auto"/>
            </w:tcBorders>
            <w:shd w:val="clear" w:color="auto" w:fill="C6EFCE"/>
            <w:hideMark/>
          </w:tcPr>
          <w:p w14:paraId="1887EC4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91" w:type="dxa"/>
            <w:tcBorders>
              <w:top w:val="nil"/>
              <w:left w:val="nil"/>
              <w:bottom w:val="single" w:sz="4" w:space="0" w:color="auto"/>
              <w:right w:val="single" w:sz="4" w:space="0" w:color="auto"/>
            </w:tcBorders>
            <w:shd w:val="clear" w:color="auto" w:fill="C6EFCE"/>
          </w:tcPr>
          <w:p w14:paraId="1887EC4A"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985" w:type="dxa"/>
            <w:tcBorders>
              <w:top w:val="nil"/>
              <w:left w:val="nil"/>
              <w:bottom w:val="single" w:sz="4" w:space="0" w:color="auto"/>
              <w:right w:val="single" w:sz="4" w:space="0" w:color="auto"/>
            </w:tcBorders>
            <w:shd w:val="clear" w:color="auto" w:fill="C6EFCE"/>
          </w:tcPr>
          <w:p w14:paraId="1887EC4B"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1128" w:type="dxa"/>
            <w:tcBorders>
              <w:top w:val="nil"/>
              <w:left w:val="nil"/>
              <w:bottom w:val="single" w:sz="4" w:space="0" w:color="auto"/>
              <w:right w:val="single" w:sz="4" w:space="0" w:color="auto"/>
            </w:tcBorders>
            <w:shd w:val="clear" w:color="auto" w:fill="C6EFCE"/>
          </w:tcPr>
          <w:p w14:paraId="1887EC4C"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845" w:type="dxa"/>
            <w:tcBorders>
              <w:top w:val="nil"/>
              <w:left w:val="nil"/>
              <w:bottom w:val="single" w:sz="4" w:space="0" w:color="auto"/>
              <w:right w:val="single" w:sz="4" w:space="0" w:color="auto"/>
            </w:tcBorders>
            <w:shd w:val="clear" w:color="auto" w:fill="C6EFCE"/>
            <w:hideMark/>
          </w:tcPr>
          <w:p w14:paraId="1887EC4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Q3</w:t>
            </w:r>
          </w:p>
        </w:tc>
        <w:tc>
          <w:tcPr>
            <w:tcW w:w="929" w:type="dxa"/>
            <w:tcBorders>
              <w:top w:val="nil"/>
              <w:left w:val="nil"/>
              <w:bottom w:val="single" w:sz="4" w:space="0" w:color="auto"/>
              <w:right w:val="single" w:sz="4" w:space="0" w:color="auto"/>
            </w:tcBorders>
            <w:shd w:val="clear" w:color="auto" w:fill="C6EFCE"/>
            <w:hideMark/>
          </w:tcPr>
          <w:p w14:paraId="1887EC4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856" w:type="dxa"/>
            <w:tcBorders>
              <w:top w:val="nil"/>
              <w:left w:val="nil"/>
              <w:bottom w:val="single" w:sz="4" w:space="0" w:color="auto"/>
              <w:right w:val="single" w:sz="4" w:space="0" w:color="auto"/>
            </w:tcBorders>
            <w:shd w:val="clear" w:color="auto" w:fill="C6EFCE"/>
            <w:hideMark/>
          </w:tcPr>
          <w:p w14:paraId="1887EC4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Digipol shall be accessible. Training and dissemination activities have been conducted. </w:t>
            </w:r>
          </w:p>
        </w:tc>
      </w:tr>
      <w:tr w:rsidR="00C02B59" w:rsidRPr="00D1795B" w14:paraId="1887EC5D" w14:textId="77777777" w:rsidTr="00C02B59">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51" w14:textId="77777777" w:rsidR="00C02B59" w:rsidRPr="00D1795B" w:rsidRDefault="00C02B59" w:rsidP="00C02B59">
            <w:pPr>
              <w:spacing w:before="120"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231</w:t>
            </w:r>
          </w:p>
        </w:tc>
        <w:tc>
          <w:tcPr>
            <w:tcW w:w="1423" w:type="dxa"/>
            <w:tcBorders>
              <w:top w:val="nil"/>
              <w:left w:val="nil"/>
              <w:bottom w:val="single" w:sz="4" w:space="0" w:color="auto"/>
              <w:right w:val="single" w:sz="4" w:space="0" w:color="auto"/>
            </w:tcBorders>
            <w:shd w:val="clear" w:color="auto" w:fill="C6EFCE"/>
          </w:tcPr>
          <w:p w14:paraId="1887EC5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C4.2R4</w:t>
            </w:r>
          </w:p>
          <w:p w14:paraId="1887EC5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Setting up the beneficial ownership registry</w:t>
            </w:r>
          </w:p>
        </w:tc>
        <w:tc>
          <w:tcPr>
            <w:tcW w:w="1125" w:type="dxa"/>
            <w:tcBorders>
              <w:top w:val="nil"/>
              <w:left w:val="nil"/>
              <w:bottom w:val="single" w:sz="4" w:space="0" w:color="auto"/>
              <w:right w:val="single" w:sz="4" w:space="0" w:color="auto"/>
            </w:tcBorders>
            <w:shd w:val="clear" w:color="auto" w:fill="C6EFCE"/>
            <w:hideMark/>
          </w:tcPr>
          <w:p w14:paraId="1887EC5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546" w:type="dxa"/>
            <w:tcBorders>
              <w:top w:val="nil"/>
              <w:left w:val="nil"/>
              <w:bottom w:val="single" w:sz="4" w:space="0" w:color="auto"/>
              <w:right w:val="single" w:sz="4" w:space="0" w:color="auto"/>
            </w:tcBorders>
            <w:shd w:val="clear" w:color="auto" w:fill="C6EFCE"/>
            <w:hideMark/>
          </w:tcPr>
          <w:p w14:paraId="1887EC5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Beneficial ownership registry available for use </w:t>
            </w:r>
          </w:p>
        </w:tc>
        <w:tc>
          <w:tcPr>
            <w:tcW w:w="1434" w:type="dxa"/>
            <w:tcBorders>
              <w:top w:val="nil"/>
              <w:left w:val="nil"/>
              <w:bottom w:val="single" w:sz="4" w:space="0" w:color="auto"/>
              <w:right w:val="single" w:sz="4" w:space="0" w:color="auto"/>
            </w:tcBorders>
            <w:shd w:val="clear" w:color="auto" w:fill="C6EFCE"/>
            <w:hideMark/>
          </w:tcPr>
          <w:p w14:paraId="1887EC5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Beneficial ownership registry publicly available online at national and European Level</w:t>
            </w:r>
          </w:p>
        </w:tc>
        <w:tc>
          <w:tcPr>
            <w:tcW w:w="791" w:type="dxa"/>
            <w:tcBorders>
              <w:top w:val="nil"/>
              <w:left w:val="nil"/>
              <w:bottom w:val="single" w:sz="4" w:space="0" w:color="auto"/>
              <w:right w:val="single" w:sz="4" w:space="0" w:color="auto"/>
            </w:tcBorders>
            <w:shd w:val="clear" w:color="auto" w:fill="C6EFCE"/>
            <w:hideMark/>
          </w:tcPr>
          <w:p w14:paraId="1887EC5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5" w:type="dxa"/>
            <w:tcBorders>
              <w:top w:val="nil"/>
              <w:left w:val="nil"/>
              <w:bottom w:val="single" w:sz="4" w:space="0" w:color="auto"/>
              <w:right w:val="single" w:sz="4" w:space="0" w:color="auto"/>
            </w:tcBorders>
            <w:shd w:val="clear" w:color="auto" w:fill="C6EFCE"/>
            <w:hideMark/>
          </w:tcPr>
          <w:p w14:paraId="1887EC5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128" w:type="dxa"/>
            <w:tcBorders>
              <w:top w:val="nil"/>
              <w:left w:val="nil"/>
              <w:bottom w:val="single" w:sz="4" w:space="0" w:color="auto"/>
              <w:right w:val="single" w:sz="4" w:space="0" w:color="auto"/>
            </w:tcBorders>
            <w:shd w:val="clear" w:color="auto" w:fill="C6EFCE"/>
            <w:hideMark/>
          </w:tcPr>
          <w:p w14:paraId="1887EC5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845" w:type="dxa"/>
            <w:tcBorders>
              <w:top w:val="nil"/>
              <w:left w:val="nil"/>
              <w:bottom w:val="single" w:sz="4" w:space="0" w:color="auto"/>
              <w:right w:val="single" w:sz="4" w:space="0" w:color="auto"/>
            </w:tcBorders>
            <w:shd w:val="clear" w:color="auto" w:fill="C6EFCE"/>
            <w:hideMark/>
          </w:tcPr>
          <w:p w14:paraId="1887EC5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29" w:type="dxa"/>
            <w:tcBorders>
              <w:top w:val="nil"/>
              <w:left w:val="nil"/>
              <w:bottom w:val="single" w:sz="4" w:space="0" w:color="auto"/>
              <w:right w:val="single" w:sz="4" w:space="0" w:color="auto"/>
            </w:tcBorders>
            <w:shd w:val="clear" w:color="auto" w:fill="C6EFCE"/>
            <w:hideMark/>
          </w:tcPr>
          <w:p w14:paraId="1887EC5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856" w:type="dxa"/>
            <w:tcBorders>
              <w:top w:val="nil"/>
              <w:left w:val="nil"/>
              <w:bottom w:val="single" w:sz="4" w:space="0" w:color="auto"/>
              <w:right w:val="single" w:sz="4" w:space="0" w:color="auto"/>
            </w:tcBorders>
            <w:shd w:val="clear" w:color="auto" w:fill="C6EFCE"/>
            <w:hideMark/>
          </w:tcPr>
          <w:p w14:paraId="1887EC5C"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beneficial ownership registry shall be deployed and become available for use at national level and European level, enabling users to check the ultimate beneficial ownership information of legal entities and to achieve interconnection of the beneficiary ownership registers with other Member States.</w:t>
            </w:r>
          </w:p>
        </w:tc>
      </w:tr>
      <w:tr w:rsidR="00C02B59" w:rsidRPr="00D1795B" w14:paraId="1887EC6B" w14:textId="77777777" w:rsidTr="00C02B59">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tcPr>
          <w:p w14:paraId="1887EC5E" w14:textId="77777777" w:rsidR="00C02B59" w:rsidRPr="00D1795B" w:rsidRDefault="00C02B59" w:rsidP="00C02B59">
            <w:pPr>
              <w:spacing w:before="120"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232</w:t>
            </w:r>
          </w:p>
        </w:tc>
        <w:tc>
          <w:tcPr>
            <w:tcW w:w="1423" w:type="dxa"/>
            <w:tcBorders>
              <w:top w:val="nil"/>
              <w:left w:val="nil"/>
              <w:bottom w:val="single" w:sz="4" w:space="0" w:color="auto"/>
              <w:right w:val="single" w:sz="4" w:space="0" w:color="auto"/>
            </w:tcBorders>
            <w:shd w:val="clear" w:color="auto" w:fill="C6EFCE"/>
          </w:tcPr>
          <w:p w14:paraId="1887EC5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C4.2I1</w:t>
            </w:r>
          </w:p>
          <w:p w14:paraId="1887EC6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Digitalisation in various Central Government Ministries - Services</w:t>
            </w:r>
          </w:p>
        </w:tc>
        <w:tc>
          <w:tcPr>
            <w:tcW w:w="1125" w:type="dxa"/>
            <w:tcBorders>
              <w:top w:val="nil"/>
              <w:left w:val="nil"/>
              <w:bottom w:val="single" w:sz="4" w:space="0" w:color="auto"/>
              <w:right w:val="single" w:sz="4" w:space="0" w:color="auto"/>
            </w:tcBorders>
            <w:shd w:val="clear" w:color="auto" w:fill="C6EFCE"/>
          </w:tcPr>
          <w:p w14:paraId="1887EC6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546" w:type="dxa"/>
            <w:tcBorders>
              <w:top w:val="nil"/>
              <w:left w:val="nil"/>
              <w:bottom w:val="single" w:sz="4" w:space="0" w:color="auto"/>
              <w:right w:val="single" w:sz="4" w:space="0" w:color="auto"/>
            </w:tcBorders>
            <w:shd w:val="clear" w:color="auto" w:fill="C6EFCE"/>
          </w:tcPr>
          <w:p w14:paraId="1887EC6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Repository system for audit and control: information for monitoring implementation of RRF</w:t>
            </w:r>
          </w:p>
        </w:tc>
        <w:tc>
          <w:tcPr>
            <w:tcW w:w="1434" w:type="dxa"/>
            <w:tcBorders>
              <w:top w:val="nil"/>
              <w:left w:val="nil"/>
              <w:bottom w:val="single" w:sz="4" w:space="0" w:color="auto"/>
              <w:right w:val="single" w:sz="4" w:space="0" w:color="auto"/>
            </w:tcBorders>
            <w:shd w:val="clear" w:color="auto" w:fill="C6EFCE"/>
          </w:tcPr>
          <w:p w14:paraId="1887EC6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An audit report confirming repository system functionalities</w:t>
            </w:r>
          </w:p>
        </w:tc>
        <w:tc>
          <w:tcPr>
            <w:tcW w:w="791" w:type="dxa"/>
            <w:tcBorders>
              <w:top w:val="nil"/>
              <w:left w:val="nil"/>
              <w:bottom w:val="single" w:sz="4" w:space="0" w:color="auto"/>
              <w:right w:val="single" w:sz="4" w:space="0" w:color="auto"/>
            </w:tcBorders>
            <w:shd w:val="clear" w:color="auto" w:fill="C6EFCE"/>
          </w:tcPr>
          <w:p w14:paraId="1887EC6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85" w:type="dxa"/>
            <w:tcBorders>
              <w:top w:val="nil"/>
              <w:left w:val="nil"/>
              <w:bottom w:val="single" w:sz="4" w:space="0" w:color="auto"/>
              <w:right w:val="single" w:sz="4" w:space="0" w:color="auto"/>
            </w:tcBorders>
            <w:shd w:val="clear" w:color="auto" w:fill="C6EFCE"/>
          </w:tcPr>
          <w:p w14:paraId="1887EC6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128" w:type="dxa"/>
            <w:tcBorders>
              <w:top w:val="nil"/>
              <w:left w:val="nil"/>
              <w:bottom w:val="single" w:sz="4" w:space="0" w:color="auto"/>
              <w:right w:val="single" w:sz="4" w:space="0" w:color="auto"/>
            </w:tcBorders>
            <w:shd w:val="clear" w:color="auto" w:fill="C6EFCE"/>
          </w:tcPr>
          <w:p w14:paraId="1887EC6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845" w:type="dxa"/>
            <w:tcBorders>
              <w:top w:val="nil"/>
              <w:left w:val="nil"/>
              <w:bottom w:val="single" w:sz="4" w:space="0" w:color="auto"/>
              <w:right w:val="single" w:sz="4" w:space="0" w:color="auto"/>
            </w:tcBorders>
            <w:shd w:val="clear" w:color="auto" w:fill="C6EFCE"/>
          </w:tcPr>
          <w:p w14:paraId="1887EC6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929" w:type="dxa"/>
            <w:tcBorders>
              <w:top w:val="nil"/>
              <w:left w:val="nil"/>
              <w:bottom w:val="single" w:sz="4" w:space="0" w:color="auto"/>
              <w:right w:val="single" w:sz="4" w:space="0" w:color="auto"/>
            </w:tcBorders>
            <w:shd w:val="clear" w:color="auto" w:fill="C6EFCE"/>
          </w:tcPr>
          <w:p w14:paraId="1887EC6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856" w:type="dxa"/>
            <w:tcBorders>
              <w:top w:val="nil"/>
              <w:left w:val="nil"/>
              <w:bottom w:val="single" w:sz="4" w:space="0" w:color="auto"/>
              <w:right w:val="single" w:sz="4" w:space="0" w:color="auto"/>
            </w:tcBorders>
            <w:shd w:val="clear" w:color="auto" w:fill="C6EFCE"/>
          </w:tcPr>
          <w:p w14:paraId="1887EC69"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 repository system for monitoring the implementation of the RRF shall be in place and operational. The system shall include, as a minimum, the following functionalities:</w:t>
            </w:r>
          </w:p>
          <w:p w14:paraId="1887EC6A"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(1) collection of data and monitoring of the achievement of milestones and targets; (2) collect, store, and ensure access to the data required by Article 22(2)(d) (i) to (iii) of Regulation (EU) 2021/241.</w:t>
            </w:r>
          </w:p>
        </w:tc>
      </w:tr>
      <w:tr w:rsidR="00C02B59" w:rsidRPr="00D1795B" w14:paraId="1887EC78" w14:textId="77777777" w:rsidTr="00C02B59">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tcPr>
          <w:p w14:paraId="1887EC6C" w14:textId="77777777" w:rsidR="00C02B59" w:rsidRPr="00D1795B" w:rsidRDefault="00C02B59" w:rsidP="00C02B59">
            <w:pPr>
              <w:spacing w:before="120"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233</w:t>
            </w:r>
          </w:p>
        </w:tc>
        <w:tc>
          <w:tcPr>
            <w:tcW w:w="1423" w:type="dxa"/>
            <w:tcBorders>
              <w:top w:val="nil"/>
              <w:left w:val="nil"/>
              <w:bottom w:val="single" w:sz="4" w:space="0" w:color="auto"/>
              <w:right w:val="single" w:sz="4" w:space="0" w:color="auto"/>
            </w:tcBorders>
            <w:shd w:val="clear" w:color="auto" w:fill="C6EFCE"/>
          </w:tcPr>
          <w:p w14:paraId="1887EC6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C4.2I1</w:t>
            </w:r>
          </w:p>
          <w:p w14:paraId="1887EC6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Digitalisation in various Central Government Ministries - Services</w:t>
            </w:r>
          </w:p>
        </w:tc>
        <w:tc>
          <w:tcPr>
            <w:tcW w:w="1125" w:type="dxa"/>
            <w:tcBorders>
              <w:top w:val="nil"/>
              <w:left w:val="nil"/>
              <w:bottom w:val="single" w:sz="4" w:space="0" w:color="auto"/>
              <w:right w:val="single" w:sz="4" w:space="0" w:color="auto"/>
            </w:tcBorders>
            <w:shd w:val="clear" w:color="auto" w:fill="C6EFCE"/>
          </w:tcPr>
          <w:p w14:paraId="1887EC6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546" w:type="dxa"/>
            <w:tcBorders>
              <w:top w:val="nil"/>
              <w:left w:val="nil"/>
              <w:bottom w:val="single" w:sz="4" w:space="0" w:color="auto"/>
              <w:right w:val="single" w:sz="4" w:space="0" w:color="auto"/>
            </w:tcBorders>
            <w:shd w:val="clear" w:color="auto" w:fill="C6EFCE"/>
          </w:tcPr>
          <w:p w14:paraId="1887EC7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Start of the digital upgrade of a number of central government ministries and departments</w:t>
            </w:r>
          </w:p>
        </w:tc>
        <w:tc>
          <w:tcPr>
            <w:tcW w:w="1434" w:type="dxa"/>
            <w:tcBorders>
              <w:top w:val="nil"/>
              <w:left w:val="nil"/>
              <w:bottom w:val="single" w:sz="4" w:space="0" w:color="auto"/>
              <w:right w:val="single" w:sz="4" w:space="0" w:color="auto"/>
            </w:tcBorders>
            <w:shd w:val="clear" w:color="auto" w:fill="C6EFCE"/>
          </w:tcPr>
          <w:p w14:paraId="1887EC7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91" w:type="dxa"/>
            <w:tcBorders>
              <w:top w:val="nil"/>
              <w:left w:val="nil"/>
              <w:bottom w:val="single" w:sz="4" w:space="0" w:color="auto"/>
              <w:right w:val="single" w:sz="4" w:space="0" w:color="auto"/>
            </w:tcBorders>
            <w:shd w:val="clear" w:color="auto" w:fill="C6EFCE"/>
          </w:tcPr>
          <w:p w14:paraId="1887EC7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85" w:type="dxa"/>
            <w:tcBorders>
              <w:top w:val="nil"/>
              <w:left w:val="nil"/>
              <w:bottom w:val="single" w:sz="4" w:space="0" w:color="auto"/>
              <w:right w:val="single" w:sz="4" w:space="0" w:color="auto"/>
            </w:tcBorders>
            <w:shd w:val="clear" w:color="auto" w:fill="C6EFCE"/>
          </w:tcPr>
          <w:p w14:paraId="1887EC7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128" w:type="dxa"/>
            <w:tcBorders>
              <w:top w:val="nil"/>
              <w:left w:val="nil"/>
              <w:bottom w:val="single" w:sz="4" w:space="0" w:color="auto"/>
              <w:right w:val="single" w:sz="4" w:space="0" w:color="auto"/>
            </w:tcBorders>
            <w:shd w:val="clear" w:color="auto" w:fill="C6EFCE"/>
          </w:tcPr>
          <w:p w14:paraId="1887EC7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4</w:t>
            </w:r>
          </w:p>
        </w:tc>
        <w:tc>
          <w:tcPr>
            <w:tcW w:w="845" w:type="dxa"/>
            <w:tcBorders>
              <w:top w:val="nil"/>
              <w:left w:val="nil"/>
              <w:bottom w:val="single" w:sz="4" w:space="0" w:color="auto"/>
              <w:right w:val="single" w:sz="4" w:space="0" w:color="auto"/>
            </w:tcBorders>
            <w:shd w:val="clear" w:color="auto" w:fill="C6EFCE"/>
          </w:tcPr>
          <w:p w14:paraId="1887EC7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929" w:type="dxa"/>
            <w:tcBorders>
              <w:top w:val="nil"/>
              <w:left w:val="nil"/>
              <w:bottom w:val="single" w:sz="4" w:space="0" w:color="auto"/>
              <w:right w:val="single" w:sz="4" w:space="0" w:color="auto"/>
            </w:tcBorders>
            <w:shd w:val="clear" w:color="auto" w:fill="C6EFCE"/>
          </w:tcPr>
          <w:p w14:paraId="1887EC7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856" w:type="dxa"/>
            <w:tcBorders>
              <w:top w:val="nil"/>
              <w:left w:val="nil"/>
              <w:bottom w:val="single" w:sz="4" w:space="0" w:color="auto"/>
              <w:right w:val="single" w:sz="4" w:space="0" w:color="auto"/>
            </w:tcBorders>
            <w:shd w:val="clear" w:color="auto" w:fill="C6EFCE"/>
          </w:tcPr>
          <w:p w14:paraId="1887EC7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The contracts with providers selected through public procurement procedures have been signed to digitalise/digitally upgrade at least four of the following central government ministries/departments: </w:t>
            </w:r>
            <w:r w:rsidRPr="00D1795B">
              <w:rPr>
                <w:rFonts w:ascii="Times New Roman" w:hAnsi="Times New Roman" w:cs="Times New Roman"/>
                <w:noProof/>
                <w:sz w:val="18"/>
                <w:szCs w:val="18"/>
              </w:rPr>
              <w:br/>
              <w:t xml:space="preserve">1. Road Transport Department of the Ministry of Transport, Communication and Works, </w:t>
            </w:r>
            <w:r w:rsidRPr="00D1795B">
              <w:rPr>
                <w:rFonts w:ascii="Times New Roman" w:hAnsi="Times New Roman" w:cs="Times New Roman"/>
                <w:noProof/>
                <w:sz w:val="18"/>
                <w:szCs w:val="18"/>
              </w:rPr>
              <w:br/>
              <w:t xml:space="preserve">2. Deputy Ministry of Shipping. </w:t>
            </w:r>
            <w:r w:rsidRPr="00D1795B">
              <w:rPr>
                <w:rFonts w:ascii="Times New Roman" w:hAnsi="Times New Roman" w:cs="Times New Roman"/>
                <w:noProof/>
                <w:sz w:val="18"/>
                <w:szCs w:val="18"/>
              </w:rPr>
              <w:br/>
              <w:t xml:space="preserve">3. Ministry of Foreign Affairs </w:t>
            </w:r>
            <w:r w:rsidRPr="00D1795B">
              <w:rPr>
                <w:rFonts w:ascii="Times New Roman" w:hAnsi="Times New Roman" w:cs="Times New Roman"/>
                <w:noProof/>
                <w:sz w:val="18"/>
                <w:szCs w:val="18"/>
              </w:rPr>
              <w:br/>
              <w:t xml:space="preserve">4. Directorate General Growth </w:t>
            </w:r>
            <w:r w:rsidRPr="00D1795B">
              <w:rPr>
                <w:rFonts w:ascii="Times New Roman" w:hAnsi="Times New Roman" w:cs="Times New Roman"/>
                <w:noProof/>
                <w:sz w:val="18"/>
                <w:szCs w:val="18"/>
              </w:rPr>
              <w:br/>
              <w:t>5. Department of Town Planning and Housing of the Ministry of Interior (for Architectural Heritage).</w:t>
            </w:r>
          </w:p>
        </w:tc>
      </w:tr>
      <w:tr w:rsidR="00C02B59" w:rsidRPr="00D1795B" w14:paraId="1887EC85" w14:textId="77777777" w:rsidTr="00C02B59">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7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235</w:t>
            </w:r>
          </w:p>
        </w:tc>
        <w:tc>
          <w:tcPr>
            <w:tcW w:w="1423" w:type="dxa"/>
            <w:tcBorders>
              <w:top w:val="nil"/>
              <w:left w:val="nil"/>
              <w:bottom w:val="single" w:sz="4" w:space="0" w:color="auto"/>
              <w:right w:val="single" w:sz="4" w:space="0" w:color="auto"/>
            </w:tcBorders>
            <w:shd w:val="clear" w:color="auto" w:fill="C6EFCE"/>
          </w:tcPr>
          <w:p w14:paraId="1887EC7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C4.2I1</w:t>
            </w:r>
          </w:p>
          <w:p w14:paraId="1887EC7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Digitalisation of Central Government Ministries or departments</w:t>
            </w:r>
          </w:p>
        </w:tc>
        <w:tc>
          <w:tcPr>
            <w:tcW w:w="1125" w:type="dxa"/>
            <w:tcBorders>
              <w:top w:val="nil"/>
              <w:left w:val="nil"/>
              <w:bottom w:val="single" w:sz="4" w:space="0" w:color="auto"/>
              <w:right w:val="single" w:sz="4" w:space="0" w:color="auto"/>
            </w:tcBorders>
            <w:shd w:val="clear" w:color="auto" w:fill="C6EFCE"/>
            <w:hideMark/>
          </w:tcPr>
          <w:p w14:paraId="1887EC7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546" w:type="dxa"/>
            <w:tcBorders>
              <w:top w:val="nil"/>
              <w:left w:val="nil"/>
              <w:bottom w:val="single" w:sz="4" w:space="0" w:color="auto"/>
              <w:right w:val="single" w:sz="4" w:space="0" w:color="auto"/>
            </w:tcBorders>
            <w:shd w:val="clear" w:color="auto" w:fill="C6EFCE"/>
            <w:hideMark/>
          </w:tcPr>
          <w:p w14:paraId="1887EC7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Delivery of digital systems of five central government ministries or departments</w:t>
            </w:r>
          </w:p>
        </w:tc>
        <w:tc>
          <w:tcPr>
            <w:tcW w:w="1434" w:type="dxa"/>
            <w:tcBorders>
              <w:top w:val="nil"/>
              <w:left w:val="nil"/>
              <w:bottom w:val="single" w:sz="4" w:space="0" w:color="auto"/>
              <w:right w:val="single" w:sz="4" w:space="0" w:color="auto"/>
            </w:tcBorders>
            <w:shd w:val="clear" w:color="auto" w:fill="C6EFCE"/>
            <w:hideMark/>
          </w:tcPr>
          <w:p w14:paraId="1887EC7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91" w:type="dxa"/>
            <w:tcBorders>
              <w:top w:val="nil"/>
              <w:left w:val="nil"/>
              <w:bottom w:val="single" w:sz="4" w:space="0" w:color="auto"/>
              <w:right w:val="single" w:sz="4" w:space="0" w:color="auto"/>
            </w:tcBorders>
            <w:shd w:val="clear" w:color="auto" w:fill="C6EFCE"/>
            <w:hideMark/>
          </w:tcPr>
          <w:p w14:paraId="1887EC7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85" w:type="dxa"/>
            <w:tcBorders>
              <w:top w:val="nil"/>
              <w:left w:val="nil"/>
              <w:bottom w:val="single" w:sz="4" w:space="0" w:color="auto"/>
              <w:right w:val="single" w:sz="4" w:space="0" w:color="auto"/>
            </w:tcBorders>
            <w:shd w:val="clear" w:color="auto" w:fill="C6EFCE"/>
            <w:hideMark/>
          </w:tcPr>
          <w:p w14:paraId="1887EC8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128" w:type="dxa"/>
            <w:tcBorders>
              <w:top w:val="nil"/>
              <w:left w:val="nil"/>
              <w:bottom w:val="single" w:sz="4" w:space="0" w:color="auto"/>
              <w:right w:val="single" w:sz="4" w:space="0" w:color="auto"/>
            </w:tcBorders>
            <w:shd w:val="clear" w:color="auto" w:fill="C6EFCE"/>
            <w:hideMark/>
          </w:tcPr>
          <w:p w14:paraId="1887EC8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5</w:t>
            </w:r>
          </w:p>
        </w:tc>
        <w:tc>
          <w:tcPr>
            <w:tcW w:w="845" w:type="dxa"/>
            <w:tcBorders>
              <w:top w:val="nil"/>
              <w:left w:val="nil"/>
              <w:bottom w:val="single" w:sz="4" w:space="0" w:color="auto"/>
              <w:right w:val="single" w:sz="4" w:space="0" w:color="auto"/>
            </w:tcBorders>
            <w:shd w:val="clear" w:color="auto" w:fill="C6EFCE"/>
            <w:hideMark/>
          </w:tcPr>
          <w:p w14:paraId="1887EC8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29" w:type="dxa"/>
            <w:tcBorders>
              <w:top w:val="nil"/>
              <w:left w:val="nil"/>
              <w:bottom w:val="single" w:sz="4" w:space="0" w:color="auto"/>
              <w:right w:val="single" w:sz="4" w:space="0" w:color="auto"/>
            </w:tcBorders>
            <w:shd w:val="clear" w:color="auto" w:fill="C6EFCE"/>
            <w:hideMark/>
          </w:tcPr>
          <w:p w14:paraId="1887EC8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856" w:type="dxa"/>
            <w:tcBorders>
              <w:top w:val="nil"/>
              <w:left w:val="nil"/>
              <w:bottom w:val="single" w:sz="4" w:space="0" w:color="auto"/>
              <w:right w:val="single" w:sz="4" w:space="0" w:color="auto"/>
            </w:tcBorders>
            <w:shd w:val="clear" w:color="auto" w:fill="C6EFCE"/>
            <w:hideMark/>
          </w:tcPr>
          <w:p w14:paraId="1887EC84"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Implementation Completion Reports or Acceptance Certificates have been issued for digital systems for the five central government ministries or departments from the list in target with sequential number 233.</w:t>
            </w:r>
            <w:r w:rsidRPr="00D1795B">
              <w:rPr>
                <w:rFonts w:ascii="Times New Roman" w:hAnsi="Times New Roman" w:cs="Times New Roman"/>
                <w:noProof/>
                <w:color w:val="D13438"/>
                <w:sz w:val="18"/>
                <w:szCs w:val="18"/>
                <w:u w:val="single"/>
              </w:rPr>
              <w:t xml:space="preserve"> </w:t>
            </w:r>
            <w:r w:rsidRPr="00D1795B">
              <w:rPr>
                <w:rFonts w:ascii="Times New Roman" w:hAnsi="Times New Roman" w:cs="Times New Roman"/>
                <w:noProof/>
                <w:sz w:val="18"/>
                <w:szCs w:val="18"/>
              </w:rPr>
              <w:t xml:space="preserve">For the Department of Road Transport, the system shall include the digitalisation of workflows that may include, but it is not limited to, Vehicle registration, Road tax license renewal and vehicle inspection. For the Deputy Ministry of Shipping, it may include, but it </w:t>
            </w:r>
            <w:bookmarkStart w:id="8" w:name="_Hlk213779827"/>
            <w:r w:rsidRPr="00D1795B">
              <w:rPr>
                <w:rFonts w:ascii="Times New Roman" w:hAnsi="Times New Roman" w:cs="Times New Roman"/>
                <w:noProof/>
                <w:sz w:val="18"/>
                <w:szCs w:val="18"/>
              </w:rPr>
              <w:t>is not limited to</w:t>
            </w:r>
            <w:bookmarkEnd w:id="8"/>
            <w:r w:rsidRPr="00D1795B">
              <w:rPr>
                <w:rFonts w:ascii="Times New Roman" w:hAnsi="Times New Roman" w:cs="Times New Roman"/>
                <w:noProof/>
                <w:sz w:val="18"/>
                <w:szCs w:val="18"/>
              </w:rPr>
              <w:t>, Issuance or Renewal of Endorsements and Seamen’s Books, Ship registration, and the Electronic Tonnage Tax System.</w:t>
            </w:r>
          </w:p>
        </w:tc>
      </w:tr>
      <w:tr w:rsidR="00C02B59" w:rsidRPr="00D1795B" w14:paraId="1887EC92" w14:textId="77777777" w:rsidTr="00C02B59">
        <w:trPr>
          <w:trHeight w:val="699"/>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8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236</w:t>
            </w:r>
          </w:p>
        </w:tc>
        <w:tc>
          <w:tcPr>
            <w:tcW w:w="1423" w:type="dxa"/>
            <w:tcBorders>
              <w:top w:val="nil"/>
              <w:left w:val="nil"/>
              <w:bottom w:val="single" w:sz="4" w:space="0" w:color="auto"/>
              <w:right w:val="single" w:sz="4" w:space="0" w:color="auto"/>
            </w:tcBorders>
            <w:shd w:val="clear" w:color="auto" w:fill="C6EFCE"/>
          </w:tcPr>
          <w:p w14:paraId="1887EC8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C4.2I2</w:t>
            </w:r>
          </w:p>
          <w:p w14:paraId="1887EC8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Digitalisation of the Cyprus Ports Authority</w:t>
            </w:r>
          </w:p>
        </w:tc>
        <w:tc>
          <w:tcPr>
            <w:tcW w:w="1125" w:type="dxa"/>
            <w:tcBorders>
              <w:top w:val="nil"/>
              <w:left w:val="nil"/>
              <w:bottom w:val="single" w:sz="4" w:space="0" w:color="auto"/>
              <w:right w:val="single" w:sz="4" w:space="0" w:color="auto"/>
            </w:tcBorders>
            <w:shd w:val="clear" w:color="auto" w:fill="C6EFCE"/>
            <w:hideMark/>
          </w:tcPr>
          <w:p w14:paraId="1887EC8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546" w:type="dxa"/>
            <w:tcBorders>
              <w:top w:val="nil"/>
              <w:left w:val="nil"/>
              <w:bottom w:val="single" w:sz="4" w:space="0" w:color="auto"/>
              <w:right w:val="single" w:sz="4" w:space="0" w:color="auto"/>
            </w:tcBorders>
            <w:shd w:val="clear" w:color="auto" w:fill="C6EFCE"/>
            <w:hideMark/>
          </w:tcPr>
          <w:p w14:paraId="1887EC8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Start of the digital upgrade of the Cyprus Ports Authority</w:t>
            </w:r>
          </w:p>
        </w:tc>
        <w:tc>
          <w:tcPr>
            <w:tcW w:w="1434" w:type="dxa"/>
            <w:tcBorders>
              <w:top w:val="nil"/>
              <w:left w:val="nil"/>
              <w:bottom w:val="single" w:sz="4" w:space="0" w:color="auto"/>
              <w:right w:val="single" w:sz="4" w:space="0" w:color="auto"/>
            </w:tcBorders>
            <w:shd w:val="clear" w:color="auto" w:fill="C6EFCE"/>
            <w:hideMark/>
          </w:tcPr>
          <w:p w14:paraId="1887EC8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91" w:type="dxa"/>
            <w:tcBorders>
              <w:top w:val="nil"/>
              <w:left w:val="nil"/>
              <w:bottom w:val="single" w:sz="4" w:space="0" w:color="auto"/>
              <w:right w:val="single" w:sz="4" w:space="0" w:color="auto"/>
            </w:tcBorders>
            <w:shd w:val="clear" w:color="auto" w:fill="C6EFCE"/>
            <w:hideMark/>
          </w:tcPr>
          <w:p w14:paraId="1887EC8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85" w:type="dxa"/>
            <w:tcBorders>
              <w:top w:val="nil"/>
              <w:left w:val="nil"/>
              <w:bottom w:val="single" w:sz="4" w:space="0" w:color="auto"/>
              <w:right w:val="single" w:sz="4" w:space="0" w:color="auto"/>
            </w:tcBorders>
            <w:shd w:val="clear" w:color="auto" w:fill="C6EFCE"/>
            <w:hideMark/>
          </w:tcPr>
          <w:p w14:paraId="1887EC8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128" w:type="dxa"/>
            <w:tcBorders>
              <w:top w:val="nil"/>
              <w:left w:val="nil"/>
              <w:bottom w:val="single" w:sz="4" w:space="0" w:color="auto"/>
              <w:right w:val="single" w:sz="4" w:space="0" w:color="auto"/>
            </w:tcBorders>
            <w:shd w:val="clear" w:color="auto" w:fill="C6EFCE"/>
            <w:hideMark/>
          </w:tcPr>
          <w:p w14:paraId="1887EC8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4</w:t>
            </w:r>
          </w:p>
        </w:tc>
        <w:tc>
          <w:tcPr>
            <w:tcW w:w="845" w:type="dxa"/>
            <w:tcBorders>
              <w:top w:val="nil"/>
              <w:left w:val="nil"/>
              <w:bottom w:val="single" w:sz="4" w:space="0" w:color="auto"/>
              <w:right w:val="single" w:sz="4" w:space="0" w:color="auto"/>
            </w:tcBorders>
            <w:shd w:val="clear" w:color="auto" w:fill="C6EFCE"/>
            <w:hideMark/>
          </w:tcPr>
          <w:p w14:paraId="1887EC8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29" w:type="dxa"/>
            <w:tcBorders>
              <w:top w:val="nil"/>
              <w:left w:val="nil"/>
              <w:bottom w:val="single" w:sz="4" w:space="0" w:color="auto"/>
              <w:right w:val="single" w:sz="4" w:space="0" w:color="auto"/>
            </w:tcBorders>
            <w:shd w:val="clear" w:color="auto" w:fill="C6EFCE"/>
            <w:hideMark/>
          </w:tcPr>
          <w:p w14:paraId="1887EC9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856" w:type="dxa"/>
            <w:tcBorders>
              <w:top w:val="nil"/>
              <w:left w:val="nil"/>
              <w:bottom w:val="single" w:sz="4" w:space="0" w:color="auto"/>
              <w:right w:val="single" w:sz="4" w:space="0" w:color="auto"/>
            </w:tcBorders>
            <w:shd w:val="clear" w:color="auto" w:fill="C6EFCE"/>
            <w:hideMark/>
          </w:tcPr>
          <w:p w14:paraId="1887EC9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The contracts with providers selected through a public procurement procedure have been signed to develop/upgrade at least four of the following seven systems for the Cyprus Ports Authority: </w:t>
            </w:r>
            <w:r w:rsidRPr="00D1795B">
              <w:rPr>
                <w:rFonts w:ascii="Times New Roman" w:hAnsi="Times New Roman" w:cs="Times New Roman"/>
                <w:noProof/>
                <w:sz w:val="18"/>
                <w:szCs w:val="18"/>
              </w:rPr>
              <w:br/>
              <w:t xml:space="preserve">1. Upgrade of the Port Community System; </w:t>
            </w:r>
            <w:r w:rsidRPr="00D1795B">
              <w:rPr>
                <w:rFonts w:ascii="Times New Roman" w:hAnsi="Times New Roman" w:cs="Times New Roman"/>
                <w:noProof/>
                <w:sz w:val="18"/>
                <w:szCs w:val="18"/>
              </w:rPr>
              <w:br/>
              <w:t xml:space="preserve">2. Installation of VTS Station; </w:t>
            </w:r>
            <w:r w:rsidRPr="00D1795B">
              <w:rPr>
                <w:rFonts w:ascii="Times New Roman" w:hAnsi="Times New Roman" w:cs="Times New Roman"/>
                <w:noProof/>
                <w:sz w:val="18"/>
                <w:szCs w:val="18"/>
              </w:rPr>
              <w:br/>
              <w:t xml:space="preserve">3. Digitisation of CPA archives; </w:t>
            </w:r>
            <w:r w:rsidRPr="00D1795B">
              <w:rPr>
                <w:rFonts w:ascii="Times New Roman" w:hAnsi="Times New Roman" w:cs="Times New Roman"/>
                <w:noProof/>
                <w:sz w:val="18"/>
                <w:szCs w:val="18"/>
              </w:rPr>
              <w:br/>
              <w:t xml:space="preserve">4. Upgrade of IT infrastructure (such as network, switches); </w:t>
            </w:r>
            <w:r w:rsidRPr="00D1795B">
              <w:rPr>
                <w:rFonts w:ascii="Times New Roman" w:hAnsi="Times New Roman" w:cs="Times New Roman"/>
                <w:noProof/>
                <w:sz w:val="18"/>
                <w:szCs w:val="18"/>
              </w:rPr>
              <w:br/>
              <w:t xml:space="preserve">5. Update IS systems; </w:t>
            </w:r>
            <w:r w:rsidRPr="00D1795B">
              <w:rPr>
                <w:rFonts w:ascii="Times New Roman" w:hAnsi="Times New Roman" w:cs="Times New Roman"/>
                <w:noProof/>
                <w:sz w:val="18"/>
                <w:szCs w:val="18"/>
              </w:rPr>
              <w:br/>
              <w:t xml:space="preserve">6. Installation of an HR Management System; </w:t>
            </w:r>
            <w:r w:rsidRPr="00D1795B">
              <w:rPr>
                <w:rFonts w:ascii="Times New Roman" w:hAnsi="Times New Roman" w:cs="Times New Roman"/>
                <w:noProof/>
                <w:sz w:val="18"/>
                <w:szCs w:val="18"/>
              </w:rPr>
              <w:br/>
              <w:t xml:space="preserve">7. Upgrade CPA Servers; </w:t>
            </w:r>
            <w:r w:rsidRPr="00D1795B">
              <w:rPr>
                <w:rFonts w:ascii="Times New Roman" w:hAnsi="Times New Roman" w:cs="Times New Roman"/>
                <w:noProof/>
                <w:sz w:val="18"/>
                <w:szCs w:val="18"/>
              </w:rPr>
              <w:br/>
              <w:t xml:space="preserve"> </w:t>
            </w:r>
            <w:r w:rsidRPr="00D1795B">
              <w:rPr>
                <w:rFonts w:ascii="Times New Roman" w:hAnsi="Times New Roman" w:cs="Times New Roman"/>
                <w:noProof/>
                <w:sz w:val="18"/>
                <w:szCs w:val="18"/>
              </w:rPr>
              <w:br/>
              <w:t xml:space="preserve">and contracts have been signed to develop the following e-service: </w:t>
            </w:r>
            <w:r w:rsidRPr="00D1795B">
              <w:rPr>
                <w:rFonts w:ascii="Times New Roman" w:hAnsi="Times New Roman" w:cs="Times New Roman"/>
                <w:noProof/>
                <w:sz w:val="18"/>
                <w:szCs w:val="18"/>
              </w:rPr>
              <w:br/>
              <w:t xml:space="preserve"> </w:t>
            </w:r>
            <w:r w:rsidRPr="00D1795B">
              <w:rPr>
                <w:rFonts w:ascii="Times New Roman" w:hAnsi="Times New Roman" w:cs="Times New Roman"/>
                <w:noProof/>
                <w:sz w:val="18"/>
                <w:szCs w:val="18"/>
              </w:rPr>
              <w:br/>
              <w:t>• monitoring and safety of navigation to and from the ports of Larnaca and Vasiliko.</w:t>
            </w:r>
          </w:p>
        </w:tc>
      </w:tr>
      <w:tr w:rsidR="00C02B59" w:rsidRPr="00D1795B" w14:paraId="1887ECA3" w14:textId="77777777" w:rsidTr="00C02B59">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9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237</w:t>
            </w:r>
          </w:p>
        </w:tc>
        <w:tc>
          <w:tcPr>
            <w:tcW w:w="1423" w:type="dxa"/>
            <w:tcBorders>
              <w:top w:val="nil"/>
              <w:left w:val="nil"/>
              <w:bottom w:val="single" w:sz="4" w:space="0" w:color="auto"/>
              <w:right w:val="single" w:sz="4" w:space="0" w:color="auto"/>
            </w:tcBorders>
            <w:shd w:val="clear" w:color="auto" w:fill="C6EFCE"/>
          </w:tcPr>
          <w:p w14:paraId="1887EC9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C4.2I2</w:t>
            </w:r>
          </w:p>
          <w:p w14:paraId="1887EC9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Digitalisation of the Cyprus Ports Authority</w:t>
            </w:r>
          </w:p>
        </w:tc>
        <w:tc>
          <w:tcPr>
            <w:tcW w:w="1125" w:type="dxa"/>
            <w:tcBorders>
              <w:top w:val="nil"/>
              <w:left w:val="nil"/>
              <w:bottom w:val="single" w:sz="4" w:space="0" w:color="auto"/>
              <w:right w:val="single" w:sz="4" w:space="0" w:color="auto"/>
            </w:tcBorders>
            <w:shd w:val="clear" w:color="auto" w:fill="C6EFCE"/>
            <w:hideMark/>
          </w:tcPr>
          <w:p w14:paraId="1887EC9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546" w:type="dxa"/>
            <w:tcBorders>
              <w:top w:val="nil"/>
              <w:left w:val="nil"/>
              <w:bottom w:val="single" w:sz="4" w:space="0" w:color="auto"/>
              <w:right w:val="single" w:sz="4" w:space="0" w:color="auto"/>
            </w:tcBorders>
            <w:shd w:val="clear" w:color="auto" w:fill="C6EFCE"/>
            <w:hideMark/>
          </w:tcPr>
          <w:p w14:paraId="1887EC9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IT infrastructure of Cyprus Ports Authority</w:t>
            </w:r>
          </w:p>
        </w:tc>
        <w:tc>
          <w:tcPr>
            <w:tcW w:w="1434" w:type="dxa"/>
            <w:tcBorders>
              <w:top w:val="nil"/>
              <w:left w:val="nil"/>
              <w:bottom w:val="single" w:sz="4" w:space="0" w:color="auto"/>
              <w:right w:val="single" w:sz="4" w:space="0" w:color="auto"/>
            </w:tcBorders>
            <w:shd w:val="clear" w:color="auto" w:fill="C6EFCE"/>
            <w:hideMark/>
          </w:tcPr>
          <w:p w14:paraId="1887EC9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91" w:type="dxa"/>
            <w:tcBorders>
              <w:top w:val="nil"/>
              <w:left w:val="nil"/>
              <w:bottom w:val="single" w:sz="4" w:space="0" w:color="auto"/>
              <w:right w:val="single" w:sz="4" w:space="0" w:color="auto"/>
            </w:tcBorders>
            <w:shd w:val="clear" w:color="auto" w:fill="C6EFCE"/>
            <w:hideMark/>
          </w:tcPr>
          <w:p w14:paraId="1887EC9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85" w:type="dxa"/>
            <w:tcBorders>
              <w:top w:val="nil"/>
              <w:left w:val="nil"/>
              <w:bottom w:val="single" w:sz="4" w:space="0" w:color="auto"/>
              <w:right w:val="single" w:sz="4" w:space="0" w:color="auto"/>
            </w:tcBorders>
            <w:shd w:val="clear" w:color="auto" w:fill="C6EFCE"/>
            <w:hideMark/>
          </w:tcPr>
          <w:p w14:paraId="1887EC9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128" w:type="dxa"/>
            <w:tcBorders>
              <w:top w:val="nil"/>
              <w:left w:val="nil"/>
              <w:bottom w:val="single" w:sz="4" w:space="0" w:color="auto"/>
              <w:right w:val="single" w:sz="4" w:space="0" w:color="auto"/>
            </w:tcBorders>
            <w:shd w:val="clear" w:color="auto" w:fill="C6EFCE"/>
            <w:hideMark/>
          </w:tcPr>
          <w:p w14:paraId="1887EC9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4</w:t>
            </w:r>
          </w:p>
        </w:tc>
        <w:tc>
          <w:tcPr>
            <w:tcW w:w="845" w:type="dxa"/>
            <w:tcBorders>
              <w:top w:val="nil"/>
              <w:left w:val="nil"/>
              <w:bottom w:val="single" w:sz="4" w:space="0" w:color="auto"/>
              <w:right w:val="single" w:sz="4" w:space="0" w:color="auto"/>
            </w:tcBorders>
            <w:shd w:val="clear" w:color="auto" w:fill="C6EFCE"/>
            <w:hideMark/>
          </w:tcPr>
          <w:p w14:paraId="1887EC9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29" w:type="dxa"/>
            <w:tcBorders>
              <w:top w:val="nil"/>
              <w:left w:val="nil"/>
              <w:bottom w:val="single" w:sz="4" w:space="0" w:color="auto"/>
              <w:right w:val="single" w:sz="4" w:space="0" w:color="auto"/>
            </w:tcBorders>
            <w:shd w:val="clear" w:color="auto" w:fill="C6EFCE"/>
            <w:hideMark/>
          </w:tcPr>
          <w:p w14:paraId="1887EC9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856" w:type="dxa"/>
            <w:tcBorders>
              <w:top w:val="nil"/>
              <w:left w:val="nil"/>
              <w:bottom w:val="single" w:sz="4" w:space="0" w:color="auto"/>
              <w:right w:val="single" w:sz="4" w:space="0" w:color="auto"/>
            </w:tcBorders>
            <w:shd w:val="clear" w:color="auto" w:fill="C6EFCE"/>
            <w:hideMark/>
          </w:tcPr>
          <w:p w14:paraId="1887EC9E"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following infrastructure and systems are delivered:</w:t>
            </w:r>
          </w:p>
          <w:p w14:paraId="1887EC9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1. VTS Station; </w:t>
            </w:r>
          </w:p>
          <w:p w14:paraId="1887ECA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2. IT infrastructure (structured cabling and ethernet switches); </w:t>
            </w:r>
          </w:p>
          <w:p w14:paraId="1887ECA1"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3.Solutions or services for the security of information systems (IS); </w:t>
            </w:r>
          </w:p>
          <w:p w14:paraId="1887ECA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4. CPA servers. </w:t>
            </w:r>
          </w:p>
        </w:tc>
      </w:tr>
      <w:tr w:rsidR="00C02B59" w:rsidRPr="00D1795B" w14:paraId="1887ECB3" w14:textId="77777777" w:rsidTr="00C02B59">
        <w:trPr>
          <w:trHeight w:val="990"/>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887ECA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238</w:t>
            </w:r>
          </w:p>
        </w:tc>
        <w:tc>
          <w:tcPr>
            <w:tcW w:w="1423" w:type="dxa"/>
            <w:tcBorders>
              <w:top w:val="nil"/>
              <w:left w:val="nil"/>
              <w:bottom w:val="single" w:sz="4" w:space="0" w:color="auto"/>
              <w:right w:val="single" w:sz="4" w:space="0" w:color="auto"/>
            </w:tcBorders>
            <w:shd w:val="clear" w:color="auto" w:fill="C6EFCE"/>
          </w:tcPr>
          <w:p w14:paraId="1887ECA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C4.2I2</w:t>
            </w:r>
          </w:p>
          <w:p w14:paraId="1887ECA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Digitalisation of the Cyprus Ports Authority</w:t>
            </w:r>
          </w:p>
        </w:tc>
        <w:tc>
          <w:tcPr>
            <w:tcW w:w="1125" w:type="dxa"/>
            <w:tcBorders>
              <w:top w:val="nil"/>
              <w:left w:val="nil"/>
              <w:bottom w:val="single" w:sz="4" w:space="0" w:color="auto"/>
              <w:right w:val="single" w:sz="4" w:space="0" w:color="auto"/>
            </w:tcBorders>
            <w:shd w:val="clear" w:color="auto" w:fill="C6EFCE"/>
            <w:hideMark/>
          </w:tcPr>
          <w:p w14:paraId="1887ECA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546" w:type="dxa"/>
            <w:tcBorders>
              <w:top w:val="nil"/>
              <w:left w:val="nil"/>
              <w:bottom w:val="single" w:sz="4" w:space="0" w:color="auto"/>
              <w:right w:val="single" w:sz="4" w:space="0" w:color="auto"/>
            </w:tcBorders>
            <w:shd w:val="clear" w:color="auto" w:fill="C6EFCE"/>
            <w:hideMark/>
          </w:tcPr>
          <w:p w14:paraId="1887ECA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IT infrastructure of Cyprus Ports Authority</w:t>
            </w:r>
          </w:p>
        </w:tc>
        <w:tc>
          <w:tcPr>
            <w:tcW w:w="1434" w:type="dxa"/>
            <w:tcBorders>
              <w:top w:val="nil"/>
              <w:left w:val="nil"/>
              <w:bottom w:val="single" w:sz="4" w:space="0" w:color="auto"/>
              <w:right w:val="single" w:sz="4" w:space="0" w:color="auto"/>
            </w:tcBorders>
            <w:shd w:val="clear" w:color="auto" w:fill="C6EFCE"/>
            <w:hideMark/>
          </w:tcPr>
          <w:p w14:paraId="1887ECA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791" w:type="dxa"/>
            <w:tcBorders>
              <w:top w:val="nil"/>
              <w:left w:val="nil"/>
              <w:bottom w:val="single" w:sz="4" w:space="0" w:color="auto"/>
              <w:right w:val="single" w:sz="4" w:space="0" w:color="auto"/>
            </w:tcBorders>
            <w:shd w:val="clear" w:color="auto" w:fill="C6EFCE"/>
            <w:hideMark/>
          </w:tcPr>
          <w:p w14:paraId="1887ECA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85" w:type="dxa"/>
            <w:tcBorders>
              <w:top w:val="nil"/>
              <w:left w:val="nil"/>
              <w:bottom w:val="single" w:sz="4" w:space="0" w:color="auto"/>
              <w:right w:val="single" w:sz="4" w:space="0" w:color="auto"/>
            </w:tcBorders>
            <w:shd w:val="clear" w:color="auto" w:fill="C6EFCE"/>
            <w:hideMark/>
          </w:tcPr>
          <w:p w14:paraId="1887ECA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4</w:t>
            </w:r>
          </w:p>
        </w:tc>
        <w:tc>
          <w:tcPr>
            <w:tcW w:w="1128" w:type="dxa"/>
            <w:tcBorders>
              <w:top w:val="nil"/>
              <w:left w:val="nil"/>
              <w:bottom w:val="single" w:sz="4" w:space="0" w:color="auto"/>
              <w:right w:val="single" w:sz="4" w:space="0" w:color="auto"/>
            </w:tcBorders>
            <w:shd w:val="clear" w:color="auto" w:fill="C6EFCE"/>
            <w:hideMark/>
          </w:tcPr>
          <w:p w14:paraId="1887ECA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7</w:t>
            </w:r>
          </w:p>
        </w:tc>
        <w:tc>
          <w:tcPr>
            <w:tcW w:w="845" w:type="dxa"/>
            <w:tcBorders>
              <w:top w:val="nil"/>
              <w:left w:val="nil"/>
              <w:bottom w:val="single" w:sz="4" w:space="0" w:color="auto"/>
              <w:right w:val="single" w:sz="4" w:space="0" w:color="auto"/>
            </w:tcBorders>
            <w:shd w:val="clear" w:color="auto" w:fill="C6EFCE"/>
            <w:hideMark/>
          </w:tcPr>
          <w:p w14:paraId="1887ECA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29" w:type="dxa"/>
            <w:tcBorders>
              <w:top w:val="nil"/>
              <w:left w:val="nil"/>
              <w:bottom w:val="single" w:sz="4" w:space="0" w:color="auto"/>
              <w:right w:val="single" w:sz="4" w:space="0" w:color="auto"/>
            </w:tcBorders>
            <w:shd w:val="clear" w:color="auto" w:fill="C6EFCE"/>
            <w:hideMark/>
          </w:tcPr>
          <w:p w14:paraId="1887ECA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856" w:type="dxa"/>
            <w:tcBorders>
              <w:top w:val="nil"/>
              <w:left w:val="nil"/>
              <w:bottom w:val="single" w:sz="4" w:space="0" w:color="auto"/>
              <w:right w:val="single" w:sz="4" w:space="0" w:color="auto"/>
            </w:tcBorders>
            <w:shd w:val="clear" w:color="auto" w:fill="C6EFCE"/>
            <w:hideMark/>
          </w:tcPr>
          <w:p w14:paraId="1887ECA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The following infrastructure, systems and services are delivered: </w:t>
            </w:r>
          </w:p>
          <w:p w14:paraId="1887ECB0"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1. Upgrade of the Port Community System in a User Acceptance Testing (UAT) environment; </w:t>
            </w:r>
          </w:p>
          <w:p w14:paraId="1887ECB1"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2. Digitisation of CPA archives; </w:t>
            </w:r>
          </w:p>
          <w:p w14:paraId="1887ECB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3. HR Management System in a User Acceptance Testing (UAT) environment. </w:t>
            </w:r>
          </w:p>
        </w:tc>
      </w:tr>
    </w:tbl>
    <w:p w14:paraId="1887ECB4" w14:textId="77777777" w:rsidR="00C02B59" w:rsidRPr="00D1795B" w:rsidRDefault="00C02B59" w:rsidP="00C02B59">
      <w:pPr>
        <w:rPr>
          <w:noProof/>
        </w:rPr>
      </w:pPr>
    </w:p>
    <w:p w14:paraId="1887ECB5" w14:textId="77777777" w:rsidR="00C02B59" w:rsidRPr="00D1795B" w:rsidRDefault="00C02B59">
      <w:pPr>
        <w:rPr>
          <w:noProof/>
        </w:rPr>
        <w:sectPr w:rsidR="00C02B59" w:rsidRPr="00D1795B" w:rsidSect="00C02B59">
          <w:headerReference w:type="even" r:id="rId143"/>
          <w:headerReference w:type="default" r:id="rId144"/>
          <w:footerReference w:type="even" r:id="rId145"/>
          <w:footerReference w:type="default" r:id="rId146"/>
          <w:headerReference w:type="first" r:id="rId147"/>
          <w:footerReference w:type="first" r:id="rId148"/>
          <w:pgSz w:w="15840" w:h="12240" w:orient="landscape"/>
          <w:pgMar w:top="1134" w:right="1134" w:bottom="1134" w:left="1134" w:header="567" w:footer="567" w:gutter="0"/>
          <w:cols w:space="720"/>
          <w:docGrid w:linePitch="360"/>
        </w:sectPr>
      </w:pPr>
    </w:p>
    <w:p w14:paraId="1887ECB6" w14:textId="77777777" w:rsidR="00C02B59" w:rsidRPr="00D1795B" w:rsidRDefault="00C02B59" w:rsidP="00C02B59">
      <w:pPr>
        <w:keepNext/>
        <w:tabs>
          <w:tab w:val="left" w:pos="850"/>
        </w:tabs>
        <w:spacing w:before="360" w:after="120" w:line="240" w:lineRule="auto"/>
        <w:jc w:val="both"/>
        <w:outlineLvl w:val="0"/>
        <w:rPr>
          <w:rFonts w:ascii="Times New Roman" w:hAnsi="Times New Roman"/>
          <w:b/>
          <w:bCs/>
          <w:smallCaps/>
          <w:noProof/>
        </w:rPr>
      </w:pPr>
      <w:r w:rsidRPr="00D1795B">
        <w:rPr>
          <w:rFonts w:ascii="Times New Roman" w:hAnsi="Times New Roman"/>
          <w:b/>
          <w:bCs/>
          <w:smallCaps/>
          <w:noProof/>
        </w:rPr>
        <w:t>L. COMPONENT</w:t>
      </w:r>
      <w:r w:rsidRPr="00D1795B">
        <w:rPr>
          <w:rFonts w:ascii="Times New Roman" w:hAnsi="Times New Roman"/>
          <w:b/>
          <w:smallCaps/>
          <w:noProof/>
        </w:rPr>
        <w:t xml:space="preserve"> 5.1: </w:t>
      </w:r>
      <w:r w:rsidRPr="00D1795B">
        <w:rPr>
          <w:rFonts w:ascii="Times New Roman" w:hAnsi="Times New Roman"/>
          <w:b/>
          <w:bCs/>
          <w:smallCaps/>
          <w:noProof/>
        </w:rPr>
        <w:t xml:space="preserve">Educational system modernisation, upskilling and retraining </w:t>
      </w:r>
    </w:p>
    <w:p w14:paraId="1887ECB7"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This component of the Cypriot Recovery and Resilience plan addresses the challenges of low participation in vocational education and training (VET) and lifelong learning, rising skills mismatches (particularly among young graduates) and poor digital skills. It further addresses the quality of teaching and the availability and affordability of early childhood education and care (ECEC) for children aged four years old. Its objective is to (i) improve the quality and effectiveness of education and training at all levels, (ii) foster the uptake of labour market-relevant reskilling and upskilling opportunities, in particular regarding the twin transitions, across society regardless of employment status, skills level or age, and (iii) modernise the school structures making them fit for the digital transition.</w:t>
      </w:r>
    </w:p>
    <w:p w14:paraId="1887ECB8"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The reforms and investments included in the component address the country-specific recommendations on education and skills (country-specific recommendation 2 2020 and country-specific recommendation 3 2019), early childhood education and care (country-specific recommendation 3 2019) as well as on digital skills (country-specific recommendation 4 2019 and country-specific recommendation 3 2020).</w:t>
      </w:r>
    </w:p>
    <w:p w14:paraId="1887ECB9" w14:textId="77777777" w:rsidR="00C02B59" w:rsidRPr="00D1795B" w:rsidRDefault="00C02B59" w:rsidP="00C02B59">
      <w:pPr>
        <w:spacing w:before="120" w:after="120" w:line="240" w:lineRule="auto"/>
        <w:jc w:val="both"/>
        <w:rPr>
          <w:rFonts w:ascii="Times New Roman" w:hAnsi="Times New Roman"/>
          <w:b/>
          <w:noProof/>
          <w:u w:val="single"/>
        </w:rPr>
      </w:pPr>
      <w:r w:rsidRPr="00D1795B">
        <w:rPr>
          <w:rFonts w:ascii="Times New Roman" w:hAnsi="Times New Roman"/>
          <w:b/>
          <w:noProof/>
          <w:u w:val="single"/>
        </w:rPr>
        <w:t xml:space="preserve">L.1. </w:t>
      </w:r>
      <w:r w:rsidRPr="00D1795B">
        <w:rPr>
          <w:noProof/>
        </w:rPr>
        <w:tab/>
      </w:r>
      <w:r w:rsidRPr="00D1795B">
        <w:rPr>
          <w:rFonts w:ascii="Times New Roman" w:hAnsi="Times New Roman"/>
          <w:b/>
          <w:noProof/>
          <w:u w:val="single"/>
        </w:rPr>
        <w:t>Description of the reforms and investments for non-repayable financial support</w:t>
      </w:r>
    </w:p>
    <w:p w14:paraId="1887ECBA" w14:textId="67FB541D"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u w:val="single"/>
        </w:rPr>
        <w:t>Reform 1 (C5.1R1): Addressing skills mismatch between education and labour market (Secondary and Higher Education)</w:t>
      </w:r>
    </w:p>
    <w:p w14:paraId="1887ECBB" w14:textId="77777777" w:rsidR="00C02B59" w:rsidRPr="00D1795B" w:rsidRDefault="00C02B59" w:rsidP="00C02B59">
      <w:pPr>
        <w:spacing w:before="120" w:after="120" w:line="240" w:lineRule="auto"/>
        <w:jc w:val="both"/>
        <w:textAlignment w:val="baseline"/>
        <w:rPr>
          <w:rFonts w:ascii="Times New Roman" w:hAnsi="Times New Roman"/>
          <w:noProof/>
        </w:rPr>
      </w:pPr>
      <w:r w:rsidRPr="00D1795B">
        <w:rPr>
          <w:rFonts w:ascii="Times New Roman" w:hAnsi="Times New Roman"/>
          <w:noProof/>
          <w:shd w:val="clear" w:color="auto" w:fill="FFFFFF"/>
        </w:rPr>
        <w:t xml:space="preserve">The objective of </w:t>
      </w:r>
      <w:r w:rsidRPr="00D1795B">
        <w:rPr>
          <w:rFonts w:ascii="Times New Roman" w:hAnsi="Times New Roman"/>
          <w:noProof/>
        </w:rPr>
        <w:t>this</w:t>
      </w:r>
      <w:r w:rsidRPr="00D1795B">
        <w:rPr>
          <w:rFonts w:ascii="Times New Roman" w:hAnsi="Times New Roman"/>
          <w:noProof/>
          <w:shd w:val="clear" w:color="auto" w:fill="FFFFFF"/>
        </w:rPr>
        <w:t xml:space="preserve"> reform is to </w:t>
      </w:r>
      <w:r w:rsidRPr="00D1795B">
        <w:rPr>
          <w:rFonts w:ascii="Times New Roman" w:hAnsi="Times New Roman"/>
          <w:noProof/>
        </w:rPr>
        <w:t xml:space="preserve">address the skills mismatch between the labour market and the secondary and higher education system. </w:t>
      </w:r>
    </w:p>
    <w:p w14:paraId="1887ECBC" w14:textId="77777777" w:rsidR="00C02B59" w:rsidRPr="00D1795B" w:rsidRDefault="00C02B59" w:rsidP="00C02B59">
      <w:pPr>
        <w:spacing w:before="120" w:after="120" w:line="240" w:lineRule="auto"/>
        <w:jc w:val="both"/>
        <w:textAlignment w:val="baseline"/>
        <w:rPr>
          <w:rFonts w:ascii="Times New Roman" w:hAnsi="Times New Roman"/>
          <w:noProof/>
        </w:rPr>
      </w:pPr>
      <w:r w:rsidRPr="00D1795B">
        <w:rPr>
          <w:rFonts w:ascii="Times New Roman" w:hAnsi="Times New Roman"/>
          <w:noProof/>
        </w:rPr>
        <w:t>This measure consists in actions included in the National Action Plan.</w:t>
      </w:r>
    </w:p>
    <w:p w14:paraId="1887ECBD" w14:textId="77777777" w:rsidR="00C02B59" w:rsidRPr="00D1795B" w:rsidRDefault="00C02B59" w:rsidP="00C02B59">
      <w:pPr>
        <w:spacing w:before="120" w:after="120" w:line="240" w:lineRule="auto"/>
        <w:jc w:val="both"/>
        <w:rPr>
          <w:rFonts w:ascii="Times New Roman" w:hAnsi="Times New Roman" w:cs="Times New Roman"/>
          <w:noProof/>
        </w:rPr>
      </w:pPr>
    </w:p>
    <w:p w14:paraId="1887ECBE" w14:textId="77777777" w:rsidR="00C02B59" w:rsidRPr="00D1795B" w:rsidRDefault="00C02B59" w:rsidP="00C02B59">
      <w:pPr>
        <w:spacing w:before="120" w:after="120" w:line="240" w:lineRule="auto"/>
        <w:jc w:val="both"/>
        <w:rPr>
          <w:rFonts w:ascii="Times New Roman" w:eastAsia="Times New Roman" w:hAnsi="Times New Roman" w:cs="Times New Roman"/>
          <w:noProof/>
        </w:rPr>
      </w:pPr>
      <w:r w:rsidRPr="00D1795B">
        <w:rPr>
          <w:rFonts w:ascii="Times New Roman" w:hAnsi="Times New Roman"/>
          <w:noProof/>
          <w:u w:val="single"/>
        </w:rPr>
        <w:t>Reform 2 (C5.1R2): A school evaluation system</w:t>
      </w:r>
      <w:r w:rsidRPr="00D1795B">
        <w:rPr>
          <w:rFonts w:ascii="Times New Roman" w:eastAsia="Times New Roman" w:hAnsi="Times New Roman" w:cs="Times New Roman"/>
          <w:noProof/>
          <w:u w:val="single"/>
        </w:rPr>
        <w:t xml:space="preserve"> and formative evaluation of teachers</w:t>
      </w:r>
    </w:p>
    <w:p w14:paraId="1887ECBF"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this reform is to enhance the quality of education and consequently students’ educational outcomes.</w:t>
      </w:r>
    </w:p>
    <w:p w14:paraId="1887ECC0" w14:textId="77777777" w:rsidR="00C02B59" w:rsidRPr="00D1795B" w:rsidRDefault="00C02B59" w:rsidP="00C02B59">
      <w:pPr>
        <w:jc w:val="both"/>
        <w:rPr>
          <w:rFonts w:ascii="Times New Roman" w:eastAsia="Times New Roman" w:hAnsi="Times New Roman" w:cs="Times New Roman"/>
          <w:noProof/>
          <w:u w:val="single"/>
        </w:rPr>
      </w:pPr>
      <w:r w:rsidRPr="00D1795B">
        <w:rPr>
          <w:rFonts w:ascii="Times New Roman" w:hAnsi="Times New Roman"/>
          <w:noProof/>
        </w:rPr>
        <w:t xml:space="preserve">This measure consists in a school evaluation system </w:t>
      </w:r>
      <w:r w:rsidRPr="00D1795B">
        <w:rPr>
          <w:rFonts w:ascii="Times New Roman" w:eastAsia="Times New Roman" w:hAnsi="Times New Roman" w:cs="Times New Roman"/>
          <w:noProof/>
        </w:rPr>
        <w:t>and formative evaluation of teachers.</w:t>
      </w:r>
    </w:p>
    <w:p w14:paraId="1887ECC1" w14:textId="77777777" w:rsidR="00C02B59" w:rsidRPr="00D1795B" w:rsidRDefault="00C02B59" w:rsidP="00C02B59">
      <w:pPr>
        <w:jc w:val="both"/>
        <w:rPr>
          <w:rFonts w:ascii="Times New Roman" w:hAnsi="Times New Roman"/>
          <w:noProof/>
          <w:u w:val="single"/>
        </w:rPr>
      </w:pPr>
    </w:p>
    <w:p w14:paraId="1887ECC2" w14:textId="77777777" w:rsidR="00C02B59" w:rsidRPr="00D1795B" w:rsidRDefault="00C02B59" w:rsidP="00C02B59">
      <w:pPr>
        <w:keepNext/>
        <w:jc w:val="both"/>
        <w:rPr>
          <w:rFonts w:ascii="Times New Roman" w:hAnsi="Times New Roman"/>
          <w:noProof/>
          <w:u w:val="single"/>
        </w:rPr>
      </w:pPr>
      <w:r w:rsidRPr="00D1795B">
        <w:rPr>
          <w:rFonts w:ascii="Times New Roman" w:hAnsi="Times New Roman"/>
          <w:noProof/>
          <w:u w:val="single"/>
        </w:rPr>
        <w:t xml:space="preserve">Reform 3 (C5.1R3): Gradual extension of free compulsory pre-primary education from the age of four </w:t>
      </w:r>
    </w:p>
    <w:p w14:paraId="1887ECC3" w14:textId="77777777" w:rsidR="00C02B59" w:rsidRPr="00D1795B" w:rsidRDefault="00C02B59" w:rsidP="00C02B59">
      <w:pPr>
        <w:spacing w:before="120" w:after="120"/>
        <w:jc w:val="both"/>
        <w:textAlignment w:val="baseline"/>
        <w:rPr>
          <w:rFonts w:ascii="Times New Roman" w:hAnsi="Times New Roman"/>
          <w:noProof/>
        </w:rPr>
      </w:pPr>
      <w:r w:rsidRPr="00D1795B">
        <w:rPr>
          <w:rFonts w:ascii="Times New Roman" w:hAnsi="Times New Roman"/>
          <w:noProof/>
        </w:rPr>
        <w:t>The objective of this reform is to enhance the availability and affordability of early childhood education and care (ECEC).</w:t>
      </w:r>
    </w:p>
    <w:p w14:paraId="1887ECC4" w14:textId="77777777" w:rsidR="00C02B59" w:rsidRPr="00D1795B" w:rsidRDefault="00C02B59" w:rsidP="00C02B59">
      <w:pPr>
        <w:keepNext/>
        <w:jc w:val="both"/>
        <w:rPr>
          <w:rFonts w:ascii="Times New Roman" w:hAnsi="Times New Roman"/>
          <w:noProof/>
          <w:u w:val="single"/>
        </w:rPr>
      </w:pPr>
      <w:r w:rsidRPr="00D1795B">
        <w:rPr>
          <w:rFonts w:ascii="Times New Roman" w:hAnsi="Times New Roman" w:cs="Times New Roman"/>
          <w:noProof/>
        </w:rPr>
        <w:t xml:space="preserve">This measure consists in </w:t>
      </w:r>
      <w:r w:rsidRPr="00D1795B">
        <w:rPr>
          <w:rFonts w:ascii="Times New Roman" w:hAnsi="Times New Roman"/>
          <w:noProof/>
        </w:rPr>
        <w:t xml:space="preserve">the </w:t>
      </w:r>
      <w:r w:rsidRPr="00D1795B">
        <w:rPr>
          <w:rFonts w:ascii="Times New Roman" w:hAnsi="Times New Roman" w:cs="Times New Roman"/>
          <w:noProof/>
        </w:rPr>
        <w:t>extension</w:t>
      </w:r>
      <w:r w:rsidRPr="00D1795B">
        <w:rPr>
          <w:rFonts w:ascii="Times New Roman" w:hAnsi="Times New Roman"/>
          <w:noProof/>
        </w:rPr>
        <w:t xml:space="preserve"> of free compulsory pre-primary education from </w:t>
      </w:r>
      <w:r w:rsidRPr="00D1795B">
        <w:rPr>
          <w:rFonts w:ascii="Times New Roman" w:hAnsi="Times New Roman" w:cs="Times New Roman"/>
          <w:noProof/>
        </w:rPr>
        <w:t xml:space="preserve">the </w:t>
      </w:r>
      <w:r w:rsidRPr="00D1795B">
        <w:rPr>
          <w:rFonts w:ascii="Times New Roman" w:hAnsi="Times New Roman"/>
          <w:noProof/>
        </w:rPr>
        <w:t>age of four</w:t>
      </w:r>
      <w:r w:rsidRPr="00D1795B">
        <w:rPr>
          <w:rFonts w:ascii="Times New Roman" w:hAnsi="Times New Roman" w:cs="Times New Roman"/>
          <w:noProof/>
        </w:rPr>
        <w:t xml:space="preserve">. </w:t>
      </w:r>
    </w:p>
    <w:p w14:paraId="1887ECC5" w14:textId="77777777" w:rsidR="00C02B59" w:rsidRPr="00D1795B" w:rsidRDefault="00C02B59" w:rsidP="00C02B59">
      <w:pPr>
        <w:spacing w:before="120" w:after="120"/>
        <w:jc w:val="both"/>
        <w:textAlignment w:val="baseline"/>
        <w:rPr>
          <w:rFonts w:ascii="Times New Roman" w:hAnsi="Times New Roman"/>
          <w:noProof/>
        </w:rPr>
      </w:pPr>
    </w:p>
    <w:p w14:paraId="1887ECC6"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Reform 4 (C5.1R4): Digital transformation of school units with the aim of supporting digital skills and skills related to STEM education</w:t>
      </w:r>
    </w:p>
    <w:p w14:paraId="1887ECC7"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this reform is to support the digital transition of the education system.</w:t>
      </w:r>
    </w:p>
    <w:p w14:paraId="1887ECC8"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This measure consists in the supply or financial support for digital equipment to schools and students.</w:t>
      </w:r>
    </w:p>
    <w:p w14:paraId="1887ECC9" w14:textId="77777777" w:rsidR="00C02B59" w:rsidRPr="00D1795B" w:rsidRDefault="00C02B59" w:rsidP="00C02B59">
      <w:pPr>
        <w:spacing w:before="120" w:after="120" w:line="240" w:lineRule="auto"/>
        <w:jc w:val="both"/>
        <w:rPr>
          <w:rFonts w:ascii="Times New Roman" w:hAnsi="Times New Roman" w:cs="Times New Roman"/>
          <w:noProof/>
        </w:rPr>
      </w:pPr>
    </w:p>
    <w:p w14:paraId="1887ECCA" w14:textId="77777777" w:rsidR="00C02B59" w:rsidRPr="00D1795B" w:rsidRDefault="00C02B59" w:rsidP="00C02B59">
      <w:pPr>
        <w:spacing w:after="0" w:line="240" w:lineRule="auto"/>
        <w:jc w:val="both"/>
        <w:textAlignment w:val="baseline"/>
        <w:rPr>
          <w:rFonts w:ascii="Times New Roman" w:hAnsi="Times New Roman"/>
          <w:noProof/>
        </w:rPr>
      </w:pPr>
      <w:r w:rsidRPr="00D1795B">
        <w:rPr>
          <w:rFonts w:ascii="Times New Roman" w:hAnsi="Times New Roman"/>
          <w:noProof/>
          <w:u w:val="single"/>
        </w:rPr>
        <w:t>Reform 5 (C5.1R5): E-skills Action Plan – Delivery of specific actions</w:t>
      </w:r>
    </w:p>
    <w:p w14:paraId="1887ECCB"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 xml:space="preserve">This objective of this reform is to enhance digital competences across population groups. </w:t>
      </w:r>
    </w:p>
    <w:p w14:paraId="1887ECCC"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This measure consists in actions related to the E-skills action plan.</w:t>
      </w:r>
    </w:p>
    <w:p w14:paraId="1887ECCD" w14:textId="77777777" w:rsidR="00C02B59" w:rsidRPr="00D1795B" w:rsidRDefault="00C02B59" w:rsidP="00C02B59">
      <w:pPr>
        <w:spacing w:before="120" w:after="120" w:line="240" w:lineRule="auto"/>
        <w:jc w:val="both"/>
        <w:rPr>
          <w:rFonts w:ascii="Times New Roman" w:hAnsi="Times New Roman" w:cs="Times New Roman"/>
          <w:noProof/>
        </w:rPr>
      </w:pPr>
    </w:p>
    <w:p w14:paraId="1887ECCE" w14:textId="77777777" w:rsidR="00C02B59" w:rsidRPr="00D1795B" w:rsidRDefault="00C02B59" w:rsidP="00C02B59">
      <w:pPr>
        <w:spacing w:after="0" w:line="240" w:lineRule="auto"/>
        <w:jc w:val="both"/>
        <w:textAlignment w:val="baseline"/>
        <w:rPr>
          <w:rFonts w:ascii="Times New Roman" w:hAnsi="Times New Roman"/>
          <w:noProof/>
          <w:u w:val="single"/>
        </w:rPr>
      </w:pPr>
      <w:r w:rsidRPr="00D1795B">
        <w:rPr>
          <w:rFonts w:ascii="Times New Roman" w:hAnsi="Times New Roman"/>
          <w:noProof/>
          <w:u w:val="single"/>
        </w:rPr>
        <w:t>Investment 1(C5.1I1): Construction of one Model Technical School</w:t>
      </w:r>
    </w:p>
    <w:p w14:paraId="1887ECCF" w14:textId="77777777" w:rsidR="00C02B59" w:rsidRPr="00D1795B" w:rsidRDefault="00C02B59" w:rsidP="00C02B59">
      <w:pPr>
        <w:spacing w:before="120" w:after="120" w:line="240" w:lineRule="auto"/>
        <w:jc w:val="both"/>
        <w:textAlignment w:val="baseline"/>
        <w:rPr>
          <w:rFonts w:ascii="Times New Roman" w:hAnsi="Times New Roman"/>
          <w:noProof/>
        </w:rPr>
      </w:pPr>
      <w:r w:rsidRPr="00D1795B">
        <w:rPr>
          <w:rFonts w:ascii="Times New Roman" w:hAnsi="Times New Roman"/>
          <w:noProof/>
        </w:rPr>
        <w:t xml:space="preserve">The objective of this investment is to extend the capacity of vocational education and training (VET) in Cyprus. </w:t>
      </w:r>
    </w:p>
    <w:p w14:paraId="1887ECD0" w14:textId="77777777" w:rsidR="00C02B59" w:rsidRPr="00D1795B" w:rsidRDefault="00C02B59" w:rsidP="00C02B59">
      <w:pPr>
        <w:spacing w:before="120" w:after="120" w:line="240" w:lineRule="auto"/>
        <w:jc w:val="both"/>
        <w:textAlignment w:val="baseline"/>
        <w:rPr>
          <w:rFonts w:ascii="Times New Roman" w:hAnsi="Times New Roman"/>
          <w:noProof/>
        </w:rPr>
      </w:pPr>
      <w:r w:rsidRPr="00D1795B">
        <w:rPr>
          <w:rFonts w:ascii="Times New Roman" w:hAnsi="Times New Roman"/>
          <w:noProof/>
        </w:rPr>
        <w:t xml:space="preserve">This measure consists in the signature of the contract for the construction of one new technical school in Limassol </w:t>
      </w:r>
    </w:p>
    <w:p w14:paraId="1887ECD1" w14:textId="77777777" w:rsidR="00C02B59" w:rsidRPr="00D1795B" w:rsidRDefault="00C02B59" w:rsidP="00C02B59">
      <w:pPr>
        <w:spacing w:before="120" w:after="120" w:line="240" w:lineRule="auto"/>
        <w:jc w:val="both"/>
        <w:textAlignment w:val="baseline"/>
        <w:rPr>
          <w:rFonts w:ascii="Times New Roman" w:hAnsi="Times New Roman"/>
          <w:noProof/>
        </w:rPr>
      </w:pPr>
    </w:p>
    <w:p w14:paraId="1887ECD2"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u w:val="single"/>
        </w:rPr>
        <w:t>Investment</w:t>
      </w:r>
      <w:r w:rsidRPr="00D1795B">
        <w:rPr>
          <w:rFonts w:ascii="Times New Roman" w:hAnsi="Times New Roman"/>
          <w:noProof/>
          <w:u w:val="single"/>
          <w:shd w:val="clear" w:color="auto" w:fill="FFFFFF"/>
        </w:rPr>
        <w:t xml:space="preserve"> 2 (</w:t>
      </w:r>
      <w:r w:rsidRPr="00D1795B">
        <w:rPr>
          <w:rFonts w:ascii="Times New Roman" w:hAnsi="Times New Roman"/>
          <w:noProof/>
          <w:u w:val="single"/>
        </w:rPr>
        <w:t>C5.1I2)</w:t>
      </w:r>
      <w:r w:rsidRPr="00D1795B">
        <w:rPr>
          <w:rFonts w:ascii="Times New Roman" w:hAnsi="Times New Roman"/>
          <w:noProof/>
          <w:u w:val="single"/>
          <w:shd w:val="clear" w:color="auto" w:fill="FFFFFF"/>
        </w:rPr>
        <w:t>: Skilling, Reskilling and Upskilling</w:t>
      </w:r>
    </w:p>
    <w:p w14:paraId="1887ECD3"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this investment is to support the skills of the population.</w:t>
      </w:r>
    </w:p>
    <w:p w14:paraId="1887ECD4"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This measure consists in training participants in programmes for digital, green, blue, and entrepreneurial skills.</w:t>
      </w:r>
    </w:p>
    <w:p w14:paraId="1887ECD5" w14:textId="77777777" w:rsidR="00C02B59" w:rsidRPr="00D1795B" w:rsidRDefault="00C02B59" w:rsidP="00C02B59">
      <w:pPr>
        <w:spacing w:before="120" w:after="120" w:line="240" w:lineRule="auto"/>
        <w:jc w:val="both"/>
        <w:rPr>
          <w:rFonts w:ascii="Times New Roman" w:hAnsi="Times New Roman"/>
          <w:noProof/>
        </w:rPr>
      </w:pPr>
    </w:p>
    <w:p w14:paraId="1887ECD6" w14:textId="77777777" w:rsidR="00C02B59" w:rsidRPr="00D1795B" w:rsidRDefault="00C02B59" w:rsidP="00C02B59">
      <w:pPr>
        <w:rPr>
          <w:noProof/>
        </w:rPr>
        <w:sectPr w:rsidR="00C02B59" w:rsidRPr="00D1795B" w:rsidSect="00C02B59">
          <w:headerReference w:type="even" r:id="rId149"/>
          <w:headerReference w:type="default" r:id="rId150"/>
          <w:footerReference w:type="even" r:id="rId151"/>
          <w:footerReference w:type="default" r:id="rId152"/>
          <w:headerReference w:type="first" r:id="rId153"/>
          <w:footerReference w:type="first" r:id="rId154"/>
          <w:pgSz w:w="12240" w:h="15840"/>
          <w:pgMar w:top="1134" w:right="1134" w:bottom="1134" w:left="1134" w:header="567" w:footer="567" w:gutter="0"/>
          <w:cols w:space="720"/>
          <w:docGrid w:linePitch="360"/>
        </w:sectPr>
      </w:pPr>
    </w:p>
    <w:p w14:paraId="1887ECD7" w14:textId="77777777" w:rsidR="00C02B59" w:rsidRPr="00D1795B" w:rsidRDefault="00C02B59" w:rsidP="00C02B59">
      <w:pPr>
        <w:spacing w:before="120" w:after="240" w:line="240" w:lineRule="auto"/>
        <w:jc w:val="center"/>
        <w:rPr>
          <w:rFonts w:ascii="Times New Roman" w:hAnsi="Times New Roman"/>
          <w:b/>
          <w:noProof/>
          <w:u w:val="single"/>
        </w:rPr>
      </w:pPr>
      <w:r w:rsidRPr="00D1795B">
        <w:rPr>
          <w:rFonts w:ascii="Times New Roman" w:hAnsi="Times New Roman"/>
          <w:b/>
          <w:noProof/>
          <w:u w:val="single"/>
        </w:rPr>
        <w:t>L.2. Milestones, targets, indicators, and timetable for monitoring and implementation for non-repayable financial support</w:t>
      </w:r>
    </w:p>
    <w:tbl>
      <w:tblPr>
        <w:tblW w:w="15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1237"/>
        <w:gridCol w:w="1423"/>
        <w:gridCol w:w="1558"/>
        <w:gridCol w:w="1130"/>
        <w:gridCol w:w="992"/>
        <w:gridCol w:w="1280"/>
        <w:gridCol w:w="885"/>
        <w:gridCol w:w="992"/>
        <w:gridCol w:w="3227"/>
      </w:tblGrid>
      <w:tr w:rsidR="00C02B59" w:rsidRPr="00D1795B" w14:paraId="1887ECE0" w14:textId="77777777" w:rsidTr="6B29DC81">
        <w:trPr>
          <w:trHeight w:val="300"/>
          <w:tblHeader/>
          <w:jc w:val="center"/>
        </w:trPr>
        <w:tc>
          <w:tcPr>
            <w:tcW w:w="1129" w:type="dxa"/>
            <w:vMerge w:val="restart"/>
            <w:tcBorders>
              <w:top w:val="single" w:sz="4" w:space="0" w:color="auto"/>
            </w:tcBorders>
            <w:shd w:val="clear" w:color="auto" w:fill="BDD7EE"/>
            <w:vAlign w:val="center"/>
            <w:hideMark/>
          </w:tcPr>
          <w:p w14:paraId="1887ECD8"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1560" w:type="dxa"/>
            <w:vMerge w:val="restart"/>
            <w:tcBorders>
              <w:top w:val="single" w:sz="4" w:space="0" w:color="auto"/>
            </w:tcBorders>
            <w:shd w:val="clear" w:color="auto" w:fill="BDD7EE"/>
            <w:vAlign w:val="center"/>
            <w:hideMark/>
          </w:tcPr>
          <w:p w14:paraId="1887ECD9"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1237" w:type="dxa"/>
            <w:vMerge w:val="restart"/>
            <w:tcBorders>
              <w:top w:val="single" w:sz="4" w:space="0" w:color="auto"/>
            </w:tcBorders>
            <w:shd w:val="clear" w:color="auto" w:fill="BDD7EE"/>
            <w:vAlign w:val="center"/>
            <w:hideMark/>
          </w:tcPr>
          <w:p w14:paraId="1887ECDA"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Milestone / Target</w:t>
            </w:r>
          </w:p>
        </w:tc>
        <w:tc>
          <w:tcPr>
            <w:tcW w:w="1423" w:type="dxa"/>
            <w:vMerge w:val="restart"/>
            <w:tcBorders>
              <w:top w:val="single" w:sz="4" w:space="0" w:color="auto"/>
            </w:tcBorders>
            <w:shd w:val="clear" w:color="auto" w:fill="BDD7EE"/>
            <w:vAlign w:val="center"/>
            <w:hideMark/>
          </w:tcPr>
          <w:p w14:paraId="1887ECDB"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Name</w:t>
            </w:r>
          </w:p>
        </w:tc>
        <w:tc>
          <w:tcPr>
            <w:tcW w:w="1558" w:type="dxa"/>
            <w:vMerge w:val="restart"/>
            <w:tcBorders>
              <w:top w:val="single" w:sz="4" w:space="0" w:color="auto"/>
            </w:tcBorders>
            <w:shd w:val="clear" w:color="auto" w:fill="BDD7EE"/>
            <w:vAlign w:val="center"/>
            <w:hideMark/>
          </w:tcPr>
          <w:p w14:paraId="1887ECDC"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Qualitative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milestones)</w:t>
            </w:r>
          </w:p>
        </w:tc>
        <w:tc>
          <w:tcPr>
            <w:tcW w:w="3402" w:type="dxa"/>
            <w:gridSpan w:val="3"/>
            <w:tcBorders>
              <w:top w:val="single" w:sz="4" w:space="0" w:color="auto"/>
            </w:tcBorders>
            <w:shd w:val="clear" w:color="auto" w:fill="BDD7EE"/>
            <w:vAlign w:val="center"/>
            <w:hideMark/>
          </w:tcPr>
          <w:p w14:paraId="1887ECDD"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Quantitative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targets)</w:t>
            </w:r>
          </w:p>
        </w:tc>
        <w:tc>
          <w:tcPr>
            <w:tcW w:w="1877" w:type="dxa"/>
            <w:gridSpan w:val="2"/>
            <w:tcBorders>
              <w:top w:val="single" w:sz="4" w:space="0" w:color="auto"/>
            </w:tcBorders>
            <w:shd w:val="clear" w:color="auto" w:fill="BDD7EE"/>
            <w:vAlign w:val="center"/>
            <w:hideMark/>
          </w:tcPr>
          <w:p w14:paraId="1887ECDE"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Indicative timeline for completion</w:t>
            </w:r>
          </w:p>
        </w:tc>
        <w:tc>
          <w:tcPr>
            <w:tcW w:w="3227" w:type="dxa"/>
            <w:vMerge w:val="restart"/>
            <w:tcBorders>
              <w:top w:val="single" w:sz="4" w:space="0" w:color="auto"/>
            </w:tcBorders>
            <w:shd w:val="clear" w:color="auto" w:fill="BDD7EE"/>
            <w:vAlign w:val="center"/>
            <w:hideMark/>
          </w:tcPr>
          <w:p w14:paraId="1887ECDF"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Description of each milestone and target</w:t>
            </w:r>
          </w:p>
        </w:tc>
      </w:tr>
      <w:tr w:rsidR="00C02B59" w:rsidRPr="00D1795B" w14:paraId="1887ECEC" w14:textId="77777777" w:rsidTr="6B29DC81">
        <w:trPr>
          <w:trHeight w:val="300"/>
          <w:tblHeader/>
          <w:jc w:val="center"/>
        </w:trPr>
        <w:tc>
          <w:tcPr>
            <w:tcW w:w="1129" w:type="dxa"/>
            <w:vMerge/>
            <w:vAlign w:val="center"/>
            <w:hideMark/>
          </w:tcPr>
          <w:p w14:paraId="1887ECE1"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560" w:type="dxa"/>
            <w:vMerge/>
            <w:vAlign w:val="center"/>
            <w:hideMark/>
          </w:tcPr>
          <w:p w14:paraId="1887ECE2"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237" w:type="dxa"/>
            <w:vMerge/>
            <w:vAlign w:val="center"/>
            <w:hideMark/>
          </w:tcPr>
          <w:p w14:paraId="1887ECE3"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423" w:type="dxa"/>
            <w:vMerge/>
            <w:vAlign w:val="center"/>
            <w:hideMark/>
          </w:tcPr>
          <w:p w14:paraId="1887ECE4"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558" w:type="dxa"/>
            <w:vMerge/>
            <w:vAlign w:val="center"/>
            <w:hideMark/>
          </w:tcPr>
          <w:p w14:paraId="1887ECE5" w14:textId="77777777" w:rsidR="00C02B59" w:rsidRPr="00D1795B" w:rsidRDefault="00C02B59" w:rsidP="00C02B59">
            <w:pPr>
              <w:spacing w:after="0" w:line="240" w:lineRule="auto"/>
              <w:rPr>
                <w:rFonts w:ascii="Times New Roman" w:hAnsi="Times New Roman" w:cs="Times New Roman"/>
                <w:b/>
                <w:noProof/>
                <w:sz w:val="18"/>
                <w:szCs w:val="18"/>
              </w:rPr>
            </w:pPr>
          </w:p>
        </w:tc>
        <w:tc>
          <w:tcPr>
            <w:tcW w:w="1130" w:type="dxa"/>
            <w:shd w:val="clear" w:color="auto" w:fill="BDD7EE"/>
            <w:vAlign w:val="center"/>
            <w:hideMark/>
          </w:tcPr>
          <w:p w14:paraId="1887ECE6"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Unit of measure</w:t>
            </w:r>
          </w:p>
        </w:tc>
        <w:tc>
          <w:tcPr>
            <w:tcW w:w="992" w:type="dxa"/>
            <w:shd w:val="clear" w:color="auto" w:fill="BDD7EE"/>
            <w:vAlign w:val="center"/>
            <w:hideMark/>
          </w:tcPr>
          <w:p w14:paraId="1887ECE7"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Baseline</w:t>
            </w:r>
          </w:p>
        </w:tc>
        <w:tc>
          <w:tcPr>
            <w:tcW w:w="1280" w:type="dxa"/>
            <w:shd w:val="clear" w:color="auto" w:fill="BDD7EE"/>
            <w:vAlign w:val="center"/>
            <w:hideMark/>
          </w:tcPr>
          <w:p w14:paraId="1887ECE8"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Goal</w:t>
            </w:r>
          </w:p>
        </w:tc>
        <w:tc>
          <w:tcPr>
            <w:tcW w:w="885" w:type="dxa"/>
            <w:shd w:val="clear" w:color="auto" w:fill="BDD7EE"/>
            <w:vAlign w:val="center"/>
            <w:hideMark/>
          </w:tcPr>
          <w:p w14:paraId="1887ECE9"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Quarter</w:t>
            </w:r>
          </w:p>
        </w:tc>
        <w:tc>
          <w:tcPr>
            <w:tcW w:w="992" w:type="dxa"/>
            <w:shd w:val="clear" w:color="auto" w:fill="BDD7EE"/>
            <w:vAlign w:val="center"/>
            <w:hideMark/>
          </w:tcPr>
          <w:p w14:paraId="1887ECEA"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Year</w:t>
            </w:r>
          </w:p>
        </w:tc>
        <w:tc>
          <w:tcPr>
            <w:tcW w:w="3227" w:type="dxa"/>
            <w:vMerge/>
            <w:vAlign w:val="center"/>
            <w:hideMark/>
          </w:tcPr>
          <w:p w14:paraId="1887ECEB" w14:textId="77777777" w:rsidR="00C02B59" w:rsidRPr="00D1795B" w:rsidRDefault="00C02B59" w:rsidP="00C02B59">
            <w:pPr>
              <w:spacing w:after="0" w:line="240" w:lineRule="auto"/>
              <w:jc w:val="both"/>
              <w:rPr>
                <w:rFonts w:ascii="Times New Roman" w:hAnsi="Times New Roman" w:cs="Times New Roman"/>
                <w:b/>
                <w:noProof/>
                <w:sz w:val="18"/>
                <w:szCs w:val="18"/>
              </w:rPr>
            </w:pPr>
          </w:p>
        </w:tc>
      </w:tr>
      <w:tr w:rsidR="00C02B59" w:rsidRPr="00D1795B" w14:paraId="1887ECFC" w14:textId="77777777" w:rsidTr="6B29DC81">
        <w:trPr>
          <w:trHeight w:val="300"/>
          <w:jc w:val="center"/>
        </w:trPr>
        <w:tc>
          <w:tcPr>
            <w:tcW w:w="1129" w:type="dxa"/>
            <w:shd w:val="clear" w:color="auto" w:fill="C1F0C7" w:themeFill="accent3" w:themeFillTint="33"/>
            <w:noWrap/>
            <w:hideMark/>
          </w:tcPr>
          <w:p w14:paraId="1887ECE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239a</w:t>
            </w:r>
          </w:p>
        </w:tc>
        <w:tc>
          <w:tcPr>
            <w:tcW w:w="1560" w:type="dxa"/>
            <w:shd w:val="clear" w:color="auto" w:fill="C1F0C7" w:themeFill="accent3" w:themeFillTint="33"/>
            <w:noWrap/>
            <w:hideMark/>
          </w:tcPr>
          <w:p w14:paraId="1887ECE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C5.1R1</w:t>
            </w:r>
          </w:p>
          <w:p w14:paraId="1887ECE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Addressing skills mismatch between education and labour market (Secondary and Higher Education)</w:t>
            </w:r>
          </w:p>
        </w:tc>
        <w:tc>
          <w:tcPr>
            <w:tcW w:w="1237" w:type="dxa"/>
            <w:shd w:val="clear" w:color="auto" w:fill="C1F0C7" w:themeFill="accent3" w:themeFillTint="33"/>
            <w:noWrap/>
            <w:hideMark/>
          </w:tcPr>
          <w:p w14:paraId="1887ECF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23" w:type="dxa"/>
            <w:shd w:val="clear" w:color="auto" w:fill="C1F0C7" w:themeFill="accent3" w:themeFillTint="33"/>
            <w:noWrap/>
            <w:hideMark/>
          </w:tcPr>
          <w:p w14:paraId="1887ECF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Measures included in the National Action Plan </w:t>
            </w:r>
          </w:p>
        </w:tc>
        <w:tc>
          <w:tcPr>
            <w:tcW w:w="1558" w:type="dxa"/>
            <w:shd w:val="clear" w:color="auto" w:fill="C1F0C7" w:themeFill="accent3" w:themeFillTint="33"/>
            <w:noWrap/>
          </w:tcPr>
          <w:p w14:paraId="1887ECF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Publication of report and approval of the curricula and programmes by competent authorities</w:t>
            </w:r>
          </w:p>
        </w:tc>
        <w:tc>
          <w:tcPr>
            <w:tcW w:w="1130" w:type="dxa"/>
            <w:shd w:val="clear" w:color="auto" w:fill="C1F0C7" w:themeFill="accent3" w:themeFillTint="33"/>
            <w:noWrap/>
            <w:hideMark/>
          </w:tcPr>
          <w:p w14:paraId="1887ECF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1F0C7" w:themeFill="accent3" w:themeFillTint="33"/>
            <w:noWrap/>
            <w:hideMark/>
          </w:tcPr>
          <w:p w14:paraId="1887ECF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80" w:type="dxa"/>
            <w:shd w:val="clear" w:color="auto" w:fill="C1F0C7" w:themeFill="accent3" w:themeFillTint="33"/>
            <w:noWrap/>
            <w:hideMark/>
          </w:tcPr>
          <w:p w14:paraId="1887ECF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885" w:type="dxa"/>
            <w:shd w:val="clear" w:color="auto" w:fill="C1F0C7" w:themeFill="accent3" w:themeFillTint="33"/>
            <w:noWrap/>
            <w:hideMark/>
          </w:tcPr>
          <w:p w14:paraId="1887ECF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92" w:type="dxa"/>
            <w:shd w:val="clear" w:color="auto" w:fill="C1F0C7" w:themeFill="accent3" w:themeFillTint="33"/>
            <w:noWrap/>
            <w:hideMark/>
          </w:tcPr>
          <w:p w14:paraId="1887ECF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227" w:type="dxa"/>
            <w:shd w:val="clear" w:color="auto" w:fill="C1F0C7" w:themeFill="accent3" w:themeFillTint="33"/>
            <w:noWrap/>
            <w:hideMark/>
          </w:tcPr>
          <w:p w14:paraId="1887ECF8" w14:textId="77777777" w:rsidR="00C02B59" w:rsidRPr="00D1795B" w:rsidRDefault="00C02B59" w:rsidP="00C02B59">
            <w:pPr>
              <w:spacing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milestone consists in the following:</w:t>
            </w:r>
          </w:p>
          <w:p w14:paraId="1887ECF9" w14:textId="77777777" w:rsidR="00C02B59" w:rsidRPr="00D1795B" w:rsidRDefault="00C02B59" w:rsidP="00C02B59">
            <w:pPr>
              <w:spacing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 the preliminary results of a “Graduate Tracking of Cyprus Higher Education" survey and a published report on the survey.</w:t>
            </w:r>
          </w:p>
          <w:p w14:paraId="1887ECFA" w14:textId="77777777" w:rsidR="00C02B59" w:rsidRPr="00D1795B" w:rsidRDefault="00C02B59" w:rsidP="00C02B59">
            <w:pPr>
              <w:spacing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(b) 40 educational curricula in secondary schools are amended to support the following skills that may include but it is not limited to soft, hard, entrepreneurial skills </w:t>
            </w:r>
          </w:p>
          <w:p w14:paraId="1887ECFB" w14:textId="77777777" w:rsidR="00C02B59" w:rsidRPr="00D1795B" w:rsidRDefault="00C02B59" w:rsidP="00C02B59">
            <w:pPr>
              <w:spacing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(c) two new programmes of study in secondary general, and vocational education and training, </w:t>
            </w:r>
          </w:p>
        </w:tc>
      </w:tr>
      <w:tr w:rsidR="00C02B59" w:rsidRPr="00D1795B" w14:paraId="1887ED09" w14:textId="77777777" w:rsidTr="6B29DC81">
        <w:trPr>
          <w:trHeight w:val="300"/>
          <w:jc w:val="center"/>
        </w:trPr>
        <w:tc>
          <w:tcPr>
            <w:tcW w:w="1129" w:type="dxa"/>
            <w:shd w:val="clear" w:color="auto" w:fill="C6EFCE"/>
            <w:noWrap/>
          </w:tcPr>
          <w:p w14:paraId="1887ECF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239b</w:t>
            </w:r>
          </w:p>
        </w:tc>
        <w:tc>
          <w:tcPr>
            <w:tcW w:w="1560" w:type="dxa"/>
            <w:shd w:val="clear" w:color="auto" w:fill="C6EFCE"/>
            <w:noWrap/>
          </w:tcPr>
          <w:p w14:paraId="1887ECF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C5.1R1</w:t>
            </w:r>
          </w:p>
          <w:p w14:paraId="1887ECF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Addressing skills mismatch between education and labour market (Secondary and Higher Education)</w:t>
            </w:r>
          </w:p>
        </w:tc>
        <w:tc>
          <w:tcPr>
            <w:tcW w:w="1237" w:type="dxa"/>
            <w:shd w:val="clear" w:color="auto" w:fill="C6EFCE"/>
            <w:noWrap/>
          </w:tcPr>
          <w:p w14:paraId="1887ED0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423" w:type="dxa"/>
            <w:shd w:val="clear" w:color="auto" w:fill="C6EFCE"/>
            <w:noWrap/>
          </w:tcPr>
          <w:p w14:paraId="1887ED0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In-job shadowing programme </w:t>
            </w:r>
          </w:p>
        </w:tc>
        <w:tc>
          <w:tcPr>
            <w:tcW w:w="1558" w:type="dxa"/>
            <w:shd w:val="clear" w:color="auto" w:fill="C6EFCE"/>
            <w:noWrap/>
          </w:tcPr>
          <w:p w14:paraId="1887ED02" w14:textId="77777777" w:rsidR="00C02B59" w:rsidRPr="00D1795B" w:rsidRDefault="00C02B59" w:rsidP="00C02B59">
            <w:pPr>
              <w:spacing w:after="0" w:line="240" w:lineRule="auto"/>
              <w:rPr>
                <w:rFonts w:ascii="Times New Roman" w:hAnsi="Times New Roman" w:cs="Times New Roman"/>
                <w:noProof/>
                <w:sz w:val="18"/>
                <w:szCs w:val="18"/>
              </w:rPr>
            </w:pPr>
          </w:p>
        </w:tc>
        <w:tc>
          <w:tcPr>
            <w:tcW w:w="1130" w:type="dxa"/>
            <w:shd w:val="clear" w:color="auto" w:fill="C6EFCE"/>
            <w:noWrap/>
          </w:tcPr>
          <w:p w14:paraId="1887ED0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2" w:type="dxa"/>
            <w:shd w:val="clear" w:color="auto" w:fill="C6EFCE"/>
            <w:noWrap/>
          </w:tcPr>
          <w:p w14:paraId="1887ED0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80" w:type="dxa"/>
            <w:shd w:val="clear" w:color="auto" w:fill="C6EFCE"/>
            <w:noWrap/>
          </w:tcPr>
          <w:p w14:paraId="1887ED0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2 250</w:t>
            </w:r>
          </w:p>
        </w:tc>
        <w:tc>
          <w:tcPr>
            <w:tcW w:w="885" w:type="dxa"/>
            <w:shd w:val="clear" w:color="auto" w:fill="C6EFCE"/>
            <w:noWrap/>
          </w:tcPr>
          <w:p w14:paraId="1887ED0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92" w:type="dxa"/>
            <w:shd w:val="clear" w:color="auto" w:fill="C6EFCE"/>
            <w:noWrap/>
          </w:tcPr>
          <w:p w14:paraId="1887ED0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227" w:type="dxa"/>
            <w:shd w:val="clear" w:color="auto" w:fill="C6EFCE"/>
            <w:noWrap/>
          </w:tcPr>
          <w:p w14:paraId="1887ED08" w14:textId="77777777" w:rsidR="00C02B59" w:rsidRPr="00D1795B" w:rsidRDefault="00C02B59" w:rsidP="00C02B59">
            <w:pPr>
              <w:spacing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In-job shadowing programme for at least 2 250 secondary general education pupils.</w:t>
            </w:r>
          </w:p>
        </w:tc>
      </w:tr>
      <w:tr w:rsidR="00C02B59" w:rsidRPr="00D1795B" w14:paraId="1887ED16" w14:textId="77777777" w:rsidTr="6B29DC81">
        <w:trPr>
          <w:trHeight w:val="300"/>
          <w:jc w:val="center"/>
        </w:trPr>
        <w:tc>
          <w:tcPr>
            <w:tcW w:w="1129" w:type="dxa"/>
            <w:shd w:val="clear" w:color="auto" w:fill="C6EFCE"/>
            <w:noWrap/>
          </w:tcPr>
          <w:p w14:paraId="1887ED0A" w14:textId="2FD6CBBB"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239c</w:t>
            </w:r>
          </w:p>
        </w:tc>
        <w:tc>
          <w:tcPr>
            <w:tcW w:w="1560" w:type="dxa"/>
            <w:shd w:val="clear" w:color="auto" w:fill="C6EFCE"/>
            <w:noWrap/>
          </w:tcPr>
          <w:p w14:paraId="1887ED0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C5.1R1</w:t>
            </w:r>
          </w:p>
          <w:p w14:paraId="1887ED0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Addressing skills mismatch between education and labour market (Secondary and Higher Education)</w:t>
            </w:r>
          </w:p>
        </w:tc>
        <w:tc>
          <w:tcPr>
            <w:tcW w:w="1237" w:type="dxa"/>
            <w:shd w:val="clear" w:color="auto" w:fill="C6EFCE"/>
            <w:noWrap/>
          </w:tcPr>
          <w:p w14:paraId="1887ED0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423" w:type="dxa"/>
            <w:shd w:val="clear" w:color="auto" w:fill="C6EFCE"/>
            <w:noWrap/>
          </w:tcPr>
          <w:p w14:paraId="1887ED0E" w14:textId="5F30B21B" w:rsidR="00C02B59" w:rsidRPr="00D1795B" w:rsidRDefault="4EABA41C"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Laboratories equipped </w:t>
            </w:r>
          </w:p>
        </w:tc>
        <w:tc>
          <w:tcPr>
            <w:tcW w:w="1558" w:type="dxa"/>
            <w:shd w:val="clear" w:color="auto" w:fill="C6EFCE"/>
            <w:noWrap/>
          </w:tcPr>
          <w:p w14:paraId="1887ED0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130" w:type="dxa"/>
            <w:shd w:val="clear" w:color="auto" w:fill="C6EFCE"/>
            <w:noWrap/>
          </w:tcPr>
          <w:p w14:paraId="1887ED1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2" w:type="dxa"/>
            <w:shd w:val="clear" w:color="auto" w:fill="C6EFCE"/>
            <w:noWrap/>
          </w:tcPr>
          <w:p w14:paraId="1887ED1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80" w:type="dxa"/>
            <w:shd w:val="clear" w:color="auto" w:fill="C6EFCE"/>
            <w:noWrap/>
          </w:tcPr>
          <w:p w14:paraId="1887ED1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170</w:t>
            </w:r>
          </w:p>
        </w:tc>
        <w:tc>
          <w:tcPr>
            <w:tcW w:w="885" w:type="dxa"/>
            <w:shd w:val="clear" w:color="auto" w:fill="C6EFCE"/>
            <w:noWrap/>
          </w:tcPr>
          <w:p w14:paraId="1887ED1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92" w:type="dxa"/>
            <w:shd w:val="clear" w:color="auto" w:fill="C6EFCE"/>
            <w:noWrap/>
          </w:tcPr>
          <w:p w14:paraId="1887ED1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227" w:type="dxa"/>
            <w:shd w:val="clear" w:color="auto" w:fill="C6EFCE"/>
            <w:noWrap/>
          </w:tcPr>
          <w:p w14:paraId="1887ED15" w14:textId="2B142A97" w:rsidR="00C02B59" w:rsidRPr="00D1795B" w:rsidRDefault="00B72A03"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w:t>
            </w:r>
            <w:r w:rsidR="00C02B59" w:rsidRPr="00D1795B">
              <w:rPr>
                <w:rFonts w:ascii="Times New Roman" w:hAnsi="Times New Roman" w:cs="Times New Roman"/>
                <w:noProof/>
                <w:sz w:val="18"/>
                <w:szCs w:val="18"/>
              </w:rPr>
              <w:t xml:space="preserve">cceptance certificate(s) for the </w:t>
            </w:r>
            <w:r w:rsidR="00A10B0E" w:rsidRPr="00D1795B">
              <w:rPr>
                <w:rFonts w:ascii="Times New Roman" w:hAnsi="Times New Roman" w:cs="Times New Roman"/>
                <w:noProof/>
                <w:sz w:val="18"/>
                <w:szCs w:val="18"/>
              </w:rPr>
              <w:t xml:space="preserve">delivery </w:t>
            </w:r>
            <w:r w:rsidR="00C02B59" w:rsidRPr="00D1795B">
              <w:rPr>
                <w:rFonts w:ascii="Times New Roman" w:hAnsi="Times New Roman" w:cs="Times New Roman"/>
                <w:noProof/>
                <w:sz w:val="18"/>
                <w:szCs w:val="18"/>
              </w:rPr>
              <w:t xml:space="preserve">of </w:t>
            </w:r>
            <w:r w:rsidR="00A10B0E" w:rsidRPr="00D1795B">
              <w:rPr>
                <w:rFonts w:ascii="Times New Roman" w:hAnsi="Times New Roman" w:cs="Times New Roman"/>
                <w:noProof/>
                <w:sz w:val="18"/>
                <w:szCs w:val="18"/>
              </w:rPr>
              <w:t xml:space="preserve">laboratory </w:t>
            </w:r>
            <w:r w:rsidR="00C02B59" w:rsidRPr="00D1795B">
              <w:rPr>
                <w:rFonts w:ascii="Times New Roman" w:hAnsi="Times New Roman" w:cs="Times New Roman"/>
                <w:noProof/>
                <w:sz w:val="18"/>
                <w:szCs w:val="18"/>
              </w:rPr>
              <w:t xml:space="preserve">equipment to 170 </w:t>
            </w:r>
            <w:r w:rsidR="00A10B0E" w:rsidRPr="00D1795B">
              <w:rPr>
                <w:rFonts w:ascii="Times New Roman" w:hAnsi="Times New Roman" w:cs="Times New Roman"/>
                <w:noProof/>
                <w:sz w:val="18"/>
                <w:szCs w:val="18"/>
              </w:rPr>
              <w:t xml:space="preserve">school </w:t>
            </w:r>
            <w:r w:rsidR="00C02B59" w:rsidRPr="00D1795B">
              <w:rPr>
                <w:rFonts w:ascii="Times New Roman" w:hAnsi="Times New Roman" w:cs="Times New Roman"/>
                <w:noProof/>
                <w:sz w:val="18"/>
                <w:szCs w:val="18"/>
              </w:rPr>
              <w:t xml:space="preserve">laboratories </w:t>
            </w:r>
            <w:r w:rsidR="00A10B0E" w:rsidRPr="00D1795B">
              <w:rPr>
                <w:rFonts w:ascii="Times New Roman" w:hAnsi="Times New Roman" w:cs="Times New Roman"/>
                <w:noProof/>
                <w:sz w:val="18"/>
                <w:szCs w:val="18"/>
              </w:rPr>
              <w:t>of</w:t>
            </w:r>
            <w:r w:rsidR="00C02B59" w:rsidRPr="00D1795B">
              <w:rPr>
                <w:rFonts w:ascii="Times New Roman" w:hAnsi="Times New Roman" w:cs="Times New Roman"/>
                <w:noProof/>
                <w:sz w:val="18"/>
                <w:szCs w:val="18"/>
              </w:rPr>
              <w:t xml:space="preserve"> </w:t>
            </w:r>
            <w:r w:rsidR="00A10B0E" w:rsidRPr="00D1795B">
              <w:rPr>
                <w:rFonts w:ascii="Times New Roman" w:hAnsi="Times New Roman" w:cs="Times New Roman"/>
                <w:noProof/>
                <w:sz w:val="18"/>
                <w:szCs w:val="18"/>
              </w:rPr>
              <w:t xml:space="preserve">the Directorate of </w:t>
            </w:r>
            <w:r w:rsidR="00C02B59" w:rsidRPr="00D1795B">
              <w:rPr>
                <w:rFonts w:ascii="Times New Roman" w:hAnsi="Times New Roman" w:cs="Times New Roman"/>
                <w:noProof/>
                <w:sz w:val="18"/>
                <w:szCs w:val="18"/>
              </w:rPr>
              <w:t xml:space="preserve">Secondary </w:t>
            </w:r>
            <w:r w:rsidR="00A10B0E" w:rsidRPr="00D1795B">
              <w:rPr>
                <w:rFonts w:ascii="Times New Roman" w:hAnsi="Times New Roman" w:cs="Times New Roman"/>
                <w:noProof/>
                <w:sz w:val="18"/>
                <w:szCs w:val="18"/>
              </w:rPr>
              <w:t xml:space="preserve">General </w:t>
            </w:r>
            <w:r w:rsidR="00C02B59" w:rsidRPr="00D1795B">
              <w:rPr>
                <w:rFonts w:ascii="Times New Roman" w:hAnsi="Times New Roman" w:cs="Times New Roman"/>
                <w:noProof/>
                <w:sz w:val="18"/>
                <w:szCs w:val="18"/>
              </w:rPr>
              <w:t>Education</w:t>
            </w:r>
            <w:r w:rsidR="008D6CD3" w:rsidRPr="00D1795B">
              <w:rPr>
                <w:rFonts w:ascii="Times New Roman" w:hAnsi="Times New Roman" w:cs="Times New Roman"/>
                <w:noProof/>
                <w:sz w:val="18"/>
                <w:szCs w:val="18"/>
              </w:rPr>
              <w:t xml:space="preserve"> of the Cyprus Ministry of Education, Sport and Youth</w:t>
            </w:r>
            <w:r w:rsidR="00C02B59" w:rsidRPr="00D1795B">
              <w:rPr>
                <w:rFonts w:ascii="Times New Roman" w:hAnsi="Times New Roman" w:cs="Times New Roman"/>
                <w:noProof/>
                <w:sz w:val="18"/>
                <w:szCs w:val="18"/>
              </w:rPr>
              <w:t>.</w:t>
            </w:r>
          </w:p>
        </w:tc>
      </w:tr>
      <w:tr w:rsidR="00C02B59" w:rsidRPr="00D1795B" w14:paraId="1887ED23" w14:textId="77777777" w:rsidTr="6B29DC81">
        <w:trPr>
          <w:trHeight w:val="300"/>
          <w:jc w:val="center"/>
        </w:trPr>
        <w:tc>
          <w:tcPr>
            <w:tcW w:w="1129" w:type="dxa"/>
            <w:shd w:val="clear" w:color="auto" w:fill="C6EFCE"/>
            <w:noWrap/>
            <w:hideMark/>
          </w:tcPr>
          <w:p w14:paraId="1887ED1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241</w:t>
            </w:r>
          </w:p>
        </w:tc>
        <w:tc>
          <w:tcPr>
            <w:tcW w:w="1560" w:type="dxa"/>
            <w:shd w:val="clear" w:color="auto" w:fill="C6EFCE"/>
            <w:noWrap/>
            <w:hideMark/>
          </w:tcPr>
          <w:p w14:paraId="1887ED1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C5.1R2</w:t>
            </w:r>
          </w:p>
          <w:p w14:paraId="1887ED19"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A school evaluation system </w:t>
            </w:r>
            <w:r w:rsidRPr="00D1795B">
              <w:rPr>
                <w:rFonts w:ascii="Times New Roman" w:eastAsia="Times New Roman" w:hAnsi="Times New Roman" w:cs="Times New Roman"/>
                <w:noProof/>
                <w:sz w:val="18"/>
                <w:szCs w:val="18"/>
              </w:rPr>
              <w:t>and formative evaluation of teachers</w:t>
            </w:r>
          </w:p>
        </w:tc>
        <w:tc>
          <w:tcPr>
            <w:tcW w:w="1237" w:type="dxa"/>
            <w:shd w:val="clear" w:color="auto" w:fill="C6EFCE"/>
            <w:noWrap/>
            <w:hideMark/>
          </w:tcPr>
          <w:p w14:paraId="1887ED1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23" w:type="dxa"/>
            <w:shd w:val="clear" w:color="auto" w:fill="C6EFCE"/>
            <w:noWrap/>
            <w:hideMark/>
          </w:tcPr>
          <w:p w14:paraId="1887ED1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Council of Ministers Decision for a new School Evaluation system and entry into force of the legal act(s) for the Formative Evaluation of Teachers</w:t>
            </w:r>
          </w:p>
        </w:tc>
        <w:tc>
          <w:tcPr>
            <w:tcW w:w="1558" w:type="dxa"/>
            <w:shd w:val="clear" w:color="auto" w:fill="C6EFCE"/>
            <w:noWrap/>
            <w:hideMark/>
          </w:tcPr>
          <w:p w14:paraId="1887ED1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the legal act(s) </w:t>
            </w:r>
          </w:p>
        </w:tc>
        <w:tc>
          <w:tcPr>
            <w:tcW w:w="1130" w:type="dxa"/>
            <w:shd w:val="clear" w:color="auto" w:fill="C6EFCE"/>
            <w:noWrap/>
            <w:hideMark/>
          </w:tcPr>
          <w:p w14:paraId="1887ED1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noWrap/>
            <w:hideMark/>
          </w:tcPr>
          <w:p w14:paraId="1887ED1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80" w:type="dxa"/>
            <w:shd w:val="clear" w:color="auto" w:fill="C6EFCE"/>
            <w:noWrap/>
            <w:hideMark/>
          </w:tcPr>
          <w:p w14:paraId="1887ED1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885" w:type="dxa"/>
            <w:shd w:val="clear" w:color="auto" w:fill="C6EFCE"/>
            <w:noWrap/>
            <w:hideMark/>
          </w:tcPr>
          <w:p w14:paraId="1887ED2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92" w:type="dxa"/>
            <w:shd w:val="clear" w:color="auto" w:fill="C6EFCE"/>
            <w:noWrap/>
            <w:hideMark/>
          </w:tcPr>
          <w:p w14:paraId="1887ED2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227" w:type="dxa"/>
            <w:shd w:val="clear" w:color="auto" w:fill="C6EFCE"/>
            <w:noWrap/>
            <w:hideMark/>
          </w:tcPr>
          <w:p w14:paraId="1887ED22" w14:textId="77777777" w:rsidR="00C02B59" w:rsidRPr="00D1795B" w:rsidRDefault="00C02B59" w:rsidP="00C02B59">
            <w:pPr>
              <w:spacing w:after="0" w:line="240" w:lineRule="auto"/>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Council of Ministers Decision for a new School Evaluation system and </w:t>
            </w:r>
            <w:r w:rsidRPr="00D1795B">
              <w:rPr>
                <w:rFonts w:ascii="Times New Roman" w:eastAsia="Times New Roman" w:hAnsi="Times New Roman" w:cs="Times New Roman"/>
                <w:noProof/>
                <w:sz w:val="18"/>
                <w:szCs w:val="18"/>
              </w:rPr>
              <w:t>entry into force of the legal act(s) concerning the formative evaluation of teachers and the establishment of Committee(s).</w:t>
            </w:r>
          </w:p>
        </w:tc>
      </w:tr>
      <w:tr w:rsidR="00C02B59" w:rsidRPr="00D1795B" w14:paraId="1887ED30" w14:textId="77777777" w:rsidTr="6B29DC81">
        <w:trPr>
          <w:trHeight w:val="300"/>
          <w:jc w:val="center"/>
        </w:trPr>
        <w:tc>
          <w:tcPr>
            <w:tcW w:w="1129" w:type="dxa"/>
            <w:shd w:val="clear" w:color="auto" w:fill="C1F0C7" w:themeFill="accent3" w:themeFillTint="33"/>
            <w:noWrap/>
            <w:hideMark/>
          </w:tcPr>
          <w:p w14:paraId="1887ED2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243</w:t>
            </w:r>
          </w:p>
        </w:tc>
        <w:tc>
          <w:tcPr>
            <w:tcW w:w="1560" w:type="dxa"/>
            <w:shd w:val="clear" w:color="auto" w:fill="C1F0C7" w:themeFill="accent3" w:themeFillTint="33"/>
            <w:noWrap/>
            <w:hideMark/>
          </w:tcPr>
          <w:p w14:paraId="1887ED2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C5.1R3</w:t>
            </w:r>
          </w:p>
          <w:p w14:paraId="1887ED2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Gradual extension of free compulsory pre-primary education from the age of four </w:t>
            </w:r>
          </w:p>
        </w:tc>
        <w:tc>
          <w:tcPr>
            <w:tcW w:w="1237" w:type="dxa"/>
            <w:shd w:val="clear" w:color="auto" w:fill="C1F0C7" w:themeFill="accent3" w:themeFillTint="33"/>
            <w:noWrap/>
            <w:hideMark/>
          </w:tcPr>
          <w:p w14:paraId="1887ED2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23" w:type="dxa"/>
            <w:shd w:val="clear" w:color="auto" w:fill="C1F0C7" w:themeFill="accent3" w:themeFillTint="33"/>
            <w:noWrap/>
            <w:hideMark/>
          </w:tcPr>
          <w:p w14:paraId="1887ED2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new Law regarding the gradual extension of free compulsory pre-primary education from the age of four years and adoption of aid schemes by the Council of Ministers</w:t>
            </w:r>
          </w:p>
        </w:tc>
        <w:tc>
          <w:tcPr>
            <w:tcW w:w="1558" w:type="dxa"/>
            <w:shd w:val="clear" w:color="auto" w:fill="C1F0C7" w:themeFill="accent3" w:themeFillTint="33"/>
            <w:noWrap/>
            <w:hideMark/>
          </w:tcPr>
          <w:p w14:paraId="1887ED2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Provision in the law(s) indicating the entry into force of the law(s)</w:t>
            </w:r>
          </w:p>
        </w:tc>
        <w:tc>
          <w:tcPr>
            <w:tcW w:w="1130" w:type="dxa"/>
            <w:shd w:val="clear" w:color="auto" w:fill="C1F0C7" w:themeFill="accent3" w:themeFillTint="33"/>
            <w:noWrap/>
            <w:hideMark/>
          </w:tcPr>
          <w:p w14:paraId="1887ED2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1F0C7" w:themeFill="accent3" w:themeFillTint="33"/>
            <w:noWrap/>
            <w:hideMark/>
          </w:tcPr>
          <w:p w14:paraId="1887ED2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80" w:type="dxa"/>
            <w:shd w:val="clear" w:color="auto" w:fill="C1F0C7" w:themeFill="accent3" w:themeFillTint="33"/>
            <w:noWrap/>
            <w:hideMark/>
          </w:tcPr>
          <w:p w14:paraId="1887ED2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885" w:type="dxa"/>
            <w:shd w:val="clear" w:color="auto" w:fill="C1F0C7" w:themeFill="accent3" w:themeFillTint="33"/>
            <w:noWrap/>
            <w:hideMark/>
          </w:tcPr>
          <w:p w14:paraId="1887ED2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92" w:type="dxa"/>
            <w:shd w:val="clear" w:color="auto" w:fill="C1F0C7" w:themeFill="accent3" w:themeFillTint="33"/>
            <w:noWrap/>
            <w:hideMark/>
          </w:tcPr>
          <w:p w14:paraId="1887ED2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3227" w:type="dxa"/>
            <w:shd w:val="clear" w:color="auto" w:fill="C1F0C7" w:themeFill="accent3" w:themeFillTint="33"/>
            <w:noWrap/>
            <w:hideMark/>
          </w:tcPr>
          <w:p w14:paraId="1887ED2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Style w:val="ui-provider"/>
                <w:rFonts w:ascii="Times New Roman" w:hAnsi="Times New Roman" w:cs="Times New Roman"/>
                <w:noProof/>
                <w:sz w:val="18"/>
                <w:szCs w:val="18"/>
              </w:rPr>
              <w:t xml:space="preserve">Entry into force of the Law which shall gradually (starting in the academic year 2024-2025 until academic year 2032-2033) reduce the entry age in free compulsory pre-primary education from the age of four years and eight months to four years. Adoption by the Council of Ministers of aid schemes to (a) cover tuition fees for the free compulsory pre-primary education in communal kindergartens, for children that cannot be enrolled in public kindergartens, and (b) subsidise tuition fees in private and communal kindergartens and nurseries, for the enrolment of children aged under the entry level of compulsory pre-primary education and above the age of four. </w:t>
            </w:r>
          </w:p>
        </w:tc>
      </w:tr>
      <w:tr w:rsidR="00C02B59" w:rsidRPr="00D1795B" w14:paraId="1887ED3E" w14:textId="77777777" w:rsidTr="6B29DC81">
        <w:trPr>
          <w:trHeight w:val="300"/>
          <w:jc w:val="center"/>
        </w:trPr>
        <w:tc>
          <w:tcPr>
            <w:tcW w:w="1129" w:type="dxa"/>
            <w:shd w:val="clear" w:color="auto" w:fill="C1F0C7" w:themeFill="accent3" w:themeFillTint="33"/>
            <w:noWrap/>
            <w:hideMark/>
          </w:tcPr>
          <w:p w14:paraId="1887ED3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244</w:t>
            </w:r>
          </w:p>
        </w:tc>
        <w:tc>
          <w:tcPr>
            <w:tcW w:w="1560" w:type="dxa"/>
            <w:shd w:val="clear" w:color="auto" w:fill="C1F0C7" w:themeFill="accent3" w:themeFillTint="33"/>
            <w:noWrap/>
            <w:hideMark/>
          </w:tcPr>
          <w:p w14:paraId="1887ED3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C5.1R3</w:t>
            </w:r>
          </w:p>
          <w:p w14:paraId="1887ED3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Gradual extension of free compulsory pre-primary education from the age of four </w:t>
            </w:r>
          </w:p>
        </w:tc>
        <w:tc>
          <w:tcPr>
            <w:tcW w:w="1237" w:type="dxa"/>
            <w:shd w:val="clear" w:color="auto" w:fill="C1F0C7" w:themeFill="accent3" w:themeFillTint="33"/>
            <w:noWrap/>
            <w:hideMark/>
          </w:tcPr>
          <w:p w14:paraId="1887ED3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423" w:type="dxa"/>
            <w:shd w:val="clear" w:color="auto" w:fill="C1F0C7" w:themeFill="accent3" w:themeFillTint="33"/>
            <w:noWrap/>
            <w:hideMark/>
          </w:tcPr>
          <w:p w14:paraId="1887ED3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Children aged between 4 years and 4 years and 8 months enrolled in public, communal or private kindergartens</w:t>
            </w:r>
          </w:p>
        </w:tc>
        <w:tc>
          <w:tcPr>
            <w:tcW w:w="1558" w:type="dxa"/>
            <w:shd w:val="clear" w:color="auto" w:fill="C1F0C7" w:themeFill="accent3" w:themeFillTint="33"/>
            <w:noWrap/>
            <w:hideMark/>
          </w:tcPr>
          <w:p w14:paraId="1887ED3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w:t>
            </w:r>
          </w:p>
        </w:tc>
        <w:tc>
          <w:tcPr>
            <w:tcW w:w="1130" w:type="dxa"/>
            <w:shd w:val="clear" w:color="auto" w:fill="C1F0C7" w:themeFill="accent3" w:themeFillTint="33"/>
            <w:noWrap/>
            <w:hideMark/>
          </w:tcPr>
          <w:p w14:paraId="1887ED3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2" w:type="dxa"/>
            <w:shd w:val="clear" w:color="auto" w:fill="C1F0C7" w:themeFill="accent3" w:themeFillTint="33"/>
            <w:noWrap/>
            <w:hideMark/>
          </w:tcPr>
          <w:p w14:paraId="1887ED3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80" w:type="dxa"/>
            <w:shd w:val="clear" w:color="auto" w:fill="C1F0C7" w:themeFill="accent3" w:themeFillTint="33"/>
            <w:noWrap/>
            <w:hideMark/>
          </w:tcPr>
          <w:p w14:paraId="1887ED3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4 800</w:t>
            </w:r>
          </w:p>
        </w:tc>
        <w:tc>
          <w:tcPr>
            <w:tcW w:w="885" w:type="dxa"/>
            <w:shd w:val="clear" w:color="auto" w:fill="C1F0C7" w:themeFill="accent3" w:themeFillTint="33"/>
            <w:noWrap/>
            <w:hideMark/>
          </w:tcPr>
          <w:p w14:paraId="1887ED3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92" w:type="dxa"/>
            <w:shd w:val="clear" w:color="auto" w:fill="C1F0C7" w:themeFill="accent3" w:themeFillTint="33"/>
            <w:noWrap/>
            <w:hideMark/>
          </w:tcPr>
          <w:p w14:paraId="1887ED3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227" w:type="dxa"/>
            <w:shd w:val="clear" w:color="auto" w:fill="C1F0C7" w:themeFill="accent3" w:themeFillTint="33"/>
            <w:noWrap/>
            <w:hideMark/>
          </w:tcPr>
          <w:p w14:paraId="1887ED3D" w14:textId="4685F535" w:rsidR="00C02B59" w:rsidRPr="00D1795B" w:rsidRDefault="00C02B59" w:rsidP="003B4937">
            <w:pPr>
              <w:spacing w:after="0" w:line="240" w:lineRule="auto"/>
              <w:jc w:val="both"/>
              <w:rPr>
                <w:rStyle w:val="ui-provider"/>
                <w:rFonts w:ascii="Times New Roman" w:hAnsi="Times New Roman" w:cs="Times New Roman"/>
                <w:noProof/>
                <w:sz w:val="18"/>
                <w:szCs w:val="18"/>
              </w:rPr>
            </w:pPr>
            <w:r w:rsidRPr="00D1795B">
              <w:rPr>
                <w:rStyle w:val="ui-provider"/>
                <w:rFonts w:ascii="Times New Roman" w:hAnsi="Times New Roman" w:cs="Times New Roman"/>
                <w:noProof/>
                <w:sz w:val="18"/>
                <w:szCs w:val="18"/>
              </w:rPr>
              <w:t xml:space="preserve">At least 4 800 children aged between 4 years and 4 years and 8 months are enrolled in public, communal </w:t>
            </w:r>
            <w:r w:rsidRPr="00D1795B">
              <w:rPr>
                <w:rStyle w:val="ui-provider"/>
                <w:rFonts w:ascii="Times New Roman" w:eastAsia="Times New Roman" w:hAnsi="Times New Roman" w:cs="Times New Roman"/>
                <w:noProof/>
                <w:sz w:val="18"/>
                <w:szCs w:val="18"/>
              </w:rPr>
              <w:t xml:space="preserve">or </w:t>
            </w:r>
            <w:r w:rsidRPr="00D1795B">
              <w:rPr>
                <w:rStyle w:val="ui-provider"/>
                <w:rFonts w:ascii="Times New Roman" w:hAnsi="Times New Roman" w:cs="Times New Roman"/>
                <w:noProof/>
                <w:sz w:val="18"/>
                <w:szCs w:val="18"/>
              </w:rPr>
              <w:t>private kindergartens, or nurseries.</w:t>
            </w:r>
          </w:p>
        </w:tc>
      </w:tr>
      <w:tr w:rsidR="00C02B59" w:rsidRPr="00D1795B" w14:paraId="1887ED4C" w14:textId="77777777" w:rsidTr="6B29DC81">
        <w:trPr>
          <w:trHeight w:val="300"/>
          <w:jc w:val="center"/>
        </w:trPr>
        <w:tc>
          <w:tcPr>
            <w:tcW w:w="1129" w:type="dxa"/>
            <w:shd w:val="clear" w:color="auto" w:fill="C1F0C7" w:themeFill="accent3" w:themeFillTint="33"/>
            <w:noWrap/>
            <w:hideMark/>
          </w:tcPr>
          <w:p w14:paraId="1887ED3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245</w:t>
            </w:r>
          </w:p>
        </w:tc>
        <w:tc>
          <w:tcPr>
            <w:tcW w:w="1560" w:type="dxa"/>
            <w:shd w:val="clear" w:color="auto" w:fill="C1F0C7" w:themeFill="accent3" w:themeFillTint="33"/>
            <w:noWrap/>
            <w:hideMark/>
          </w:tcPr>
          <w:p w14:paraId="1887ED4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C5.1R3</w:t>
            </w:r>
          </w:p>
          <w:p w14:paraId="1887ED4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Gradual extension of free compulsory pre-primary education from the age of four</w:t>
            </w:r>
          </w:p>
        </w:tc>
        <w:tc>
          <w:tcPr>
            <w:tcW w:w="1237" w:type="dxa"/>
            <w:shd w:val="clear" w:color="auto" w:fill="C1F0C7" w:themeFill="accent3" w:themeFillTint="33"/>
            <w:noWrap/>
            <w:hideMark/>
          </w:tcPr>
          <w:p w14:paraId="1887ED4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423" w:type="dxa"/>
            <w:shd w:val="clear" w:color="auto" w:fill="C1F0C7" w:themeFill="accent3" w:themeFillTint="33"/>
            <w:noWrap/>
            <w:hideMark/>
          </w:tcPr>
          <w:p w14:paraId="1887ED4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New places in new or extended public kindergartens</w:t>
            </w:r>
          </w:p>
        </w:tc>
        <w:tc>
          <w:tcPr>
            <w:tcW w:w="1558" w:type="dxa"/>
            <w:shd w:val="clear" w:color="auto" w:fill="C1F0C7" w:themeFill="accent3" w:themeFillTint="33"/>
            <w:noWrap/>
            <w:hideMark/>
          </w:tcPr>
          <w:p w14:paraId="1887ED4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w:t>
            </w:r>
          </w:p>
        </w:tc>
        <w:tc>
          <w:tcPr>
            <w:tcW w:w="1130" w:type="dxa"/>
            <w:shd w:val="clear" w:color="auto" w:fill="C1F0C7" w:themeFill="accent3" w:themeFillTint="33"/>
            <w:noWrap/>
            <w:hideMark/>
          </w:tcPr>
          <w:p w14:paraId="1887ED4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2" w:type="dxa"/>
            <w:shd w:val="clear" w:color="auto" w:fill="C1F0C7" w:themeFill="accent3" w:themeFillTint="33"/>
            <w:noWrap/>
            <w:hideMark/>
          </w:tcPr>
          <w:p w14:paraId="1887ED4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80" w:type="dxa"/>
            <w:shd w:val="clear" w:color="auto" w:fill="C1F0C7" w:themeFill="accent3" w:themeFillTint="33"/>
            <w:noWrap/>
            <w:hideMark/>
          </w:tcPr>
          <w:p w14:paraId="1887ED4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675 new places in public kindergartens</w:t>
            </w:r>
          </w:p>
        </w:tc>
        <w:tc>
          <w:tcPr>
            <w:tcW w:w="885" w:type="dxa"/>
            <w:shd w:val="clear" w:color="auto" w:fill="C1F0C7" w:themeFill="accent3" w:themeFillTint="33"/>
            <w:noWrap/>
            <w:hideMark/>
          </w:tcPr>
          <w:p w14:paraId="1887ED4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92" w:type="dxa"/>
            <w:shd w:val="clear" w:color="auto" w:fill="C1F0C7" w:themeFill="accent3" w:themeFillTint="33"/>
            <w:noWrap/>
            <w:hideMark/>
          </w:tcPr>
          <w:p w14:paraId="1887ED4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227" w:type="dxa"/>
            <w:shd w:val="clear" w:color="auto" w:fill="C1F0C7" w:themeFill="accent3" w:themeFillTint="33"/>
            <w:noWrap/>
            <w:hideMark/>
          </w:tcPr>
          <w:p w14:paraId="1887ED4B" w14:textId="1692549F" w:rsidR="00C02B59" w:rsidRPr="00D1795B" w:rsidRDefault="00C02B59" w:rsidP="003B4937">
            <w:pPr>
              <w:jc w:val="both"/>
              <w:rPr>
                <w:rFonts w:ascii="Times New Roman" w:hAnsi="Times New Roman" w:cs="Times New Roman"/>
                <w:noProof/>
                <w:sz w:val="18"/>
                <w:szCs w:val="18"/>
              </w:rPr>
            </w:pPr>
            <w:r w:rsidRPr="00D1795B">
              <w:rPr>
                <w:rStyle w:val="ui-provider"/>
                <w:rFonts w:ascii="Times New Roman" w:hAnsi="Times New Roman" w:cs="Times New Roman"/>
                <w:noProof/>
                <w:sz w:val="18"/>
                <w:szCs w:val="18"/>
              </w:rPr>
              <w:t>At least 675 new places in public kindergartens</w:t>
            </w:r>
            <w:r w:rsidR="003B4937">
              <w:rPr>
                <w:rStyle w:val="ui-provider"/>
                <w:rFonts w:ascii="Times New Roman" w:hAnsi="Times New Roman" w:cs="Times New Roman"/>
                <w:noProof/>
                <w:sz w:val="18"/>
                <w:szCs w:val="18"/>
              </w:rPr>
              <w:t>.</w:t>
            </w:r>
            <w:r w:rsidRPr="00D1795B">
              <w:rPr>
                <w:rStyle w:val="ui-provider"/>
                <w:rFonts w:ascii="Times New Roman" w:hAnsi="Times New Roman" w:cs="Times New Roman"/>
                <w:noProof/>
                <w:sz w:val="18"/>
                <w:szCs w:val="18"/>
              </w:rPr>
              <w:t xml:space="preserve"> </w:t>
            </w:r>
          </w:p>
        </w:tc>
      </w:tr>
      <w:tr w:rsidR="00C02B59" w:rsidRPr="00D1795B" w14:paraId="1887ED5A" w14:textId="77777777" w:rsidTr="6B29DC81">
        <w:trPr>
          <w:trHeight w:val="300"/>
          <w:jc w:val="center"/>
        </w:trPr>
        <w:tc>
          <w:tcPr>
            <w:tcW w:w="1129" w:type="dxa"/>
            <w:shd w:val="clear" w:color="auto" w:fill="C1F0C7" w:themeFill="accent3" w:themeFillTint="33"/>
            <w:noWrap/>
            <w:hideMark/>
          </w:tcPr>
          <w:p w14:paraId="1887ED4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246a</w:t>
            </w:r>
          </w:p>
        </w:tc>
        <w:tc>
          <w:tcPr>
            <w:tcW w:w="1560" w:type="dxa"/>
            <w:shd w:val="clear" w:color="auto" w:fill="C1F0C7" w:themeFill="accent3" w:themeFillTint="33"/>
            <w:noWrap/>
            <w:hideMark/>
          </w:tcPr>
          <w:p w14:paraId="1887ED4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C5.1R4</w:t>
            </w:r>
          </w:p>
          <w:p w14:paraId="1887ED4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 transformation of school units with the aim of supporting digital skills and skills related to STEM education</w:t>
            </w:r>
          </w:p>
          <w:p w14:paraId="1887ED50" w14:textId="77777777" w:rsidR="00C02B59" w:rsidRPr="00D1795B" w:rsidRDefault="00C02B59" w:rsidP="00C02B59">
            <w:pPr>
              <w:spacing w:after="0" w:line="240" w:lineRule="auto"/>
              <w:rPr>
                <w:rFonts w:ascii="Times New Roman" w:hAnsi="Times New Roman" w:cs="Times New Roman"/>
                <w:noProof/>
                <w:sz w:val="18"/>
                <w:szCs w:val="18"/>
              </w:rPr>
            </w:pPr>
          </w:p>
        </w:tc>
        <w:tc>
          <w:tcPr>
            <w:tcW w:w="1237" w:type="dxa"/>
            <w:shd w:val="clear" w:color="auto" w:fill="C1F0C7" w:themeFill="accent3" w:themeFillTint="33"/>
            <w:noWrap/>
            <w:hideMark/>
          </w:tcPr>
          <w:p w14:paraId="1887ED5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423" w:type="dxa"/>
            <w:shd w:val="clear" w:color="auto" w:fill="C1F0C7" w:themeFill="accent3" w:themeFillTint="33"/>
            <w:noWrap/>
            <w:hideMark/>
          </w:tcPr>
          <w:p w14:paraId="1887ED5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Classrooms digitally equipped </w:t>
            </w:r>
          </w:p>
        </w:tc>
        <w:tc>
          <w:tcPr>
            <w:tcW w:w="1558" w:type="dxa"/>
            <w:shd w:val="clear" w:color="auto" w:fill="C1F0C7" w:themeFill="accent3" w:themeFillTint="33"/>
            <w:noWrap/>
            <w:hideMark/>
          </w:tcPr>
          <w:p w14:paraId="1887ED5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w:t>
            </w:r>
          </w:p>
        </w:tc>
        <w:tc>
          <w:tcPr>
            <w:tcW w:w="1130" w:type="dxa"/>
            <w:shd w:val="clear" w:color="auto" w:fill="C1F0C7" w:themeFill="accent3" w:themeFillTint="33"/>
            <w:noWrap/>
            <w:hideMark/>
          </w:tcPr>
          <w:p w14:paraId="1887ED5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2" w:type="dxa"/>
            <w:shd w:val="clear" w:color="auto" w:fill="C1F0C7" w:themeFill="accent3" w:themeFillTint="33"/>
            <w:noWrap/>
            <w:hideMark/>
          </w:tcPr>
          <w:p w14:paraId="1887ED5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80" w:type="dxa"/>
            <w:shd w:val="clear" w:color="auto" w:fill="C1F0C7" w:themeFill="accent3" w:themeFillTint="33"/>
            <w:noWrap/>
            <w:hideMark/>
          </w:tcPr>
          <w:p w14:paraId="1887ED5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700</w:t>
            </w:r>
          </w:p>
        </w:tc>
        <w:tc>
          <w:tcPr>
            <w:tcW w:w="885" w:type="dxa"/>
            <w:shd w:val="clear" w:color="auto" w:fill="C1F0C7" w:themeFill="accent3" w:themeFillTint="33"/>
            <w:noWrap/>
            <w:hideMark/>
          </w:tcPr>
          <w:p w14:paraId="1887ED5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92" w:type="dxa"/>
            <w:shd w:val="clear" w:color="auto" w:fill="C1F0C7" w:themeFill="accent3" w:themeFillTint="33"/>
            <w:noWrap/>
            <w:hideMark/>
          </w:tcPr>
          <w:p w14:paraId="1887ED5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227" w:type="dxa"/>
            <w:shd w:val="clear" w:color="auto" w:fill="C1F0C7" w:themeFill="accent3" w:themeFillTint="33"/>
            <w:noWrap/>
            <w:hideMark/>
          </w:tcPr>
          <w:p w14:paraId="1887ED59"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Classrooms in at least 700 schools have been digitally equipped with, for example, laptops, projectors, microphones, speakers, digital graphic boards, cameras, and TVs.</w:t>
            </w:r>
          </w:p>
        </w:tc>
      </w:tr>
      <w:tr w:rsidR="00C02B59" w:rsidRPr="00D1795B" w14:paraId="1887ED67" w14:textId="77777777" w:rsidTr="6B29DC81">
        <w:trPr>
          <w:trHeight w:val="300"/>
          <w:jc w:val="center"/>
        </w:trPr>
        <w:tc>
          <w:tcPr>
            <w:tcW w:w="1129" w:type="dxa"/>
            <w:shd w:val="clear" w:color="auto" w:fill="C1F0C7" w:themeFill="accent3" w:themeFillTint="33"/>
            <w:noWrap/>
          </w:tcPr>
          <w:p w14:paraId="1887ED5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246b</w:t>
            </w:r>
          </w:p>
        </w:tc>
        <w:tc>
          <w:tcPr>
            <w:tcW w:w="1560" w:type="dxa"/>
            <w:shd w:val="clear" w:color="auto" w:fill="C1F0C7" w:themeFill="accent3" w:themeFillTint="33"/>
            <w:noWrap/>
          </w:tcPr>
          <w:p w14:paraId="1887ED5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C5.1R4</w:t>
            </w:r>
          </w:p>
          <w:p w14:paraId="1887ED5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 transformation of school units with the aim of supporting digital skills and skills related to STEM education</w:t>
            </w:r>
          </w:p>
        </w:tc>
        <w:tc>
          <w:tcPr>
            <w:tcW w:w="1237" w:type="dxa"/>
            <w:shd w:val="clear" w:color="auto" w:fill="C1F0C7" w:themeFill="accent3" w:themeFillTint="33"/>
            <w:noWrap/>
          </w:tcPr>
          <w:p w14:paraId="1887ED5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423" w:type="dxa"/>
            <w:shd w:val="clear" w:color="auto" w:fill="C1F0C7" w:themeFill="accent3" w:themeFillTint="33"/>
            <w:noWrap/>
          </w:tcPr>
          <w:p w14:paraId="1887ED5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Support scheme for the digital equipment for pupils</w:t>
            </w:r>
          </w:p>
        </w:tc>
        <w:tc>
          <w:tcPr>
            <w:tcW w:w="1558" w:type="dxa"/>
            <w:shd w:val="clear" w:color="auto" w:fill="C1F0C7" w:themeFill="accent3" w:themeFillTint="33"/>
            <w:noWrap/>
          </w:tcPr>
          <w:p w14:paraId="1887ED6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130" w:type="dxa"/>
            <w:shd w:val="clear" w:color="auto" w:fill="C1F0C7" w:themeFill="accent3" w:themeFillTint="33"/>
            <w:noWrap/>
          </w:tcPr>
          <w:p w14:paraId="1887ED6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2" w:type="dxa"/>
            <w:shd w:val="clear" w:color="auto" w:fill="C1F0C7" w:themeFill="accent3" w:themeFillTint="33"/>
            <w:noWrap/>
          </w:tcPr>
          <w:p w14:paraId="1887ED6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80" w:type="dxa"/>
            <w:shd w:val="clear" w:color="auto" w:fill="C1F0C7" w:themeFill="accent3" w:themeFillTint="33"/>
            <w:noWrap/>
          </w:tcPr>
          <w:p w14:paraId="1887ED6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15 000</w:t>
            </w:r>
          </w:p>
        </w:tc>
        <w:tc>
          <w:tcPr>
            <w:tcW w:w="885" w:type="dxa"/>
            <w:shd w:val="clear" w:color="auto" w:fill="C1F0C7" w:themeFill="accent3" w:themeFillTint="33"/>
            <w:noWrap/>
          </w:tcPr>
          <w:p w14:paraId="1887ED6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92" w:type="dxa"/>
            <w:shd w:val="clear" w:color="auto" w:fill="C1F0C7" w:themeFill="accent3" w:themeFillTint="33"/>
            <w:noWrap/>
          </w:tcPr>
          <w:p w14:paraId="1887ED6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227" w:type="dxa"/>
            <w:shd w:val="clear" w:color="auto" w:fill="C1F0C7" w:themeFill="accent3" w:themeFillTint="33"/>
            <w:noWrap/>
          </w:tcPr>
          <w:p w14:paraId="1887ED66"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Supply or financial support for the purchase of digital equipment to 15 000 students. </w:t>
            </w:r>
          </w:p>
        </w:tc>
      </w:tr>
      <w:tr w:rsidR="00C02B59" w:rsidRPr="00D1795B" w14:paraId="1887ED7C" w14:textId="77777777" w:rsidTr="6B29DC81">
        <w:trPr>
          <w:trHeight w:val="990"/>
          <w:jc w:val="center"/>
        </w:trPr>
        <w:tc>
          <w:tcPr>
            <w:tcW w:w="1129" w:type="dxa"/>
            <w:shd w:val="clear" w:color="auto" w:fill="C1F0C7" w:themeFill="accent3" w:themeFillTint="33"/>
            <w:noWrap/>
            <w:hideMark/>
          </w:tcPr>
          <w:p w14:paraId="1887ED6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249</w:t>
            </w:r>
          </w:p>
        </w:tc>
        <w:tc>
          <w:tcPr>
            <w:tcW w:w="1560" w:type="dxa"/>
            <w:shd w:val="clear" w:color="auto" w:fill="C1F0C7" w:themeFill="accent3" w:themeFillTint="33"/>
            <w:noWrap/>
            <w:hideMark/>
          </w:tcPr>
          <w:p w14:paraId="1887ED6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C5.1R5</w:t>
            </w:r>
          </w:p>
          <w:p w14:paraId="1887ED6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E-skills Action Plan – Implementation of specific actions</w:t>
            </w:r>
          </w:p>
        </w:tc>
        <w:tc>
          <w:tcPr>
            <w:tcW w:w="1237" w:type="dxa"/>
            <w:shd w:val="clear" w:color="auto" w:fill="C1F0C7" w:themeFill="accent3" w:themeFillTint="33"/>
            <w:noWrap/>
            <w:hideMark/>
          </w:tcPr>
          <w:p w14:paraId="1887ED6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23" w:type="dxa"/>
            <w:shd w:val="clear" w:color="auto" w:fill="C1F0C7" w:themeFill="accent3" w:themeFillTint="33"/>
            <w:noWrap/>
            <w:hideMark/>
          </w:tcPr>
          <w:p w14:paraId="1887ED6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National e-Skills Action Plan is adopted by the Council of Ministers </w:t>
            </w:r>
          </w:p>
        </w:tc>
        <w:tc>
          <w:tcPr>
            <w:tcW w:w="1558" w:type="dxa"/>
            <w:shd w:val="clear" w:color="auto" w:fill="C1F0C7" w:themeFill="accent3" w:themeFillTint="33"/>
            <w:noWrap/>
            <w:hideMark/>
          </w:tcPr>
          <w:p w14:paraId="1887ED6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National e-</w:t>
            </w:r>
          </w:p>
          <w:p w14:paraId="1887ED6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Skills Action Plan is adopted by the Council of Ministers </w:t>
            </w:r>
          </w:p>
          <w:p w14:paraId="1887ED6F" w14:textId="77777777" w:rsidR="00C02B59" w:rsidRPr="00D1795B" w:rsidRDefault="00C02B59" w:rsidP="00C02B59">
            <w:pPr>
              <w:spacing w:after="0" w:line="240" w:lineRule="auto"/>
              <w:rPr>
                <w:rFonts w:ascii="Times New Roman" w:hAnsi="Times New Roman" w:cs="Times New Roman"/>
                <w:noProof/>
                <w:sz w:val="18"/>
                <w:szCs w:val="18"/>
              </w:rPr>
            </w:pPr>
          </w:p>
        </w:tc>
        <w:tc>
          <w:tcPr>
            <w:tcW w:w="1130" w:type="dxa"/>
            <w:shd w:val="clear" w:color="auto" w:fill="C1F0C7" w:themeFill="accent3" w:themeFillTint="33"/>
            <w:noWrap/>
            <w:hideMark/>
          </w:tcPr>
          <w:p w14:paraId="1887ED70"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992" w:type="dxa"/>
            <w:shd w:val="clear" w:color="auto" w:fill="C1F0C7" w:themeFill="accent3" w:themeFillTint="33"/>
            <w:noWrap/>
            <w:hideMark/>
          </w:tcPr>
          <w:p w14:paraId="1887ED71"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1280" w:type="dxa"/>
            <w:shd w:val="clear" w:color="auto" w:fill="C1F0C7" w:themeFill="accent3" w:themeFillTint="33"/>
            <w:noWrap/>
            <w:hideMark/>
          </w:tcPr>
          <w:p w14:paraId="1887ED72"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885" w:type="dxa"/>
            <w:shd w:val="clear" w:color="auto" w:fill="C1F0C7" w:themeFill="accent3" w:themeFillTint="33"/>
            <w:noWrap/>
            <w:hideMark/>
          </w:tcPr>
          <w:p w14:paraId="1887ED7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92" w:type="dxa"/>
            <w:shd w:val="clear" w:color="auto" w:fill="C1F0C7" w:themeFill="accent3" w:themeFillTint="33"/>
            <w:noWrap/>
            <w:hideMark/>
          </w:tcPr>
          <w:p w14:paraId="1887ED7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2021</w:t>
            </w:r>
          </w:p>
        </w:tc>
        <w:tc>
          <w:tcPr>
            <w:tcW w:w="3227" w:type="dxa"/>
            <w:shd w:val="clear" w:color="auto" w:fill="C1F0C7" w:themeFill="accent3" w:themeFillTint="33"/>
            <w:noWrap/>
            <w:hideMark/>
          </w:tcPr>
          <w:p w14:paraId="1887ED75"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National e-Skills Action Plan is adopted by the Council of Ministers, which shall include at least:</w:t>
            </w:r>
          </w:p>
          <w:p w14:paraId="1887ED76"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 development of an e-learning platform, containing a </w:t>
            </w:r>
          </w:p>
          <w:p w14:paraId="1887ED77"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self-assessment tool for digital fitness, index of all available skilling programmes, </w:t>
            </w:r>
          </w:p>
          <w:p w14:paraId="1887ED78"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and content material on digital skills and cross-sectoral competences.</w:t>
            </w:r>
          </w:p>
          <w:p w14:paraId="1887ED79"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 design and delivery of programmes and interventions for professionals within the </w:t>
            </w:r>
          </w:p>
          <w:p w14:paraId="1887ED7A"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public sector in areas such as Project management, Microsoft tools, cybersecurity, social media, e-collaboration and productivity tools;</w:t>
            </w:r>
          </w:p>
          <w:p w14:paraId="1887ED7B"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investment in digital infrastructure.</w:t>
            </w:r>
          </w:p>
        </w:tc>
      </w:tr>
      <w:tr w:rsidR="00C02B59" w:rsidRPr="00D1795B" w14:paraId="1887ED8C" w14:textId="77777777" w:rsidTr="6B29DC81">
        <w:trPr>
          <w:trHeight w:val="300"/>
          <w:jc w:val="center"/>
        </w:trPr>
        <w:tc>
          <w:tcPr>
            <w:tcW w:w="1129" w:type="dxa"/>
            <w:shd w:val="clear" w:color="auto" w:fill="C1F0C7" w:themeFill="accent3" w:themeFillTint="33"/>
            <w:noWrap/>
            <w:hideMark/>
          </w:tcPr>
          <w:p w14:paraId="1887ED7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250</w:t>
            </w:r>
          </w:p>
        </w:tc>
        <w:tc>
          <w:tcPr>
            <w:tcW w:w="1560" w:type="dxa"/>
            <w:shd w:val="clear" w:color="auto" w:fill="C1F0C7" w:themeFill="accent3" w:themeFillTint="33"/>
            <w:noWrap/>
            <w:hideMark/>
          </w:tcPr>
          <w:p w14:paraId="1887ED7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C5.1R5</w:t>
            </w:r>
          </w:p>
          <w:p w14:paraId="1887ED7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E-skills Action Plan – Delivery of specific actions</w:t>
            </w:r>
          </w:p>
        </w:tc>
        <w:tc>
          <w:tcPr>
            <w:tcW w:w="1237" w:type="dxa"/>
            <w:shd w:val="clear" w:color="auto" w:fill="C1F0C7" w:themeFill="accent3" w:themeFillTint="33"/>
            <w:noWrap/>
            <w:hideMark/>
          </w:tcPr>
          <w:p w14:paraId="1887ED8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23" w:type="dxa"/>
            <w:shd w:val="clear" w:color="auto" w:fill="C1F0C7" w:themeFill="accent3" w:themeFillTint="33"/>
            <w:noWrap/>
            <w:hideMark/>
          </w:tcPr>
          <w:p w14:paraId="1887ED8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Measures related to the e-Skills Action Plan </w:t>
            </w:r>
          </w:p>
        </w:tc>
        <w:tc>
          <w:tcPr>
            <w:tcW w:w="1558" w:type="dxa"/>
            <w:shd w:val="clear" w:color="auto" w:fill="C1F0C7" w:themeFill="accent3" w:themeFillTint="33"/>
            <w:noWrap/>
            <w:hideMark/>
          </w:tcPr>
          <w:p w14:paraId="1887ED8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Programmes organised, approval of a communication plan</w:t>
            </w:r>
          </w:p>
          <w:p w14:paraId="1887ED83" w14:textId="77777777" w:rsidR="00C02B59" w:rsidRPr="00D1795B" w:rsidRDefault="00C02B59" w:rsidP="00C02B59">
            <w:pPr>
              <w:spacing w:after="0" w:line="240" w:lineRule="auto"/>
              <w:rPr>
                <w:rFonts w:ascii="Times New Roman" w:hAnsi="Times New Roman" w:cs="Times New Roman"/>
                <w:noProof/>
                <w:sz w:val="18"/>
                <w:szCs w:val="18"/>
              </w:rPr>
            </w:pPr>
          </w:p>
        </w:tc>
        <w:tc>
          <w:tcPr>
            <w:tcW w:w="1130" w:type="dxa"/>
            <w:shd w:val="clear" w:color="auto" w:fill="C1F0C7" w:themeFill="accent3" w:themeFillTint="33"/>
            <w:noWrap/>
            <w:hideMark/>
          </w:tcPr>
          <w:p w14:paraId="1887ED8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1F0C7" w:themeFill="accent3" w:themeFillTint="33"/>
            <w:noWrap/>
            <w:hideMark/>
          </w:tcPr>
          <w:p w14:paraId="1887ED8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80" w:type="dxa"/>
            <w:shd w:val="clear" w:color="auto" w:fill="C1F0C7" w:themeFill="accent3" w:themeFillTint="33"/>
            <w:noWrap/>
            <w:hideMark/>
          </w:tcPr>
          <w:p w14:paraId="1887ED8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885" w:type="dxa"/>
            <w:shd w:val="clear" w:color="auto" w:fill="C1F0C7" w:themeFill="accent3" w:themeFillTint="33"/>
            <w:noWrap/>
            <w:hideMark/>
          </w:tcPr>
          <w:p w14:paraId="1887ED8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92" w:type="dxa"/>
            <w:shd w:val="clear" w:color="auto" w:fill="C1F0C7" w:themeFill="accent3" w:themeFillTint="33"/>
            <w:noWrap/>
            <w:hideMark/>
          </w:tcPr>
          <w:p w14:paraId="1887ED8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227" w:type="dxa"/>
            <w:shd w:val="clear" w:color="auto" w:fill="C1F0C7" w:themeFill="accent3" w:themeFillTint="33"/>
            <w:noWrap/>
            <w:hideMark/>
          </w:tcPr>
          <w:p w14:paraId="1887ED89"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Trainings targeted at public sector employees for digital skills and project management.</w:t>
            </w:r>
          </w:p>
          <w:p w14:paraId="1887ED8A" w14:textId="77777777" w:rsidR="00C02B59" w:rsidRPr="00D1795B" w:rsidRDefault="00C02B59" w:rsidP="00C02B59">
            <w:pPr>
              <w:spacing w:after="0" w:line="240" w:lineRule="auto"/>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Receipt of digital equipment (for example laptops, computers).</w:t>
            </w:r>
          </w:p>
          <w:p w14:paraId="1887ED8B" w14:textId="77777777" w:rsidR="00C02B59" w:rsidRPr="00D1795B" w:rsidRDefault="00C02B59" w:rsidP="00C02B59">
            <w:pPr>
              <w:spacing w:after="0" w:line="240" w:lineRule="auto"/>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 Approval of a communication plan </w:t>
            </w:r>
            <w:r w:rsidRPr="00D1795B">
              <w:rPr>
                <w:rFonts w:ascii="Times New Roman" w:eastAsia="Arial" w:hAnsi="Times New Roman" w:cs="Times New Roman"/>
                <w:noProof/>
                <w:color w:val="000000" w:themeColor="text1"/>
                <w:sz w:val="18"/>
                <w:szCs w:val="18"/>
              </w:rPr>
              <w:t>for the promotion of digital skills.</w:t>
            </w:r>
          </w:p>
        </w:tc>
      </w:tr>
      <w:tr w:rsidR="00C02B59" w:rsidRPr="00D1795B" w14:paraId="1887ED99" w14:textId="77777777" w:rsidTr="6B29DC81">
        <w:trPr>
          <w:trHeight w:val="300"/>
          <w:jc w:val="center"/>
        </w:trPr>
        <w:tc>
          <w:tcPr>
            <w:tcW w:w="1129" w:type="dxa"/>
            <w:shd w:val="clear" w:color="auto" w:fill="C1F0C7" w:themeFill="accent3" w:themeFillTint="33"/>
            <w:noWrap/>
            <w:hideMark/>
          </w:tcPr>
          <w:p w14:paraId="1887ED8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251</w:t>
            </w:r>
          </w:p>
        </w:tc>
        <w:tc>
          <w:tcPr>
            <w:tcW w:w="1560" w:type="dxa"/>
            <w:shd w:val="clear" w:color="auto" w:fill="C1F0C7" w:themeFill="accent3" w:themeFillTint="33"/>
            <w:noWrap/>
            <w:hideMark/>
          </w:tcPr>
          <w:p w14:paraId="1887ED8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C5.1I1</w:t>
            </w:r>
          </w:p>
          <w:p w14:paraId="1887ED8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Construction of one Model Technical School</w:t>
            </w:r>
          </w:p>
        </w:tc>
        <w:tc>
          <w:tcPr>
            <w:tcW w:w="1237" w:type="dxa"/>
            <w:shd w:val="clear" w:color="auto" w:fill="C1F0C7" w:themeFill="accent3" w:themeFillTint="33"/>
            <w:noWrap/>
            <w:hideMark/>
          </w:tcPr>
          <w:p w14:paraId="1887ED9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23" w:type="dxa"/>
            <w:shd w:val="clear" w:color="auto" w:fill="C1F0C7" w:themeFill="accent3" w:themeFillTint="33"/>
            <w:noWrap/>
            <w:hideMark/>
          </w:tcPr>
          <w:p w14:paraId="1887ED9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Contract for the construction of one Technical School </w:t>
            </w:r>
          </w:p>
        </w:tc>
        <w:tc>
          <w:tcPr>
            <w:tcW w:w="1558" w:type="dxa"/>
            <w:shd w:val="clear" w:color="auto" w:fill="C1F0C7" w:themeFill="accent3" w:themeFillTint="33"/>
            <w:noWrap/>
            <w:hideMark/>
          </w:tcPr>
          <w:p w14:paraId="1887ED9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Contract Signature and initiation of construction</w:t>
            </w:r>
          </w:p>
        </w:tc>
        <w:tc>
          <w:tcPr>
            <w:tcW w:w="1130" w:type="dxa"/>
            <w:shd w:val="clear" w:color="auto" w:fill="C1F0C7" w:themeFill="accent3" w:themeFillTint="33"/>
            <w:noWrap/>
            <w:hideMark/>
          </w:tcPr>
          <w:p w14:paraId="1887ED9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1F0C7" w:themeFill="accent3" w:themeFillTint="33"/>
            <w:noWrap/>
            <w:hideMark/>
          </w:tcPr>
          <w:p w14:paraId="1887ED9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280" w:type="dxa"/>
            <w:shd w:val="clear" w:color="auto" w:fill="C1F0C7" w:themeFill="accent3" w:themeFillTint="33"/>
            <w:noWrap/>
            <w:hideMark/>
          </w:tcPr>
          <w:p w14:paraId="1887ED9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885" w:type="dxa"/>
            <w:shd w:val="clear" w:color="auto" w:fill="C1F0C7" w:themeFill="accent3" w:themeFillTint="33"/>
            <w:noWrap/>
            <w:hideMark/>
          </w:tcPr>
          <w:p w14:paraId="1887ED9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92" w:type="dxa"/>
            <w:shd w:val="clear" w:color="auto" w:fill="C1F0C7" w:themeFill="accent3" w:themeFillTint="33"/>
            <w:noWrap/>
            <w:hideMark/>
          </w:tcPr>
          <w:p w14:paraId="1887ED9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3227" w:type="dxa"/>
            <w:shd w:val="clear" w:color="auto" w:fill="C1F0C7" w:themeFill="accent3" w:themeFillTint="33"/>
            <w:noWrap/>
            <w:hideMark/>
          </w:tcPr>
          <w:p w14:paraId="1887ED98"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Signing of a contract with the contractor selected under a competitive call for proposals for the construction of one Technical School in Limassol and issue of construction initiation order by the project Engineer.</w:t>
            </w:r>
          </w:p>
        </w:tc>
      </w:tr>
      <w:tr w:rsidR="00C02B59" w:rsidRPr="00D1795B" w14:paraId="1887EDA6" w14:textId="77777777" w:rsidTr="6B29DC81">
        <w:trPr>
          <w:trHeight w:val="300"/>
          <w:jc w:val="center"/>
        </w:trPr>
        <w:tc>
          <w:tcPr>
            <w:tcW w:w="1129" w:type="dxa"/>
            <w:shd w:val="clear" w:color="auto" w:fill="C1F0C7" w:themeFill="accent3" w:themeFillTint="33"/>
            <w:noWrap/>
          </w:tcPr>
          <w:p w14:paraId="1887ED9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254</w:t>
            </w:r>
          </w:p>
        </w:tc>
        <w:tc>
          <w:tcPr>
            <w:tcW w:w="1560" w:type="dxa"/>
            <w:shd w:val="clear" w:color="auto" w:fill="C1F0C7" w:themeFill="accent3" w:themeFillTint="33"/>
            <w:noWrap/>
          </w:tcPr>
          <w:p w14:paraId="1887ED9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C5.1I2</w:t>
            </w:r>
          </w:p>
          <w:p w14:paraId="1887ED9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Skilling, Reskilling and Upskilling </w:t>
            </w:r>
          </w:p>
        </w:tc>
        <w:tc>
          <w:tcPr>
            <w:tcW w:w="1237" w:type="dxa"/>
            <w:shd w:val="clear" w:color="auto" w:fill="C1F0C7" w:themeFill="accent3" w:themeFillTint="33"/>
            <w:noWrap/>
          </w:tcPr>
          <w:p w14:paraId="1887ED9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423" w:type="dxa"/>
            <w:shd w:val="clear" w:color="auto" w:fill="C1F0C7" w:themeFill="accent3" w:themeFillTint="33"/>
            <w:noWrap/>
          </w:tcPr>
          <w:p w14:paraId="1887ED9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Trainings in programmes for digital, green, blue and entrepreneurial skills </w:t>
            </w:r>
          </w:p>
        </w:tc>
        <w:tc>
          <w:tcPr>
            <w:tcW w:w="1558" w:type="dxa"/>
            <w:shd w:val="clear" w:color="auto" w:fill="C1F0C7" w:themeFill="accent3" w:themeFillTint="33"/>
            <w:noWrap/>
          </w:tcPr>
          <w:p w14:paraId="1887ED9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w:t>
            </w:r>
          </w:p>
        </w:tc>
        <w:tc>
          <w:tcPr>
            <w:tcW w:w="1130" w:type="dxa"/>
            <w:shd w:val="clear" w:color="auto" w:fill="C1F0C7" w:themeFill="accent3" w:themeFillTint="33"/>
            <w:noWrap/>
          </w:tcPr>
          <w:p w14:paraId="1887EDA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992" w:type="dxa"/>
            <w:shd w:val="clear" w:color="auto" w:fill="C1F0C7" w:themeFill="accent3" w:themeFillTint="33"/>
            <w:noWrap/>
          </w:tcPr>
          <w:p w14:paraId="1887EDA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1280" w:type="dxa"/>
            <w:shd w:val="clear" w:color="auto" w:fill="C1F0C7" w:themeFill="accent3" w:themeFillTint="33"/>
            <w:noWrap/>
          </w:tcPr>
          <w:p w14:paraId="1887EDA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25 600</w:t>
            </w:r>
          </w:p>
        </w:tc>
        <w:tc>
          <w:tcPr>
            <w:tcW w:w="885" w:type="dxa"/>
            <w:shd w:val="clear" w:color="auto" w:fill="C1F0C7" w:themeFill="accent3" w:themeFillTint="33"/>
            <w:noWrap/>
          </w:tcPr>
          <w:p w14:paraId="1887EDA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92" w:type="dxa"/>
            <w:shd w:val="clear" w:color="auto" w:fill="C1F0C7" w:themeFill="accent3" w:themeFillTint="33"/>
            <w:noWrap/>
          </w:tcPr>
          <w:p w14:paraId="1887EDA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227" w:type="dxa"/>
            <w:shd w:val="clear" w:color="auto" w:fill="C1F0C7" w:themeFill="accent3" w:themeFillTint="33"/>
            <w:noWrap/>
          </w:tcPr>
          <w:p w14:paraId="1887EDA5"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25 600 participants trained in programmes for digital, green, blue, and entrepreneurial skills.</w:t>
            </w:r>
          </w:p>
        </w:tc>
      </w:tr>
    </w:tbl>
    <w:p w14:paraId="1887EDA7" w14:textId="77777777" w:rsidR="00C02B59" w:rsidRPr="00D1795B" w:rsidRDefault="00C02B59" w:rsidP="00C02B59">
      <w:pPr>
        <w:spacing w:before="120" w:after="240" w:line="240" w:lineRule="auto"/>
        <w:jc w:val="both"/>
        <w:rPr>
          <w:noProof/>
        </w:rPr>
      </w:pPr>
    </w:p>
    <w:p w14:paraId="1887EDA8" w14:textId="77777777" w:rsidR="00C02B59" w:rsidRPr="00D1795B" w:rsidRDefault="00C02B59">
      <w:pPr>
        <w:rPr>
          <w:noProof/>
        </w:rPr>
        <w:sectPr w:rsidR="00C02B59" w:rsidRPr="00D1795B" w:rsidSect="00C02B59">
          <w:headerReference w:type="even" r:id="rId155"/>
          <w:headerReference w:type="default" r:id="rId156"/>
          <w:footerReference w:type="even" r:id="rId157"/>
          <w:footerReference w:type="default" r:id="rId158"/>
          <w:headerReference w:type="first" r:id="rId159"/>
          <w:footerReference w:type="first" r:id="rId160"/>
          <w:pgSz w:w="15840" w:h="12240" w:orient="landscape"/>
          <w:pgMar w:top="1134" w:right="1134" w:bottom="1134" w:left="1134" w:header="567" w:footer="567" w:gutter="0"/>
          <w:cols w:space="720"/>
          <w:docGrid w:linePitch="360"/>
        </w:sectPr>
      </w:pPr>
    </w:p>
    <w:p w14:paraId="1887EDA9" w14:textId="77777777" w:rsidR="00C02B59" w:rsidRPr="00D1795B" w:rsidRDefault="00C02B59" w:rsidP="00C02B59">
      <w:pPr>
        <w:keepNext/>
        <w:spacing w:before="360" w:after="120" w:line="240" w:lineRule="auto"/>
        <w:jc w:val="both"/>
        <w:outlineLvl w:val="0"/>
        <w:rPr>
          <w:rFonts w:ascii="Times New Roman" w:hAnsi="Times New Roman"/>
          <w:b/>
          <w:smallCaps/>
          <w:noProof/>
        </w:rPr>
      </w:pPr>
      <w:r w:rsidRPr="00D1795B">
        <w:rPr>
          <w:rFonts w:ascii="Times New Roman" w:hAnsi="Times New Roman"/>
          <w:b/>
          <w:smallCaps/>
          <w:noProof/>
        </w:rPr>
        <w:t>M. COMPONENT 5.2: labour market, social protection and inclusion</w:t>
      </w:r>
    </w:p>
    <w:p w14:paraId="1887EDAA"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 xml:space="preserve">This component of the Cypriot Recovery and Resilience plan addresses: (i) inefficiencies and gaps in social protection notably for self-employed and people working in non-standard forms of employment, (ii) the lack of legislation for flexible working arrangements in the form of teleworking, (ii) challenges related to unemployment and youth unemployment and the high level of young people not in employment, education or training (NEETs), (iii) gaps in early childhood education and care (ECEC) and (iv) challenges with respect to social inclusion and welfare, including a high level of people at risk of poverty or social exclusion (AROPE) and increasing needs in long-term care. </w:t>
      </w:r>
    </w:p>
    <w:p w14:paraId="1887EDAB"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 xml:space="preserve">The reforms and investments included in the component address the country-specific recommendations on the public employment services and the education and training system (country specific recommendation 3 of 2019 and country specific recommendation 2 of 2020), providing social protection for all and introducing flexible working arrangements (country specific recommendation 2 of 2020), and improving the efficiency and digitalisation of the public sector (country specific recommendation 1 of 2019 and country specific recommendation 4 of 2020). </w:t>
      </w:r>
    </w:p>
    <w:p w14:paraId="1887EDAC" w14:textId="77777777" w:rsidR="00C02B59" w:rsidRPr="00D1795B" w:rsidRDefault="00C02B59" w:rsidP="00C02B59">
      <w:pPr>
        <w:spacing w:before="120" w:after="120" w:line="278" w:lineRule="auto"/>
        <w:jc w:val="both"/>
        <w:rPr>
          <w:rFonts w:ascii="Times New Roman" w:hAnsi="Times New Roman"/>
          <w:noProof/>
        </w:rPr>
      </w:pPr>
    </w:p>
    <w:p w14:paraId="1887EDAD" w14:textId="77777777" w:rsidR="00C02B59" w:rsidRPr="00D1795B" w:rsidRDefault="00C02B59" w:rsidP="00C02B59">
      <w:pPr>
        <w:spacing w:before="120" w:after="120" w:line="240" w:lineRule="auto"/>
        <w:jc w:val="both"/>
        <w:rPr>
          <w:rFonts w:ascii="Times New Roman" w:hAnsi="Times New Roman"/>
          <w:b/>
          <w:noProof/>
        </w:rPr>
      </w:pPr>
      <w:r w:rsidRPr="00D1795B">
        <w:rPr>
          <w:rFonts w:ascii="Times New Roman" w:hAnsi="Times New Roman"/>
          <w:b/>
          <w:noProof/>
          <w:u w:val="single"/>
        </w:rPr>
        <w:t xml:space="preserve">M.1. </w:t>
      </w:r>
      <w:r w:rsidRPr="00D1795B">
        <w:rPr>
          <w:noProof/>
        </w:rPr>
        <w:tab/>
      </w:r>
      <w:r w:rsidRPr="00D1795B">
        <w:rPr>
          <w:rFonts w:ascii="Times New Roman" w:hAnsi="Times New Roman"/>
          <w:b/>
          <w:noProof/>
          <w:u w:val="single"/>
        </w:rPr>
        <w:t>Description of the reforms and investments for non-repayable financial support</w:t>
      </w:r>
    </w:p>
    <w:p w14:paraId="1887EDAE"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 xml:space="preserve">Reform 2 (C5.2R2): Flexible work arrangements in the form of telework </w:t>
      </w:r>
    </w:p>
    <w:p w14:paraId="1887EDAF"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 xml:space="preserve">The objective of this reform is to support flexible work arrangements in the form of telework. </w:t>
      </w:r>
    </w:p>
    <w:p w14:paraId="1887EDB0"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This measure consists in the entry into force of a new legal act(s) for flexible work arrangements and a subsidy scheme for employers to hire unemployed persons who will partially telework.</w:t>
      </w:r>
    </w:p>
    <w:p w14:paraId="1887EDB1" w14:textId="77777777" w:rsidR="00C02B59" w:rsidRPr="00D1795B" w:rsidRDefault="00C02B59" w:rsidP="00C02B59">
      <w:pPr>
        <w:spacing w:before="120" w:after="120" w:line="240" w:lineRule="auto"/>
        <w:jc w:val="both"/>
        <w:rPr>
          <w:rFonts w:ascii="Times New Roman" w:hAnsi="Times New Roman"/>
          <w:noProof/>
        </w:rPr>
      </w:pPr>
    </w:p>
    <w:p w14:paraId="1887EDB2"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Investment 1 (C5.2I1): Supporting the Department of Labour and Public Employment Services (PES) and reinforcing support for young people</w:t>
      </w:r>
    </w:p>
    <w:p w14:paraId="1887EDB3" w14:textId="77777777" w:rsidR="00C02B59" w:rsidRPr="00D1795B" w:rsidRDefault="00C02B59" w:rsidP="00C02B59">
      <w:pPr>
        <w:spacing w:before="120" w:after="120" w:line="240" w:lineRule="auto"/>
        <w:jc w:val="both"/>
        <w:rPr>
          <w:rFonts w:ascii="Times New Roman" w:hAnsi="Times New Roman"/>
          <w:noProof/>
        </w:rPr>
      </w:pPr>
      <w:r w:rsidRPr="00D1795B">
        <w:rPr>
          <w:rFonts w:ascii="Times New Roman" w:hAnsi="Times New Roman"/>
          <w:noProof/>
        </w:rPr>
        <w:t>The objective of this investment is enhancing support for unemployed persons.</w:t>
      </w:r>
    </w:p>
    <w:p w14:paraId="1887EDB4" w14:textId="2780E21A"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noProof/>
        </w:rPr>
        <w:t>This measure consists in digit</w:t>
      </w:r>
      <w:r w:rsidR="00D1795B">
        <w:rPr>
          <w:rFonts w:ascii="Times New Roman" w:hAnsi="Times New Roman"/>
          <w:noProof/>
        </w:rPr>
        <w:t>a</w:t>
      </w:r>
      <w:r w:rsidRPr="00D1795B">
        <w:rPr>
          <w:rFonts w:ascii="Times New Roman" w:hAnsi="Times New Roman"/>
          <w:noProof/>
        </w:rPr>
        <w:t>l</w:t>
      </w:r>
      <w:r w:rsidR="00D1795B">
        <w:rPr>
          <w:rFonts w:ascii="Times New Roman" w:hAnsi="Times New Roman"/>
          <w:noProof/>
        </w:rPr>
        <w:t>i</w:t>
      </w:r>
      <w:r w:rsidRPr="00D1795B">
        <w:rPr>
          <w:rFonts w:ascii="Times New Roman" w:hAnsi="Times New Roman"/>
          <w:noProof/>
        </w:rPr>
        <w:t>sing the Department of Labour and Public Employment Services (PES) and a grant scheme.</w:t>
      </w:r>
    </w:p>
    <w:p w14:paraId="1887EDB5" w14:textId="77777777" w:rsidR="00C02B59" w:rsidRPr="00D1795B" w:rsidRDefault="00C02B59" w:rsidP="00C02B59">
      <w:pPr>
        <w:spacing w:before="120" w:after="120" w:line="240" w:lineRule="auto"/>
        <w:jc w:val="both"/>
        <w:rPr>
          <w:rFonts w:ascii="Times New Roman" w:hAnsi="Times New Roman"/>
          <w:noProof/>
        </w:rPr>
      </w:pPr>
    </w:p>
    <w:p w14:paraId="1887EDB6"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 xml:space="preserve">Investment 2 (C5.2I2): Establishment of Multifunctional Centres and Childcare Centres </w:t>
      </w:r>
    </w:p>
    <w:p w14:paraId="1887EDB7"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The objective of this investment is to increase the labour market participation of carers (often women), and to enhance the availability of quality care and social infrastructure for children.</w:t>
      </w:r>
    </w:p>
    <w:p w14:paraId="1887EDB8" w14:textId="77777777" w:rsidR="00C02B59" w:rsidRPr="00D1795B" w:rsidRDefault="00C02B59" w:rsidP="00C02B59">
      <w:pPr>
        <w:spacing w:before="120" w:after="120" w:line="278" w:lineRule="auto"/>
        <w:jc w:val="both"/>
        <w:rPr>
          <w:rFonts w:ascii="Times New Roman" w:hAnsi="Times New Roman" w:cs="Times New Roman"/>
          <w:noProof/>
        </w:rPr>
      </w:pPr>
      <w:r w:rsidRPr="00D1795B">
        <w:rPr>
          <w:rFonts w:ascii="Times New Roman" w:hAnsi="Times New Roman"/>
          <w:noProof/>
        </w:rPr>
        <w:t xml:space="preserve">This measure consists in a scheme for multifunctional centres and childcare centres. </w:t>
      </w:r>
    </w:p>
    <w:p w14:paraId="1887EDB9" w14:textId="77777777" w:rsidR="00C02B59" w:rsidRPr="00D1795B" w:rsidRDefault="00C02B59" w:rsidP="00C02B59">
      <w:pPr>
        <w:spacing w:before="120" w:after="120" w:line="240" w:lineRule="auto"/>
        <w:jc w:val="both"/>
        <w:rPr>
          <w:rFonts w:ascii="Times New Roman" w:hAnsi="Times New Roman"/>
          <w:noProof/>
        </w:rPr>
      </w:pPr>
    </w:p>
    <w:p w14:paraId="1887EDBA"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 xml:space="preserve">Investment 3 (C5.2I3): Establishment of home structures for people in need of long-term care </w:t>
      </w:r>
    </w:p>
    <w:p w14:paraId="1887EDBB"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 xml:space="preserve">The objective of this investment is to address gaps in long-term care services. </w:t>
      </w:r>
    </w:p>
    <w:p w14:paraId="1887EDBC" w14:textId="77777777" w:rsidR="00C02B59" w:rsidRDefault="00C02B59" w:rsidP="00C02B59">
      <w:pPr>
        <w:spacing w:before="120" w:after="120" w:line="278" w:lineRule="auto"/>
        <w:jc w:val="both"/>
        <w:rPr>
          <w:rFonts w:ascii="Times New Roman" w:hAnsi="Times New Roman"/>
          <w:noProof/>
        </w:rPr>
      </w:pPr>
      <w:r w:rsidRPr="00D1795B">
        <w:rPr>
          <w:rFonts w:ascii="Times New Roman" w:hAnsi="Times New Roman"/>
          <w:noProof/>
        </w:rPr>
        <w:t>This measure consists in home structures for people in need of long-term care.</w:t>
      </w:r>
    </w:p>
    <w:p w14:paraId="145276D0" w14:textId="77777777" w:rsidR="003B4937" w:rsidRPr="00D1795B" w:rsidRDefault="003B4937" w:rsidP="00C02B59">
      <w:pPr>
        <w:spacing w:before="120" w:after="120" w:line="278" w:lineRule="auto"/>
        <w:jc w:val="both"/>
        <w:rPr>
          <w:rFonts w:ascii="Times New Roman" w:hAnsi="Times New Roman"/>
          <w:noProof/>
        </w:rPr>
      </w:pPr>
    </w:p>
    <w:p w14:paraId="1887EDBD"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 xml:space="preserve">Investment 4 (C5.2I4): Child centres in municipalities </w:t>
      </w:r>
    </w:p>
    <w:p w14:paraId="1887EDBE" w14:textId="77777777" w:rsidR="00C02B59" w:rsidRPr="00D1795B" w:rsidRDefault="00C02B59" w:rsidP="00C02B59">
      <w:pPr>
        <w:spacing w:before="120" w:after="120" w:line="278" w:lineRule="auto"/>
        <w:rPr>
          <w:rFonts w:ascii="Times New Roman" w:hAnsi="Times New Roman"/>
          <w:noProof/>
          <w:color w:val="000000" w:themeColor="text1"/>
        </w:rPr>
      </w:pPr>
      <w:r w:rsidRPr="00D1795B">
        <w:rPr>
          <w:rFonts w:ascii="Times New Roman" w:hAnsi="Times New Roman"/>
          <w:noProof/>
        </w:rPr>
        <w:t xml:space="preserve">The objective of this investment is to facilitate the participation of workers with caring responsibilities, in the labour market, </w:t>
      </w:r>
      <w:r w:rsidRPr="00D1795B">
        <w:rPr>
          <w:rFonts w:ascii="Times New Roman" w:hAnsi="Times New Roman" w:cs="Times New Roman"/>
          <w:noProof/>
        </w:rPr>
        <w:t>and to enhance</w:t>
      </w:r>
      <w:r w:rsidRPr="00D1795B">
        <w:rPr>
          <w:rFonts w:ascii="Times New Roman" w:hAnsi="Times New Roman"/>
          <w:noProof/>
        </w:rPr>
        <w:t xml:space="preserve"> the social inclusion of children from disadvantaged and/or migrant background.</w:t>
      </w:r>
    </w:p>
    <w:p w14:paraId="1887EDBF"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This measure consists in the construction of four (4) childcare centres.</w:t>
      </w:r>
    </w:p>
    <w:p w14:paraId="1887EDC0" w14:textId="77777777" w:rsidR="00C02B59" w:rsidRPr="00D1795B" w:rsidRDefault="00C02B59" w:rsidP="00C02B59">
      <w:pPr>
        <w:spacing w:before="120" w:after="120" w:line="240" w:lineRule="auto"/>
        <w:jc w:val="both"/>
        <w:rPr>
          <w:rFonts w:ascii="Times New Roman" w:hAnsi="Times New Roman"/>
          <w:noProof/>
        </w:rPr>
      </w:pPr>
    </w:p>
    <w:p w14:paraId="1887EDC1" w14:textId="77777777"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 xml:space="preserve">Investment 5 (C5.2I5): Construction of two model special education schools </w:t>
      </w:r>
    </w:p>
    <w:p w14:paraId="1887EDC2"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 xml:space="preserve">The objective of this investment is to enhance the school environment for pupils with disabilities or other special educational needs and support them academically and socially. </w:t>
      </w:r>
    </w:p>
    <w:p w14:paraId="1887EDC3" w14:textId="77777777" w:rsidR="00C02B59" w:rsidRPr="00D1795B" w:rsidRDefault="00C02B59" w:rsidP="00C02B59">
      <w:pPr>
        <w:spacing w:before="120" w:after="120" w:line="278" w:lineRule="auto"/>
        <w:jc w:val="both"/>
        <w:textAlignment w:val="baseline"/>
        <w:rPr>
          <w:rFonts w:ascii="Times New Roman" w:hAnsi="Times New Roman"/>
          <w:noProof/>
        </w:rPr>
      </w:pPr>
      <w:r w:rsidRPr="00D1795B">
        <w:rPr>
          <w:rFonts w:ascii="Times New Roman" w:hAnsi="Times New Roman"/>
          <w:noProof/>
        </w:rPr>
        <w:t xml:space="preserve">This measure consists in the construction of two special education schools in the Limassol district. </w:t>
      </w:r>
    </w:p>
    <w:p w14:paraId="1887EDC4" w14:textId="77777777" w:rsidR="00C02B59" w:rsidRPr="00D1795B" w:rsidRDefault="00C02B59" w:rsidP="00C02B59">
      <w:pPr>
        <w:spacing w:before="120" w:after="120" w:line="240" w:lineRule="auto"/>
        <w:jc w:val="both"/>
        <w:rPr>
          <w:rFonts w:ascii="Times New Roman" w:hAnsi="Times New Roman"/>
          <w:noProof/>
        </w:rPr>
      </w:pPr>
    </w:p>
    <w:p w14:paraId="1887EDC5" w14:textId="369BE639" w:rsidR="00C02B59" w:rsidRPr="00D1795B" w:rsidRDefault="00C02B59" w:rsidP="00C02B59">
      <w:pPr>
        <w:spacing w:before="120" w:after="120" w:line="240" w:lineRule="auto"/>
        <w:jc w:val="both"/>
        <w:rPr>
          <w:rFonts w:ascii="Times New Roman" w:hAnsi="Times New Roman"/>
          <w:noProof/>
          <w:u w:val="single"/>
        </w:rPr>
      </w:pPr>
      <w:r w:rsidRPr="00D1795B">
        <w:rPr>
          <w:rFonts w:ascii="Times New Roman" w:hAnsi="Times New Roman"/>
          <w:noProof/>
          <w:u w:val="single"/>
        </w:rPr>
        <w:t xml:space="preserve">Reform 1 (C5.2R1): Reform of the Social Insurance System and Restructuring of the Social Insurance Services </w:t>
      </w:r>
    </w:p>
    <w:p w14:paraId="1887EDC6"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 xml:space="preserve">The objective of this reform is to widen access to social protection and to support the Social Insurance Services. </w:t>
      </w:r>
    </w:p>
    <w:p w14:paraId="1887EDC7" w14:textId="7B391310"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This measure consists in</w:t>
      </w:r>
      <w:r w:rsidR="0022309B" w:rsidRPr="00D1795B">
        <w:rPr>
          <w:rFonts w:ascii="Times New Roman" w:hAnsi="Times New Roman"/>
          <w:noProof/>
        </w:rPr>
        <w:t xml:space="preserve"> upgrading</w:t>
      </w:r>
      <w:r w:rsidRPr="00D1795B">
        <w:rPr>
          <w:rFonts w:ascii="Times New Roman" w:hAnsi="Times New Roman"/>
          <w:noProof/>
        </w:rPr>
        <w:t xml:space="preserve"> the </w:t>
      </w:r>
      <w:r w:rsidR="0025059B" w:rsidRPr="00D1795B">
        <w:rPr>
          <w:rFonts w:ascii="Times New Roman" w:hAnsi="Times New Roman"/>
          <w:noProof/>
        </w:rPr>
        <w:t xml:space="preserve">Integrated Social Insurance Information System and </w:t>
      </w:r>
      <w:r w:rsidR="0022309B" w:rsidRPr="00D1795B">
        <w:rPr>
          <w:rFonts w:ascii="Times New Roman" w:hAnsi="Times New Roman"/>
          <w:noProof/>
        </w:rPr>
        <w:t xml:space="preserve">in </w:t>
      </w:r>
      <w:r w:rsidR="0025059B" w:rsidRPr="00D1795B">
        <w:rPr>
          <w:rFonts w:ascii="Times New Roman" w:hAnsi="Times New Roman"/>
          <w:noProof/>
        </w:rPr>
        <w:t>the</w:t>
      </w:r>
      <w:r w:rsidRPr="00D1795B">
        <w:rPr>
          <w:rFonts w:ascii="Times New Roman" w:hAnsi="Times New Roman"/>
          <w:noProof/>
        </w:rPr>
        <w:t xml:space="preserve"> extension of social insurance coverage . </w:t>
      </w:r>
    </w:p>
    <w:p w14:paraId="1887EDC8" w14:textId="77777777" w:rsidR="00C02B59" w:rsidRPr="00D1795B" w:rsidRDefault="00C02B59" w:rsidP="00C02B59">
      <w:pPr>
        <w:spacing w:before="120" w:after="120" w:line="240" w:lineRule="auto"/>
        <w:jc w:val="both"/>
        <w:rPr>
          <w:rFonts w:ascii="Times New Roman" w:hAnsi="Times New Roman"/>
          <w:noProof/>
        </w:rPr>
      </w:pPr>
    </w:p>
    <w:p w14:paraId="1887EDC9" w14:textId="77777777" w:rsidR="00C02B59" w:rsidRPr="00D1795B" w:rsidRDefault="00C02B59">
      <w:pPr>
        <w:rPr>
          <w:noProof/>
        </w:rPr>
        <w:sectPr w:rsidR="00C02B59" w:rsidRPr="00D1795B" w:rsidSect="00C02B59">
          <w:headerReference w:type="even" r:id="rId161"/>
          <w:headerReference w:type="default" r:id="rId162"/>
          <w:footerReference w:type="even" r:id="rId163"/>
          <w:footerReference w:type="default" r:id="rId164"/>
          <w:headerReference w:type="first" r:id="rId165"/>
          <w:footerReference w:type="first" r:id="rId166"/>
          <w:pgSz w:w="12240" w:h="15840"/>
          <w:pgMar w:top="1134" w:right="1134" w:bottom="1134" w:left="1134" w:header="567" w:footer="567" w:gutter="0"/>
          <w:cols w:space="720"/>
          <w:docGrid w:linePitch="360"/>
        </w:sectPr>
      </w:pPr>
    </w:p>
    <w:p w14:paraId="1887EDCA" w14:textId="77777777" w:rsidR="00C02B59" w:rsidRPr="00D1795B" w:rsidRDefault="00C02B59" w:rsidP="00C02B59">
      <w:pPr>
        <w:spacing w:before="120" w:after="120" w:line="240" w:lineRule="auto"/>
        <w:jc w:val="center"/>
        <w:rPr>
          <w:rFonts w:ascii="Times New Roman" w:hAnsi="Times New Roman"/>
          <w:noProof/>
        </w:rPr>
      </w:pPr>
      <w:r w:rsidRPr="00D1795B">
        <w:rPr>
          <w:rFonts w:ascii="Times New Roman" w:hAnsi="Times New Roman"/>
          <w:b/>
          <w:noProof/>
          <w:u w:val="single"/>
        </w:rPr>
        <w:t xml:space="preserve">M.2. </w:t>
      </w:r>
      <w:r w:rsidRPr="00D1795B">
        <w:rPr>
          <w:noProof/>
        </w:rPr>
        <w:tab/>
      </w:r>
      <w:r w:rsidRPr="00D1795B">
        <w:rPr>
          <w:rFonts w:ascii="Times New Roman" w:hAnsi="Times New Roman"/>
          <w:b/>
          <w:noProof/>
          <w:u w:val="single"/>
        </w:rPr>
        <w:t>Milestones, targets, indicators, and timetable for monitoring and implementation for non-repayable financial support</w:t>
      </w:r>
    </w:p>
    <w:tbl>
      <w:tblPr>
        <w:tblW w:w="15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0"/>
        <w:gridCol w:w="1559"/>
        <w:gridCol w:w="1135"/>
        <w:gridCol w:w="1701"/>
        <w:gridCol w:w="1414"/>
        <w:gridCol w:w="993"/>
        <w:gridCol w:w="993"/>
        <w:gridCol w:w="711"/>
        <w:gridCol w:w="993"/>
        <w:gridCol w:w="705"/>
        <w:gridCol w:w="4102"/>
      </w:tblGrid>
      <w:tr w:rsidR="00C02B59" w:rsidRPr="00D1795B" w14:paraId="1887EDD3" w14:textId="77777777" w:rsidTr="6B29DC81">
        <w:trPr>
          <w:trHeight w:val="927"/>
          <w:tblHeader/>
          <w:jc w:val="center"/>
        </w:trPr>
        <w:tc>
          <w:tcPr>
            <w:tcW w:w="375" w:type="pct"/>
            <w:vMerge w:val="restart"/>
            <w:shd w:val="clear" w:color="auto" w:fill="BDD7EE"/>
            <w:vAlign w:val="center"/>
            <w:hideMark/>
          </w:tcPr>
          <w:p w14:paraId="1887EDCB"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504" w:type="pct"/>
            <w:vMerge w:val="restart"/>
            <w:shd w:val="clear" w:color="auto" w:fill="BDD7EE"/>
            <w:vAlign w:val="center"/>
            <w:hideMark/>
          </w:tcPr>
          <w:p w14:paraId="1887EDCC"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367" w:type="pct"/>
            <w:vMerge w:val="restart"/>
            <w:shd w:val="clear" w:color="auto" w:fill="BDD7EE"/>
            <w:vAlign w:val="center"/>
            <w:hideMark/>
          </w:tcPr>
          <w:p w14:paraId="1887EDCD"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Milestone / Target</w:t>
            </w:r>
          </w:p>
        </w:tc>
        <w:tc>
          <w:tcPr>
            <w:tcW w:w="550" w:type="pct"/>
            <w:vMerge w:val="restart"/>
            <w:shd w:val="clear" w:color="auto" w:fill="BDD7EE"/>
            <w:vAlign w:val="center"/>
            <w:hideMark/>
          </w:tcPr>
          <w:p w14:paraId="1887EDCE"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Name</w:t>
            </w:r>
          </w:p>
        </w:tc>
        <w:tc>
          <w:tcPr>
            <w:tcW w:w="457" w:type="pct"/>
            <w:vMerge w:val="restart"/>
            <w:shd w:val="clear" w:color="auto" w:fill="BDD7EE"/>
            <w:vAlign w:val="center"/>
            <w:hideMark/>
          </w:tcPr>
          <w:p w14:paraId="1887EDCF"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Qualitative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milestones)</w:t>
            </w:r>
          </w:p>
        </w:tc>
        <w:tc>
          <w:tcPr>
            <w:tcW w:w="872" w:type="pct"/>
            <w:gridSpan w:val="3"/>
            <w:shd w:val="clear" w:color="auto" w:fill="BDD7EE"/>
            <w:vAlign w:val="center"/>
            <w:hideMark/>
          </w:tcPr>
          <w:p w14:paraId="1887EDD0"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 xml:space="preserve">Quantitative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targets)</w:t>
            </w:r>
          </w:p>
        </w:tc>
        <w:tc>
          <w:tcPr>
            <w:tcW w:w="549" w:type="pct"/>
            <w:gridSpan w:val="2"/>
            <w:shd w:val="clear" w:color="auto" w:fill="BDD7EE"/>
            <w:vAlign w:val="center"/>
            <w:hideMark/>
          </w:tcPr>
          <w:p w14:paraId="1887EDD1"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Indicative timeline for completion</w:t>
            </w:r>
          </w:p>
        </w:tc>
        <w:tc>
          <w:tcPr>
            <w:tcW w:w="1326" w:type="pct"/>
            <w:vMerge w:val="restart"/>
            <w:shd w:val="clear" w:color="auto" w:fill="BDD7EE"/>
            <w:vAlign w:val="center"/>
            <w:hideMark/>
          </w:tcPr>
          <w:p w14:paraId="1887EDD2"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Description of each milestone and target</w:t>
            </w:r>
          </w:p>
        </w:tc>
      </w:tr>
      <w:tr w:rsidR="00C02B59" w:rsidRPr="00D1795B" w14:paraId="1887EDDF" w14:textId="77777777" w:rsidTr="6B29DC81">
        <w:trPr>
          <w:trHeight w:val="623"/>
          <w:tblHeader/>
          <w:jc w:val="center"/>
        </w:trPr>
        <w:tc>
          <w:tcPr>
            <w:tcW w:w="375" w:type="pct"/>
            <w:vMerge/>
            <w:hideMark/>
          </w:tcPr>
          <w:p w14:paraId="1887EDD4" w14:textId="77777777" w:rsidR="00C02B59" w:rsidRPr="00D1795B" w:rsidRDefault="00C02B59" w:rsidP="00C02B59">
            <w:pPr>
              <w:spacing w:after="0" w:line="240" w:lineRule="auto"/>
              <w:rPr>
                <w:rFonts w:ascii="Times New Roman" w:hAnsi="Times New Roman" w:cs="Times New Roman"/>
                <w:b/>
                <w:noProof/>
                <w:sz w:val="18"/>
                <w:szCs w:val="18"/>
              </w:rPr>
            </w:pPr>
          </w:p>
        </w:tc>
        <w:tc>
          <w:tcPr>
            <w:tcW w:w="504" w:type="pct"/>
            <w:vMerge/>
            <w:hideMark/>
          </w:tcPr>
          <w:p w14:paraId="1887EDD5" w14:textId="77777777" w:rsidR="00C02B59" w:rsidRPr="00D1795B" w:rsidRDefault="00C02B59" w:rsidP="00C02B59">
            <w:pPr>
              <w:spacing w:after="0" w:line="240" w:lineRule="auto"/>
              <w:rPr>
                <w:rFonts w:ascii="Times New Roman" w:hAnsi="Times New Roman" w:cs="Times New Roman"/>
                <w:b/>
                <w:noProof/>
                <w:sz w:val="18"/>
                <w:szCs w:val="18"/>
              </w:rPr>
            </w:pPr>
          </w:p>
        </w:tc>
        <w:tc>
          <w:tcPr>
            <w:tcW w:w="367" w:type="pct"/>
            <w:vMerge/>
            <w:hideMark/>
          </w:tcPr>
          <w:p w14:paraId="1887EDD6" w14:textId="77777777" w:rsidR="00C02B59" w:rsidRPr="00D1795B" w:rsidRDefault="00C02B59" w:rsidP="00C02B59">
            <w:pPr>
              <w:spacing w:after="0" w:line="240" w:lineRule="auto"/>
              <w:rPr>
                <w:rFonts w:ascii="Times New Roman" w:hAnsi="Times New Roman" w:cs="Times New Roman"/>
                <w:b/>
                <w:noProof/>
                <w:sz w:val="18"/>
                <w:szCs w:val="18"/>
              </w:rPr>
            </w:pPr>
          </w:p>
        </w:tc>
        <w:tc>
          <w:tcPr>
            <w:tcW w:w="550" w:type="pct"/>
            <w:vMerge/>
            <w:hideMark/>
          </w:tcPr>
          <w:p w14:paraId="1887EDD7" w14:textId="77777777" w:rsidR="00C02B59" w:rsidRPr="00D1795B" w:rsidRDefault="00C02B59" w:rsidP="00C02B59">
            <w:pPr>
              <w:spacing w:after="0" w:line="240" w:lineRule="auto"/>
              <w:rPr>
                <w:rFonts w:ascii="Times New Roman" w:hAnsi="Times New Roman" w:cs="Times New Roman"/>
                <w:b/>
                <w:noProof/>
                <w:sz w:val="18"/>
                <w:szCs w:val="18"/>
              </w:rPr>
            </w:pPr>
          </w:p>
        </w:tc>
        <w:tc>
          <w:tcPr>
            <w:tcW w:w="457" w:type="pct"/>
            <w:vMerge/>
            <w:hideMark/>
          </w:tcPr>
          <w:p w14:paraId="1887EDD8" w14:textId="77777777" w:rsidR="00C02B59" w:rsidRPr="00D1795B" w:rsidRDefault="00C02B59" w:rsidP="00C02B59">
            <w:pPr>
              <w:spacing w:after="0" w:line="240" w:lineRule="auto"/>
              <w:rPr>
                <w:rFonts w:ascii="Times New Roman" w:hAnsi="Times New Roman" w:cs="Times New Roman"/>
                <w:b/>
                <w:noProof/>
                <w:sz w:val="18"/>
                <w:szCs w:val="18"/>
              </w:rPr>
            </w:pPr>
          </w:p>
        </w:tc>
        <w:tc>
          <w:tcPr>
            <w:tcW w:w="321" w:type="pct"/>
            <w:shd w:val="clear" w:color="auto" w:fill="BDD7EE"/>
            <w:vAlign w:val="center"/>
            <w:hideMark/>
          </w:tcPr>
          <w:p w14:paraId="1887EDD9"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Unit of measure</w:t>
            </w:r>
          </w:p>
        </w:tc>
        <w:tc>
          <w:tcPr>
            <w:tcW w:w="321" w:type="pct"/>
            <w:shd w:val="clear" w:color="auto" w:fill="BDD7EE"/>
            <w:vAlign w:val="center"/>
            <w:hideMark/>
          </w:tcPr>
          <w:p w14:paraId="1887EDDA"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Baseline</w:t>
            </w:r>
          </w:p>
        </w:tc>
        <w:tc>
          <w:tcPr>
            <w:tcW w:w="230" w:type="pct"/>
            <w:shd w:val="clear" w:color="auto" w:fill="BDD7EE"/>
            <w:vAlign w:val="center"/>
            <w:hideMark/>
          </w:tcPr>
          <w:p w14:paraId="1887EDDB"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Goal</w:t>
            </w:r>
          </w:p>
        </w:tc>
        <w:tc>
          <w:tcPr>
            <w:tcW w:w="321" w:type="pct"/>
            <w:shd w:val="clear" w:color="auto" w:fill="BDD7EE"/>
            <w:vAlign w:val="center"/>
            <w:hideMark/>
          </w:tcPr>
          <w:p w14:paraId="1887EDDC"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Quarter</w:t>
            </w:r>
          </w:p>
        </w:tc>
        <w:tc>
          <w:tcPr>
            <w:tcW w:w="228" w:type="pct"/>
            <w:shd w:val="clear" w:color="auto" w:fill="BDD7EE"/>
            <w:vAlign w:val="center"/>
            <w:hideMark/>
          </w:tcPr>
          <w:p w14:paraId="1887EDDD" w14:textId="77777777" w:rsidR="00C02B59" w:rsidRPr="00D1795B" w:rsidRDefault="00C02B59" w:rsidP="00C02B59">
            <w:pPr>
              <w:spacing w:after="0" w:line="240" w:lineRule="auto"/>
              <w:jc w:val="center"/>
              <w:rPr>
                <w:rFonts w:ascii="Times New Roman" w:hAnsi="Times New Roman" w:cs="Times New Roman"/>
                <w:b/>
                <w:noProof/>
                <w:sz w:val="18"/>
                <w:szCs w:val="18"/>
              </w:rPr>
            </w:pPr>
            <w:r w:rsidRPr="00D1795B">
              <w:rPr>
                <w:rFonts w:ascii="Times New Roman" w:hAnsi="Times New Roman" w:cs="Times New Roman"/>
                <w:b/>
                <w:noProof/>
                <w:sz w:val="18"/>
                <w:szCs w:val="18"/>
              </w:rPr>
              <w:t>Year</w:t>
            </w:r>
          </w:p>
        </w:tc>
        <w:tc>
          <w:tcPr>
            <w:tcW w:w="1326" w:type="pct"/>
            <w:vMerge/>
            <w:hideMark/>
          </w:tcPr>
          <w:p w14:paraId="1887EDDE" w14:textId="77777777" w:rsidR="00C02B59" w:rsidRPr="00D1795B" w:rsidRDefault="00C02B59" w:rsidP="00C02B59">
            <w:pPr>
              <w:spacing w:after="0" w:line="240" w:lineRule="auto"/>
              <w:jc w:val="both"/>
              <w:rPr>
                <w:rFonts w:ascii="Times New Roman" w:hAnsi="Times New Roman" w:cs="Times New Roman"/>
                <w:b/>
                <w:noProof/>
                <w:sz w:val="18"/>
                <w:szCs w:val="18"/>
              </w:rPr>
            </w:pPr>
          </w:p>
        </w:tc>
      </w:tr>
      <w:tr w:rsidR="00C02B59" w:rsidRPr="00D1795B" w14:paraId="1887EDEC" w14:textId="77777777" w:rsidTr="6B29DC81">
        <w:trPr>
          <w:trHeight w:val="1262"/>
          <w:jc w:val="center"/>
        </w:trPr>
        <w:tc>
          <w:tcPr>
            <w:tcW w:w="375" w:type="pct"/>
            <w:shd w:val="clear" w:color="auto" w:fill="C6EFCE"/>
            <w:noWrap/>
            <w:hideMark/>
          </w:tcPr>
          <w:p w14:paraId="1887EDE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255</w:t>
            </w:r>
          </w:p>
        </w:tc>
        <w:tc>
          <w:tcPr>
            <w:tcW w:w="504" w:type="pct"/>
            <w:shd w:val="clear" w:color="auto" w:fill="C6EFCE"/>
            <w:noWrap/>
          </w:tcPr>
          <w:p w14:paraId="1887EDE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C5.2R2</w:t>
            </w:r>
          </w:p>
          <w:p w14:paraId="1887EDE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Flexible Work Arrangements in the Form of Telework</w:t>
            </w:r>
          </w:p>
        </w:tc>
        <w:tc>
          <w:tcPr>
            <w:tcW w:w="367" w:type="pct"/>
            <w:shd w:val="clear" w:color="auto" w:fill="C6EFCE"/>
            <w:noWrap/>
            <w:hideMark/>
          </w:tcPr>
          <w:p w14:paraId="1887EDE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550" w:type="pct"/>
            <w:shd w:val="clear" w:color="auto" w:fill="C6EFCE"/>
            <w:noWrap/>
            <w:hideMark/>
          </w:tcPr>
          <w:p w14:paraId="1887EDE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law for flexible work arrangements in the form of telework</w:t>
            </w:r>
          </w:p>
        </w:tc>
        <w:tc>
          <w:tcPr>
            <w:tcW w:w="457" w:type="pct"/>
            <w:shd w:val="clear" w:color="auto" w:fill="C6EFCE"/>
            <w:noWrap/>
            <w:hideMark/>
          </w:tcPr>
          <w:p w14:paraId="1887EDE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Provision in the law indicating the entry into force of the law for the flexible work arrangements in the form of telework </w:t>
            </w:r>
          </w:p>
        </w:tc>
        <w:tc>
          <w:tcPr>
            <w:tcW w:w="321" w:type="pct"/>
            <w:shd w:val="clear" w:color="auto" w:fill="C6EFCE"/>
            <w:noWrap/>
            <w:hideMark/>
          </w:tcPr>
          <w:p w14:paraId="1887EDE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1" w:type="pct"/>
            <w:shd w:val="clear" w:color="auto" w:fill="C6EFCE"/>
            <w:noWrap/>
            <w:hideMark/>
          </w:tcPr>
          <w:p w14:paraId="1887EDE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30" w:type="pct"/>
            <w:shd w:val="clear" w:color="auto" w:fill="C6EFCE"/>
            <w:noWrap/>
            <w:hideMark/>
          </w:tcPr>
          <w:p w14:paraId="1887EDE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1" w:type="pct"/>
            <w:shd w:val="clear" w:color="auto" w:fill="C6EFCE"/>
            <w:noWrap/>
            <w:hideMark/>
          </w:tcPr>
          <w:p w14:paraId="1887EDE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28" w:type="pct"/>
            <w:shd w:val="clear" w:color="auto" w:fill="C6EFCE"/>
            <w:noWrap/>
            <w:hideMark/>
          </w:tcPr>
          <w:p w14:paraId="1887EDE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2023</w:t>
            </w:r>
          </w:p>
        </w:tc>
        <w:tc>
          <w:tcPr>
            <w:tcW w:w="1326" w:type="pct"/>
            <w:shd w:val="clear" w:color="auto" w:fill="C6EFCE"/>
            <w:noWrap/>
            <w:hideMark/>
          </w:tcPr>
          <w:p w14:paraId="1887EDEB"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a new law which shall regulate flexible work arrangements in the form of telework. The law shall include a definition of telework, description of the economic activities where telework is applicable, the conditions for taking up telework and the rights and obligations of employers and employees.</w:t>
            </w:r>
          </w:p>
        </w:tc>
      </w:tr>
      <w:tr w:rsidR="00C02B59" w:rsidRPr="00D1795B" w14:paraId="1887EDF9" w14:textId="77777777" w:rsidTr="6B29DC81">
        <w:trPr>
          <w:trHeight w:val="309"/>
          <w:jc w:val="center"/>
        </w:trPr>
        <w:tc>
          <w:tcPr>
            <w:tcW w:w="375" w:type="pct"/>
            <w:shd w:val="clear" w:color="auto" w:fill="C6EFCE"/>
            <w:noWrap/>
            <w:hideMark/>
          </w:tcPr>
          <w:p w14:paraId="1887EDE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256</w:t>
            </w:r>
          </w:p>
        </w:tc>
        <w:tc>
          <w:tcPr>
            <w:tcW w:w="504" w:type="pct"/>
            <w:shd w:val="clear" w:color="auto" w:fill="C6EFCE"/>
            <w:noWrap/>
            <w:hideMark/>
          </w:tcPr>
          <w:p w14:paraId="1887EDEE" w14:textId="77777777" w:rsidR="00C02B59" w:rsidRPr="00D1795B" w:rsidRDefault="00C02B59" w:rsidP="00C02B59">
            <w:pPr>
              <w:keepNext/>
              <w:keepLines/>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C5.2R2</w:t>
            </w:r>
          </w:p>
          <w:p w14:paraId="1887EDE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Flexible Work Arrangements in the Form of Telework</w:t>
            </w:r>
          </w:p>
        </w:tc>
        <w:tc>
          <w:tcPr>
            <w:tcW w:w="367" w:type="pct"/>
            <w:shd w:val="clear" w:color="auto" w:fill="C6EFCE"/>
            <w:noWrap/>
            <w:hideMark/>
          </w:tcPr>
          <w:p w14:paraId="1887EDF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550" w:type="pct"/>
            <w:shd w:val="clear" w:color="auto" w:fill="C6EFCE"/>
            <w:noWrap/>
          </w:tcPr>
          <w:p w14:paraId="1887EDF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Grants disbursed to employers for hiring at least 300 persons </w:t>
            </w:r>
          </w:p>
        </w:tc>
        <w:tc>
          <w:tcPr>
            <w:tcW w:w="457" w:type="pct"/>
            <w:shd w:val="clear" w:color="auto" w:fill="C6EFCE"/>
            <w:noWrap/>
            <w:hideMark/>
          </w:tcPr>
          <w:p w14:paraId="1887EDF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1" w:type="pct"/>
            <w:shd w:val="clear" w:color="auto" w:fill="C6EFCE"/>
            <w:noWrap/>
            <w:hideMark/>
          </w:tcPr>
          <w:p w14:paraId="1887EDF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21" w:type="pct"/>
            <w:shd w:val="clear" w:color="auto" w:fill="C6EFCE"/>
            <w:noWrap/>
            <w:hideMark/>
          </w:tcPr>
          <w:p w14:paraId="1887EDF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30" w:type="pct"/>
            <w:shd w:val="clear" w:color="auto" w:fill="C6EFCE"/>
            <w:noWrap/>
            <w:hideMark/>
          </w:tcPr>
          <w:p w14:paraId="1887EDF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300</w:t>
            </w:r>
          </w:p>
        </w:tc>
        <w:tc>
          <w:tcPr>
            <w:tcW w:w="321" w:type="pct"/>
            <w:shd w:val="clear" w:color="auto" w:fill="C6EFCE"/>
            <w:noWrap/>
            <w:hideMark/>
          </w:tcPr>
          <w:p w14:paraId="1887EDF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Q3</w:t>
            </w:r>
          </w:p>
        </w:tc>
        <w:tc>
          <w:tcPr>
            <w:tcW w:w="228" w:type="pct"/>
            <w:shd w:val="clear" w:color="auto" w:fill="C6EFCE"/>
            <w:noWrap/>
            <w:hideMark/>
          </w:tcPr>
          <w:p w14:paraId="1887EDF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1326" w:type="pct"/>
            <w:shd w:val="clear" w:color="auto" w:fill="C6EFCE"/>
            <w:noWrap/>
            <w:hideMark/>
          </w:tcPr>
          <w:p w14:paraId="1887EDF8"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Grants disbursed to employers for hiring, for at least 6 months, at least 300 previously unemployed </w:t>
            </w:r>
            <w:r w:rsidRPr="00D1795B">
              <w:rPr>
                <w:rFonts w:ascii="Times New Roman" w:hAnsi="Times New Roman" w:cs="Times New Roman"/>
                <w:noProof/>
                <w:color w:val="000000" w:themeColor="text1"/>
                <w:sz w:val="18"/>
                <w:szCs w:val="18"/>
              </w:rPr>
              <w:t xml:space="preserve">persons </w:t>
            </w:r>
            <w:r w:rsidRPr="00D1795B">
              <w:rPr>
                <w:rFonts w:ascii="Times New Roman" w:hAnsi="Times New Roman" w:cs="Times New Roman"/>
                <w:noProof/>
                <w:color w:val="000000" w:themeColor="text1"/>
                <w:sz w:val="18"/>
                <w:szCs w:val="18"/>
                <w:u w:val="single"/>
              </w:rPr>
              <w:t>(</w:t>
            </w:r>
            <w:r w:rsidRPr="00D1795B">
              <w:rPr>
                <w:rFonts w:ascii="Times New Roman" w:hAnsi="Times New Roman" w:cs="Times New Roman"/>
                <w:noProof/>
                <w:color w:val="000000" w:themeColor="text1"/>
                <w:sz w:val="18"/>
                <w:szCs w:val="18"/>
              </w:rPr>
              <w:t xml:space="preserve">including at least </w:t>
            </w:r>
            <w:r w:rsidRPr="00D1795B">
              <w:rPr>
                <w:rFonts w:ascii="Times New Roman" w:eastAsia="Times New Roman" w:hAnsi="Times New Roman" w:cs="Times New Roman"/>
                <w:noProof/>
                <w:color w:val="000000" w:themeColor="text1"/>
                <w:sz w:val="18"/>
                <w:szCs w:val="18"/>
              </w:rPr>
              <w:t>140</w:t>
            </w:r>
            <w:r w:rsidRPr="00D1795B">
              <w:rPr>
                <w:rFonts w:ascii="Times New Roman" w:hAnsi="Times New Roman" w:cs="Times New Roman"/>
                <w:noProof/>
                <w:color w:val="000000" w:themeColor="text1"/>
                <w:sz w:val="18"/>
                <w:szCs w:val="18"/>
              </w:rPr>
              <w:t xml:space="preserve"> women)</w:t>
            </w:r>
            <w:r w:rsidRPr="00D1795B">
              <w:rPr>
                <w:rFonts w:ascii="Times New Roman" w:hAnsi="Times New Roman" w:cs="Times New Roman"/>
                <w:noProof/>
                <w:sz w:val="18"/>
                <w:szCs w:val="18"/>
              </w:rPr>
              <w:t>, including telework.</w:t>
            </w:r>
          </w:p>
        </w:tc>
      </w:tr>
      <w:tr w:rsidR="00C02B59" w:rsidRPr="00D1795B" w14:paraId="1887EE09" w14:textId="77777777" w:rsidTr="6B29DC81">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DF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258</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DF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C5.2I1</w:t>
            </w:r>
          </w:p>
          <w:p w14:paraId="1887EDF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Supporting the Department of Labour and Public Employment Services and reinforcing support for young people </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DF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DFE"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Platform and systems accessible</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DF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0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0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1887EE0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3</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0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1887EE0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1887EE05"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Platform and systems accessible for:</w:t>
            </w:r>
          </w:p>
          <w:p w14:paraId="1887EE06"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(1) hiring schemes of the Department of Labour, </w:t>
            </w:r>
          </w:p>
          <w:p w14:paraId="1887EE07"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(2) Performance Management System for the Public Employment Services and </w:t>
            </w:r>
          </w:p>
          <w:p w14:paraId="1887EE08"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(3) an early warning and tracking system for young people (aged 15-29) not in education, employment, or training (NEETs) for the Public Employment Services, </w:t>
            </w:r>
          </w:p>
        </w:tc>
      </w:tr>
      <w:tr w:rsidR="00C02B59" w:rsidRPr="00D1795B" w14:paraId="1887EE16" w14:textId="77777777" w:rsidTr="6B29DC81">
        <w:trPr>
          <w:trHeight w:val="309"/>
          <w:jc w:val="center"/>
        </w:trPr>
        <w:tc>
          <w:tcPr>
            <w:tcW w:w="375" w:type="pct"/>
            <w:shd w:val="clear" w:color="auto" w:fill="C6EFCE"/>
            <w:noWrap/>
          </w:tcPr>
          <w:p w14:paraId="1887EE0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259</w:t>
            </w:r>
          </w:p>
        </w:tc>
        <w:tc>
          <w:tcPr>
            <w:tcW w:w="504" w:type="pct"/>
            <w:shd w:val="clear" w:color="auto" w:fill="C6EFCE"/>
            <w:noWrap/>
          </w:tcPr>
          <w:p w14:paraId="1887EE0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C5.2I1</w:t>
            </w:r>
          </w:p>
          <w:p w14:paraId="1887EE0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Supporting the Department of Labour and Public Employment Services and reinforcing support for young people </w:t>
            </w:r>
          </w:p>
        </w:tc>
        <w:tc>
          <w:tcPr>
            <w:tcW w:w="367" w:type="pct"/>
            <w:shd w:val="clear" w:color="auto" w:fill="C6EFCE"/>
            <w:noWrap/>
          </w:tcPr>
          <w:p w14:paraId="1887EE0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550" w:type="pct"/>
            <w:shd w:val="clear" w:color="auto" w:fill="C6EFCE"/>
            <w:noWrap/>
          </w:tcPr>
          <w:p w14:paraId="1887EE0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Grants disbursed to employers for hiring at least 450 young people not in employment or in education or training (NEETs) </w:t>
            </w:r>
          </w:p>
        </w:tc>
        <w:tc>
          <w:tcPr>
            <w:tcW w:w="457" w:type="pct"/>
            <w:shd w:val="clear" w:color="auto" w:fill="C6EFCE"/>
            <w:noWrap/>
          </w:tcPr>
          <w:p w14:paraId="1887EE0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1" w:type="pct"/>
            <w:shd w:val="clear" w:color="auto" w:fill="C6EFCE"/>
            <w:noWrap/>
          </w:tcPr>
          <w:p w14:paraId="1887EE1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21" w:type="pct"/>
            <w:shd w:val="clear" w:color="auto" w:fill="C6EFCE"/>
            <w:noWrap/>
          </w:tcPr>
          <w:p w14:paraId="1887EE1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30" w:type="pct"/>
            <w:shd w:val="clear" w:color="auto" w:fill="C6EFCE"/>
            <w:noWrap/>
          </w:tcPr>
          <w:p w14:paraId="1887EE1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450</w:t>
            </w:r>
          </w:p>
        </w:tc>
        <w:tc>
          <w:tcPr>
            <w:tcW w:w="321" w:type="pct"/>
            <w:shd w:val="clear" w:color="auto" w:fill="C6EFCE"/>
            <w:noWrap/>
          </w:tcPr>
          <w:p w14:paraId="1887EE1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28" w:type="pct"/>
            <w:shd w:val="clear" w:color="auto" w:fill="C6EFCE"/>
            <w:noWrap/>
          </w:tcPr>
          <w:p w14:paraId="1887EE1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1326" w:type="pct"/>
            <w:shd w:val="clear" w:color="auto" w:fill="C6EFCE"/>
            <w:noWrap/>
          </w:tcPr>
          <w:p w14:paraId="1887EE15"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Grants disbursed for hiring at least 450 young people (aged 15-29) not in employment, education, or training (NEETs), for at least 6-month period.</w:t>
            </w:r>
          </w:p>
        </w:tc>
      </w:tr>
      <w:tr w:rsidR="00C02B59" w:rsidRPr="00D1795B" w14:paraId="1887EE23" w14:textId="77777777" w:rsidTr="6B29DC81">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E1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261</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E1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C5.2I2</w:t>
            </w:r>
          </w:p>
          <w:p w14:paraId="1887EE1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Establishment of multifunctional centres and childcare centres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E1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E1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Adoption of a national strategy on early childhood education and care (ECEC) and action plan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E1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Adoption of a national strategy on ECEC and an action plan</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1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1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1887EE1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2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1887EE2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1887EE22"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 national strategy and an action plan on enhancing early childhood education and care (ECEC) have been adopted by the Council of Ministers.</w:t>
            </w:r>
          </w:p>
        </w:tc>
      </w:tr>
      <w:tr w:rsidR="00C02B59" w:rsidRPr="00D1795B" w14:paraId="1887EE30" w14:textId="77777777" w:rsidTr="6B29DC81">
        <w:trPr>
          <w:trHeight w:val="309"/>
          <w:jc w:val="center"/>
        </w:trPr>
        <w:tc>
          <w:tcPr>
            <w:tcW w:w="375" w:type="pct"/>
            <w:shd w:val="clear" w:color="auto" w:fill="C6EFCE"/>
            <w:noWrap/>
          </w:tcPr>
          <w:p w14:paraId="1887EE2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263</w:t>
            </w:r>
          </w:p>
        </w:tc>
        <w:tc>
          <w:tcPr>
            <w:tcW w:w="504" w:type="pct"/>
            <w:shd w:val="clear" w:color="auto" w:fill="C6EFCE"/>
            <w:noWrap/>
          </w:tcPr>
          <w:p w14:paraId="1887EE2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C5.2I2</w:t>
            </w:r>
          </w:p>
          <w:p w14:paraId="1887EE2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Establishment of multifunctional centres and childcare centres</w:t>
            </w:r>
          </w:p>
        </w:tc>
        <w:tc>
          <w:tcPr>
            <w:tcW w:w="367" w:type="pct"/>
            <w:shd w:val="clear" w:color="auto" w:fill="C6EFCE"/>
            <w:noWrap/>
          </w:tcPr>
          <w:p w14:paraId="1887EE2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550" w:type="pct"/>
            <w:shd w:val="clear" w:color="auto" w:fill="C6EFCE"/>
            <w:noWrap/>
          </w:tcPr>
          <w:p w14:paraId="1887EE2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Grant disbursed to at least 9 local authorities/ Non-Governmental Organisations for Multifunctional Centres or Childcare Centres</w:t>
            </w:r>
          </w:p>
        </w:tc>
        <w:tc>
          <w:tcPr>
            <w:tcW w:w="457" w:type="pct"/>
            <w:shd w:val="clear" w:color="auto" w:fill="C6EFCE"/>
            <w:noWrap/>
          </w:tcPr>
          <w:p w14:paraId="1887EE2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1" w:type="pct"/>
            <w:shd w:val="clear" w:color="auto" w:fill="C6EFCE"/>
            <w:noWrap/>
          </w:tcPr>
          <w:p w14:paraId="1887EE2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21" w:type="pct"/>
            <w:shd w:val="clear" w:color="auto" w:fill="C6EFCE"/>
            <w:noWrap/>
          </w:tcPr>
          <w:p w14:paraId="1887EE2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30" w:type="pct"/>
            <w:shd w:val="clear" w:color="auto" w:fill="C6EFCE"/>
            <w:noWrap/>
          </w:tcPr>
          <w:p w14:paraId="1887EE2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9</w:t>
            </w:r>
          </w:p>
        </w:tc>
        <w:tc>
          <w:tcPr>
            <w:tcW w:w="321" w:type="pct"/>
            <w:shd w:val="clear" w:color="auto" w:fill="C6EFCE"/>
            <w:noWrap/>
          </w:tcPr>
          <w:p w14:paraId="1887EE2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28" w:type="pct"/>
            <w:shd w:val="clear" w:color="auto" w:fill="C6EFCE"/>
            <w:noWrap/>
          </w:tcPr>
          <w:p w14:paraId="1887EE2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1326" w:type="pct"/>
            <w:shd w:val="clear" w:color="auto" w:fill="C6EFCE"/>
            <w:noWrap/>
          </w:tcPr>
          <w:p w14:paraId="1887EE2F"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Grant disbursed to at least 9 local authorities/ Non-Governmental Organisations for Multifunctional Centres or Childcare Centres.</w:t>
            </w:r>
          </w:p>
        </w:tc>
      </w:tr>
      <w:tr w:rsidR="00C02B59" w:rsidRPr="00D1795B" w14:paraId="1887EE3D" w14:textId="77777777" w:rsidTr="6B29DC81">
        <w:trPr>
          <w:trHeight w:val="309"/>
          <w:jc w:val="center"/>
        </w:trPr>
        <w:tc>
          <w:tcPr>
            <w:tcW w:w="375" w:type="pct"/>
            <w:shd w:val="clear" w:color="auto" w:fill="C6EFCE"/>
            <w:noWrap/>
          </w:tcPr>
          <w:p w14:paraId="1887EE3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264</w:t>
            </w:r>
          </w:p>
        </w:tc>
        <w:tc>
          <w:tcPr>
            <w:tcW w:w="504" w:type="pct"/>
            <w:shd w:val="clear" w:color="auto" w:fill="C6EFCE"/>
            <w:noWrap/>
          </w:tcPr>
          <w:p w14:paraId="1887EE3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C5.2I3</w:t>
            </w:r>
          </w:p>
          <w:p w14:paraId="1887EE3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Establishment of Home structures for people in need of long-term care (LTC)</w:t>
            </w:r>
          </w:p>
        </w:tc>
        <w:tc>
          <w:tcPr>
            <w:tcW w:w="367" w:type="pct"/>
            <w:shd w:val="clear" w:color="auto" w:fill="C6EFCE"/>
            <w:noWrap/>
          </w:tcPr>
          <w:p w14:paraId="1887EE3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550" w:type="pct"/>
            <w:shd w:val="clear" w:color="auto" w:fill="C6EFCE"/>
            <w:noWrap/>
          </w:tcPr>
          <w:p w14:paraId="1887EE3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Home structures for people in need of long-term care </w:t>
            </w:r>
          </w:p>
        </w:tc>
        <w:tc>
          <w:tcPr>
            <w:tcW w:w="457" w:type="pct"/>
            <w:shd w:val="clear" w:color="auto" w:fill="C6EFCE"/>
            <w:noWrap/>
          </w:tcPr>
          <w:p w14:paraId="1887EE3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w:t>
            </w:r>
          </w:p>
        </w:tc>
        <w:tc>
          <w:tcPr>
            <w:tcW w:w="321" w:type="pct"/>
            <w:shd w:val="clear" w:color="auto" w:fill="C6EFCE"/>
            <w:noWrap/>
          </w:tcPr>
          <w:p w14:paraId="1887EE3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21" w:type="pct"/>
            <w:shd w:val="clear" w:color="auto" w:fill="C6EFCE"/>
            <w:noWrap/>
          </w:tcPr>
          <w:p w14:paraId="1887EE3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30" w:type="pct"/>
            <w:shd w:val="clear" w:color="auto" w:fill="C6EFCE"/>
            <w:noWrap/>
          </w:tcPr>
          <w:p w14:paraId="1887EE3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4</w:t>
            </w:r>
          </w:p>
        </w:tc>
        <w:tc>
          <w:tcPr>
            <w:tcW w:w="321" w:type="pct"/>
            <w:shd w:val="clear" w:color="auto" w:fill="C6EFCE"/>
            <w:noWrap/>
          </w:tcPr>
          <w:p w14:paraId="1887EE3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28" w:type="pct"/>
            <w:shd w:val="clear" w:color="auto" w:fill="C6EFCE"/>
            <w:noWrap/>
          </w:tcPr>
          <w:p w14:paraId="1887EE3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1326" w:type="pct"/>
            <w:shd w:val="clear" w:color="auto" w:fill="C6EFCE"/>
            <w:noWrap/>
          </w:tcPr>
          <w:p w14:paraId="1887EE3C"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Completion certificate of at least 4 home structures for people in need of long-term care.</w:t>
            </w:r>
          </w:p>
        </w:tc>
      </w:tr>
      <w:tr w:rsidR="00C02B59" w:rsidRPr="00D1795B" w14:paraId="1887EE4A" w14:textId="77777777" w:rsidTr="6B29DC81">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E3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266</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E3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C5.2I4</w:t>
            </w:r>
          </w:p>
          <w:p w14:paraId="1887EE4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Child Centres in Municipalities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E4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E4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Construction of at least one child centre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E4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4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4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1887EE4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4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1887EE4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1887EE49"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Completion of construction and issue of taking-over certificate of at least one child centre in one of the following municipalities: Ayios Athanasios, Ayia Napa, Paralimni and Yermasoyia.</w:t>
            </w:r>
          </w:p>
        </w:tc>
      </w:tr>
      <w:tr w:rsidR="00C02B59" w:rsidRPr="00D1795B" w14:paraId="1887EE57" w14:textId="77777777" w:rsidTr="6B29DC81">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E4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267</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E4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C5.2I4</w:t>
            </w:r>
          </w:p>
          <w:p w14:paraId="1887EE4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Child Centres in Municipalities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E4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E4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Construction of at least three child centres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E5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5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5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1887EE5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4</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5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1887EE5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1887EE56"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Issuing of taking-over certificates of three child centres (one child centre in Amathounta, one in Ayia Napa and one in Paralimni -Deryneia). </w:t>
            </w:r>
          </w:p>
        </w:tc>
      </w:tr>
      <w:tr w:rsidR="00C02B59" w:rsidRPr="00D1795B" w14:paraId="1887EE64" w14:textId="77777777" w:rsidTr="6B29DC81">
        <w:trPr>
          <w:trHeight w:val="658"/>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E5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268</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E5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C5.2I5</w:t>
            </w:r>
          </w:p>
          <w:p w14:paraId="1887EE5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Construction of Two Model Special Education Schools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E5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E5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Signing of contract with the selected tenderer (contractor)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E5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The contract shall be signed with the selected tenderer (contractor) </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5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5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1887EE6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6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1887EE6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2022</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1887EE63"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Signing of contract with the selected tenderer(s) (contractor (s)) selected under a competitive call for proposals for the construction of two model schools in Limassol - the Special Education School of Apostolos Loucas and the Red Cross Recovery Special Needs School.</w:t>
            </w:r>
          </w:p>
        </w:tc>
      </w:tr>
      <w:tr w:rsidR="00C02B59" w:rsidRPr="00D1795B" w14:paraId="1887EE72" w14:textId="77777777" w:rsidTr="6B29DC81">
        <w:trPr>
          <w:trHeight w:val="309"/>
          <w:jc w:val="center"/>
        </w:trPr>
        <w:tc>
          <w:tcPr>
            <w:tcW w:w="375" w:type="pct"/>
            <w:shd w:val="clear" w:color="auto" w:fill="C6EFCE"/>
            <w:noWrap/>
          </w:tcPr>
          <w:p w14:paraId="1887EE6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269</w:t>
            </w:r>
          </w:p>
        </w:tc>
        <w:tc>
          <w:tcPr>
            <w:tcW w:w="504" w:type="pct"/>
            <w:shd w:val="clear" w:color="auto" w:fill="C6EFCE"/>
            <w:noWrap/>
          </w:tcPr>
          <w:p w14:paraId="1887EE6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C5.2I5</w:t>
            </w:r>
          </w:p>
          <w:p w14:paraId="1887EE6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Construction of Two Model Special Education Schools</w:t>
            </w:r>
          </w:p>
        </w:tc>
        <w:tc>
          <w:tcPr>
            <w:tcW w:w="367" w:type="pct"/>
            <w:shd w:val="clear" w:color="auto" w:fill="C6EFCE"/>
            <w:noWrap/>
          </w:tcPr>
          <w:p w14:paraId="1887EE6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550" w:type="pct"/>
            <w:shd w:val="clear" w:color="auto" w:fill="C6EFCE"/>
            <w:noWrap/>
          </w:tcPr>
          <w:p w14:paraId="1887EE6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Construction of two Special Education Schools</w:t>
            </w:r>
          </w:p>
        </w:tc>
        <w:tc>
          <w:tcPr>
            <w:tcW w:w="457" w:type="pct"/>
            <w:shd w:val="clear" w:color="auto" w:fill="C6EFCE"/>
            <w:noWrap/>
          </w:tcPr>
          <w:p w14:paraId="1887EE6B" w14:textId="1CC493C9" w:rsidR="00C02B59" w:rsidRPr="00D1795B" w:rsidRDefault="00C02B59" w:rsidP="003B4937">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Taking-over certificates</w:t>
            </w:r>
            <w:r w:rsidR="003B4937">
              <w:rPr>
                <w:rFonts w:ascii="Times New Roman" w:hAnsi="Times New Roman" w:cs="Times New Roman"/>
                <w:noProof/>
                <w:sz w:val="18"/>
                <w:szCs w:val="18"/>
              </w:rPr>
              <w:t xml:space="preserve"> </w:t>
            </w:r>
          </w:p>
        </w:tc>
        <w:tc>
          <w:tcPr>
            <w:tcW w:w="321" w:type="pct"/>
            <w:shd w:val="clear" w:color="auto" w:fill="C6EFCE"/>
            <w:noWrap/>
          </w:tcPr>
          <w:p w14:paraId="1887EE6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1" w:type="pct"/>
            <w:shd w:val="clear" w:color="auto" w:fill="C6EFCE"/>
            <w:noWrap/>
          </w:tcPr>
          <w:p w14:paraId="1887EE6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30" w:type="pct"/>
            <w:shd w:val="clear" w:color="auto" w:fill="C6EFCE"/>
            <w:noWrap/>
          </w:tcPr>
          <w:p w14:paraId="1887EE6E"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1" w:type="pct"/>
            <w:shd w:val="clear" w:color="auto" w:fill="C6EFCE"/>
            <w:noWrap/>
          </w:tcPr>
          <w:p w14:paraId="1887EE6F"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28" w:type="pct"/>
            <w:shd w:val="clear" w:color="auto" w:fill="C6EFCE"/>
            <w:noWrap/>
          </w:tcPr>
          <w:p w14:paraId="1887EE70"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1326" w:type="pct"/>
            <w:shd w:val="clear" w:color="auto" w:fill="C6EFCE"/>
            <w:noWrap/>
          </w:tcPr>
          <w:p w14:paraId="1887EE71"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Taking-over certificates of two Special Education Schools in Limassol. </w:t>
            </w:r>
          </w:p>
        </w:tc>
      </w:tr>
      <w:tr w:rsidR="00C02B59" w:rsidRPr="00D1795B" w14:paraId="1887EE7F" w14:textId="77777777" w:rsidTr="6B29DC81">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1887EE7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270</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1887EE7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C5.2R1</w:t>
            </w:r>
          </w:p>
          <w:p w14:paraId="1887EE7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Reform of the Social Insurance System and Restructuring of the Social Insurance Services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887EE7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887EE7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revised Social Insurance Law</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887EE7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Provision in the amending law indicating the entry into force of the revisions to the Social Insurance Law </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79"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7A"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1887EE7B" w14:textId="77777777" w:rsidR="00C02B59" w:rsidRPr="00D1795B" w:rsidRDefault="00C02B59" w:rsidP="00C02B59">
            <w:pPr>
              <w:spacing w:after="0" w:line="240" w:lineRule="auto"/>
              <w:jc w:val="center"/>
              <w:rPr>
                <w:rFonts w:ascii="Times New Roman" w:hAnsi="Times New Roman" w:cs="Times New Roman"/>
                <w:noProof/>
                <w:sz w:val="18"/>
                <w:szCs w:val="18"/>
              </w:rPr>
            </w:pP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887EE7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1887EE7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1887EE7E" w14:textId="77777777" w:rsidR="00C02B59" w:rsidRPr="00D1795B" w:rsidDel="00104489"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the revised Social Insurance Law, which shall incorporate the extension of the social insurance coverage to self-employed. </w:t>
            </w:r>
          </w:p>
        </w:tc>
      </w:tr>
      <w:tr w:rsidR="00C02B59" w:rsidRPr="00D1795B" w14:paraId="1887EE92" w14:textId="77777777" w:rsidTr="6B29DC81">
        <w:trPr>
          <w:trHeight w:val="309"/>
          <w:jc w:val="center"/>
        </w:trPr>
        <w:tc>
          <w:tcPr>
            <w:tcW w:w="375" w:type="pct"/>
            <w:shd w:val="clear" w:color="auto" w:fill="C6EFCE"/>
            <w:noWrap/>
          </w:tcPr>
          <w:p w14:paraId="1887EE80" w14:textId="15387A18"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271</w:t>
            </w:r>
          </w:p>
        </w:tc>
        <w:tc>
          <w:tcPr>
            <w:tcW w:w="504" w:type="pct"/>
            <w:shd w:val="clear" w:color="auto" w:fill="C6EFCE"/>
            <w:noWrap/>
          </w:tcPr>
          <w:p w14:paraId="1887EE8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C5.2R1</w:t>
            </w:r>
          </w:p>
          <w:p w14:paraId="1887EE8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Reform of the Social Insurance System and Restructuring of the Social Insurance Services </w:t>
            </w:r>
          </w:p>
        </w:tc>
        <w:tc>
          <w:tcPr>
            <w:tcW w:w="367" w:type="pct"/>
            <w:shd w:val="clear" w:color="auto" w:fill="C6EFCE"/>
            <w:noWrap/>
          </w:tcPr>
          <w:p w14:paraId="1887EE8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550" w:type="pct"/>
            <w:shd w:val="clear" w:color="auto" w:fill="C6EFCE"/>
            <w:noWrap/>
          </w:tcPr>
          <w:p w14:paraId="1887EE8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Integrated Social Insurance Information System</w:t>
            </w:r>
            <w:r w:rsidRPr="00D1795B">
              <w:rPr>
                <w:rStyle w:val="eop"/>
                <w:rFonts w:ascii="Times New Roman" w:hAnsi="Times New Roman" w:cs="Times New Roman"/>
                <w:noProof/>
                <w:color w:val="000000"/>
                <w:sz w:val="18"/>
                <w:szCs w:val="18"/>
                <w:shd w:val="clear" w:color="auto" w:fill="FFFFFF"/>
              </w:rPr>
              <w:t xml:space="preserve"> </w:t>
            </w:r>
          </w:p>
        </w:tc>
        <w:tc>
          <w:tcPr>
            <w:tcW w:w="457" w:type="pct"/>
            <w:shd w:val="clear" w:color="auto" w:fill="C6EFCE"/>
            <w:noWrap/>
          </w:tcPr>
          <w:p w14:paraId="1887EE85" w14:textId="0F2D982E"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Deliverables including a</w:t>
            </w:r>
            <w:r w:rsidR="00FB4F88" w:rsidRPr="00D1795B">
              <w:rPr>
                <w:rFonts w:ascii="Times New Roman" w:hAnsi="Times New Roman" w:cs="Times New Roman"/>
                <w:noProof/>
                <w:sz w:val="18"/>
                <w:szCs w:val="18"/>
              </w:rPr>
              <w:t xml:space="preserve"> </w:t>
            </w:r>
            <w:r w:rsidR="00BD4F03" w:rsidRPr="00D1795B">
              <w:rPr>
                <w:rFonts w:ascii="Times New Roman" w:hAnsi="Times New Roman" w:cs="Times New Roman"/>
                <w:noProof/>
                <w:sz w:val="18"/>
                <w:szCs w:val="18"/>
              </w:rPr>
              <w:t>report,</w:t>
            </w:r>
            <w:r w:rsidRPr="00D1795B">
              <w:rPr>
                <w:rFonts w:ascii="Times New Roman" w:hAnsi="Times New Roman" w:cs="Times New Roman"/>
                <w:noProof/>
                <w:sz w:val="18"/>
                <w:szCs w:val="18"/>
              </w:rPr>
              <w:t xml:space="preserve"> </w:t>
            </w:r>
            <w:r w:rsidR="00BD4F03" w:rsidRPr="00D1795B">
              <w:rPr>
                <w:rFonts w:ascii="Times New Roman" w:hAnsi="Times New Roman" w:cs="Times New Roman"/>
                <w:noProof/>
                <w:sz w:val="18"/>
                <w:szCs w:val="18"/>
              </w:rPr>
              <w:t xml:space="preserve">digital </w:t>
            </w:r>
            <w:r w:rsidR="0260E14D" w:rsidRPr="00D1795B">
              <w:rPr>
                <w:rFonts w:ascii="Times New Roman" w:hAnsi="Times New Roman" w:cs="Times New Roman"/>
                <w:noProof/>
                <w:sz w:val="18"/>
                <w:szCs w:val="18"/>
              </w:rPr>
              <w:t xml:space="preserve">services, management information system </w:t>
            </w:r>
          </w:p>
        </w:tc>
        <w:tc>
          <w:tcPr>
            <w:tcW w:w="321" w:type="pct"/>
            <w:shd w:val="clear" w:color="auto" w:fill="C6EFCE"/>
            <w:noWrap/>
          </w:tcPr>
          <w:p w14:paraId="1887EE86"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1" w:type="pct"/>
            <w:shd w:val="clear" w:color="auto" w:fill="C6EFCE"/>
            <w:noWrap/>
          </w:tcPr>
          <w:p w14:paraId="1887EE87"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230" w:type="pct"/>
            <w:shd w:val="clear" w:color="auto" w:fill="C6EFCE"/>
            <w:noWrap/>
          </w:tcPr>
          <w:p w14:paraId="1887EE88"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321" w:type="pct"/>
            <w:shd w:val="clear" w:color="auto" w:fill="C6EFCE"/>
            <w:noWrap/>
          </w:tcPr>
          <w:p w14:paraId="1887EE8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228" w:type="pct"/>
            <w:shd w:val="clear" w:color="auto" w:fill="C6EFCE"/>
            <w:noWrap/>
          </w:tcPr>
          <w:p w14:paraId="1887EE8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1326" w:type="pct"/>
            <w:shd w:val="clear" w:color="auto" w:fill="C6EFCE"/>
            <w:noWrap/>
          </w:tcPr>
          <w:p w14:paraId="1887EE8B"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Integrated Social Insurance Information System including:</w:t>
            </w:r>
          </w:p>
          <w:p w14:paraId="1887EE8D" w14:textId="6921A016" w:rsidR="00C02B59" w:rsidRPr="00D1795B" w:rsidRDefault="00C02B59" w:rsidP="005D6CF7">
            <w:pPr>
              <w:pStyle w:val="ListParagraph"/>
              <w:numPr>
                <w:ilvl w:val="0"/>
                <w:numId w:val="31"/>
              </w:numPr>
              <w:spacing w:after="0" w:line="240" w:lineRule="auto"/>
              <w:jc w:val="both"/>
              <w:rPr>
                <w:rFonts w:ascii="Times New Roman" w:hAnsi="Times New Roman" w:cs="Times New Roman"/>
                <w:noProof/>
                <w:sz w:val="18"/>
                <w:szCs w:val="18"/>
                <w:lang w:val="en-GB"/>
              </w:rPr>
            </w:pPr>
            <w:r w:rsidRPr="00D1795B">
              <w:rPr>
                <w:rFonts w:ascii="Times New Roman" w:hAnsi="Times New Roman" w:cs="Times New Roman"/>
                <w:noProof/>
                <w:sz w:val="18"/>
                <w:szCs w:val="18"/>
                <w:lang w:val="en-GB"/>
              </w:rPr>
              <w:t xml:space="preserve">a </w:t>
            </w:r>
            <w:r w:rsidR="05472E8C" w:rsidRPr="00D1795B">
              <w:rPr>
                <w:rFonts w:ascii="Times New Roman" w:hAnsi="Times New Roman" w:cs="Times New Roman"/>
                <w:noProof/>
                <w:sz w:val="18"/>
                <w:szCs w:val="18"/>
                <w:lang w:val="en-GB"/>
              </w:rPr>
              <w:t xml:space="preserve">report </w:t>
            </w:r>
            <w:r w:rsidRPr="00D1795B">
              <w:rPr>
                <w:rFonts w:ascii="Times New Roman" w:hAnsi="Times New Roman" w:cs="Times New Roman"/>
                <w:noProof/>
                <w:sz w:val="18"/>
                <w:szCs w:val="18"/>
                <w:lang w:val="en-GB"/>
              </w:rPr>
              <w:t xml:space="preserve">on the current IT system, </w:t>
            </w:r>
          </w:p>
          <w:p w14:paraId="1887EE8E" w14:textId="75FE7620" w:rsidR="005D6CF7" w:rsidRPr="00D1795B" w:rsidRDefault="00CB1B1D" w:rsidP="005D6CF7">
            <w:pPr>
              <w:pStyle w:val="ListParagraph"/>
              <w:numPr>
                <w:ilvl w:val="0"/>
                <w:numId w:val="31"/>
              </w:numPr>
              <w:spacing w:after="0" w:line="240" w:lineRule="auto"/>
              <w:jc w:val="both"/>
              <w:rPr>
                <w:rFonts w:ascii="Times New Roman" w:hAnsi="Times New Roman" w:cs="Times New Roman"/>
                <w:noProof/>
                <w:sz w:val="18"/>
                <w:szCs w:val="18"/>
                <w:lang w:val="en-GB"/>
              </w:rPr>
            </w:pPr>
            <w:r w:rsidRPr="00D1795B">
              <w:rPr>
                <w:rFonts w:ascii="Times New Roman" w:hAnsi="Times New Roman" w:cs="Times New Roman"/>
                <w:noProof/>
                <w:sz w:val="18"/>
                <w:szCs w:val="18"/>
                <w:lang w:val="en-GB"/>
              </w:rPr>
              <w:t>interoperability</w:t>
            </w:r>
            <w:r w:rsidR="00C02B59" w:rsidRPr="00D1795B">
              <w:rPr>
                <w:rFonts w:ascii="Times New Roman" w:hAnsi="Times New Roman" w:cs="Times New Roman"/>
                <w:noProof/>
                <w:sz w:val="18"/>
                <w:szCs w:val="18"/>
                <w:lang w:val="en-GB"/>
              </w:rPr>
              <w:t xml:space="preserve"> with other systems</w:t>
            </w:r>
            <w:r w:rsidR="00C37BC2" w:rsidRPr="00D1795B">
              <w:rPr>
                <w:rFonts w:ascii="Times New Roman" w:hAnsi="Times New Roman" w:cs="Times New Roman"/>
                <w:noProof/>
                <w:sz w:val="18"/>
                <w:szCs w:val="18"/>
                <w:lang w:val="en-GB"/>
              </w:rPr>
              <w:t>,</w:t>
            </w:r>
            <w:r w:rsidR="00C02B59" w:rsidRPr="00D1795B">
              <w:rPr>
                <w:rFonts w:ascii="Times New Roman" w:hAnsi="Times New Roman" w:cs="Times New Roman"/>
                <w:noProof/>
                <w:sz w:val="18"/>
                <w:szCs w:val="18"/>
                <w:lang w:val="en-GB"/>
              </w:rPr>
              <w:t xml:space="preserve"> </w:t>
            </w:r>
          </w:p>
          <w:p w14:paraId="64BA3BB8" w14:textId="0C646ACE" w:rsidR="005D6CF7" w:rsidRPr="00D1795B" w:rsidRDefault="005D6CF7" w:rsidP="00C02B59">
            <w:pPr>
              <w:pStyle w:val="ListParagraph"/>
              <w:numPr>
                <w:ilvl w:val="0"/>
                <w:numId w:val="31"/>
              </w:numPr>
              <w:spacing w:after="0" w:line="240" w:lineRule="auto"/>
              <w:jc w:val="both"/>
              <w:rPr>
                <w:rFonts w:ascii="Times New Roman" w:hAnsi="Times New Roman" w:cs="Times New Roman"/>
                <w:noProof/>
                <w:sz w:val="18"/>
                <w:szCs w:val="18"/>
                <w:lang w:val="en-GB"/>
              </w:rPr>
            </w:pPr>
            <w:r w:rsidRPr="00D1795B">
              <w:rPr>
                <w:rFonts w:ascii="Times New Roman" w:hAnsi="Times New Roman" w:cs="Times New Roman"/>
                <w:noProof/>
                <w:sz w:val="18"/>
                <w:szCs w:val="18"/>
                <w:lang w:val="en-GB"/>
              </w:rPr>
              <w:t>digital services,</w:t>
            </w:r>
          </w:p>
          <w:p w14:paraId="1887EE91" w14:textId="5A5CB4DB" w:rsidR="00C02B59" w:rsidRPr="00D1795B" w:rsidDel="00104489" w:rsidRDefault="005D6CF7" w:rsidP="00C02B59">
            <w:pPr>
              <w:pStyle w:val="ListParagraph"/>
              <w:numPr>
                <w:ilvl w:val="0"/>
                <w:numId w:val="31"/>
              </w:numPr>
              <w:spacing w:after="0" w:line="240" w:lineRule="auto"/>
              <w:jc w:val="both"/>
              <w:rPr>
                <w:rFonts w:ascii="Times New Roman" w:hAnsi="Times New Roman" w:cs="Times New Roman"/>
                <w:noProof/>
                <w:sz w:val="18"/>
                <w:szCs w:val="18"/>
                <w:lang w:val="en-GB"/>
              </w:rPr>
            </w:pPr>
            <w:r w:rsidRPr="00D1795B">
              <w:rPr>
                <w:rFonts w:ascii="Times New Roman" w:hAnsi="Times New Roman" w:cs="Times New Roman"/>
                <w:noProof/>
                <w:sz w:val="18"/>
                <w:szCs w:val="18"/>
                <w:lang w:val="en-GB"/>
              </w:rPr>
              <w:t>m</w:t>
            </w:r>
            <w:r w:rsidR="74C27C52" w:rsidRPr="00D1795B">
              <w:rPr>
                <w:rFonts w:ascii="Times New Roman" w:hAnsi="Times New Roman" w:cs="Times New Roman"/>
                <w:noProof/>
                <w:sz w:val="18"/>
                <w:szCs w:val="18"/>
                <w:lang w:val="en-GB"/>
              </w:rPr>
              <w:t>anagement information system</w:t>
            </w:r>
            <w:r w:rsidR="00C37BC2" w:rsidRPr="00D1795B">
              <w:rPr>
                <w:rFonts w:ascii="Times New Roman" w:hAnsi="Times New Roman" w:cs="Times New Roman"/>
                <w:noProof/>
                <w:sz w:val="18"/>
                <w:szCs w:val="18"/>
                <w:lang w:val="en-GB"/>
              </w:rPr>
              <w:t>.</w:t>
            </w:r>
          </w:p>
        </w:tc>
      </w:tr>
    </w:tbl>
    <w:p w14:paraId="1887EE93" w14:textId="77777777" w:rsidR="00C02B59" w:rsidRPr="00D1795B" w:rsidRDefault="00C02B59">
      <w:pPr>
        <w:rPr>
          <w:noProof/>
        </w:rPr>
      </w:pPr>
    </w:p>
    <w:p w14:paraId="1887EE94" w14:textId="77777777" w:rsidR="00C02B59" w:rsidRPr="00D1795B" w:rsidRDefault="00C02B59">
      <w:pPr>
        <w:rPr>
          <w:noProof/>
        </w:rPr>
        <w:sectPr w:rsidR="00C02B59" w:rsidRPr="00D1795B" w:rsidSect="00C02B59">
          <w:headerReference w:type="even" r:id="rId167"/>
          <w:headerReference w:type="default" r:id="rId168"/>
          <w:footerReference w:type="even" r:id="rId169"/>
          <w:footerReference w:type="default" r:id="rId170"/>
          <w:headerReference w:type="first" r:id="rId171"/>
          <w:footerReference w:type="first" r:id="rId172"/>
          <w:pgSz w:w="15840" w:h="12240" w:orient="landscape"/>
          <w:pgMar w:top="1134" w:right="1134" w:bottom="1134" w:left="1134" w:header="567" w:footer="567" w:gutter="0"/>
          <w:cols w:space="720"/>
          <w:docGrid w:linePitch="360"/>
        </w:sectPr>
      </w:pPr>
    </w:p>
    <w:p w14:paraId="1887EE95" w14:textId="77777777" w:rsidR="00C02B59" w:rsidRPr="00D1795B" w:rsidRDefault="00C02B59" w:rsidP="00C02B59">
      <w:pPr>
        <w:keepNext/>
        <w:tabs>
          <w:tab w:val="left" w:pos="850"/>
        </w:tabs>
        <w:spacing w:before="360" w:after="120" w:line="240" w:lineRule="auto"/>
        <w:ind w:left="850" w:hanging="850"/>
        <w:jc w:val="both"/>
        <w:outlineLvl w:val="0"/>
        <w:rPr>
          <w:rFonts w:ascii="Times New Roman" w:hAnsi="Times New Roman"/>
          <w:b/>
          <w:smallCaps/>
          <w:noProof/>
        </w:rPr>
      </w:pPr>
      <w:r w:rsidRPr="00D1795B">
        <w:rPr>
          <w:rFonts w:ascii="Times New Roman" w:hAnsi="Times New Roman"/>
          <w:b/>
          <w:smallCaps/>
          <w:noProof/>
        </w:rPr>
        <w:t>N. COMPONENT 6.1: REPowerEU</w:t>
      </w:r>
    </w:p>
    <w:p w14:paraId="1887EE96" w14:textId="77777777" w:rsidR="00C02B59" w:rsidRPr="00D1795B" w:rsidRDefault="00C02B59" w:rsidP="00C02B59">
      <w:pPr>
        <w:spacing w:before="120" w:after="120" w:line="278" w:lineRule="auto"/>
        <w:jc w:val="both"/>
        <w:textAlignment w:val="baseline"/>
        <w:rPr>
          <w:rFonts w:ascii="Times New Roman" w:hAnsi="Times New Roman"/>
          <w:noProof/>
        </w:rPr>
      </w:pPr>
      <w:r w:rsidRPr="00D1795B">
        <w:rPr>
          <w:rFonts w:ascii="Times New Roman" w:hAnsi="Times New Roman"/>
          <w:noProof/>
        </w:rPr>
        <w:t xml:space="preserve">The REPowerEU chapter addresses the challenge of reducing reliance on fossil fuels. The objectives of the component are to strongly reduce Cyprus’ dependence from imported fossil fuels in general. The new RePowerEU chapter contributes to the achievement of Cyprus’s energy efficiency obligations and targets set for 2030, under the National Energy and Climate Plan. In order to limit its energy dependence, Cyprus shall further invest in energy efficiency </w:t>
      </w:r>
      <w:r w:rsidRPr="00D1795B" w:rsidDel="4CD04EF9">
        <w:rPr>
          <w:rFonts w:ascii="Times New Roman" w:hAnsi="Times New Roman"/>
          <w:noProof/>
        </w:rPr>
        <w:t>improvements</w:t>
      </w:r>
      <w:r w:rsidRPr="00D1795B">
        <w:rPr>
          <w:rFonts w:ascii="Times New Roman" w:hAnsi="Times New Roman"/>
          <w:noProof/>
        </w:rPr>
        <w:t xml:space="preserve"> in buildings and road transport and accelerate the deployment of renewables.</w:t>
      </w:r>
    </w:p>
    <w:p w14:paraId="1887EE97" w14:textId="77777777" w:rsidR="00C02B59" w:rsidRPr="00D1795B" w:rsidRDefault="00C02B59" w:rsidP="00C02B59">
      <w:pPr>
        <w:spacing w:before="120" w:after="120" w:line="278" w:lineRule="auto"/>
        <w:jc w:val="both"/>
        <w:textAlignment w:val="baseline"/>
        <w:rPr>
          <w:noProof/>
        </w:rPr>
      </w:pPr>
    </w:p>
    <w:p w14:paraId="1887EE98" w14:textId="77777777" w:rsidR="00C02B59" w:rsidRPr="00D1795B" w:rsidRDefault="00C02B59" w:rsidP="00C02B59">
      <w:pPr>
        <w:spacing w:before="120" w:after="120" w:line="278" w:lineRule="auto"/>
        <w:jc w:val="both"/>
        <w:textAlignment w:val="baseline"/>
        <w:rPr>
          <w:rFonts w:ascii="Times New Roman" w:hAnsi="Times New Roman"/>
          <w:noProof/>
        </w:rPr>
      </w:pPr>
      <w:r w:rsidRPr="00D1795B">
        <w:rPr>
          <w:rFonts w:ascii="Times New Roman" w:hAnsi="Times New Roman"/>
          <w:noProof/>
        </w:rPr>
        <w:t>The measures included in the REPowerEU chapter</w:t>
      </w:r>
      <w:r w:rsidRPr="00D1795B">
        <w:rPr>
          <w:rFonts w:ascii="Times New Roman" w:hAnsi="Times New Roman"/>
          <w:b/>
          <w:noProof/>
        </w:rPr>
        <w:t xml:space="preserve"> </w:t>
      </w:r>
      <w:r w:rsidRPr="00D1795B">
        <w:rPr>
          <w:rFonts w:ascii="Times New Roman" w:hAnsi="Times New Roman"/>
          <w:noProof/>
        </w:rPr>
        <w:t>address most aspects of recent country-specific recommendations in the field of energy, as they shall foster research and innovation in the field of green transition and energy production, storage, transmission and distribution solutions, promote renewables and accelerate energy efficiency measures in various buildings in the public and private sector, enhance the regulatory framework for the operation of Energy Communities, and promote widespread use of Electric Vehicles.</w:t>
      </w:r>
    </w:p>
    <w:p w14:paraId="1887EE99" w14:textId="77777777" w:rsidR="00C02B59" w:rsidRPr="00D1795B" w:rsidRDefault="00C02B59" w:rsidP="00C02B59">
      <w:pPr>
        <w:spacing w:before="120" w:after="120" w:line="278" w:lineRule="auto"/>
        <w:jc w:val="both"/>
        <w:textAlignment w:val="baseline"/>
        <w:rPr>
          <w:noProof/>
        </w:rPr>
      </w:pPr>
    </w:p>
    <w:p w14:paraId="1887EE9A" w14:textId="77777777" w:rsidR="00C02B59" w:rsidRPr="00D1795B" w:rsidRDefault="00C02B59" w:rsidP="00C02B59">
      <w:pPr>
        <w:spacing w:before="120" w:after="120" w:line="278" w:lineRule="auto"/>
        <w:jc w:val="both"/>
        <w:rPr>
          <w:rFonts w:ascii="Times New Roman" w:hAnsi="Times New Roman" w:cs="Times New Roman"/>
          <w:noProof/>
        </w:rPr>
      </w:pPr>
      <w:r w:rsidRPr="00D1795B">
        <w:rPr>
          <w:rFonts w:ascii="Times New Roman" w:hAnsi="Times New Roman" w:cs="Times New Roman"/>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1887EE9B" w14:textId="77777777" w:rsidR="00C02B59" w:rsidRPr="00D1795B" w:rsidRDefault="00C02B59" w:rsidP="00C02B59">
      <w:pPr>
        <w:spacing w:before="120" w:after="120" w:line="278" w:lineRule="auto"/>
        <w:jc w:val="both"/>
        <w:rPr>
          <w:rFonts w:ascii="Times New Roman" w:hAnsi="Times New Roman" w:cs="Times New Roman"/>
          <w:noProof/>
        </w:rPr>
      </w:pPr>
    </w:p>
    <w:p w14:paraId="1887EE9C" w14:textId="77777777" w:rsidR="00C02B59" w:rsidRPr="00D1795B" w:rsidRDefault="00C02B59" w:rsidP="00C02B59">
      <w:pPr>
        <w:spacing w:before="120" w:after="120" w:line="278" w:lineRule="auto"/>
        <w:jc w:val="both"/>
        <w:rPr>
          <w:rFonts w:ascii="Times New Roman" w:hAnsi="Times New Roman" w:cs="Times New Roman"/>
          <w:noProof/>
        </w:rPr>
      </w:pPr>
      <w:r w:rsidRPr="00D1795B">
        <w:rPr>
          <w:rFonts w:ascii="Times New Roman" w:hAnsi="Times New Roman" w:cs="Times New Roman"/>
          <w:noProof/>
        </w:rPr>
        <w:t xml:space="preserve">The </w:t>
      </w:r>
      <w:r w:rsidRPr="00D1795B" w:rsidDel="4CD04EF9">
        <w:rPr>
          <w:rFonts w:ascii="Times New Roman" w:hAnsi="Times New Roman" w:cs="Times New Roman"/>
          <w:noProof/>
        </w:rPr>
        <w:t xml:space="preserve">implementation of the </w:t>
      </w:r>
      <w:r w:rsidRPr="00D1795B">
        <w:rPr>
          <w:rFonts w:ascii="Times New Roman" w:hAnsi="Times New Roman" w:cs="Times New Roman"/>
          <w:noProof/>
        </w:rPr>
        <w:t xml:space="preserve">measures is expected to contribute to reducing dependency on fossil fuels. Increasing the share of renewable energy sources has a cross-border and multi-country dimension because it contributes to securing the energy supply in the Union as a whole. </w:t>
      </w:r>
    </w:p>
    <w:p w14:paraId="1887EE9D" w14:textId="77777777" w:rsidR="00C02B59" w:rsidRPr="00D1795B" w:rsidRDefault="00C02B59" w:rsidP="00C02B59">
      <w:pPr>
        <w:spacing w:before="120" w:after="120" w:line="278" w:lineRule="auto"/>
        <w:jc w:val="both"/>
        <w:rPr>
          <w:rFonts w:ascii="Times New Roman" w:hAnsi="Times New Roman" w:cs="Times New Roman"/>
          <w:noProof/>
        </w:rPr>
      </w:pPr>
    </w:p>
    <w:p w14:paraId="1887EE9E" w14:textId="77777777" w:rsidR="00C02B59" w:rsidRPr="00D1795B" w:rsidRDefault="00C02B59" w:rsidP="00C02B59">
      <w:pPr>
        <w:spacing w:before="120" w:after="120" w:line="240" w:lineRule="auto"/>
        <w:jc w:val="both"/>
        <w:rPr>
          <w:rFonts w:ascii="Times New Roman" w:hAnsi="Times New Roman" w:cs="Times New Roman"/>
          <w:b/>
          <w:noProof/>
          <w:u w:val="single"/>
        </w:rPr>
      </w:pPr>
      <w:r w:rsidRPr="00D1795B">
        <w:rPr>
          <w:rFonts w:ascii="Times New Roman" w:hAnsi="Times New Roman" w:cs="Times New Roman"/>
          <w:b/>
          <w:noProof/>
          <w:u w:val="single"/>
        </w:rPr>
        <w:t xml:space="preserve">N.1. </w:t>
      </w:r>
      <w:r w:rsidRPr="00D1795B">
        <w:rPr>
          <w:rFonts w:ascii="Times New Roman" w:hAnsi="Times New Roman" w:cs="Times New Roman"/>
          <w:noProof/>
        </w:rPr>
        <w:tab/>
      </w:r>
      <w:r w:rsidRPr="00D1795B">
        <w:rPr>
          <w:rFonts w:ascii="Times New Roman" w:hAnsi="Times New Roman" w:cs="Times New Roman"/>
          <w:b/>
          <w:noProof/>
          <w:u w:val="single"/>
        </w:rPr>
        <w:t>Description of the reforms and investments for non-repayable financial support</w:t>
      </w:r>
    </w:p>
    <w:p w14:paraId="1887EE9F" w14:textId="77777777" w:rsidR="00C02B59" w:rsidRPr="00D1795B" w:rsidRDefault="00C02B59" w:rsidP="00C02B59">
      <w:pPr>
        <w:spacing w:before="120" w:after="120"/>
        <w:jc w:val="both"/>
        <w:rPr>
          <w:rFonts w:ascii="Times New Roman" w:hAnsi="Times New Roman" w:cs="Times New Roman"/>
          <w:noProof/>
          <w:u w:val="single"/>
        </w:rPr>
      </w:pPr>
      <w:r w:rsidRPr="00D1795B">
        <w:rPr>
          <w:rFonts w:ascii="Times New Roman" w:hAnsi="Times New Roman" w:cs="Times New Roman"/>
          <w:noProof/>
          <w:u w:val="single"/>
        </w:rPr>
        <w:t xml:space="preserve">Reform 1 (C6.1R1) Regulating and facilitating the participation of citizens in the electricity market </w:t>
      </w:r>
    </w:p>
    <w:p w14:paraId="1887EEA0" w14:textId="77777777" w:rsidR="00C02B59" w:rsidRPr="00D1795B" w:rsidRDefault="00C02B59" w:rsidP="00C02B59">
      <w:pPr>
        <w:spacing w:before="120" w:after="120" w:line="278" w:lineRule="auto"/>
        <w:jc w:val="both"/>
        <w:rPr>
          <w:rFonts w:ascii="Times New Roman" w:hAnsi="Times New Roman" w:cs="Times New Roman"/>
          <w:noProof/>
        </w:rPr>
      </w:pPr>
      <w:r w:rsidRPr="00D1795B">
        <w:rPr>
          <w:rFonts w:ascii="Times New Roman" w:hAnsi="Times New Roman" w:cs="Times New Roman"/>
          <w:noProof/>
        </w:rPr>
        <w:t xml:space="preserve">The objective of this reform is the participation of citizens in the national energy market. </w:t>
      </w:r>
    </w:p>
    <w:p w14:paraId="1887EEA1" w14:textId="77777777" w:rsidR="00C02B59" w:rsidRPr="00D1795B" w:rsidRDefault="00C02B59" w:rsidP="00C02B59">
      <w:pPr>
        <w:spacing w:before="120" w:after="120" w:line="278" w:lineRule="auto"/>
        <w:jc w:val="both"/>
        <w:rPr>
          <w:rFonts w:ascii="Times New Roman" w:hAnsi="Times New Roman" w:cs="Times New Roman"/>
          <w:noProof/>
        </w:rPr>
      </w:pPr>
      <w:r w:rsidRPr="00D1795B">
        <w:rPr>
          <w:rFonts w:ascii="Times New Roman" w:hAnsi="Times New Roman" w:cs="Times New Roman"/>
          <w:noProof/>
        </w:rPr>
        <w:t xml:space="preserve">This measure consists in creating a contact point for citizens to participate in the electricity market. </w:t>
      </w:r>
    </w:p>
    <w:p w14:paraId="1887EEA2" w14:textId="77777777" w:rsidR="00C02B59" w:rsidRPr="00D1795B" w:rsidRDefault="00C02B59" w:rsidP="00C02B59">
      <w:pPr>
        <w:jc w:val="both"/>
        <w:rPr>
          <w:rFonts w:ascii="Times New Roman" w:hAnsi="Times New Roman" w:cs="Times New Roman"/>
          <w:noProof/>
        </w:rPr>
      </w:pPr>
    </w:p>
    <w:p w14:paraId="1887EEA3"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Reform 2 (C6.1R2) Introduction of regulatory framework for the connection of EV recharging points to the distribution network</w:t>
      </w:r>
    </w:p>
    <w:p w14:paraId="1887EEA4" w14:textId="77777777" w:rsidR="00C02B59" w:rsidRPr="00D1795B" w:rsidRDefault="00C02B59" w:rsidP="00C02B59">
      <w:pPr>
        <w:jc w:val="both"/>
        <w:rPr>
          <w:rFonts w:ascii="Times New Roman" w:hAnsi="Times New Roman" w:cs="Times New Roman"/>
          <w:noProof/>
        </w:rPr>
      </w:pPr>
      <w:r w:rsidRPr="00D1795B">
        <w:rPr>
          <w:rFonts w:ascii="Times New Roman" w:hAnsi="Times New Roman" w:cs="Times New Roman"/>
          <w:noProof/>
        </w:rPr>
        <w:t xml:space="preserve">The objective of this reform is to provide the regulatory framework for the procurement of flexibility services by the DSO as well as the connection of EV Charging Points to the Distribution Network. </w:t>
      </w:r>
    </w:p>
    <w:p w14:paraId="1887EEA5" w14:textId="77777777" w:rsidR="00C02B59" w:rsidRPr="00D1795B" w:rsidRDefault="00C02B59" w:rsidP="00C02B59">
      <w:pPr>
        <w:jc w:val="both"/>
        <w:rPr>
          <w:rFonts w:ascii="Times New Roman" w:hAnsi="Times New Roman" w:cs="Times New Roman"/>
          <w:noProof/>
        </w:rPr>
      </w:pPr>
      <w:r w:rsidRPr="00D1795B">
        <w:rPr>
          <w:rFonts w:ascii="Times New Roman" w:hAnsi="Times New Roman" w:cs="Times New Roman"/>
          <w:noProof/>
        </w:rPr>
        <w:t xml:space="preserve">This measure consists in the entry into force of regulatory decision(s) for EV charging points. </w:t>
      </w:r>
    </w:p>
    <w:p w14:paraId="1887EEA6" w14:textId="77777777" w:rsidR="00C02B59" w:rsidRPr="00D1795B" w:rsidRDefault="00C02B59" w:rsidP="00C02B59">
      <w:pPr>
        <w:spacing w:before="120" w:after="120" w:line="240" w:lineRule="auto"/>
        <w:jc w:val="both"/>
        <w:rPr>
          <w:rFonts w:ascii="Times New Roman" w:hAnsi="Times New Roman" w:cs="Times New Roman"/>
          <w:noProof/>
          <w:u w:val="single"/>
        </w:rPr>
      </w:pPr>
    </w:p>
    <w:p w14:paraId="1887EEA7"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 xml:space="preserve">Investment 1 (C6.1I1). Scaled-up measure: Renewables and individual energy efficiency measures in dwellings </w:t>
      </w:r>
    </w:p>
    <w:p w14:paraId="1887EEA8" w14:textId="77777777" w:rsidR="00C02B59" w:rsidRPr="00D1795B" w:rsidRDefault="00C02B59" w:rsidP="00C02B59">
      <w:pPr>
        <w:jc w:val="both"/>
        <w:rPr>
          <w:rFonts w:ascii="Times New Roman" w:hAnsi="Times New Roman" w:cs="Times New Roman"/>
          <w:noProof/>
        </w:rPr>
      </w:pPr>
      <w:r w:rsidRPr="00D1795B">
        <w:rPr>
          <w:rFonts w:ascii="Times New Roman" w:hAnsi="Times New Roman" w:cs="Times New Roman"/>
          <w:noProof/>
        </w:rPr>
        <w:t xml:space="preserve">The objective of this investment is to scale up Investment C2.1I2: Promoting renewables and individual energy efficiency measures in dwellings and tackling energy poverty, including in households with vulnerable electricity consumers under Component 2.1. </w:t>
      </w:r>
    </w:p>
    <w:p w14:paraId="1887EEA9" w14:textId="77777777" w:rsidR="00C02B59" w:rsidRPr="00D1795B" w:rsidRDefault="00C02B59" w:rsidP="00C02B59">
      <w:pPr>
        <w:jc w:val="both"/>
        <w:rPr>
          <w:rFonts w:ascii="Times New Roman" w:eastAsia="Times New Roman" w:hAnsi="Times New Roman" w:cs="Times New Roman"/>
          <w:noProof/>
        </w:rPr>
      </w:pPr>
      <w:r w:rsidRPr="00D1795B">
        <w:rPr>
          <w:rFonts w:ascii="Times New Roman" w:hAnsi="Times New Roman" w:cs="Times New Roman"/>
          <w:noProof/>
        </w:rPr>
        <w:t>The scaled-up part of this measure consists in increasing the number of dwellings that invested in their energy performance.</w:t>
      </w:r>
    </w:p>
    <w:p w14:paraId="1887EEAA" w14:textId="77777777" w:rsidR="00C02B59" w:rsidRPr="00D1795B" w:rsidRDefault="00C02B59" w:rsidP="00C02B59">
      <w:pPr>
        <w:spacing w:before="120" w:after="120" w:line="240" w:lineRule="auto"/>
        <w:jc w:val="both"/>
        <w:rPr>
          <w:rFonts w:ascii="Times New Roman" w:eastAsia="Times New Roman" w:hAnsi="Times New Roman" w:cs="Times New Roman"/>
          <w:noProof/>
        </w:rPr>
      </w:pPr>
    </w:p>
    <w:p w14:paraId="1887EEAB" w14:textId="77777777" w:rsidR="00C02B59" w:rsidRPr="00D1795B" w:rsidRDefault="00C02B59" w:rsidP="00C02B59">
      <w:pPr>
        <w:keepNext/>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 xml:space="preserve">Investment 3 (C6.1I3) Promoting extensive energy renovations of dwellings </w:t>
      </w:r>
    </w:p>
    <w:p w14:paraId="1887EEAC" w14:textId="77777777" w:rsidR="00C02B59" w:rsidRPr="00D1795B" w:rsidRDefault="00C02B59" w:rsidP="00C02B59">
      <w:pPr>
        <w:jc w:val="both"/>
        <w:rPr>
          <w:rStyle w:val="normaltextrun"/>
          <w:rFonts w:ascii="Times New Roman" w:hAnsi="Times New Roman" w:cs="Times New Roman"/>
          <w:noProof/>
          <w:color w:val="000000" w:themeColor="text1"/>
        </w:rPr>
      </w:pPr>
      <w:r w:rsidRPr="00D1795B">
        <w:rPr>
          <w:rStyle w:val="normaltextrun"/>
          <w:rFonts w:ascii="Times New Roman" w:hAnsi="Times New Roman" w:cs="Times New Roman"/>
          <w:noProof/>
          <w:color w:val="000000" w:themeColor="text1"/>
        </w:rPr>
        <w:t xml:space="preserve">The objective of this investment is to reduce energy consumption and CO2 emissions in dwellings. </w:t>
      </w:r>
    </w:p>
    <w:p w14:paraId="1887EEAD" w14:textId="77777777" w:rsidR="00C02B59" w:rsidRPr="00D1795B" w:rsidDel="00E452D9" w:rsidRDefault="00C02B59" w:rsidP="00C02B59">
      <w:pPr>
        <w:jc w:val="both"/>
        <w:rPr>
          <w:rStyle w:val="normaltextrun"/>
          <w:rFonts w:ascii="Times New Roman" w:hAnsi="Times New Roman" w:cs="Times New Roman"/>
          <w:noProof/>
          <w:color w:val="000000" w:themeColor="text1"/>
        </w:rPr>
      </w:pPr>
      <w:r w:rsidRPr="00D1795B">
        <w:rPr>
          <w:rStyle w:val="normaltextrun"/>
          <w:rFonts w:ascii="Times New Roman" w:hAnsi="Times New Roman" w:cs="Times New Roman"/>
          <w:noProof/>
          <w:color w:val="000000" w:themeColor="text1"/>
        </w:rPr>
        <w:t>This measure consists in energy renovations in at least 800 dwellings.</w:t>
      </w:r>
    </w:p>
    <w:p w14:paraId="1887EEAE" w14:textId="77777777" w:rsidR="00C02B59" w:rsidRPr="00D1795B" w:rsidDel="00E452D9" w:rsidRDefault="00C02B59" w:rsidP="00C02B59">
      <w:pPr>
        <w:tabs>
          <w:tab w:val="left" w:pos="1341"/>
        </w:tabs>
        <w:spacing w:before="182" w:after="0" w:line="254" w:lineRule="auto"/>
        <w:jc w:val="both"/>
        <w:rPr>
          <w:rStyle w:val="normaltextrun"/>
          <w:rFonts w:ascii="Times New Roman" w:hAnsi="Times New Roman" w:cs="Times New Roman"/>
          <w:noProof/>
        </w:rPr>
      </w:pPr>
    </w:p>
    <w:p w14:paraId="1887EEAF"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Investment 5 (C6.1I5).</w:t>
      </w:r>
      <w:r w:rsidRPr="00D1795B">
        <w:rPr>
          <w:rFonts w:ascii="Times New Roman" w:hAnsi="Times New Roman" w:cs="Times New Roman"/>
          <w:noProof/>
          <w:color w:val="006100"/>
          <w:u w:val="single"/>
        </w:rPr>
        <w:t xml:space="preserve"> </w:t>
      </w:r>
      <w:r w:rsidRPr="00D1795B">
        <w:rPr>
          <w:rFonts w:ascii="Times New Roman" w:hAnsi="Times New Roman" w:cs="Times New Roman"/>
          <w:noProof/>
          <w:u w:val="single"/>
        </w:rPr>
        <w:t>Scaled-up measure: Scheme for the competitiveness and the energy efficiency of large enterprises in Cyprus</w:t>
      </w:r>
    </w:p>
    <w:p w14:paraId="1887EEB0" w14:textId="77777777" w:rsidR="00C02B59" w:rsidRPr="00D1795B" w:rsidRDefault="00C02B59" w:rsidP="00C02B59">
      <w:pPr>
        <w:tabs>
          <w:tab w:val="left" w:pos="1341"/>
        </w:tabs>
        <w:spacing w:before="182" w:after="0" w:line="254" w:lineRule="auto"/>
        <w:jc w:val="both"/>
        <w:rPr>
          <w:rFonts w:ascii="Times New Roman" w:hAnsi="Times New Roman" w:cs="Times New Roman"/>
          <w:noProof/>
        </w:rPr>
      </w:pPr>
      <w:r w:rsidRPr="00D1795B">
        <w:rPr>
          <w:rFonts w:ascii="Times New Roman" w:hAnsi="Times New Roman" w:cs="Times New Roman"/>
          <w:noProof/>
        </w:rPr>
        <w:t xml:space="preserve">The objective of this investment is to scale up Investment </w:t>
      </w:r>
      <w:r w:rsidRPr="00D1795B">
        <w:rPr>
          <w:rStyle w:val="markedcontent"/>
          <w:rFonts w:ascii="Times New Roman" w:hAnsi="Times New Roman" w:cs="Times New Roman"/>
          <w:noProof/>
        </w:rPr>
        <w:t>C3.1I7</w:t>
      </w:r>
      <w:r w:rsidRPr="00D1795B">
        <w:rPr>
          <w:rFonts w:ascii="Times New Roman" w:hAnsi="Times New Roman" w:cs="Times New Roman"/>
          <w:noProof/>
        </w:rPr>
        <w:t xml:space="preserve">: Scheme for the competitiveness and/or the energy efficiency of large enterprises in Cyprus, under Component 3.1. </w:t>
      </w:r>
    </w:p>
    <w:p w14:paraId="1887EEB1" w14:textId="77777777" w:rsidR="00C02B59" w:rsidRPr="00D1795B" w:rsidRDefault="00C02B59" w:rsidP="00C02B59">
      <w:pPr>
        <w:tabs>
          <w:tab w:val="left" w:pos="1341"/>
        </w:tabs>
        <w:spacing w:before="182" w:after="0" w:line="254" w:lineRule="auto"/>
        <w:jc w:val="both"/>
        <w:rPr>
          <w:rFonts w:ascii="Times New Roman" w:hAnsi="Times New Roman" w:cs="Times New Roman"/>
          <w:noProof/>
        </w:rPr>
      </w:pPr>
      <w:r w:rsidRPr="00D1795B">
        <w:rPr>
          <w:rFonts w:ascii="Times New Roman" w:hAnsi="Times New Roman" w:cs="Times New Roman"/>
          <w:noProof/>
        </w:rPr>
        <w:t>This measure consists in providing support to large enterprises undertaking energy efficiency investments.</w:t>
      </w:r>
    </w:p>
    <w:p w14:paraId="1887EEB2" w14:textId="77777777" w:rsidR="00C02B59" w:rsidRPr="00D1795B" w:rsidRDefault="00C02B59" w:rsidP="00C02B59">
      <w:pPr>
        <w:tabs>
          <w:tab w:val="left" w:pos="1341"/>
        </w:tabs>
        <w:spacing w:before="182" w:after="0" w:line="254" w:lineRule="auto"/>
        <w:jc w:val="both"/>
        <w:rPr>
          <w:rFonts w:ascii="Times New Roman" w:hAnsi="Times New Roman" w:cs="Times New Roman"/>
          <w:noProof/>
        </w:rPr>
      </w:pPr>
    </w:p>
    <w:p w14:paraId="1887EEB3"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Investment 6 (C6.1I6).</w:t>
      </w:r>
      <w:r w:rsidRPr="00D1795B">
        <w:rPr>
          <w:rFonts w:ascii="Times New Roman" w:hAnsi="Times New Roman" w:cs="Times New Roman"/>
          <w:noProof/>
          <w:color w:val="006100"/>
          <w:u w:val="single"/>
        </w:rPr>
        <w:t xml:space="preserve"> </w:t>
      </w:r>
      <w:r w:rsidRPr="00D1795B">
        <w:rPr>
          <w:rFonts w:ascii="Times New Roman" w:hAnsi="Times New Roman" w:cs="Times New Roman"/>
          <w:noProof/>
          <w:u w:val="single"/>
        </w:rPr>
        <w:t>Scaled-up measure: Thematic research and innovation funding program on green transition</w:t>
      </w:r>
    </w:p>
    <w:p w14:paraId="1887EEB4"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 xml:space="preserve">The objective of this investment is to scale up Investment C3.2I3: R&amp;I funding program on green transition, under Component 3.2. </w:t>
      </w:r>
    </w:p>
    <w:p w14:paraId="1887EEB5"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The scaled-up part of this measure consists in projects on green transition R&amp;I activities.</w:t>
      </w:r>
    </w:p>
    <w:p w14:paraId="1887EEB6" w14:textId="77777777" w:rsidR="00C02B59" w:rsidRPr="00D1795B" w:rsidRDefault="00C02B59" w:rsidP="00C02B59">
      <w:pPr>
        <w:spacing w:before="120" w:after="120" w:line="240" w:lineRule="auto"/>
        <w:jc w:val="both"/>
        <w:rPr>
          <w:rFonts w:ascii="Times New Roman" w:hAnsi="Times New Roman" w:cs="Times New Roman"/>
          <w:noProof/>
        </w:rPr>
      </w:pPr>
    </w:p>
    <w:p w14:paraId="1887EEB7"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cs="Times New Roman"/>
          <w:noProof/>
          <w:u w:val="single"/>
        </w:rPr>
        <w:t>Investment 7 (C6.1I7). Thematic research in enterprises for energy production, storage, transmission, and distribution solutions</w:t>
      </w:r>
    </w:p>
    <w:p w14:paraId="1887EEB8"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 xml:space="preserve">The objective of this investment is to find solutions to bottlenecks identified in energy production, storage, transmission, and distribution. </w:t>
      </w:r>
    </w:p>
    <w:p w14:paraId="1887EEB9" w14:textId="77777777" w:rsidR="00C02B59" w:rsidRPr="00D1795B" w:rsidRDefault="00C02B59" w:rsidP="00C02B59">
      <w:pPr>
        <w:spacing w:before="120" w:after="120" w:line="240" w:lineRule="auto"/>
        <w:jc w:val="both"/>
        <w:rPr>
          <w:rFonts w:ascii="Times New Roman" w:hAnsi="Times New Roman" w:cs="Times New Roman"/>
          <w:noProof/>
        </w:rPr>
      </w:pPr>
      <w:r w:rsidRPr="00D1795B">
        <w:rPr>
          <w:rFonts w:ascii="Times New Roman" w:hAnsi="Times New Roman" w:cs="Times New Roman"/>
          <w:noProof/>
        </w:rPr>
        <w:t>This measure consists in projects on energy production, storage, transmission and distribution solutions R&amp;I activities.</w:t>
      </w:r>
    </w:p>
    <w:p w14:paraId="1887EEBA" w14:textId="77777777" w:rsidR="00C02B59" w:rsidRPr="00D1795B" w:rsidRDefault="00C02B59" w:rsidP="00C02B59">
      <w:pPr>
        <w:spacing w:before="120" w:after="120" w:line="240" w:lineRule="auto"/>
        <w:jc w:val="both"/>
        <w:rPr>
          <w:rFonts w:ascii="Times New Roman" w:hAnsi="Times New Roman" w:cs="Times New Roman"/>
          <w:noProof/>
        </w:rPr>
      </w:pPr>
    </w:p>
    <w:p w14:paraId="1887EEBB" w14:textId="77777777" w:rsidR="00C02B59" w:rsidRPr="00D1795B" w:rsidRDefault="00C02B59" w:rsidP="00C02B59">
      <w:pPr>
        <w:spacing w:before="120" w:after="120" w:line="240" w:lineRule="auto"/>
        <w:jc w:val="both"/>
        <w:rPr>
          <w:rFonts w:ascii="Times New Roman" w:hAnsi="Times New Roman"/>
          <w:noProof/>
          <w:u w:val="single"/>
        </w:rPr>
      </w:pPr>
    </w:p>
    <w:p w14:paraId="1887EEBC" w14:textId="77777777" w:rsidR="00C02B59" w:rsidRPr="00D1795B" w:rsidRDefault="00C02B59" w:rsidP="00C02B59">
      <w:pPr>
        <w:spacing w:before="120" w:after="120" w:line="240" w:lineRule="auto"/>
        <w:jc w:val="both"/>
        <w:rPr>
          <w:rFonts w:ascii="Calibri" w:hAnsi="Calibri"/>
          <w:noProof/>
        </w:rPr>
      </w:pPr>
    </w:p>
    <w:p w14:paraId="1887EEBD" w14:textId="77777777" w:rsidR="00C02B59" w:rsidRPr="00D1795B" w:rsidRDefault="00C02B59">
      <w:pPr>
        <w:rPr>
          <w:noProof/>
        </w:rPr>
        <w:sectPr w:rsidR="00C02B59" w:rsidRPr="00D1795B" w:rsidSect="00C02B59">
          <w:headerReference w:type="even" r:id="rId173"/>
          <w:headerReference w:type="default" r:id="rId174"/>
          <w:footerReference w:type="even" r:id="rId175"/>
          <w:footerReference w:type="default" r:id="rId176"/>
          <w:headerReference w:type="first" r:id="rId177"/>
          <w:footerReference w:type="first" r:id="rId178"/>
          <w:pgSz w:w="12240" w:h="15840"/>
          <w:pgMar w:top="1134" w:right="1134" w:bottom="1134" w:left="1134" w:header="567" w:footer="567" w:gutter="0"/>
          <w:cols w:space="720"/>
          <w:docGrid w:linePitch="360"/>
        </w:sectPr>
      </w:pPr>
    </w:p>
    <w:p w14:paraId="1887EEBE" w14:textId="77777777" w:rsidR="00C02B59" w:rsidRPr="00D1795B" w:rsidRDefault="00C02B59" w:rsidP="00C02B59">
      <w:pPr>
        <w:spacing w:before="120" w:after="120" w:line="240" w:lineRule="auto"/>
        <w:jc w:val="center"/>
        <w:rPr>
          <w:rFonts w:ascii="Times New Roman" w:hAnsi="Times New Roman"/>
          <w:b/>
          <w:noProof/>
        </w:rPr>
      </w:pPr>
      <w:r w:rsidRPr="00D1795B">
        <w:rPr>
          <w:rFonts w:ascii="Times New Roman" w:hAnsi="Times New Roman"/>
          <w:b/>
          <w:noProof/>
          <w:u w:val="single"/>
        </w:rPr>
        <w:t>N.2.</w:t>
      </w:r>
      <w:r w:rsidRPr="00D1795B">
        <w:rPr>
          <w:rFonts w:ascii="Times New Roman" w:hAnsi="Times New Roman"/>
          <w:b/>
          <w:noProof/>
          <w:u w:val="single"/>
        </w:rPr>
        <w:tab/>
        <w:t>Milestones, targets, indicators, and timetable for monitoring and implementation for non-repayable financial support</w:t>
      </w:r>
    </w:p>
    <w:tbl>
      <w:tblPr>
        <w:tblW w:w="15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1"/>
        <w:gridCol w:w="1572"/>
        <w:gridCol w:w="1134"/>
        <w:gridCol w:w="1452"/>
        <w:gridCol w:w="1383"/>
        <w:gridCol w:w="1004"/>
        <w:gridCol w:w="1122"/>
        <w:gridCol w:w="992"/>
        <w:gridCol w:w="992"/>
        <w:gridCol w:w="972"/>
        <w:gridCol w:w="3564"/>
      </w:tblGrid>
      <w:tr w:rsidR="00C02B59" w:rsidRPr="00D1795B" w14:paraId="1887EEC7" w14:textId="77777777" w:rsidTr="00C02B59">
        <w:trPr>
          <w:trHeight w:val="945"/>
          <w:tblHeader/>
          <w:jc w:val="center"/>
        </w:trPr>
        <w:tc>
          <w:tcPr>
            <w:tcW w:w="1421" w:type="dxa"/>
            <w:vMerge w:val="restart"/>
            <w:shd w:val="clear" w:color="auto" w:fill="BDD7EE"/>
            <w:tcMar>
              <w:left w:w="108" w:type="dxa"/>
              <w:right w:w="108" w:type="dxa"/>
            </w:tcMar>
            <w:vAlign w:val="center"/>
          </w:tcPr>
          <w:p w14:paraId="1887EEBF" w14:textId="77777777" w:rsidR="00C02B59" w:rsidRPr="00D1795B" w:rsidRDefault="00C02B59" w:rsidP="00C02B59">
            <w:pPr>
              <w:spacing w:before="120" w:after="120" w:line="240" w:lineRule="auto"/>
              <w:jc w:val="center"/>
              <w:rPr>
                <w:rFonts w:ascii="Times New Roman" w:hAnsi="Times New Roman" w:cs="Times New Roman"/>
                <w:b/>
                <w:noProof/>
                <w:color w:val="000000" w:themeColor="text1"/>
                <w:sz w:val="18"/>
                <w:szCs w:val="18"/>
              </w:rPr>
            </w:pPr>
            <w:r w:rsidRPr="00D1795B">
              <w:rPr>
                <w:rFonts w:ascii="Times New Roman" w:hAnsi="Times New Roman" w:cs="Times New Roman"/>
                <w:b/>
                <w:noProof/>
                <w:color w:val="000000" w:themeColor="text1"/>
                <w:sz w:val="18"/>
                <w:szCs w:val="18"/>
              </w:rPr>
              <w:t>Sequential Number</w:t>
            </w:r>
          </w:p>
        </w:tc>
        <w:tc>
          <w:tcPr>
            <w:tcW w:w="1572" w:type="dxa"/>
            <w:vMerge w:val="restart"/>
            <w:shd w:val="clear" w:color="auto" w:fill="BDD7EE"/>
            <w:tcMar>
              <w:left w:w="108" w:type="dxa"/>
              <w:right w:w="108" w:type="dxa"/>
            </w:tcMar>
            <w:vAlign w:val="center"/>
          </w:tcPr>
          <w:p w14:paraId="1887EEC0" w14:textId="77777777" w:rsidR="00C02B59" w:rsidRPr="00D1795B" w:rsidRDefault="00C02B59" w:rsidP="00C02B59">
            <w:pPr>
              <w:spacing w:before="120" w:after="120" w:line="240" w:lineRule="auto"/>
              <w:jc w:val="center"/>
              <w:rPr>
                <w:rFonts w:ascii="Times New Roman" w:hAnsi="Times New Roman" w:cs="Times New Roman"/>
                <w:b/>
                <w:noProof/>
                <w:color w:val="000000" w:themeColor="text1"/>
                <w:sz w:val="18"/>
                <w:szCs w:val="18"/>
              </w:rPr>
            </w:pPr>
            <w:r w:rsidRPr="00D1795B">
              <w:rPr>
                <w:rFonts w:ascii="Times New Roman" w:hAnsi="Times New Roman" w:cs="Times New Roman"/>
                <w:b/>
                <w:noProof/>
                <w:color w:val="000000" w:themeColor="text1"/>
                <w:sz w:val="18"/>
                <w:szCs w:val="18"/>
              </w:rPr>
              <w:t>Related Measure (Reform or Investment)</w:t>
            </w:r>
          </w:p>
        </w:tc>
        <w:tc>
          <w:tcPr>
            <w:tcW w:w="1134" w:type="dxa"/>
            <w:vMerge w:val="restart"/>
            <w:shd w:val="clear" w:color="auto" w:fill="BDD7EE"/>
            <w:tcMar>
              <w:left w:w="108" w:type="dxa"/>
              <w:right w:w="108" w:type="dxa"/>
            </w:tcMar>
            <w:vAlign w:val="center"/>
          </w:tcPr>
          <w:p w14:paraId="1887EEC1" w14:textId="77777777" w:rsidR="00C02B59" w:rsidRPr="00D1795B" w:rsidRDefault="00C02B59" w:rsidP="00C02B59">
            <w:pPr>
              <w:spacing w:before="120" w:after="120" w:line="240" w:lineRule="auto"/>
              <w:jc w:val="center"/>
              <w:rPr>
                <w:rFonts w:ascii="Times New Roman" w:hAnsi="Times New Roman" w:cs="Times New Roman"/>
                <w:b/>
                <w:noProof/>
                <w:color w:val="000000" w:themeColor="text1"/>
                <w:sz w:val="18"/>
                <w:szCs w:val="18"/>
              </w:rPr>
            </w:pPr>
            <w:r w:rsidRPr="00D1795B">
              <w:rPr>
                <w:rFonts w:ascii="Times New Roman" w:hAnsi="Times New Roman" w:cs="Times New Roman"/>
                <w:b/>
                <w:noProof/>
                <w:color w:val="000000" w:themeColor="text1"/>
                <w:sz w:val="18"/>
                <w:szCs w:val="18"/>
              </w:rPr>
              <w:t>Milestone / Target</w:t>
            </w:r>
          </w:p>
        </w:tc>
        <w:tc>
          <w:tcPr>
            <w:tcW w:w="1452" w:type="dxa"/>
            <w:vMerge w:val="restart"/>
            <w:shd w:val="clear" w:color="auto" w:fill="BDD7EE"/>
            <w:tcMar>
              <w:left w:w="108" w:type="dxa"/>
              <w:right w:w="108" w:type="dxa"/>
            </w:tcMar>
            <w:vAlign w:val="center"/>
          </w:tcPr>
          <w:p w14:paraId="1887EEC2" w14:textId="77777777" w:rsidR="00C02B59" w:rsidRPr="00D1795B" w:rsidRDefault="00C02B59" w:rsidP="00C02B59">
            <w:pPr>
              <w:spacing w:before="120" w:after="120" w:line="240" w:lineRule="auto"/>
              <w:jc w:val="center"/>
              <w:rPr>
                <w:rFonts w:ascii="Times New Roman" w:hAnsi="Times New Roman" w:cs="Times New Roman"/>
                <w:b/>
                <w:noProof/>
                <w:color w:val="000000" w:themeColor="text1"/>
                <w:sz w:val="18"/>
                <w:szCs w:val="18"/>
              </w:rPr>
            </w:pPr>
            <w:r w:rsidRPr="00D1795B">
              <w:rPr>
                <w:rFonts w:ascii="Times New Roman" w:hAnsi="Times New Roman" w:cs="Times New Roman"/>
                <w:b/>
                <w:noProof/>
                <w:color w:val="000000" w:themeColor="text1"/>
                <w:sz w:val="18"/>
                <w:szCs w:val="18"/>
              </w:rPr>
              <w:t>Name</w:t>
            </w:r>
          </w:p>
        </w:tc>
        <w:tc>
          <w:tcPr>
            <w:tcW w:w="1383" w:type="dxa"/>
            <w:vMerge w:val="restart"/>
            <w:shd w:val="clear" w:color="auto" w:fill="BDD7EE"/>
            <w:tcMar>
              <w:left w:w="108" w:type="dxa"/>
              <w:right w:w="108" w:type="dxa"/>
            </w:tcMar>
            <w:vAlign w:val="center"/>
          </w:tcPr>
          <w:p w14:paraId="1887EEC3" w14:textId="77777777" w:rsidR="00C02B59" w:rsidRPr="00D1795B" w:rsidRDefault="00C02B59" w:rsidP="00C02B59">
            <w:pPr>
              <w:spacing w:before="120" w:after="120" w:line="240" w:lineRule="auto"/>
              <w:jc w:val="center"/>
              <w:rPr>
                <w:rFonts w:ascii="Times New Roman" w:hAnsi="Times New Roman" w:cs="Times New Roman"/>
                <w:b/>
                <w:noProof/>
                <w:color w:val="000000" w:themeColor="text1"/>
                <w:sz w:val="18"/>
                <w:szCs w:val="18"/>
              </w:rPr>
            </w:pPr>
            <w:r w:rsidRPr="00D1795B">
              <w:rPr>
                <w:rFonts w:ascii="Times New Roman" w:hAnsi="Times New Roman" w:cs="Times New Roman"/>
                <w:b/>
                <w:noProof/>
                <w:color w:val="000000" w:themeColor="text1"/>
                <w:sz w:val="18"/>
                <w:szCs w:val="18"/>
              </w:rPr>
              <w:t xml:space="preserve">Qualitative indicators </w:t>
            </w:r>
            <w:r w:rsidRPr="00D1795B">
              <w:rPr>
                <w:rFonts w:ascii="Times New Roman" w:hAnsi="Times New Roman" w:cs="Times New Roman"/>
                <w:noProof/>
                <w:sz w:val="18"/>
                <w:szCs w:val="18"/>
              </w:rPr>
              <w:br/>
            </w:r>
            <w:r w:rsidRPr="00D1795B">
              <w:rPr>
                <w:rFonts w:ascii="Times New Roman" w:hAnsi="Times New Roman" w:cs="Times New Roman"/>
                <w:b/>
                <w:noProof/>
                <w:color w:val="000000" w:themeColor="text1"/>
                <w:sz w:val="18"/>
                <w:szCs w:val="18"/>
              </w:rPr>
              <w:t>(for milestones)</w:t>
            </w:r>
          </w:p>
        </w:tc>
        <w:tc>
          <w:tcPr>
            <w:tcW w:w="3118" w:type="dxa"/>
            <w:gridSpan w:val="3"/>
            <w:shd w:val="clear" w:color="auto" w:fill="BDD7EE"/>
            <w:tcMar>
              <w:left w:w="108" w:type="dxa"/>
              <w:right w:w="108" w:type="dxa"/>
            </w:tcMar>
            <w:vAlign w:val="center"/>
          </w:tcPr>
          <w:p w14:paraId="1887EEC4" w14:textId="77777777" w:rsidR="00C02B59" w:rsidRPr="00D1795B" w:rsidRDefault="00C02B59" w:rsidP="00C02B59">
            <w:pPr>
              <w:spacing w:before="120" w:after="120" w:line="240" w:lineRule="auto"/>
              <w:jc w:val="center"/>
              <w:rPr>
                <w:rFonts w:ascii="Times New Roman" w:hAnsi="Times New Roman" w:cs="Times New Roman"/>
                <w:b/>
                <w:noProof/>
                <w:color w:val="000000" w:themeColor="text1"/>
                <w:sz w:val="18"/>
                <w:szCs w:val="18"/>
              </w:rPr>
            </w:pPr>
            <w:r w:rsidRPr="00D1795B">
              <w:rPr>
                <w:rFonts w:ascii="Times New Roman" w:hAnsi="Times New Roman" w:cs="Times New Roman"/>
                <w:b/>
                <w:noProof/>
                <w:color w:val="000000" w:themeColor="text1"/>
                <w:sz w:val="18"/>
                <w:szCs w:val="18"/>
              </w:rPr>
              <w:t xml:space="preserve">Quantitative indicators </w:t>
            </w:r>
            <w:r w:rsidRPr="00D1795B">
              <w:rPr>
                <w:rFonts w:ascii="Times New Roman" w:hAnsi="Times New Roman" w:cs="Times New Roman"/>
                <w:noProof/>
                <w:sz w:val="18"/>
                <w:szCs w:val="18"/>
              </w:rPr>
              <w:br/>
            </w:r>
            <w:r w:rsidRPr="00D1795B">
              <w:rPr>
                <w:rFonts w:ascii="Times New Roman" w:hAnsi="Times New Roman" w:cs="Times New Roman"/>
                <w:b/>
                <w:noProof/>
                <w:color w:val="000000" w:themeColor="text1"/>
                <w:sz w:val="18"/>
                <w:szCs w:val="18"/>
              </w:rPr>
              <w:t>(for targets)</w:t>
            </w:r>
          </w:p>
        </w:tc>
        <w:tc>
          <w:tcPr>
            <w:tcW w:w="1964" w:type="dxa"/>
            <w:gridSpan w:val="2"/>
            <w:shd w:val="clear" w:color="auto" w:fill="BDD7EE"/>
            <w:tcMar>
              <w:left w:w="108" w:type="dxa"/>
              <w:right w:w="108" w:type="dxa"/>
            </w:tcMar>
            <w:vAlign w:val="center"/>
          </w:tcPr>
          <w:p w14:paraId="1887EEC5" w14:textId="77777777" w:rsidR="00C02B59" w:rsidRPr="00D1795B" w:rsidRDefault="00C02B59" w:rsidP="00C02B59">
            <w:pPr>
              <w:spacing w:before="120" w:after="120" w:line="240" w:lineRule="auto"/>
              <w:jc w:val="center"/>
              <w:rPr>
                <w:rFonts w:ascii="Times New Roman" w:hAnsi="Times New Roman" w:cs="Times New Roman"/>
                <w:b/>
                <w:noProof/>
                <w:color w:val="000000" w:themeColor="text1"/>
                <w:sz w:val="18"/>
                <w:szCs w:val="18"/>
              </w:rPr>
            </w:pPr>
            <w:r w:rsidRPr="00D1795B">
              <w:rPr>
                <w:rFonts w:ascii="Times New Roman" w:hAnsi="Times New Roman" w:cs="Times New Roman"/>
                <w:b/>
                <w:noProof/>
                <w:color w:val="000000" w:themeColor="text1"/>
                <w:sz w:val="18"/>
                <w:szCs w:val="18"/>
              </w:rPr>
              <w:t>Indicative timeline for completion</w:t>
            </w:r>
          </w:p>
        </w:tc>
        <w:tc>
          <w:tcPr>
            <w:tcW w:w="3564" w:type="dxa"/>
            <w:vMerge w:val="restart"/>
            <w:shd w:val="clear" w:color="auto" w:fill="BDD7EE"/>
            <w:tcMar>
              <w:left w:w="108" w:type="dxa"/>
              <w:right w:w="108" w:type="dxa"/>
            </w:tcMar>
            <w:vAlign w:val="center"/>
          </w:tcPr>
          <w:p w14:paraId="1887EEC6" w14:textId="77777777" w:rsidR="00C02B59" w:rsidRPr="00D1795B" w:rsidRDefault="00C02B59" w:rsidP="00C02B59">
            <w:pPr>
              <w:spacing w:line="240" w:lineRule="auto"/>
              <w:jc w:val="center"/>
              <w:rPr>
                <w:rFonts w:ascii="Times New Roman" w:hAnsi="Times New Roman" w:cs="Times New Roman"/>
                <w:b/>
                <w:noProof/>
                <w:color w:val="000000" w:themeColor="text1"/>
                <w:sz w:val="18"/>
                <w:szCs w:val="18"/>
              </w:rPr>
            </w:pPr>
            <w:r w:rsidRPr="00D1795B">
              <w:rPr>
                <w:rFonts w:ascii="Times New Roman" w:hAnsi="Times New Roman" w:cs="Times New Roman"/>
                <w:b/>
                <w:noProof/>
                <w:color w:val="000000" w:themeColor="text1"/>
                <w:sz w:val="18"/>
                <w:szCs w:val="18"/>
              </w:rPr>
              <w:t>Description of each milestone and target</w:t>
            </w:r>
          </w:p>
        </w:tc>
      </w:tr>
      <w:tr w:rsidR="00C02B59" w:rsidRPr="00D1795B" w14:paraId="1887EED3" w14:textId="77777777" w:rsidTr="00C02B59">
        <w:trPr>
          <w:trHeight w:val="780"/>
          <w:jc w:val="center"/>
        </w:trPr>
        <w:tc>
          <w:tcPr>
            <w:tcW w:w="1421" w:type="dxa"/>
            <w:vMerge/>
            <w:vAlign w:val="center"/>
          </w:tcPr>
          <w:p w14:paraId="1887EEC8" w14:textId="77777777" w:rsidR="00C02B59" w:rsidRPr="00D1795B" w:rsidRDefault="00C02B59" w:rsidP="00C02B59">
            <w:pPr>
              <w:spacing w:line="240" w:lineRule="auto"/>
              <w:jc w:val="center"/>
              <w:rPr>
                <w:rFonts w:ascii="Times New Roman" w:hAnsi="Times New Roman" w:cs="Times New Roman"/>
                <w:noProof/>
                <w:sz w:val="18"/>
                <w:szCs w:val="18"/>
              </w:rPr>
            </w:pPr>
          </w:p>
        </w:tc>
        <w:tc>
          <w:tcPr>
            <w:tcW w:w="1572" w:type="dxa"/>
            <w:vMerge/>
            <w:vAlign w:val="center"/>
          </w:tcPr>
          <w:p w14:paraId="1887EEC9" w14:textId="77777777" w:rsidR="00C02B59" w:rsidRPr="00D1795B" w:rsidRDefault="00C02B59" w:rsidP="00C02B59">
            <w:pPr>
              <w:spacing w:line="240" w:lineRule="auto"/>
              <w:jc w:val="center"/>
              <w:rPr>
                <w:rFonts w:ascii="Times New Roman" w:hAnsi="Times New Roman" w:cs="Times New Roman"/>
                <w:noProof/>
                <w:sz w:val="18"/>
                <w:szCs w:val="18"/>
              </w:rPr>
            </w:pPr>
          </w:p>
        </w:tc>
        <w:tc>
          <w:tcPr>
            <w:tcW w:w="1134" w:type="dxa"/>
            <w:vMerge/>
            <w:vAlign w:val="center"/>
          </w:tcPr>
          <w:p w14:paraId="1887EECA" w14:textId="77777777" w:rsidR="00C02B59" w:rsidRPr="00D1795B" w:rsidRDefault="00C02B59" w:rsidP="00C02B59">
            <w:pPr>
              <w:spacing w:line="240" w:lineRule="auto"/>
              <w:jc w:val="center"/>
              <w:rPr>
                <w:rFonts w:ascii="Times New Roman" w:hAnsi="Times New Roman" w:cs="Times New Roman"/>
                <w:noProof/>
                <w:sz w:val="18"/>
                <w:szCs w:val="18"/>
              </w:rPr>
            </w:pPr>
          </w:p>
        </w:tc>
        <w:tc>
          <w:tcPr>
            <w:tcW w:w="1452" w:type="dxa"/>
            <w:vMerge/>
            <w:vAlign w:val="center"/>
          </w:tcPr>
          <w:p w14:paraId="1887EECB" w14:textId="77777777" w:rsidR="00C02B59" w:rsidRPr="00D1795B" w:rsidRDefault="00C02B59" w:rsidP="00C02B59">
            <w:pPr>
              <w:spacing w:line="240" w:lineRule="auto"/>
              <w:jc w:val="center"/>
              <w:rPr>
                <w:rFonts w:ascii="Times New Roman" w:hAnsi="Times New Roman" w:cs="Times New Roman"/>
                <w:noProof/>
                <w:sz w:val="18"/>
                <w:szCs w:val="18"/>
              </w:rPr>
            </w:pPr>
          </w:p>
        </w:tc>
        <w:tc>
          <w:tcPr>
            <w:tcW w:w="1383" w:type="dxa"/>
            <w:vMerge/>
            <w:vAlign w:val="center"/>
          </w:tcPr>
          <w:p w14:paraId="1887EECC" w14:textId="77777777" w:rsidR="00C02B59" w:rsidRPr="00D1795B" w:rsidRDefault="00C02B59" w:rsidP="00C02B59">
            <w:pPr>
              <w:spacing w:line="240" w:lineRule="auto"/>
              <w:jc w:val="center"/>
              <w:rPr>
                <w:rFonts w:ascii="Times New Roman" w:hAnsi="Times New Roman" w:cs="Times New Roman"/>
                <w:noProof/>
                <w:sz w:val="18"/>
                <w:szCs w:val="18"/>
              </w:rPr>
            </w:pPr>
          </w:p>
        </w:tc>
        <w:tc>
          <w:tcPr>
            <w:tcW w:w="1004" w:type="dxa"/>
            <w:shd w:val="clear" w:color="auto" w:fill="BDD7EE"/>
            <w:tcMar>
              <w:left w:w="108" w:type="dxa"/>
              <w:right w:w="108" w:type="dxa"/>
            </w:tcMar>
            <w:vAlign w:val="center"/>
          </w:tcPr>
          <w:p w14:paraId="1887EECD" w14:textId="77777777" w:rsidR="00C02B59" w:rsidRPr="00D1795B" w:rsidRDefault="00C02B59" w:rsidP="00C02B59">
            <w:pPr>
              <w:spacing w:before="120" w:after="120" w:line="240" w:lineRule="auto"/>
              <w:jc w:val="center"/>
              <w:rPr>
                <w:rFonts w:ascii="Times New Roman" w:hAnsi="Times New Roman" w:cs="Times New Roman"/>
                <w:b/>
                <w:noProof/>
                <w:color w:val="000000" w:themeColor="text1"/>
                <w:sz w:val="18"/>
                <w:szCs w:val="18"/>
              </w:rPr>
            </w:pPr>
            <w:r w:rsidRPr="00D1795B">
              <w:rPr>
                <w:rFonts w:ascii="Times New Roman" w:hAnsi="Times New Roman" w:cs="Times New Roman"/>
                <w:b/>
                <w:noProof/>
                <w:color w:val="000000" w:themeColor="text1"/>
                <w:sz w:val="18"/>
                <w:szCs w:val="18"/>
              </w:rPr>
              <w:t>Unit of measure</w:t>
            </w:r>
          </w:p>
        </w:tc>
        <w:tc>
          <w:tcPr>
            <w:tcW w:w="1122" w:type="dxa"/>
            <w:shd w:val="clear" w:color="auto" w:fill="BDD7EE"/>
            <w:tcMar>
              <w:left w:w="108" w:type="dxa"/>
              <w:right w:w="108" w:type="dxa"/>
            </w:tcMar>
            <w:vAlign w:val="center"/>
          </w:tcPr>
          <w:p w14:paraId="1887EECE" w14:textId="77777777" w:rsidR="00C02B59" w:rsidRPr="00D1795B" w:rsidRDefault="00C02B59" w:rsidP="00C02B59">
            <w:pPr>
              <w:spacing w:before="120" w:after="120" w:line="240" w:lineRule="auto"/>
              <w:jc w:val="center"/>
              <w:rPr>
                <w:rFonts w:ascii="Times New Roman" w:hAnsi="Times New Roman" w:cs="Times New Roman"/>
                <w:b/>
                <w:noProof/>
                <w:color w:val="000000" w:themeColor="text1"/>
                <w:sz w:val="18"/>
                <w:szCs w:val="18"/>
              </w:rPr>
            </w:pPr>
            <w:r w:rsidRPr="00D1795B">
              <w:rPr>
                <w:rFonts w:ascii="Times New Roman" w:hAnsi="Times New Roman" w:cs="Times New Roman"/>
                <w:b/>
                <w:noProof/>
                <w:color w:val="000000" w:themeColor="text1"/>
                <w:sz w:val="18"/>
                <w:szCs w:val="18"/>
              </w:rPr>
              <w:t>Baseline</w:t>
            </w:r>
          </w:p>
        </w:tc>
        <w:tc>
          <w:tcPr>
            <w:tcW w:w="992" w:type="dxa"/>
            <w:shd w:val="clear" w:color="auto" w:fill="BDD7EE"/>
            <w:tcMar>
              <w:left w:w="108" w:type="dxa"/>
              <w:right w:w="108" w:type="dxa"/>
            </w:tcMar>
            <w:vAlign w:val="center"/>
          </w:tcPr>
          <w:p w14:paraId="1887EECF" w14:textId="77777777" w:rsidR="00C02B59" w:rsidRPr="00D1795B" w:rsidRDefault="00C02B59" w:rsidP="00C02B59">
            <w:pPr>
              <w:spacing w:before="120" w:after="120" w:line="240" w:lineRule="auto"/>
              <w:jc w:val="center"/>
              <w:rPr>
                <w:rFonts w:ascii="Times New Roman" w:hAnsi="Times New Roman" w:cs="Times New Roman"/>
                <w:b/>
                <w:noProof/>
                <w:color w:val="000000" w:themeColor="text1"/>
                <w:sz w:val="18"/>
                <w:szCs w:val="18"/>
              </w:rPr>
            </w:pPr>
            <w:r w:rsidRPr="00D1795B">
              <w:rPr>
                <w:rFonts w:ascii="Times New Roman" w:hAnsi="Times New Roman" w:cs="Times New Roman"/>
                <w:b/>
                <w:noProof/>
                <w:color w:val="000000" w:themeColor="text1"/>
                <w:sz w:val="18"/>
                <w:szCs w:val="18"/>
              </w:rPr>
              <w:t>Goal</w:t>
            </w:r>
          </w:p>
        </w:tc>
        <w:tc>
          <w:tcPr>
            <w:tcW w:w="992" w:type="dxa"/>
            <w:shd w:val="clear" w:color="auto" w:fill="BDD7EE"/>
            <w:tcMar>
              <w:left w:w="108" w:type="dxa"/>
              <w:right w:w="108" w:type="dxa"/>
            </w:tcMar>
            <w:vAlign w:val="center"/>
          </w:tcPr>
          <w:p w14:paraId="1887EED0" w14:textId="77777777" w:rsidR="00C02B59" w:rsidRPr="00D1795B" w:rsidRDefault="00C02B59" w:rsidP="00C02B59">
            <w:pPr>
              <w:spacing w:before="120" w:after="120" w:line="240" w:lineRule="auto"/>
              <w:jc w:val="center"/>
              <w:rPr>
                <w:rFonts w:ascii="Times New Roman" w:hAnsi="Times New Roman" w:cs="Times New Roman"/>
                <w:b/>
                <w:noProof/>
                <w:color w:val="000000" w:themeColor="text1"/>
                <w:sz w:val="18"/>
                <w:szCs w:val="18"/>
              </w:rPr>
            </w:pPr>
            <w:r w:rsidRPr="00D1795B">
              <w:rPr>
                <w:rFonts w:ascii="Times New Roman" w:hAnsi="Times New Roman" w:cs="Times New Roman"/>
                <w:b/>
                <w:noProof/>
                <w:color w:val="000000" w:themeColor="text1"/>
                <w:sz w:val="18"/>
                <w:szCs w:val="18"/>
              </w:rPr>
              <w:t>Quarter</w:t>
            </w:r>
          </w:p>
        </w:tc>
        <w:tc>
          <w:tcPr>
            <w:tcW w:w="972" w:type="dxa"/>
            <w:shd w:val="clear" w:color="auto" w:fill="BDD7EE"/>
            <w:tcMar>
              <w:left w:w="108" w:type="dxa"/>
              <w:right w:w="108" w:type="dxa"/>
            </w:tcMar>
            <w:vAlign w:val="center"/>
          </w:tcPr>
          <w:p w14:paraId="1887EED1" w14:textId="77777777" w:rsidR="00C02B59" w:rsidRPr="00D1795B" w:rsidRDefault="00C02B59" w:rsidP="00C02B59">
            <w:pPr>
              <w:spacing w:before="120" w:after="120" w:line="240" w:lineRule="auto"/>
              <w:jc w:val="center"/>
              <w:rPr>
                <w:rFonts w:ascii="Times New Roman" w:hAnsi="Times New Roman" w:cs="Times New Roman"/>
                <w:b/>
                <w:noProof/>
                <w:color w:val="000000" w:themeColor="text1"/>
                <w:sz w:val="18"/>
                <w:szCs w:val="18"/>
              </w:rPr>
            </w:pPr>
            <w:r w:rsidRPr="00D1795B">
              <w:rPr>
                <w:rFonts w:ascii="Times New Roman" w:hAnsi="Times New Roman" w:cs="Times New Roman"/>
                <w:b/>
                <w:noProof/>
                <w:color w:val="000000" w:themeColor="text1"/>
                <w:sz w:val="18"/>
                <w:szCs w:val="18"/>
              </w:rPr>
              <w:t>Year</w:t>
            </w:r>
          </w:p>
        </w:tc>
        <w:tc>
          <w:tcPr>
            <w:tcW w:w="3564" w:type="dxa"/>
            <w:vMerge/>
            <w:vAlign w:val="center"/>
          </w:tcPr>
          <w:p w14:paraId="1887EED2" w14:textId="77777777" w:rsidR="00C02B59" w:rsidRPr="00D1795B" w:rsidRDefault="00C02B59" w:rsidP="00C02B59">
            <w:pPr>
              <w:spacing w:line="240" w:lineRule="auto"/>
              <w:jc w:val="both"/>
              <w:rPr>
                <w:rFonts w:ascii="Times New Roman" w:hAnsi="Times New Roman" w:cs="Times New Roman"/>
                <w:noProof/>
                <w:sz w:val="18"/>
                <w:szCs w:val="18"/>
              </w:rPr>
            </w:pPr>
          </w:p>
        </w:tc>
      </w:tr>
      <w:tr w:rsidR="00C02B59" w:rsidRPr="00D1795B" w14:paraId="1887EEDF" w14:textId="77777777" w:rsidTr="00C02B59">
        <w:trPr>
          <w:trHeight w:val="315"/>
          <w:jc w:val="center"/>
        </w:trPr>
        <w:tc>
          <w:tcPr>
            <w:tcW w:w="1421" w:type="dxa"/>
            <w:shd w:val="clear" w:color="auto" w:fill="C6EFCE"/>
            <w:tcMar>
              <w:left w:w="108" w:type="dxa"/>
              <w:right w:w="108" w:type="dxa"/>
            </w:tcMar>
          </w:tcPr>
          <w:p w14:paraId="1887EED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272</w:t>
            </w:r>
          </w:p>
        </w:tc>
        <w:tc>
          <w:tcPr>
            <w:tcW w:w="1572" w:type="dxa"/>
            <w:shd w:val="clear" w:color="auto" w:fill="C6EFCE"/>
            <w:tcMar>
              <w:left w:w="108" w:type="dxa"/>
              <w:right w:w="108" w:type="dxa"/>
            </w:tcMar>
          </w:tcPr>
          <w:p w14:paraId="1887EED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C6.1R1 </w:t>
            </w:r>
            <w:r w:rsidRPr="00D1795B">
              <w:rPr>
                <w:rFonts w:ascii="Times New Roman" w:hAnsi="Times New Roman" w:cs="Times New Roman"/>
                <w:noProof/>
                <w:color w:val="000000" w:themeColor="text1"/>
                <w:sz w:val="18"/>
                <w:szCs w:val="18"/>
              </w:rPr>
              <w:t>Regulating and f</w:t>
            </w:r>
            <w:r w:rsidRPr="00D1795B">
              <w:rPr>
                <w:rFonts w:ascii="Times New Roman" w:hAnsi="Times New Roman" w:cs="Times New Roman"/>
                <w:noProof/>
                <w:sz w:val="18"/>
                <w:szCs w:val="18"/>
              </w:rPr>
              <w:t>acilitating the participation of citizens in the electricity market</w:t>
            </w:r>
          </w:p>
        </w:tc>
        <w:tc>
          <w:tcPr>
            <w:tcW w:w="1134" w:type="dxa"/>
            <w:shd w:val="clear" w:color="auto" w:fill="C6EFCE"/>
            <w:tcMar>
              <w:left w:w="108" w:type="dxa"/>
              <w:right w:w="108" w:type="dxa"/>
            </w:tcMar>
          </w:tcPr>
          <w:p w14:paraId="1887EED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52" w:type="dxa"/>
            <w:shd w:val="clear" w:color="auto" w:fill="C6EFCE"/>
            <w:tcMar>
              <w:left w:w="108" w:type="dxa"/>
              <w:right w:w="108" w:type="dxa"/>
            </w:tcMar>
          </w:tcPr>
          <w:p w14:paraId="1887EED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Single contact point for the participation of citizens in the electricity market </w:t>
            </w:r>
          </w:p>
        </w:tc>
        <w:tc>
          <w:tcPr>
            <w:tcW w:w="1383" w:type="dxa"/>
            <w:shd w:val="clear" w:color="auto" w:fill="C6EFCE"/>
            <w:tcMar>
              <w:left w:w="108" w:type="dxa"/>
              <w:right w:w="108" w:type="dxa"/>
            </w:tcMar>
          </w:tcPr>
          <w:p w14:paraId="1887EED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Publication of Council of Ministers’ Decision in the official gazette</w:t>
            </w:r>
          </w:p>
        </w:tc>
        <w:tc>
          <w:tcPr>
            <w:tcW w:w="1004" w:type="dxa"/>
            <w:shd w:val="clear" w:color="auto" w:fill="C6EFCE"/>
            <w:tcMar>
              <w:left w:w="108" w:type="dxa"/>
              <w:right w:w="108" w:type="dxa"/>
            </w:tcMar>
          </w:tcPr>
          <w:p w14:paraId="1887EED9"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122" w:type="dxa"/>
            <w:shd w:val="clear" w:color="auto" w:fill="C6EFCE"/>
            <w:tcMar>
              <w:left w:w="108" w:type="dxa"/>
              <w:right w:w="108" w:type="dxa"/>
            </w:tcMar>
          </w:tcPr>
          <w:p w14:paraId="1887EEDA"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tcMar>
              <w:left w:w="108" w:type="dxa"/>
              <w:right w:w="108" w:type="dxa"/>
            </w:tcMar>
          </w:tcPr>
          <w:p w14:paraId="1887EEDB"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tcMar>
              <w:left w:w="108" w:type="dxa"/>
              <w:right w:w="108" w:type="dxa"/>
            </w:tcMar>
          </w:tcPr>
          <w:p w14:paraId="1887EEDC"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72" w:type="dxa"/>
            <w:shd w:val="clear" w:color="auto" w:fill="C6EFCE"/>
            <w:tcMar>
              <w:left w:w="108" w:type="dxa"/>
              <w:right w:w="108" w:type="dxa"/>
            </w:tcMar>
          </w:tcPr>
          <w:p w14:paraId="1887EEDD"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564" w:type="dxa"/>
            <w:shd w:val="clear" w:color="auto" w:fill="C6EFCE"/>
            <w:tcMar>
              <w:left w:w="108" w:type="dxa"/>
              <w:right w:w="108" w:type="dxa"/>
            </w:tcMar>
          </w:tcPr>
          <w:p w14:paraId="1887EEDE" w14:textId="77777777" w:rsidR="00C02B59" w:rsidRPr="00D1795B" w:rsidRDefault="00C02B59" w:rsidP="00C02B59">
            <w:pPr>
              <w:spacing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Publication in the official gazette of decision on the participation of renewable and citizens communities, active customers, and renewable self-consumers in the electricity market. </w:t>
            </w:r>
          </w:p>
        </w:tc>
      </w:tr>
      <w:tr w:rsidR="00C02B59" w:rsidRPr="00D1795B" w14:paraId="1887EEEB" w14:textId="77777777" w:rsidTr="00C02B59">
        <w:trPr>
          <w:trHeight w:val="315"/>
          <w:jc w:val="center"/>
        </w:trPr>
        <w:tc>
          <w:tcPr>
            <w:tcW w:w="1421" w:type="dxa"/>
            <w:shd w:val="clear" w:color="auto" w:fill="C6EFCE"/>
            <w:tcMar>
              <w:left w:w="108" w:type="dxa"/>
              <w:right w:w="108" w:type="dxa"/>
            </w:tcMar>
          </w:tcPr>
          <w:p w14:paraId="1887EEE0"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273</w:t>
            </w:r>
          </w:p>
        </w:tc>
        <w:tc>
          <w:tcPr>
            <w:tcW w:w="1572" w:type="dxa"/>
            <w:shd w:val="clear" w:color="auto" w:fill="C6EFCE"/>
            <w:tcMar>
              <w:left w:w="108" w:type="dxa"/>
              <w:right w:w="108" w:type="dxa"/>
            </w:tcMar>
          </w:tcPr>
          <w:p w14:paraId="1887EEE1" w14:textId="77777777" w:rsidR="00C02B59" w:rsidRPr="00D1795B" w:rsidDel="00D22940"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C6.1R2 Establishment of the regulatory framework for the connection of EV charging points </w:t>
            </w:r>
          </w:p>
        </w:tc>
        <w:tc>
          <w:tcPr>
            <w:tcW w:w="1134" w:type="dxa"/>
            <w:shd w:val="clear" w:color="auto" w:fill="C6EFCE"/>
            <w:tcMar>
              <w:left w:w="108" w:type="dxa"/>
              <w:right w:w="108" w:type="dxa"/>
            </w:tcMar>
          </w:tcPr>
          <w:p w14:paraId="1887EEE2" w14:textId="77777777" w:rsidR="00C02B59" w:rsidRPr="00D1795B" w:rsidRDefault="00C02B59" w:rsidP="00C02B59">
            <w:pPr>
              <w:spacing w:before="120"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52" w:type="dxa"/>
            <w:shd w:val="clear" w:color="auto" w:fill="C6EFCE"/>
            <w:tcMar>
              <w:left w:w="108" w:type="dxa"/>
              <w:right w:w="108" w:type="dxa"/>
            </w:tcMar>
          </w:tcPr>
          <w:p w14:paraId="1887EEE3" w14:textId="77777777" w:rsidR="00C02B59" w:rsidRPr="00D1795B" w:rsidRDefault="00C02B59" w:rsidP="00C02B59">
            <w:pPr>
              <w:spacing w:before="120"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Regulatory Decision/s on the connection of EV charging points </w:t>
            </w:r>
          </w:p>
        </w:tc>
        <w:tc>
          <w:tcPr>
            <w:tcW w:w="1383" w:type="dxa"/>
            <w:shd w:val="clear" w:color="auto" w:fill="C6EFCE"/>
            <w:tcMar>
              <w:left w:w="108" w:type="dxa"/>
              <w:right w:w="108" w:type="dxa"/>
            </w:tcMar>
          </w:tcPr>
          <w:p w14:paraId="1887EEE4" w14:textId="77777777" w:rsidR="00C02B59" w:rsidRPr="00D1795B" w:rsidRDefault="00C02B59" w:rsidP="00C02B59">
            <w:pPr>
              <w:spacing w:before="120"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Publication of Regulatory Decision/s in the official gazette</w:t>
            </w:r>
          </w:p>
        </w:tc>
        <w:tc>
          <w:tcPr>
            <w:tcW w:w="1004" w:type="dxa"/>
            <w:shd w:val="clear" w:color="auto" w:fill="C6EFCE"/>
            <w:tcMar>
              <w:left w:w="108" w:type="dxa"/>
              <w:right w:w="108" w:type="dxa"/>
            </w:tcMar>
          </w:tcPr>
          <w:p w14:paraId="1887EEE5" w14:textId="77777777" w:rsidR="00C02B59" w:rsidRPr="00D1795B" w:rsidRDefault="00C02B59" w:rsidP="00C02B59">
            <w:pPr>
              <w:spacing w:before="120"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122" w:type="dxa"/>
            <w:shd w:val="clear" w:color="auto" w:fill="C6EFCE"/>
            <w:tcMar>
              <w:left w:w="108" w:type="dxa"/>
              <w:right w:w="108" w:type="dxa"/>
            </w:tcMar>
          </w:tcPr>
          <w:p w14:paraId="1887EEE6" w14:textId="77777777" w:rsidR="00C02B59" w:rsidRPr="00D1795B" w:rsidRDefault="00C02B59" w:rsidP="00C02B59">
            <w:pPr>
              <w:spacing w:before="120"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tcMar>
              <w:left w:w="108" w:type="dxa"/>
              <w:right w:w="108" w:type="dxa"/>
            </w:tcMar>
          </w:tcPr>
          <w:p w14:paraId="1887EEE7" w14:textId="77777777" w:rsidR="00C02B59" w:rsidRPr="00D1795B" w:rsidRDefault="00C02B59" w:rsidP="00C02B59">
            <w:pPr>
              <w:spacing w:before="120"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tcMar>
              <w:left w:w="108" w:type="dxa"/>
              <w:right w:w="108" w:type="dxa"/>
            </w:tcMar>
          </w:tcPr>
          <w:p w14:paraId="1887EEE8" w14:textId="77777777" w:rsidR="00C02B59" w:rsidRPr="00D1795B" w:rsidRDefault="00C02B59" w:rsidP="00C02B59">
            <w:pPr>
              <w:spacing w:before="120"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Q4</w:t>
            </w:r>
          </w:p>
        </w:tc>
        <w:tc>
          <w:tcPr>
            <w:tcW w:w="972" w:type="dxa"/>
            <w:shd w:val="clear" w:color="auto" w:fill="C6EFCE"/>
            <w:tcMar>
              <w:left w:w="108" w:type="dxa"/>
              <w:right w:w="108" w:type="dxa"/>
            </w:tcMar>
          </w:tcPr>
          <w:p w14:paraId="1887EEE9" w14:textId="77777777" w:rsidR="00C02B59" w:rsidRPr="00D1795B" w:rsidRDefault="00C02B59" w:rsidP="00C02B59">
            <w:pPr>
              <w:spacing w:before="120"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2025</w:t>
            </w:r>
          </w:p>
        </w:tc>
        <w:tc>
          <w:tcPr>
            <w:tcW w:w="3564" w:type="dxa"/>
            <w:shd w:val="clear" w:color="auto" w:fill="C6EFCE"/>
            <w:tcMar>
              <w:left w:w="108" w:type="dxa"/>
              <w:right w:w="108" w:type="dxa"/>
            </w:tcMar>
          </w:tcPr>
          <w:p w14:paraId="1887EEEA" w14:textId="4035F585" w:rsidR="00C02B59" w:rsidRPr="00D1795B" w:rsidRDefault="00C02B59" w:rsidP="00C02B59">
            <w:pPr>
              <w:spacing w:before="120" w:after="12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regulatory decision issued by CERA for the connection of Electric Vehicle Charging Points to the Distribution Network. Publication of the regulatory decision on procurement of flexibility services by the DSO. </w:t>
            </w:r>
          </w:p>
        </w:tc>
      </w:tr>
      <w:tr w:rsidR="00C02B59" w:rsidRPr="00D1795B" w14:paraId="1887EEF7" w14:textId="77777777" w:rsidTr="00C02B59">
        <w:trPr>
          <w:trHeight w:val="315"/>
          <w:jc w:val="center"/>
        </w:trPr>
        <w:tc>
          <w:tcPr>
            <w:tcW w:w="1421" w:type="dxa"/>
            <w:shd w:val="clear" w:color="auto" w:fill="C6EFCE"/>
            <w:tcMar>
              <w:left w:w="108" w:type="dxa"/>
              <w:right w:w="108" w:type="dxa"/>
            </w:tcMar>
          </w:tcPr>
          <w:p w14:paraId="1887EEE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29b</w:t>
            </w:r>
          </w:p>
        </w:tc>
        <w:tc>
          <w:tcPr>
            <w:tcW w:w="1572" w:type="dxa"/>
            <w:shd w:val="clear" w:color="auto" w:fill="C6EFCE"/>
          </w:tcPr>
          <w:p w14:paraId="1887EEED" w14:textId="3D75CE59"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C6.1I1 Scaled-up measure: renewables and individual energy efficiency measures in dwellings</w:t>
            </w:r>
            <w:r w:rsidR="00D1795B">
              <w:rPr>
                <w:rFonts w:ascii="Times New Roman" w:hAnsi="Times New Roman" w:cs="Times New Roman"/>
                <w:noProof/>
                <w:sz w:val="18"/>
                <w:szCs w:val="18"/>
              </w:rPr>
              <w:t xml:space="preserve"> </w:t>
            </w:r>
          </w:p>
        </w:tc>
        <w:tc>
          <w:tcPr>
            <w:tcW w:w="1134" w:type="dxa"/>
            <w:shd w:val="clear" w:color="auto" w:fill="C6EFCE"/>
            <w:tcMar>
              <w:left w:w="108" w:type="dxa"/>
              <w:right w:w="108" w:type="dxa"/>
            </w:tcMar>
          </w:tcPr>
          <w:p w14:paraId="1887EEE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452" w:type="dxa"/>
            <w:shd w:val="clear" w:color="auto" w:fill="C6EFCE"/>
            <w:tcMar>
              <w:left w:w="108" w:type="dxa"/>
              <w:right w:w="108" w:type="dxa"/>
            </w:tcMar>
          </w:tcPr>
          <w:p w14:paraId="1887EEE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Energy efficiency measures in dwellings and tackling energy poverty</w:t>
            </w:r>
          </w:p>
        </w:tc>
        <w:tc>
          <w:tcPr>
            <w:tcW w:w="1383" w:type="dxa"/>
            <w:shd w:val="clear" w:color="auto" w:fill="C6EFCE"/>
            <w:tcMar>
              <w:left w:w="108" w:type="dxa"/>
              <w:right w:w="108" w:type="dxa"/>
            </w:tcMar>
          </w:tcPr>
          <w:p w14:paraId="1887EEF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04" w:type="dxa"/>
            <w:shd w:val="clear" w:color="auto" w:fill="C6EFCE"/>
            <w:tcMar>
              <w:left w:w="108" w:type="dxa"/>
              <w:right w:w="108" w:type="dxa"/>
            </w:tcMar>
          </w:tcPr>
          <w:p w14:paraId="1887EEF1"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1122" w:type="dxa"/>
            <w:shd w:val="clear" w:color="auto" w:fill="C6EFCE"/>
            <w:tcMar>
              <w:left w:w="108" w:type="dxa"/>
              <w:right w:w="108" w:type="dxa"/>
            </w:tcMar>
          </w:tcPr>
          <w:p w14:paraId="1887EEF2"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29 300</w:t>
            </w:r>
          </w:p>
        </w:tc>
        <w:tc>
          <w:tcPr>
            <w:tcW w:w="992" w:type="dxa"/>
            <w:shd w:val="clear" w:color="auto" w:fill="C6EFCE"/>
            <w:tcMar>
              <w:left w:w="108" w:type="dxa"/>
              <w:right w:w="108" w:type="dxa"/>
            </w:tcMar>
          </w:tcPr>
          <w:p w14:paraId="1887EEF3"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50 000</w:t>
            </w:r>
          </w:p>
        </w:tc>
        <w:tc>
          <w:tcPr>
            <w:tcW w:w="992" w:type="dxa"/>
            <w:shd w:val="clear" w:color="auto" w:fill="C6EFCE"/>
            <w:tcMar>
              <w:left w:w="108" w:type="dxa"/>
              <w:right w:w="108" w:type="dxa"/>
            </w:tcMar>
          </w:tcPr>
          <w:p w14:paraId="1887EEF4"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72" w:type="dxa"/>
            <w:shd w:val="clear" w:color="auto" w:fill="C6EFCE"/>
            <w:tcMar>
              <w:left w:w="108" w:type="dxa"/>
              <w:right w:w="108" w:type="dxa"/>
            </w:tcMar>
          </w:tcPr>
          <w:p w14:paraId="1887EEF5" w14:textId="77777777" w:rsidR="00C02B59" w:rsidRPr="00D1795B" w:rsidRDefault="00C02B59" w:rsidP="00C02B59">
            <w:pPr>
              <w:spacing w:after="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564" w:type="dxa"/>
            <w:shd w:val="clear" w:color="auto" w:fill="C6EFCE"/>
            <w:tcMar>
              <w:left w:w="108" w:type="dxa"/>
              <w:right w:w="108" w:type="dxa"/>
            </w:tcMar>
          </w:tcPr>
          <w:p w14:paraId="1887EEF6" w14:textId="77777777" w:rsidR="00C02B59" w:rsidRPr="00D1795B" w:rsidRDefault="00C02B59" w:rsidP="00C02B59">
            <w:pPr>
              <w:spacing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Reducing primary energy demand on average by at least 30% for 50 000 dwellings, including 7 100 vulnerable electricity consumers households.</w:t>
            </w:r>
          </w:p>
        </w:tc>
      </w:tr>
      <w:tr w:rsidR="00C02B59" w:rsidRPr="00D1795B" w14:paraId="1887EF03" w14:textId="77777777" w:rsidTr="00C02B59">
        <w:trPr>
          <w:trHeight w:val="315"/>
          <w:jc w:val="center"/>
        </w:trPr>
        <w:tc>
          <w:tcPr>
            <w:tcW w:w="1421" w:type="dxa"/>
            <w:shd w:val="clear" w:color="auto" w:fill="C6EFCE"/>
            <w:tcMar>
              <w:left w:w="108" w:type="dxa"/>
              <w:right w:w="108" w:type="dxa"/>
            </w:tcMar>
          </w:tcPr>
          <w:p w14:paraId="1887EEF8"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274</w:t>
            </w:r>
          </w:p>
        </w:tc>
        <w:tc>
          <w:tcPr>
            <w:tcW w:w="1572" w:type="dxa"/>
            <w:shd w:val="clear" w:color="auto" w:fill="C6EFCE"/>
            <w:tcMar>
              <w:left w:w="108" w:type="dxa"/>
              <w:right w:w="108" w:type="dxa"/>
            </w:tcMar>
          </w:tcPr>
          <w:p w14:paraId="1887EEF9"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C6.1I3 Promoting extensive energy renovations of dwellings</w:t>
            </w:r>
          </w:p>
        </w:tc>
        <w:tc>
          <w:tcPr>
            <w:tcW w:w="1134" w:type="dxa"/>
            <w:shd w:val="clear" w:color="auto" w:fill="C6EFCE"/>
            <w:tcMar>
              <w:left w:w="108" w:type="dxa"/>
              <w:right w:w="108" w:type="dxa"/>
            </w:tcMar>
          </w:tcPr>
          <w:p w14:paraId="1887EEFA"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1452" w:type="dxa"/>
            <w:shd w:val="clear" w:color="auto" w:fill="C6EFCE"/>
            <w:tcMar>
              <w:left w:w="108" w:type="dxa"/>
              <w:right w:w="108" w:type="dxa"/>
            </w:tcMar>
          </w:tcPr>
          <w:p w14:paraId="1887EEFB"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Support scheme for energy upgrading of dwellings</w:t>
            </w:r>
          </w:p>
        </w:tc>
        <w:tc>
          <w:tcPr>
            <w:tcW w:w="1383" w:type="dxa"/>
            <w:shd w:val="clear" w:color="auto" w:fill="C6EFCE"/>
            <w:tcMar>
              <w:left w:w="108" w:type="dxa"/>
              <w:right w:w="108" w:type="dxa"/>
            </w:tcMar>
          </w:tcPr>
          <w:p w14:paraId="1887EEFC"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Publication of call for proposals for the support scheme</w:t>
            </w:r>
          </w:p>
        </w:tc>
        <w:tc>
          <w:tcPr>
            <w:tcW w:w="1004" w:type="dxa"/>
            <w:shd w:val="clear" w:color="auto" w:fill="C6EFCE"/>
            <w:tcMar>
              <w:left w:w="108" w:type="dxa"/>
              <w:right w:w="108" w:type="dxa"/>
            </w:tcMar>
          </w:tcPr>
          <w:p w14:paraId="1887EEFD"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122" w:type="dxa"/>
            <w:shd w:val="clear" w:color="auto" w:fill="C6EFCE"/>
            <w:tcMar>
              <w:left w:w="108" w:type="dxa"/>
              <w:right w:w="108" w:type="dxa"/>
            </w:tcMar>
          </w:tcPr>
          <w:p w14:paraId="1887EEFE"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tcMar>
              <w:left w:w="108" w:type="dxa"/>
              <w:right w:w="108" w:type="dxa"/>
            </w:tcMar>
          </w:tcPr>
          <w:p w14:paraId="1887EEFF"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992" w:type="dxa"/>
            <w:shd w:val="clear" w:color="auto" w:fill="C6EFCE"/>
            <w:tcMar>
              <w:left w:w="108" w:type="dxa"/>
              <w:right w:w="108" w:type="dxa"/>
            </w:tcMar>
          </w:tcPr>
          <w:p w14:paraId="1887EF00"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Q1</w:t>
            </w:r>
          </w:p>
        </w:tc>
        <w:tc>
          <w:tcPr>
            <w:tcW w:w="972" w:type="dxa"/>
            <w:shd w:val="clear" w:color="auto" w:fill="C6EFCE"/>
            <w:tcMar>
              <w:left w:w="108" w:type="dxa"/>
              <w:right w:w="108" w:type="dxa"/>
            </w:tcMar>
          </w:tcPr>
          <w:p w14:paraId="1887EF01"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2024</w:t>
            </w:r>
          </w:p>
        </w:tc>
        <w:tc>
          <w:tcPr>
            <w:tcW w:w="3564" w:type="dxa"/>
            <w:shd w:val="clear" w:color="auto" w:fill="C6EFCE"/>
            <w:tcMar>
              <w:left w:w="108" w:type="dxa"/>
              <w:right w:w="108" w:type="dxa"/>
            </w:tcMar>
          </w:tcPr>
          <w:p w14:paraId="1887EF02" w14:textId="77777777" w:rsidR="00C02B59" w:rsidRPr="00D1795B" w:rsidRDefault="00C02B59" w:rsidP="00C02B59">
            <w:pPr>
              <w:spacing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Publication of the call for proposals for the support scheme for promoting extensive energy upgrading of</w:t>
            </w:r>
            <w:r w:rsidRPr="00D1795B" w:rsidDel="00A40D7D">
              <w:rPr>
                <w:rFonts w:ascii="Times New Roman" w:hAnsi="Times New Roman" w:cs="Times New Roman"/>
                <w:noProof/>
                <w:sz w:val="18"/>
                <w:szCs w:val="18"/>
              </w:rPr>
              <w:t xml:space="preserve"> </w:t>
            </w:r>
            <w:r w:rsidRPr="00D1795B">
              <w:rPr>
                <w:rFonts w:ascii="Times New Roman" w:hAnsi="Times New Roman" w:cs="Times New Roman"/>
                <w:noProof/>
                <w:sz w:val="18"/>
                <w:szCs w:val="18"/>
              </w:rPr>
              <w:t>dwellings, following Council of Ministers decision approving the scheme objectives, with the aim to achieve at least a 30% primary energy demand reduction.</w:t>
            </w:r>
          </w:p>
        </w:tc>
      </w:tr>
      <w:tr w:rsidR="00C02B59" w:rsidRPr="00D1795B" w14:paraId="1887EF0F" w14:textId="77777777" w:rsidTr="00C02B59">
        <w:trPr>
          <w:trHeight w:val="315"/>
          <w:jc w:val="center"/>
        </w:trPr>
        <w:tc>
          <w:tcPr>
            <w:tcW w:w="1421" w:type="dxa"/>
            <w:shd w:val="clear" w:color="auto" w:fill="C6EFCE"/>
            <w:tcMar>
              <w:left w:w="108" w:type="dxa"/>
              <w:right w:w="108" w:type="dxa"/>
            </w:tcMar>
          </w:tcPr>
          <w:p w14:paraId="1887EF04"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275</w:t>
            </w:r>
          </w:p>
        </w:tc>
        <w:tc>
          <w:tcPr>
            <w:tcW w:w="1572" w:type="dxa"/>
            <w:shd w:val="clear" w:color="auto" w:fill="C6EFCE"/>
          </w:tcPr>
          <w:p w14:paraId="1887EF05" w14:textId="77777777" w:rsidR="00C02B59" w:rsidRPr="00D1795B" w:rsidRDefault="00C02B59" w:rsidP="00C02B59">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C6.1I3 Promoting energy renovations of dwellings</w:t>
            </w:r>
          </w:p>
        </w:tc>
        <w:tc>
          <w:tcPr>
            <w:tcW w:w="1134" w:type="dxa"/>
            <w:shd w:val="clear" w:color="auto" w:fill="C6EFCE"/>
            <w:tcMar>
              <w:left w:w="108" w:type="dxa"/>
              <w:right w:w="108" w:type="dxa"/>
            </w:tcMar>
          </w:tcPr>
          <w:p w14:paraId="1887EF06"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Target </w:t>
            </w:r>
          </w:p>
        </w:tc>
        <w:tc>
          <w:tcPr>
            <w:tcW w:w="1452" w:type="dxa"/>
            <w:shd w:val="clear" w:color="auto" w:fill="C6EFCE"/>
            <w:tcMar>
              <w:left w:w="108" w:type="dxa"/>
              <w:right w:w="108" w:type="dxa"/>
            </w:tcMar>
          </w:tcPr>
          <w:p w14:paraId="1887EF07"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Improving energy performance of dwellings</w:t>
            </w:r>
          </w:p>
        </w:tc>
        <w:tc>
          <w:tcPr>
            <w:tcW w:w="1383" w:type="dxa"/>
            <w:shd w:val="clear" w:color="auto" w:fill="C6EFCE"/>
            <w:tcMar>
              <w:left w:w="108" w:type="dxa"/>
              <w:right w:w="108" w:type="dxa"/>
            </w:tcMar>
          </w:tcPr>
          <w:p w14:paraId="1887EF08"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04" w:type="dxa"/>
            <w:shd w:val="clear" w:color="auto" w:fill="C6EFCE"/>
            <w:tcMar>
              <w:left w:w="108" w:type="dxa"/>
              <w:right w:w="108" w:type="dxa"/>
            </w:tcMar>
          </w:tcPr>
          <w:p w14:paraId="1887EF09"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1122" w:type="dxa"/>
            <w:shd w:val="clear" w:color="auto" w:fill="C6EFCE"/>
            <w:tcMar>
              <w:left w:w="108" w:type="dxa"/>
              <w:right w:w="108" w:type="dxa"/>
            </w:tcMar>
          </w:tcPr>
          <w:p w14:paraId="1887EF0A"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992" w:type="dxa"/>
            <w:shd w:val="clear" w:color="auto" w:fill="C6EFCE"/>
            <w:tcMar>
              <w:left w:w="108" w:type="dxa"/>
              <w:right w:w="108" w:type="dxa"/>
            </w:tcMar>
          </w:tcPr>
          <w:p w14:paraId="1887EF0B"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800</w:t>
            </w:r>
          </w:p>
        </w:tc>
        <w:tc>
          <w:tcPr>
            <w:tcW w:w="992" w:type="dxa"/>
            <w:shd w:val="clear" w:color="auto" w:fill="C6EFCE"/>
            <w:tcMar>
              <w:left w:w="108" w:type="dxa"/>
              <w:right w:w="108" w:type="dxa"/>
            </w:tcMar>
          </w:tcPr>
          <w:p w14:paraId="1887EF0C"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72" w:type="dxa"/>
            <w:shd w:val="clear" w:color="auto" w:fill="C6EFCE"/>
            <w:tcMar>
              <w:left w:w="108" w:type="dxa"/>
              <w:right w:w="108" w:type="dxa"/>
            </w:tcMar>
          </w:tcPr>
          <w:p w14:paraId="1887EF0D"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564" w:type="dxa"/>
            <w:shd w:val="clear" w:color="auto" w:fill="C6EFCE"/>
            <w:tcMar>
              <w:left w:w="108" w:type="dxa"/>
              <w:right w:w="108" w:type="dxa"/>
            </w:tcMar>
          </w:tcPr>
          <w:p w14:paraId="1887EF0E" w14:textId="77777777" w:rsidR="00C02B59" w:rsidRPr="00D1795B" w:rsidRDefault="00C02B59" w:rsidP="00C02B59">
            <w:pPr>
              <w:spacing w:after="120"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Energy Performance certificates for 800 energy renovated dwellings, with the objective to achieve at least a 30% primary energy demand reduction on average, have been issued.</w:t>
            </w:r>
          </w:p>
        </w:tc>
      </w:tr>
      <w:tr w:rsidR="00C02B59" w:rsidRPr="00D1795B" w14:paraId="1887EF1B" w14:textId="77777777" w:rsidTr="00C02B59">
        <w:trPr>
          <w:trHeight w:val="315"/>
          <w:jc w:val="center"/>
        </w:trPr>
        <w:tc>
          <w:tcPr>
            <w:tcW w:w="1421" w:type="dxa"/>
            <w:shd w:val="clear" w:color="auto" w:fill="C6EFCE"/>
            <w:tcMar>
              <w:left w:w="108" w:type="dxa"/>
              <w:right w:w="108" w:type="dxa"/>
            </w:tcMar>
          </w:tcPr>
          <w:p w14:paraId="1887EF10"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102b</w:t>
            </w:r>
          </w:p>
        </w:tc>
        <w:tc>
          <w:tcPr>
            <w:tcW w:w="1572" w:type="dxa"/>
            <w:shd w:val="clear" w:color="auto" w:fill="C6EFCE"/>
          </w:tcPr>
          <w:p w14:paraId="1887EF11" w14:textId="77777777" w:rsidR="00C02B59" w:rsidRPr="00D1795B" w:rsidRDefault="00C02B59" w:rsidP="00C02B59">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C6.1I5 Scaled-up measure: Scheme for the competitiveness and the energy efficiency of large enterprises in Cyprus</w:t>
            </w:r>
          </w:p>
        </w:tc>
        <w:tc>
          <w:tcPr>
            <w:tcW w:w="1134" w:type="dxa"/>
            <w:shd w:val="clear" w:color="auto" w:fill="C6EFCE"/>
            <w:tcMar>
              <w:left w:w="108" w:type="dxa"/>
              <w:right w:w="108" w:type="dxa"/>
            </w:tcMar>
          </w:tcPr>
          <w:p w14:paraId="1887EF12"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Target </w:t>
            </w:r>
          </w:p>
        </w:tc>
        <w:tc>
          <w:tcPr>
            <w:tcW w:w="1452" w:type="dxa"/>
            <w:shd w:val="clear" w:color="auto" w:fill="C6EFCE"/>
            <w:tcMar>
              <w:left w:w="108" w:type="dxa"/>
              <w:right w:w="108" w:type="dxa"/>
            </w:tcMar>
          </w:tcPr>
          <w:p w14:paraId="1887EF13"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Signature of grants with 12 enterprises</w:t>
            </w:r>
          </w:p>
        </w:tc>
        <w:tc>
          <w:tcPr>
            <w:tcW w:w="1383" w:type="dxa"/>
            <w:shd w:val="clear" w:color="auto" w:fill="C6EFCE"/>
            <w:tcMar>
              <w:left w:w="108" w:type="dxa"/>
              <w:right w:w="108" w:type="dxa"/>
            </w:tcMar>
          </w:tcPr>
          <w:p w14:paraId="1887EF14"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04" w:type="dxa"/>
            <w:shd w:val="clear" w:color="auto" w:fill="C6EFCE"/>
            <w:tcMar>
              <w:left w:w="108" w:type="dxa"/>
              <w:right w:w="108" w:type="dxa"/>
            </w:tcMar>
          </w:tcPr>
          <w:p w14:paraId="1887EF15"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1122" w:type="dxa"/>
            <w:shd w:val="clear" w:color="auto" w:fill="C6EFCE"/>
            <w:tcMar>
              <w:left w:w="108" w:type="dxa"/>
              <w:right w:w="108" w:type="dxa"/>
            </w:tcMar>
          </w:tcPr>
          <w:p w14:paraId="1887EF16"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992" w:type="dxa"/>
            <w:shd w:val="clear" w:color="auto" w:fill="C6EFCE"/>
            <w:tcMar>
              <w:left w:w="108" w:type="dxa"/>
              <w:right w:w="108" w:type="dxa"/>
            </w:tcMar>
          </w:tcPr>
          <w:p w14:paraId="1887EF17"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12</w:t>
            </w:r>
          </w:p>
        </w:tc>
        <w:tc>
          <w:tcPr>
            <w:tcW w:w="992" w:type="dxa"/>
            <w:shd w:val="clear" w:color="auto" w:fill="C6EFCE"/>
            <w:tcMar>
              <w:left w:w="108" w:type="dxa"/>
              <w:right w:w="108" w:type="dxa"/>
            </w:tcMar>
          </w:tcPr>
          <w:p w14:paraId="1887EF18"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72" w:type="dxa"/>
            <w:shd w:val="clear" w:color="auto" w:fill="C6EFCE"/>
            <w:tcMar>
              <w:left w:w="108" w:type="dxa"/>
              <w:right w:w="108" w:type="dxa"/>
            </w:tcMar>
          </w:tcPr>
          <w:p w14:paraId="1887EF19"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564" w:type="dxa"/>
            <w:shd w:val="clear" w:color="auto" w:fill="C6EFCE"/>
            <w:tcMar>
              <w:left w:w="108" w:type="dxa"/>
              <w:right w:w="108" w:type="dxa"/>
            </w:tcMar>
          </w:tcPr>
          <w:p w14:paraId="1887EF1A" w14:textId="77777777" w:rsidR="00C02B59" w:rsidRPr="00D1795B" w:rsidRDefault="00C02B59" w:rsidP="00C02B59">
            <w:pPr>
              <w:spacing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Signature of grant agreements with at least 12 enterprises. The projects shall be selected in a call that requires compliance with the ‘Do no significant harm’ Technical Guidance (2021/C58/01)</w:t>
            </w:r>
            <w:r w:rsidRPr="00D1795B">
              <w:rPr>
                <w:rFonts w:ascii="Times New Roman" w:eastAsia="Times New Roman" w:hAnsi="Times New Roman" w:cs="Times New Roman"/>
                <w:noProof/>
                <w:sz w:val="18"/>
                <w:szCs w:val="18"/>
              </w:rPr>
              <w:t xml:space="preserve"> through the use of an exclusion list excluding notably </w:t>
            </w:r>
            <w:bookmarkStart w:id="9" w:name="_Hlk213778635"/>
            <w:r w:rsidRPr="00D1795B">
              <w:rPr>
                <w:rFonts w:ascii="Times New Roman" w:eastAsia="Times New Roman" w:hAnsi="Times New Roman" w:cs="Times New Roman"/>
                <w:noProof/>
                <w:sz w:val="18"/>
                <w:szCs w:val="18"/>
              </w:rPr>
              <w:t xml:space="preserve">activities </w:t>
            </w:r>
            <w:bookmarkEnd w:id="9"/>
            <w:r w:rsidRPr="00D1795B">
              <w:rPr>
                <w:rFonts w:ascii="Times New Roman" w:eastAsia="Times New Roman" w:hAnsi="Times New Roman" w:cs="Times New Roman"/>
                <w:noProof/>
                <w:sz w:val="18"/>
                <w:szCs w:val="18"/>
              </w:rPr>
              <w:t>related to fossil fuels, including</w:t>
            </w:r>
            <w:r w:rsidRPr="00D1795B">
              <w:rPr>
                <w:rFonts w:ascii="Times New Roman" w:hAnsi="Times New Roman" w:cs="Times New Roman"/>
                <w:noProof/>
                <w:sz w:val="18"/>
                <w:szCs w:val="18"/>
              </w:rPr>
              <w:br/>
            </w:r>
            <w:r w:rsidRPr="00D1795B">
              <w:rPr>
                <w:rFonts w:ascii="Times New Roman" w:eastAsia="Times New Roman" w:hAnsi="Times New Roman" w:cs="Times New Roman"/>
                <w:noProof/>
                <w:sz w:val="18"/>
                <w:szCs w:val="18"/>
              </w:rPr>
              <w:t>downstream use.</w:t>
            </w:r>
          </w:p>
        </w:tc>
      </w:tr>
      <w:tr w:rsidR="00C02B59" w:rsidRPr="00D1795B" w14:paraId="1887EF27" w14:textId="77777777" w:rsidTr="00C02B59">
        <w:trPr>
          <w:trHeight w:val="315"/>
          <w:jc w:val="center"/>
        </w:trPr>
        <w:tc>
          <w:tcPr>
            <w:tcW w:w="1421" w:type="dxa"/>
            <w:shd w:val="clear" w:color="auto" w:fill="C6EFCE"/>
            <w:tcMar>
              <w:left w:w="108" w:type="dxa"/>
              <w:right w:w="108" w:type="dxa"/>
            </w:tcMar>
          </w:tcPr>
          <w:p w14:paraId="1887EF1C"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131b</w:t>
            </w:r>
          </w:p>
        </w:tc>
        <w:tc>
          <w:tcPr>
            <w:tcW w:w="1572" w:type="dxa"/>
            <w:shd w:val="clear" w:color="auto" w:fill="C6EFCE"/>
            <w:tcMar>
              <w:left w:w="108" w:type="dxa"/>
              <w:right w:w="108" w:type="dxa"/>
            </w:tcMar>
            <w:vAlign w:val="bottom"/>
          </w:tcPr>
          <w:p w14:paraId="1887EF1D"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C6.1I6 Scaled-up measure: Thematic research and innovation funding program on green transition</w:t>
            </w:r>
          </w:p>
        </w:tc>
        <w:tc>
          <w:tcPr>
            <w:tcW w:w="1134" w:type="dxa"/>
            <w:shd w:val="clear" w:color="auto" w:fill="C6EFCE"/>
            <w:tcMar>
              <w:left w:w="108" w:type="dxa"/>
              <w:right w:w="108" w:type="dxa"/>
            </w:tcMar>
          </w:tcPr>
          <w:p w14:paraId="1887EF1E"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452" w:type="dxa"/>
            <w:shd w:val="clear" w:color="auto" w:fill="C6EFCE"/>
            <w:tcMar>
              <w:left w:w="108" w:type="dxa"/>
              <w:right w:w="108" w:type="dxa"/>
            </w:tcMar>
          </w:tcPr>
          <w:p w14:paraId="1887EF1F"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Projects on green transition R&amp;I activities</w:t>
            </w:r>
          </w:p>
        </w:tc>
        <w:tc>
          <w:tcPr>
            <w:tcW w:w="1383" w:type="dxa"/>
            <w:shd w:val="clear" w:color="auto" w:fill="C6EFCE"/>
            <w:tcMar>
              <w:left w:w="108" w:type="dxa"/>
              <w:right w:w="108" w:type="dxa"/>
            </w:tcMar>
          </w:tcPr>
          <w:p w14:paraId="1887EF20"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04" w:type="dxa"/>
            <w:shd w:val="clear" w:color="auto" w:fill="C6EFCE"/>
            <w:tcMar>
              <w:left w:w="108" w:type="dxa"/>
              <w:right w:w="108" w:type="dxa"/>
            </w:tcMar>
          </w:tcPr>
          <w:p w14:paraId="1887EF21" w14:textId="77777777" w:rsidR="00C02B59" w:rsidRPr="00D1795B" w:rsidRDefault="00C02B59" w:rsidP="00C02B59">
            <w:pPr>
              <w:spacing w:after="120" w:line="240" w:lineRule="auto"/>
              <w:jc w:val="center"/>
              <w:rPr>
                <w:rFonts w:ascii="Times New Roman" w:hAnsi="Times New Roman" w:cs="Times New Roman"/>
                <w:noProof/>
                <w:sz w:val="18"/>
                <w:szCs w:val="18"/>
              </w:rPr>
            </w:pPr>
          </w:p>
        </w:tc>
        <w:tc>
          <w:tcPr>
            <w:tcW w:w="1122" w:type="dxa"/>
            <w:shd w:val="clear" w:color="auto" w:fill="C6EFCE"/>
            <w:tcMar>
              <w:left w:w="108" w:type="dxa"/>
              <w:right w:w="108" w:type="dxa"/>
            </w:tcMar>
          </w:tcPr>
          <w:p w14:paraId="1887EF22"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10</w:t>
            </w:r>
          </w:p>
        </w:tc>
        <w:tc>
          <w:tcPr>
            <w:tcW w:w="992" w:type="dxa"/>
            <w:shd w:val="clear" w:color="auto" w:fill="C6EFCE"/>
            <w:tcMar>
              <w:left w:w="108" w:type="dxa"/>
              <w:right w:w="108" w:type="dxa"/>
            </w:tcMar>
          </w:tcPr>
          <w:p w14:paraId="1887EF23"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19</w:t>
            </w:r>
          </w:p>
        </w:tc>
        <w:tc>
          <w:tcPr>
            <w:tcW w:w="992" w:type="dxa"/>
            <w:shd w:val="clear" w:color="auto" w:fill="C6EFCE"/>
            <w:tcMar>
              <w:left w:w="108" w:type="dxa"/>
              <w:right w:w="108" w:type="dxa"/>
            </w:tcMar>
          </w:tcPr>
          <w:p w14:paraId="1887EF24"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72" w:type="dxa"/>
            <w:shd w:val="clear" w:color="auto" w:fill="C6EFCE"/>
            <w:tcMar>
              <w:left w:w="108" w:type="dxa"/>
              <w:right w:w="108" w:type="dxa"/>
            </w:tcMar>
          </w:tcPr>
          <w:p w14:paraId="1887EF25"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564" w:type="dxa"/>
            <w:shd w:val="clear" w:color="auto" w:fill="C6EFCE"/>
            <w:tcMar>
              <w:left w:w="108" w:type="dxa"/>
              <w:right w:w="108" w:type="dxa"/>
            </w:tcMar>
          </w:tcPr>
          <w:p w14:paraId="1887EF26" w14:textId="77777777" w:rsidR="00C02B59" w:rsidRPr="00D1795B" w:rsidRDefault="00C02B59" w:rsidP="00C02B59">
            <w:pPr>
              <w:spacing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Reports issued by the RIF for at least 19 projects on green transition R&amp;I activities.</w:t>
            </w:r>
          </w:p>
        </w:tc>
      </w:tr>
      <w:tr w:rsidR="00C02B59" w:rsidRPr="00D1795B" w14:paraId="1887EF33" w14:textId="77777777" w:rsidTr="00C02B59">
        <w:trPr>
          <w:trHeight w:val="315"/>
          <w:jc w:val="center"/>
        </w:trPr>
        <w:tc>
          <w:tcPr>
            <w:tcW w:w="1421" w:type="dxa"/>
            <w:shd w:val="clear" w:color="auto" w:fill="C6EFCE"/>
            <w:tcMar>
              <w:left w:w="108" w:type="dxa"/>
              <w:right w:w="108" w:type="dxa"/>
            </w:tcMar>
          </w:tcPr>
          <w:p w14:paraId="1887EF28"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277</w:t>
            </w:r>
          </w:p>
        </w:tc>
        <w:tc>
          <w:tcPr>
            <w:tcW w:w="1572" w:type="dxa"/>
            <w:shd w:val="clear" w:color="auto" w:fill="C6EFCE"/>
          </w:tcPr>
          <w:p w14:paraId="1887EF29" w14:textId="77777777" w:rsidR="00C02B59" w:rsidRPr="00D1795B" w:rsidRDefault="00C02B59" w:rsidP="00C02B59">
            <w:pPr>
              <w:spacing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C6.1I7 Thematic research in enterprises for energy production, storage, transmission, and distribution solutions</w:t>
            </w:r>
          </w:p>
        </w:tc>
        <w:tc>
          <w:tcPr>
            <w:tcW w:w="1134" w:type="dxa"/>
            <w:shd w:val="clear" w:color="auto" w:fill="C6EFCE"/>
            <w:tcMar>
              <w:left w:w="108" w:type="dxa"/>
              <w:right w:w="108" w:type="dxa"/>
            </w:tcMar>
          </w:tcPr>
          <w:p w14:paraId="1887EF2A"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1452" w:type="dxa"/>
            <w:shd w:val="clear" w:color="auto" w:fill="C6EFCE"/>
            <w:tcMar>
              <w:left w:w="108" w:type="dxa"/>
              <w:right w:w="108" w:type="dxa"/>
            </w:tcMar>
          </w:tcPr>
          <w:p w14:paraId="1887EF2B" w14:textId="77777777" w:rsidR="00C02B59" w:rsidRPr="00D1795B" w:rsidRDefault="00C02B59" w:rsidP="00C02B59">
            <w:pPr>
              <w:spacing w:after="120" w:line="240" w:lineRule="auto"/>
              <w:rPr>
                <w:rFonts w:ascii="Times New Roman" w:hAnsi="Times New Roman" w:cs="Times New Roman"/>
                <w:noProof/>
                <w:color w:val="000000" w:themeColor="text1"/>
                <w:sz w:val="18"/>
                <w:szCs w:val="18"/>
              </w:rPr>
            </w:pPr>
            <w:r w:rsidRPr="00D1795B">
              <w:rPr>
                <w:rFonts w:ascii="Times New Roman" w:hAnsi="Times New Roman" w:cs="Times New Roman"/>
                <w:noProof/>
                <w:sz w:val="18"/>
                <w:szCs w:val="18"/>
              </w:rPr>
              <w:t xml:space="preserve">Projects on </w:t>
            </w:r>
            <w:r w:rsidRPr="00D1795B">
              <w:rPr>
                <w:rFonts w:ascii="Times New Roman" w:hAnsi="Times New Roman" w:cs="Times New Roman"/>
                <w:noProof/>
                <w:color w:val="000000" w:themeColor="text1"/>
                <w:sz w:val="18"/>
                <w:szCs w:val="18"/>
              </w:rPr>
              <w:t>energy production, storage, transmission, and distribution solutions R&amp;I activities</w:t>
            </w:r>
          </w:p>
        </w:tc>
        <w:tc>
          <w:tcPr>
            <w:tcW w:w="1383" w:type="dxa"/>
            <w:shd w:val="clear" w:color="auto" w:fill="C6EFCE"/>
            <w:tcMar>
              <w:left w:w="108" w:type="dxa"/>
              <w:right w:w="108" w:type="dxa"/>
            </w:tcMar>
          </w:tcPr>
          <w:p w14:paraId="1887EF2C" w14:textId="77777777" w:rsidR="00C02B59" w:rsidRPr="00D1795B" w:rsidRDefault="00C02B59" w:rsidP="00C02B59">
            <w:pPr>
              <w:spacing w:after="12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t>
            </w:r>
          </w:p>
        </w:tc>
        <w:tc>
          <w:tcPr>
            <w:tcW w:w="1004" w:type="dxa"/>
            <w:shd w:val="clear" w:color="auto" w:fill="C6EFCE"/>
            <w:tcMar>
              <w:left w:w="108" w:type="dxa"/>
              <w:right w:w="108" w:type="dxa"/>
            </w:tcMar>
          </w:tcPr>
          <w:p w14:paraId="1887EF2D"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Number</w:t>
            </w:r>
          </w:p>
        </w:tc>
        <w:tc>
          <w:tcPr>
            <w:tcW w:w="1122" w:type="dxa"/>
            <w:shd w:val="clear" w:color="auto" w:fill="C6EFCE"/>
            <w:tcMar>
              <w:left w:w="108" w:type="dxa"/>
              <w:right w:w="108" w:type="dxa"/>
            </w:tcMar>
          </w:tcPr>
          <w:p w14:paraId="1887EF2E"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0</w:t>
            </w:r>
          </w:p>
        </w:tc>
        <w:tc>
          <w:tcPr>
            <w:tcW w:w="992" w:type="dxa"/>
            <w:shd w:val="clear" w:color="auto" w:fill="C6EFCE"/>
            <w:tcMar>
              <w:left w:w="108" w:type="dxa"/>
              <w:right w:w="108" w:type="dxa"/>
            </w:tcMar>
          </w:tcPr>
          <w:p w14:paraId="1887EF2F"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w:t>
            </w:r>
          </w:p>
        </w:tc>
        <w:tc>
          <w:tcPr>
            <w:tcW w:w="992" w:type="dxa"/>
            <w:shd w:val="clear" w:color="auto" w:fill="C6EFCE"/>
            <w:tcMar>
              <w:left w:w="108" w:type="dxa"/>
              <w:right w:w="108" w:type="dxa"/>
            </w:tcMar>
          </w:tcPr>
          <w:p w14:paraId="1887EF30"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Q2</w:t>
            </w:r>
          </w:p>
        </w:tc>
        <w:tc>
          <w:tcPr>
            <w:tcW w:w="972" w:type="dxa"/>
            <w:shd w:val="clear" w:color="auto" w:fill="C6EFCE"/>
            <w:tcMar>
              <w:left w:w="108" w:type="dxa"/>
              <w:right w:w="108" w:type="dxa"/>
            </w:tcMar>
          </w:tcPr>
          <w:p w14:paraId="1887EF31" w14:textId="77777777" w:rsidR="00C02B59" w:rsidRPr="00D1795B" w:rsidRDefault="00C02B59" w:rsidP="00C02B59">
            <w:pPr>
              <w:spacing w:after="120" w:line="240" w:lineRule="auto"/>
              <w:jc w:val="center"/>
              <w:rPr>
                <w:rFonts w:ascii="Times New Roman" w:hAnsi="Times New Roman" w:cs="Times New Roman"/>
                <w:noProof/>
                <w:sz w:val="18"/>
                <w:szCs w:val="18"/>
              </w:rPr>
            </w:pPr>
            <w:r w:rsidRPr="00D1795B">
              <w:rPr>
                <w:rFonts w:ascii="Times New Roman" w:hAnsi="Times New Roman" w:cs="Times New Roman"/>
                <w:noProof/>
                <w:sz w:val="18"/>
                <w:szCs w:val="18"/>
              </w:rPr>
              <w:t>2026</w:t>
            </w:r>
          </w:p>
        </w:tc>
        <w:tc>
          <w:tcPr>
            <w:tcW w:w="3564" w:type="dxa"/>
            <w:shd w:val="clear" w:color="auto" w:fill="C6EFCE"/>
            <w:tcMar>
              <w:left w:w="108" w:type="dxa"/>
              <w:right w:w="108" w:type="dxa"/>
            </w:tcMar>
          </w:tcPr>
          <w:p w14:paraId="1887EF32" w14:textId="77777777" w:rsidR="00C02B59" w:rsidRPr="00D1795B" w:rsidRDefault="00C02B59" w:rsidP="00C02B59">
            <w:pPr>
              <w:spacing w:line="240" w:lineRule="auto"/>
              <w:jc w:val="both"/>
              <w:rPr>
                <w:rFonts w:ascii="Times New Roman" w:hAnsi="Times New Roman" w:cs="Times New Roman"/>
                <w:noProof/>
                <w:color w:val="000000" w:themeColor="text1"/>
                <w:sz w:val="18"/>
                <w:szCs w:val="18"/>
              </w:rPr>
            </w:pPr>
            <w:r w:rsidRPr="00D1795B">
              <w:rPr>
                <w:rFonts w:ascii="Times New Roman" w:eastAsia="Times New Roman" w:hAnsi="Times New Roman" w:cs="Times New Roman"/>
                <w:noProof/>
                <w:color w:val="000000" w:themeColor="text1"/>
                <w:sz w:val="18"/>
                <w:szCs w:val="18"/>
              </w:rPr>
              <w:t>Reports issued by the RIF for at</w:t>
            </w:r>
            <w:r w:rsidRPr="00D1795B">
              <w:rPr>
                <w:rFonts w:ascii="Times New Roman" w:hAnsi="Times New Roman" w:cs="Times New Roman"/>
                <w:noProof/>
                <w:color w:val="000000" w:themeColor="text1"/>
                <w:sz w:val="18"/>
                <w:szCs w:val="18"/>
              </w:rPr>
              <w:t xml:space="preserve"> least</w:t>
            </w:r>
            <w:r w:rsidRPr="00D1795B">
              <w:rPr>
                <w:rFonts w:ascii="Times New Roman" w:eastAsia="Times New Roman" w:hAnsi="Times New Roman" w:cs="Times New Roman"/>
                <w:noProof/>
                <w:color w:val="000000" w:themeColor="text1"/>
                <w:sz w:val="18"/>
                <w:szCs w:val="18"/>
              </w:rPr>
              <w:t xml:space="preserve"> </w:t>
            </w:r>
            <w:r w:rsidRPr="00D1795B">
              <w:rPr>
                <w:rFonts w:ascii="Times New Roman" w:hAnsi="Times New Roman" w:cs="Times New Roman"/>
                <w:noProof/>
                <w:color w:val="000000" w:themeColor="text1"/>
                <w:sz w:val="18"/>
                <w:szCs w:val="18"/>
              </w:rPr>
              <w:t>20 projects on energy production, storage, transmission, and distribution solutions R&amp;I activities. The respective calls shall comply with the ‘Do Not Significant Harm’ Technical Guidance (2021/C58/01) through the use of an exclusion list.</w:t>
            </w:r>
          </w:p>
        </w:tc>
      </w:tr>
    </w:tbl>
    <w:p w14:paraId="1887EF34" w14:textId="77777777" w:rsidR="00C02B59" w:rsidRPr="00D1795B" w:rsidRDefault="00C02B59" w:rsidP="00C02B59">
      <w:pPr>
        <w:rPr>
          <w:noProof/>
        </w:rPr>
      </w:pPr>
    </w:p>
    <w:p w14:paraId="1887EF35" w14:textId="77777777" w:rsidR="00C02B59" w:rsidRPr="00D1795B" w:rsidRDefault="00C02B59" w:rsidP="00C02B59">
      <w:pPr>
        <w:tabs>
          <w:tab w:val="left" w:pos="2780"/>
        </w:tabs>
        <w:rPr>
          <w:noProof/>
        </w:rPr>
        <w:sectPr w:rsidR="00C02B59" w:rsidRPr="00D1795B" w:rsidSect="00C02B59">
          <w:headerReference w:type="even" r:id="rId179"/>
          <w:headerReference w:type="default" r:id="rId180"/>
          <w:footerReference w:type="even" r:id="rId181"/>
          <w:footerReference w:type="default" r:id="rId182"/>
          <w:headerReference w:type="first" r:id="rId183"/>
          <w:footerReference w:type="first" r:id="rId184"/>
          <w:pgSz w:w="16839" w:h="11907" w:orient="landscape"/>
          <w:pgMar w:top="1134" w:right="1134" w:bottom="1134" w:left="1134" w:header="567" w:footer="567" w:gutter="0"/>
          <w:cols w:space="720"/>
          <w:docGrid w:linePitch="360"/>
        </w:sectPr>
      </w:pPr>
      <w:r w:rsidRPr="00D1795B">
        <w:rPr>
          <w:noProof/>
        </w:rPr>
        <w:tab/>
      </w:r>
    </w:p>
    <w:p w14:paraId="1887EF36" w14:textId="77777777" w:rsidR="00C02B59" w:rsidRPr="00D1795B" w:rsidRDefault="00C02B59" w:rsidP="00C02B59">
      <w:pPr>
        <w:keepNext/>
        <w:tabs>
          <w:tab w:val="left" w:pos="850"/>
        </w:tabs>
        <w:spacing w:before="360" w:after="120" w:line="240" w:lineRule="auto"/>
        <w:ind w:left="850" w:hanging="850"/>
        <w:jc w:val="both"/>
        <w:outlineLvl w:val="0"/>
        <w:rPr>
          <w:noProof/>
        </w:rPr>
      </w:pPr>
      <w:r w:rsidRPr="00D1795B">
        <w:rPr>
          <w:rFonts w:ascii="Times New Roman" w:hAnsi="Times New Roman"/>
          <w:b/>
          <w:smallCaps/>
          <w:noProof/>
        </w:rPr>
        <w:t>O. COMPONENT 7.1: Audit and control</w:t>
      </w:r>
      <w:r w:rsidRPr="00D1795B">
        <w:rPr>
          <w:noProof/>
        </w:rPr>
        <w:t xml:space="preserve"> </w:t>
      </w:r>
    </w:p>
    <w:p w14:paraId="1887EF37" w14:textId="77777777" w:rsidR="00C02B59" w:rsidRPr="00D1795B" w:rsidRDefault="00C02B59" w:rsidP="00C02B59">
      <w:pPr>
        <w:spacing w:before="120" w:after="120" w:line="278" w:lineRule="auto"/>
        <w:jc w:val="both"/>
        <w:rPr>
          <w:rFonts w:ascii="Times New Roman" w:hAnsi="Times New Roman"/>
          <w:noProof/>
        </w:rPr>
      </w:pPr>
      <w:r w:rsidRPr="00D1795B">
        <w:rPr>
          <w:rFonts w:ascii="Times New Roman" w:hAnsi="Times New Roman"/>
          <w:noProof/>
        </w:rPr>
        <w:t xml:space="preserve">This component aims to ensure that the control framework of the Cypriot recovery and resilience plan prevents, detects and corrects corruption, fraud and conflicts of interests when using the funds provided under the Recovery and Resilience Facility Regulation (RRF Regulation), as well as ensuring adequate arrangements to effectively avoid double funding under the RRF Regulation and other Union programmes. </w:t>
      </w:r>
    </w:p>
    <w:p w14:paraId="1887EF38" w14:textId="77777777" w:rsidR="00C02B59" w:rsidRPr="00D1795B" w:rsidRDefault="00C02B59" w:rsidP="00C02B59">
      <w:pPr>
        <w:spacing w:before="120" w:after="120" w:line="240" w:lineRule="auto"/>
        <w:jc w:val="both"/>
        <w:rPr>
          <w:rFonts w:ascii="Times New Roman" w:hAnsi="Times New Roman"/>
          <w:b/>
          <w:noProof/>
          <w:u w:val="single"/>
        </w:rPr>
      </w:pPr>
    </w:p>
    <w:p w14:paraId="1887EF39" w14:textId="77777777" w:rsidR="00C02B59" w:rsidRPr="00D1795B" w:rsidRDefault="00C02B59" w:rsidP="00C02B59">
      <w:pPr>
        <w:spacing w:before="120" w:after="120" w:line="240" w:lineRule="auto"/>
        <w:jc w:val="both"/>
        <w:rPr>
          <w:rFonts w:ascii="Times New Roman" w:hAnsi="Times New Roman" w:cs="Times New Roman"/>
          <w:b/>
          <w:noProof/>
          <w:u w:val="single"/>
        </w:rPr>
      </w:pPr>
      <w:r w:rsidRPr="00D1795B">
        <w:rPr>
          <w:rFonts w:ascii="Times New Roman" w:hAnsi="Times New Roman"/>
          <w:b/>
          <w:noProof/>
          <w:u w:val="single"/>
        </w:rPr>
        <w:t>O.1. Description of the reforms and investments for non-repayable financial support</w:t>
      </w:r>
    </w:p>
    <w:p w14:paraId="1887EF3A" w14:textId="77777777" w:rsidR="00C02B59" w:rsidRPr="00D1795B" w:rsidRDefault="00C02B59" w:rsidP="00C02B59">
      <w:pPr>
        <w:spacing w:before="120" w:after="120" w:line="240" w:lineRule="auto"/>
        <w:jc w:val="both"/>
        <w:rPr>
          <w:rFonts w:ascii="Times New Roman" w:hAnsi="Times New Roman" w:cs="Times New Roman"/>
          <w:noProof/>
          <w:u w:val="single"/>
        </w:rPr>
      </w:pPr>
      <w:r w:rsidRPr="00D1795B">
        <w:rPr>
          <w:rFonts w:ascii="Times New Roman" w:hAnsi="Times New Roman"/>
          <w:noProof/>
          <w:u w:val="single"/>
        </w:rPr>
        <w:t>Reform 1 (C7.1R1): Arrangements for the control framework of the Recovery and Resilience Plan</w:t>
      </w:r>
    </w:p>
    <w:p w14:paraId="1887EF3B" w14:textId="77777777" w:rsidR="00C02B59" w:rsidRPr="00D1795B" w:rsidRDefault="00C02B59" w:rsidP="00C02B59">
      <w:pPr>
        <w:spacing w:before="120" w:after="120" w:line="278" w:lineRule="auto"/>
        <w:jc w:val="both"/>
        <w:rPr>
          <w:rFonts w:ascii="Times New Roman" w:hAnsi="Times New Roman" w:cs="Times New Roman"/>
          <w:noProof/>
        </w:rPr>
      </w:pPr>
      <w:bookmarkStart w:id="10" w:name="_Hlk150338328"/>
      <w:r w:rsidRPr="00D1795B">
        <w:rPr>
          <w:rFonts w:ascii="Times New Roman" w:hAnsi="Times New Roman"/>
          <w:noProof/>
        </w:rPr>
        <w:t xml:space="preserve">The objective of the measure is to improve the control framework of the Cypriot Recovery and Resilience Plan. To ensure an effective implementation of proportionate measures for the protection of the financial interests of the Union (PFIU) according to the Article 22 of the RRF Regulation, </w:t>
      </w:r>
    </w:p>
    <w:p w14:paraId="1887EF3C" w14:textId="77777777" w:rsidR="00C02B59" w:rsidRPr="00D1795B" w:rsidRDefault="00C02B59" w:rsidP="00C02B59">
      <w:pPr>
        <w:spacing w:before="120" w:after="120" w:line="278" w:lineRule="auto"/>
        <w:jc w:val="both"/>
        <w:rPr>
          <w:rFonts w:ascii="Times New Roman" w:hAnsi="Times New Roman" w:cs="Times New Roman"/>
          <w:noProof/>
        </w:rPr>
      </w:pPr>
      <w:r w:rsidRPr="00D1795B">
        <w:rPr>
          <w:rFonts w:ascii="Times New Roman" w:hAnsi="Times New Roman"/>
          <w:noProof/>
        </w:rPr>
        <w:t xml:space="preserve">The Council of Ministers shall adopt mandatory instructions prepared by the Coordination Authority and distributed upon their adoption to all relevant bodies. </w:t>
      </w:r>
      <w:bookmarkStart w:id="11" w:name="_Hlk150338194"/>
    </w:p>
    <w:bookmarkEnd w:id="11"/>
    <w:p w14:paraId="1887EF3D" w14:textId="77777777" w:rsidR="00C02B59" w:rsidRPr="00D1795B" w:rsidRDefault="00C02B59" w:rsidP="00C02B59">
      <w:pPr>
        <w:spacing w:before="120" w:after="120" w:line="278" w:lineRule="auto"/>
        <w:jc w:val="both"/>
        <w:rPr>
          <w:rStyle w:val="eop"/>
          <w:noProof/>
          <w:shd w:val="clear" w:color="auto" w:fill="FFFFFF"/>
        </w:rPr>
      </w:pPr>
      <w:r w:rsidRPr="00D1795B">
        <w:rPr>
          <w:rFonts w:ascii="Times New Roman" w:hAnsi="Times New Roman" w:cs="Times New Roman"/>
          <w:noProof/>
        </w:rPr>
        <w:t>The milestone under this measure shall be fulfilled by the time of submission of the next payment request to the Commission following the adoption of this Implementing Decision and shall be a prerequisite for any future payment</w:t>
      </w:r>
      <w:r w:rsidRPr="00D1795B">
        <w:rPr>
          <w:rStyle w:val="normaltextrun"/>
          <w:noProof/>
          <w:shd w:val="clear" w:color="auto" w:fill="FFFFFF"/>
        </w:rPr>
        <w:t>.</w:t>
      </w:r>
      <w:r w:rsidRPr="00D1795B">
        <w:rPr>
          <w:rStyle w:val="eop"/>
          <w:noProof/>
          <w:shd w:val="clear" w:color="auto" w:fill="FFFFFF"/>
        </w:rPr>
        <w:t> </w:t>
      </w:r>
    </w:p>
    <w:p w14:paraId="1887EF3E" w14:textId="77777777" w:rsidR="00C02B59" w:rsidRPr="00D1795B" w:rsidRDefault="00C02B59" w:rsidP="00C02B59">
      <w:pPr>
        <w:spacing w:before="120" w:after="120" w:line="278" w:lineRule="auto"/>
        <w:jc w:val="both"/>
        <w:rPr>
          <w:rFonts w:ascii="Times New Roman" w:hAnsi="Times New Roman" w:cs="Times New Roman"/>
          <w:noProof/>
        </w:rPr>
      </w:pPr>
      <w:r w:rsidRPr="00D1795B">
        <w:rPr>
          <w:rFonts w:ascii="Times New Roman" w:hAnsi="Times New Roman"/>
          <w:noProof/>
        </w:rPr>
        <w:t>The reform shall be completed by 31 December 2023.</w:t>
      </w:r>
    </w:p>
    <w:bookmarkEnd w:id="10"/>
    <w:p w14:paraId="1887EF3F" w14:textId="77777777" w:rsidR="00C02B59" w:rsidRPr="00D1795B" w:rsidRDefault="00C02B59" w:rsidP="00C02B59">
      <w:pPr>
        <w:rPr>
          <w:noProof/>
        </w:rPr>
      </w:pPr>
    </w:p>
    <w:p w14:paraId="1887EF40" w14:textId="77777777" w:rsidR="00C02B59" w:rsidRPr="00D1795B" w:rsidRDefault="00C02B59" w:rsidP="00C02B59">
      <w:pPr>
        <w:rPr>
          <w:noProof/>
        </w:rPr>
        <w:sectPr w:rsidR="00C02B59" w:rsidRPr="00D1795B" w:rsidSect="00C02B59">
          <w:headerReference w:type="even" r:id="rId185"/>
          <w:headerReference w:type="default" r:id="rId186"/>
          <w:footerReference w:type="even" r:id="rId187"/>
          <w:footerReference w:type="default" r:id="rId188"/>
          <w:headerReference w:type="first" r:id="rId189"/>
          <w:footerReference w:type="first" r:id="rId190"/>
          <w:pgSz w:w="11907" w:h="16839"/>
          <w:pgMar w:top="1134" w:right="1134" w:bottom="1134" w:left="1134" w:header="567" w:footer="567" w:gutter="0"/>
          <w:cols w:space="720"/>
          <w:docGrid w:linePitch="360"/>
        </w:sectPr>
      </w:pPr>
    </w:p>
    <w:p w14:paraId="1887EF41" w14:textId="77777777" w:rsidR="00C02B59" w:rsidRPr="00D1795B" w:rsidRDefault="00C02B59" w:rsidP="00C02B59">
      <w:pPr>
        <w:spacing w:before="120" w:after="120" w:line="240" w:lineRule="auto"/>
        <w:jc w:val="center"/>
        <w:rPr>
          <w:rFonts w:ascii="Times New Roman" w:hAnsi="Times New Roman" w:cs="Times New Roman"/>
          <w:b/>
          <w:bCs/>
          <w:noProof/>
        </w:rPr>
      </w:pPr>
      <w:r w:rsidRPr="00D1795B">
        <w:rPr>
          <w:rFonts w:ascii="Times New Roman" w:hAnsi="Times New Roman"/>
          <w:b/>
          <w:noProof/>
        </w:rPr>
        <w:t>O.2. Milestones, targets, indicators, and timetable for monitoring and implementation for non-repayable financial support</w:t>
      </w:r>
    </w:p>
    <w:tbl>
      <w:tblPr>
        <w:tblW w:w="15309" w:type="dxa"/>
        <w:jc w:val="center"/>
        <w:tblLayout w:type="fixed"/>
        <w:tblLook w:val="04A0" w:firstRow="1" w:lastRow="0" w:firstColumn="1" w:lastColumn="0" w:noHBand="0" w:noVBand="1"/>
      </w:tblPr>
      <w:tblGrid>
        <w:gridCol w:w="1219"/>
        <w:gridCol w:w="1534"/>
        <w:gridCol w:w="1069"/>
        <w:gridCol w:w="1369"/>
        <w:gridCol w:w="1555"/>
        <w:gridCol w:w="992"/>
        <w:gridCol w:w="995"/>
        <w:gridCol w:w="707"/>
        <w:gridCol w:w="995"/>
        <w:gridCol w:w="707"/>
        <w:gridCol w:w="4167"/>
      </w:tblGrid>
      <w:tr w:rsidR="00C02B59" w:rsidRPr="00D1795B" w14:paraId="1887EF4A" w14:textId="77777777" w:rsidTr="00C02B59">
        <w:trPr>
          <w:tblHeader/>
          <w:jc w:val="center"/>
        </w:trPr>
        <w:tc>
          <w:tcPr>
            <w:tcW w:w="398"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2" w14:textId="77777777" w:rsidR="00C02B59" w:rsidRPr="00D1795B" w:rsidRDefault="00C02B59" w:rsidP="00C02B59">
            <w:pPr>
              <w:spacing w:after="0" w:line="240" w:lineRule="auto"/>
              <w:jc w:val="center"/>
              <w:rPr>
                <w:rFonts w:ascii="Times New Roman" w:eastAsia="Times New Roman" w:hAnsi="Times New Roman" w:cs="Times New Roman"/>
                <w:b/>
                <w:bCs/>
                <w:noProof/>
                <w:sz w:val="18"/>
                <w:szCs w:val="18"/>
              </w:rPr>
            </w:pPr>
            <w:r w:rsidRPr="00D1795B">
              <w:rPr>
                <w:rFonts w:ascii="Times New Roman" w:hAnsi="Times New Roman" w:cs="Times New Roman"/>
                <w:b/>
                <w:noProof/>
                <w:sz w:val="18"/>
                <w:szCs w:val="18"/>
              </w:rPr>
              <w:t>Sequential Number</w:t>
            </w:r>
          </w:p>
        </w:tc>
        <w:tc>
          <w:tcPr>
            <w:tcW w:w="501"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3" w14:textId="77777777" w:rsidR="00C02B59" w:rsidRPr="00D1795B" w:rsidRDefault="00C02B59" w:rsidP="00C02B59">
            <w:pPr>
              <w:spacing w:after="0" w:line="240" w:lineRule="auto"/>
              <w:jc w:val="center"/>
              <w:rPr>
                <w:rFonts w:ascii="Times New Roman" w:eastAsia="Times New Roman" w:hAnsi="Times New Roman" w:cs="Times New Roman"/>
                <w:b/>
                <w:bCs/>
                <w:noProof/>
                <w:sz w:val="18"/>
                <w:szCs w:val="18"/>
              </w:rPr>
            </w:pPr>
            <w:r w:rsidRPr="00D1795B">
              <w:rPr>
                <w:rFonts w:ascii="Times New Roman" w:hAnsi="Times New Roman" w:cs="Times New Roman"/>
                <w:b/>
                <w:noProof/>
                <w:sz w:val="18"/>
                <w:szCs w:val="18"/>
              </w:rPr>
              <w:t>Related Measure (Reform or Investment)</w:t>
            </w:r>
          </w:p>
        </w:tc>
        <w:tc>
          <w:tcPr>
            <w:tcW w:w="349"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4" w14:textId="77777777" w:rsidR="00C02B59" w:rsidRPr="00D1795B" w:rsidRDefault="00C02B59" w:rsidP="00C02B59">
            <w:pPr>
              <w:spacing w:after="0" w:line="240" w:lineRule="auto"/>
              <w:jc w:val="center"/>
              <w:rPr>
                <w:rFonts w:ascii="Times New Roman" w:eastAsia="Times New Roman" w:hAnsi="Times New Roman" w:cs="Times New Roman"/>
                <w:b/>
                <w:bCs/>
                <w:noProof/>
                <w:sz w:val="18"/>
                <w:szCs w:val="18"/>
              </w:rPr>
            </w:pPr>
            <w:r w:rsidRPr="00D1795B">
              <w:rPr>
                <w:rFonts w:ascii="Times New Roman" w:hAnsi="Times New Roman" w:cs="Times New Roman"/>
                <w:b/>
                <w:noProof/>
                <w:sz w:val="18"/>
                <w:szCs w:val="18"/>
              </w:rPr>
              <w:t>Milestone / Target</w:t>
            </w:r>
          </w:p>
        </w:tc>
        <w:tc>
          <w:tcPr>
            <w:tcW w:w="447"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5" w14:textId="77777777" w:rsidR="00C02B59" w:rsidRPr="00D1795B" w:rsidRDefault="00C02B59" w:rsidP="00C02B59">
            <w:pPr>
              <w:spacing w:after="0" w:line="240" w:lineRule="auto"/>
              <w:jc w:val="center"/>
              <w:rPr>
                <w:rFonts w:ascii="Times New Roman" w:eastAsia="Times New Roman" w:hAnsi="Times New Roman" w:cs="Times New Roman"/>
                <w:b/>
                <w:bCs/>
                <w:noProof/>
                <w:sz w:val="18"/>
                <w:szCs w:val="18"/>
              </w:rPr>
            </w:pPr>
            <w:r w:rsidRPr="00D1795B">
              <w:rPr>
                <w:rFonts w:ascii="Times New Roman" w:hAnsi="Times New Roman" w:cs="Times New Roman"/>
                <w:b/>
                <w:noProof/>
                <w:sz w:val="18"/>
                <w:szCs w:val="18"/>
              </w:rPr>
              <w:t>Name</w:t>
            </w:r>
          </w:p>
        </w:tc>
        <w:tc>
          <w:tcPr>
            <w:tcW w:w="508"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6" w14:textId="77777777" w:rsidR="00C02B59" w:rsidRPr="00D1795B" w:rsidRDefault="00C02B59" w:rsidP="00C02B59">
            <w:pPr>
              <w:spacing w:after="0" w:line="240" w:lineRule="auto"/>
              <w:jc w:val="center"/>
              <w:rPr>
                <w:rFonts w:ascii="Times New Roman" w:eastAsia="Times New Roman" w:hAnsi="Times New Roman" w:cs="Times New Roman"/>
                <w:b/>
                <w:bCs/>
                <w:noProof/>
                <w:sz w:val="18"/>
                <w:szCs w:val="18"/>
              </w:rPr>
            </w:pPr>
            <w:r w:rsidRPr="00D1795B">
              <w:rPr>
                <w:rFonts w:ascii="Times New Roman" w:hAnsi="Times New Roman" w:cs="Times New Roman"/>
                <w:b/>
                <w:noProof/>
                <w:sz w:val="18"/>
                <w:szCs w:val="18"/>
              </w:rPr>
              <w:t xml:space="preserve">Qualitative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milestones)</w:t>
            </w:r>
          </w:p>
        </w:tc>
        <w:tc>
          <w:tcPr>
            <w:tcW w:w="880" w:type="pct"/>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47" w14:textId="77777777" w:rsidR="00C02B59" w:rsidRPr="00D1795B" w:rsidRDefault="00C02B59" w:rsidP="00C02B59">
            <w:pPr>
              <w:spacing w:after="0" w:line="240" w:lineRule="auto"/>
              <w:jc w:val="center"/>
              <w:rPr>
                <w:rFonts w:ascii="Times New Roman" w:eastAsia="Times New Roman" w:hAnsi="Times New Roman" w:cs="Times New Roman"/>
                <w:b/>
                <w:bCs/>
                <w:noProof/>
                <w:sz w:val="18"/>
                <w:szCs w:val="18"/>
              </w:rPr>
            </w:pPr>
            <w:r w:rsidRPr="00D1795B">
              <w:rPr>
                <w:rFonts w:ascii="Times New Roman" w:hAnsi="Times New Roman" w:cs="Times New Roman"/>
                <w:b/>
                <w:noProof/>
                <w:sz w:val="18"/>
                <w:szCs w:val="18"/>
              </w:rPr>
              <w:t xml:space="preserve">Quantitative indicators </w:t>
            </w:r>
            <w:r w:rsidRPr="00D1795B">
              <w:rPr>
                <w:rFonts w:ascii="Times New Roman" w:hAnsi="Times New Roman" w:cs="Times New Roman"/>
                <w:noProof/>
                <w:sz w:val="18"/>
                <w:szCs w:val="18"/>
              </w:rPr>
              <w:br/>
            </w:r>
            <w:r w:rsidRPr="00D1795B">
              <w:rPr>
                <w:rFonts w:ascii="Times New Roman" w:hAnsi="Times New Roman" w:cs="Times New Roman"/>
                <w:b/>
                <w:noProof/>
                <w:sz w:val="18"/>
                <w:szCs w:val="18"/>
              </w:rPr>
              <w:t>(for targets)</w:t>
            </w:r>
          </w:p>
        </w:tc>
        <w:tc>
          <w:tcPr>
            <w:tcW w:w="556" w:type="pct"/>
            <w:gridSpan w:val="2"/>
            <w:tcBorders>
              <w:top w:val="single" w:sz="4" w:space="0" w:color="auto"/>
              <w:left w:val="nil"/>
              <w:bottom w:val="single" w:sz="4" w:space="0" w:color="auto"/>
              <w:right w:val="single" w:sz="4" w:space="0" w:color="auto"/>
            </w:tcBorders>
            <w:shd w:val="clear" w:color="auto" w:fill="BDD7EE"/>
            <w:vAlign w:val="center"/>
            <w:hideMark/>
          </w:tcPr>
          <w:p w14:paraId="1887EF48" w14:textId="77777777" w:rsidR="00C02B59" w:rsidRPr="00D1795B" w:rsidRDefault="00C02B59" w:rsidP="00C02B59">
            <w:pPr>
              <w:spacing w:after="0" w:line="240" w:lineRule="auto"/>
              <w:jc w:val="center"/>
              <w:rPr>
                <w:rFonts w:ascii="Times New Roman" w:eastAsia="Times New Roman" w:hAnsi="Times New Roman" w:cs="Times New Roman"/>
                <w:b/>
                <w:bCs/>
                <w:noProof/>
                <w:sz w:val="18"/>
                <w:szCs w:val="18"/>
              </w:rPr>
            </w:pPr>
            <w:r w:rsidRPr="00D1795B">
              <w:rPr>
                <w:rFonts w:ascii="Times New Roman" w:hAnsi="Times New Roman" w:cs="Times New Roman"/>
                <w:b/>
                <w:noProof/>
                <w:sz w:val="18"/>
                <w:szCs w:val="18"/>
              </w:rPr>
              <w:t>Indicative timeline for completion</w:t>
            </w:r>
          </w:p>
        </w:tc>
        <w:tc>
          <w:tcPr>
            <w:tcW w:w="1361"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87EF49" w14:textId="77777777" w:rsidR="00C02B59" w:rsidRPr="00D1795B" w:rsidRDefault="00C02B59" w:rsidP="00C02B59">
            <w:pPr>
              <w:spacing w:after="0" w:line="240" w:lineRule="auto"/>
              <w:jc w:val="center"/>
              <w:rPr>
                <w:rFonts w:ascii="Times New Roman" w:eastAsia="Times New Roman" w:hAnsi="Times New Roman" w:cs="Times New Roman"/>
                <w:b/>
                <w:bCs/>
                <w:noProof/>
                <w:sz w:val="18"/>
                <w:szCs w:val="18"/>
              </w:rPr>
            </w:pPr>
            <w:r w:rsidRPr="00D1795B">
              <w:rPr>
                <w:rFonts w:ascii="Times New Roman" w:hAnsi="Times New Roman" w:cs="Times New Roman"/>
                <w:b/>
                <w:noProof/>
                <w:sz w:val="18"/>
                <w:szCs w:val="18"/>
              </w:rPr>
              <w:t>Description of each milestone</w:t>
            </w:r>
          </w:p>
        </w:tc>
      </w:tr>
      <w:tr w:rsidR="00C02B59" w:rsidRPr="00D1795B" w14:paraId="1887EF56" w14:textId="77777777" w:rsidTr="00C02B59">
        <w:trPr>
          <w:tblHeader/>
          <w:jc w:val="center"/>
        </w:trPr>
        <w:tc>
          <w:tcPr>
            <w:tcW w:w="398" w:type="pct"/>
            <w:vMerge/>
            <w:tcBorders>
              <w:top w:val="single" w:sz="4" w:space="0" w:color="auto"/>
              <w:left w:val="single" w:sz="4" w:space="0" w:color="auto"/>
              <w:bottom w:val="single" w:sz="4" w:space="0" w:color="000000" w:themeColor="text1"/>
              <w:right w:val="single" w:sz="4" w:space="0" w:color="auto"/>
            </w:tcBorders>
            <w:hideMark/>
          </w:tcPr>
          <w:p w14:paraId="1887EF4B" w14:textId="77777777" w:rsidR="00C02B59" w:rsidRPr="00D1795B" w:rsidRDefault="00C02B59" w:rsidP="00C02B59">
            <w:pPr>
              <w:spacing w:after="0" w:line="240" w:lineRule="auto"/>
              <w:rPr>
                <w:rFonts w:ascii="Times New Roman" w:eastAsia="Times New Roman" w:hAnsi="Times New Roman" w:cs="Times New Roman"/>
                <w:b/>
                <w:bCs/>
                <w:noProof/>
                <w:sz w:val="18"/>
                <w:szCs w:val="18"/>
                <w:lang w:eastAsia="en-GB"/>
              </w:rPr>
            </w:pPr>
          </w:p>
        </w:tc>
        <w:tc>
          <w:tcPr>
            <w:tcW w:w="501" w:type="pct"/>
            <w:vMerge/>
            <w:tcBorders>
              <w:top w:val="single" w:sz="4" w:space="0" w:color="auto"/>
              <w:left w:val="single" w:sz="4" w:space="0" w:color="auto"/>
              <w:bottom w:val="single" w:sz="4" w:space="0" w:color="000000" w:themeColor="text1"/>
              <w:right w:val="single" w:sz="4" w:space="0" w:color="auto"/>
            </w:tcBorders>
            <w:hideMark/>
          </w:tcPr>
          <w:p w14:paraId="1887EF4C" w14:textId="77777777" w:rsidR="00C02B59" w:rsidRPr="00D1795B" w:rsidRDefault="00C02B59" w:rsidP="00C02B59">
            <w:pPr>
              <w:spacing w:after="0" w:line="240" w:lineRule="auto"/>
              <w:rPr>
                <w:rFonts w:ascii="Times New Roman" w:eastAsia="Times New Roman" w:hAnsi="Times New Roman" w:cs="Times New Roman"/>
                <w:b/>
                <w:bCs/>
                <w:noProof/>
                <w:sz w:val="18"/>
                <w:szCs w:val="18"/>
                <w:lang w:eastAsia="en-GB"/>
              </w:rPr>
            </w:pPr>
          </w:p>
        </w:tc>
        <w:tc>
          <w:tcPr>
            <w:tcW w:w="349" w:type="pct"/>
            <w:vMerge/>
            <w:tcBorders>
              <w:top w:val="single" w:sz="4" w:space="0" w:color="auto"/>
              <w:left w:val="single" w:sz="4" w:space="0" w:color="auto"/>
              <w:bottom w:val="single" w:sz="4" w:space="0" w:color="000000" w:themeColor="text1"/>
              <w:right w:val="single" w:sz="4" w:space="0" w:color="auto"/>
            </w:tcBorders>
            <w:hideMark/>
          </w:tcPr>
          <w:p w14:paraId="1887EF4D" w14:textId="77777777" w:rsidR="00C02B59" w:rsidRPr="00D1795B" w:rsidRDefault="00C02B59" w:rsidP="00C02B59">
            <w:pPr>
              <w:spacing w:after="0" w:line="240" w:lineRule="auto"/>
              <w:rPr>
                <w:rFonts w:ascii="Times New Roman" w:eastAsia="Times New Roman" w:hAnsi="Times New Roman" w:cs="Times New Roman"/>
                <w:b/>
                <w:bCs/>
                <w:noProof/>
                <w:sz w:val="18"/>
                <w:szCs w:val="18"/>
                <w:lang w:eastAsia="en-GB"/>
              </w:rPr>
            </w:pPr>
          </w:p>
        </w:tc>
        <w:tc>
          <w:tcPr>
            <w:tcW w:w="447" w:type="pct"/>
            <w:vMerge/>
            <w:tcBorders>
              <w:top w:val="single" w:sz="4" w:space="0" w:color="auto"/>
              <w:left w:val="single" w:sz="4" w:space="0" w:color="auto"/>
              <w:bottom w:val="single" w:sz="4" w:space="0" w:color="000000" w:themeColor="text1"/>
              <w:right w:val="single" w:sz="4" w:space="0" w:color="auto"/>
            </w:tcBorders>
            <w:hideMark/>
          </w:tcPr>
          <w:p w14:paraId="1887EF4E" w14:textId="77777777" w:rsidR="00C02B59" w:rsidRPr="00D1795B" w:rsidRDefault="00C02B59" w:rsidP="00C02B59">
            <w:pPr>
              <w:spacing w:after="0" w:line="240" w:lineRule="auto"/>
              <w:rPr>
                <w:rFonts w:ascii="Times New Roman" w:eastAsia="Times New Roman" w:hAnsi="Times New Roman" w:cs="Times New Roman"/>
                <w:b/>
                <w:bCs/>
                <w:noProof/>
                <w:sz w:val="18"/>
                <w:szCs w:val="18"/>
                <w:lang w:eastAsia="en-GB"/>
              </w:rPr>
            </w:pPr>
          </w:p>
        </w:tc>
        <w:tc>
          <w:tcPr>
            <w:tcW w:w="508" w:type="pct"/>
            <w:vMerge/>
            <w:tcBorders>
              <w:top w:val="single" w:sz="4" w:space="0" w:color="auto"/>
              <w:left w:val="single" w:sz="4" w:space="0" w:color="auto"/>
              <w:bottom w:val="single" w:sz="4" w:space="0" w:color="000000" w:themeColor="text1"/>
            </w:tcBorders>
            <w:hideMark/>
          </w:tcPr>
          <w:p w14:paraId="1887EF4F" w14:textId="77777777" w:rsidR="00C02B59" w:rsidRPr="00D1795B" w:rsidRDefault="00C02B59" w:rsidP="00C02B59">
            <w:pPr>
              <w:spacing w:after="0" w:line="240" w:lineRule="auto"/>
              <w:rPr>
                <w:rFonts w:ascii="Times New Roman" w:eastAsia="Times New Roman" w:hAnsi="Times New Roman" w:cs="Times New Roman"/>
                <w:b/>
                <w:bCs/>
                <w:noProof/>
                <w:sz w:val="18"/>
                <w:szCs w:val="18"/>
                <w:lang w:eastAsia="en-GB"/>
              </w:rPr>
            </w:pPr>
          </w:p>
        </w:tc>
        <w:tc>
          <w:tcPr>
            <w:tcW w:w="324"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50" w14:textId="77777777" w:rsidR="00C02B59" w:rsidRPr="00D1795B" w:rsidRDefault="00C02B59" w:rsidP="00C02B59">
            <w:pPr>
              <w:spacing w:after="0" w:line="240" w:lineRule="auto"/>
              <w:jc w:val="center"/>
              <w:rPr>
                <w:rFonts w:ascii="Times New Roman" w:eastAsia="Times New Roman" w:hAnsi="Times New Roman" w:cs="Times New Roman"/>
                <w:b/>
                <w:bCs/>
                <w:noProof/>
                <w:sz w:val="18"/>
                <w:szCs w:val="18"/>
              </w:rPr>
            </w:pPr>
            <w:r w:rsidRPr="00D1795B">
              <w:rPr>
                <w:rFonts w:ascii="Times New Roman" w:hAnsi="Times New Roman" w:cs="Times New Roman"/>
                <w:b/>
                <w:noProof/>
                <w:sz w:val="18"/>
                <w:szCs w:val="18"/>
              </w:rPr>
              <w:t>Unit of measure</w:t>
            </w:r>
          </w:p>
        </w:tc>
        <w:tc>
          <w:tcPr>
            <w:tcW w:w="325"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51" w14:textId="77777777" w:rsidR="00C02B59" w:rsidRPr="00D1795B" w:rsidRDefault="00C02B59" w:rsidP="00C02B59">
            <w:pPr>
              <w:spacing w:after="0" w:line="240" w:lineRule="auto"/>
              <w:jc w:val="center"/>
              <w:rPr>
                <w:rFonts w:ascii="Times New Roman" w:eastAsia="Times New Roman" w:hAnsi="Times New Roman" w:cs="Times New Roman"/>
                <w:b/>
                <w:bCs/>
                <w:noProof/>
                <w:sz w:val="18"/>
                <w:szCs w:val="18"/>
              </w:rPr>
            </w:pPr>
            <w:r w:rsidRPr="00D1795B">
              <w:rPr>
                <w:rFonts w:ascii="Times New Roman" w:hAnsi="Times New Roman" w:cs="Times New Roman"/>
                <w:b/>
                <w:noProof/>
                <w:sz w:val="18"/>
                <w:szCs w:val="18"/>
              </w:rPr>
              <w:t>Baseline</w:t>
            </w:r>
          </w:p>
        </w:tc>
        <w:tc>
          <w:tcPr>
            <w:tcW w:w="231"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52" w14:textId="77777777" w:rsidR="00C02B59" w:rsidRPr="00D1795B" w:rsidRDefault="00C02B59" w:rsidP="00C02B59">
            <w:pPr>
              <w:spacing w:after="0" w:line="240" w:lineRule="auto"/>
              <w:jc w:val="center"/>
              <w:rPr>
                <w:rFonts w:ascii="Times New Roman" w:eastAsia="Times New Roman" w:hAnsi="Times New Roman" w:cs="Times New Roman"/>
                <w:b/>
                <w:bCs/>
                <w:noProof/>
                <w:sz w:val="18"/>
                <w:szCs w:val="18"/>
              </w:rPr>
            </w:pPr>
            <w:r w:rsidRPr="00D1795B">
              <w:rPr>
                <w:rFonts w:ascii="Times New Roman" w:hAnsi="Times New Roman" w:cs="Times New Roman"/>
                <w:b/>
                <w:noProof/>
                <w:sz w:val="18"/>
                <w:szCs w:val="18"/>
              </w:rPr>
              <w:t>Goal</w:t>
            </w:r>
          </w:p>
        </w:tc>
        <w:tc>
          <w:tcPr>
            <w:tcW w:w="325"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53" w14:textId="77777777" w:rsidR="00C02B59" w:rsidRPr="00D1795B" w:rsidRDefault="00C02B59" w:rsidP="00C02B59">
            <w:pPr>
              <w:spacing w:after="0" w:line="240" w:lineRule="auto"/>
              <w:rPr>
                <w:rFonts w:ascii="Times New Roman" w:eastAsia="Times New Roman" w:hAnsi="Times New Roman" w:cs="Times New Roman"/>
                <w:b/>
                <w:bCs/>
                <w:noProof/>
                <w:sz w:val="18"/>
                <w:szCs w:val="18"/>
              </w:rPr>
            </w:pPr>
            <w:r w:rsidRPr="00D1795B">
              <w:rPr>
                <w:rFonts w:ascii="Times New Roman" w:hAnsi="Times New Roman" w:cs="Times New Roman"/>
                <w:b/>
                <w:noProof/>
                <w:sz w:val="18"/>
                <w:szCs w:val="18"/>
              </w:rPr>
              <w:t>Quarter</w:t>
            </w:r>
          </w:p>
        </w:tc>
        <w:tc>
          <w:tcPr>
            <w:tcW w:w="231"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54" w14:textId="77777777" w:rsidR="00C02B59" w:rsidRPr="00D1795B" w:rsidRDefault="00C02B59" w:rsidP="00C02B59">
            <w:pPr>
              <w:spacing w:after="0" w:line="240" w:lineRule="auto"/>
              <w:rPr>
                <w:rFonts w:ascii="Times New Roman" w:eastAsia="Times New Roman" w:hAnsi="Times New Roman" w:cs="Times New Roman"/>
                <w:b/>
                <w:bCs/>
                <w:noProof/>
                <w:sz w:val="18"/>
                <w:szCs w:val="18"/>
              </w:rPr>
            </w:pPr>
            <w:r w:rsidRPr="00D1795B">
              <w:rPr>
                <w:rFonts w:ascii="Times New Roman" w:hAnsi="Times New Roman" w:cs="Times New Roman"/>
                <w:b/>
                <w:noProof/>
                <w:sz w:val="18"/>
                <w:szCs w:val="18"/>
              </w:rPr>
              <w:t>Year</w:t>
            </w:r>
          </w:p>
        </w:tc>
        <w:tc>
          <w:tcPr>
            <w:tcW w:w="1361" w:type="pct"/>
            <w:vMerge/>
            <w:tcBorders>
              <w:bottom w:val="single" w:sz="4" w:space="0" w:color="000000" w:themeColor="text1"/>
              <w:right w:val="single" w:sz="4" w:space="0" w:color="auto"/>
            </w:tcBorders>
            <w:hideMark/>
          </w:tcPr>
          <w:p w14:paraId="1887EF55" w14:textId="77777777" w:rsidR="00C02B59" w:rsidRPr="00D1795B" w:rsidRDefault="00C02B59" w:rsidP="00C02B59">
            <w:pPr>
              <w:spacing w:after="0" w:line="240" w:lineRule="auto"/>
              <w:jc w:val="both"/>
              <w:rPr>
                <w:rFonts w:ascii="Times New Roman" w:eastAsia="Times New Roman" w:hAnsi="Times New Roman" w:cs="Times New Roman"/>
                <w:b/>
                <w:bCs/>
                <w:noProof/>
                <w:sz w:val="18"/>
                <w:szCs w:val="18"/>
                <w:lang w:eastAsia="en-GB"/>
              </w:rPr>
            </w:pPr>
          </w:p>
        </w:tc>
      </w:tr>
      <w:tr w:rsidR="00C02B59" w:rsidRPr="00D1795B" w14:paraId="1887EF6A" w14:textId="77777777" w:rsidTr="00C02B59">
        <w:trPr>
          <w:jc w:val="center"/>
        </w:trPr>
        <w:tc>
          <w:tcPr>
            <w:tcW w:w="398" w:type="pct"/>
            <w:tcBorders>
              <w:top w:val="single" w:sz="4" w:space="0" w:color="000000" w:themeColor="text1"/>
              <w:left w:val="single" w:sz="4" w:space="0" w:color="auto"/>
              <w:bottom w:val="single" w:sz="4" w:space="0" w:color="auto"/>
              <w:right w:val="single" w:sz="4" w:space="0" w:color="auto"/>
            </w:tcBorders>
            <w:shd w:val="clear" w:color="auto" w:fill="C6EFCE"/>
            <w:noWrap/>
          </w:tcPr>
          <w:p w14:paraId="1887EF57"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278</w:t>
            </w:r>
          </w:p>
        </w:tc>
        <w:tc>
          <w:tcPr>
            <w:tcW w:w="501" w:type="pct"/>
            <w:tcBorders>
              <w:top w:val="single" w:sz="4" w:space="0" w:color="000000" w:themeColor="text1"/>
              <w:left w:val="nil"/>
              <w:bottom w:val="single" w:sz="4" w:space="0" w:color="auto"/>
              <w:right w:val="single" w:sz="4" w:space="0" w:color="auto"/>
            </w:tcBorders>
            <w:shd w:val="clear" w:color="auto" w:fill="C6EFCE"/>
            <w:noWrap/>
          </w:tcPr>
          <w:p w14:paraId="1887EF58"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C7.1R1 </w:t>
            </w:r>
          </w:p>
          <w:p w14:paraId="1887EF59"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Arrangements for the control framework of the Recovery and Resilience Plan</w:t>
            </w:r>
          </w:p>
        </w:tc>
        <w:tc>
          <w:tcPr>
            <w:tcW w:w="349" w:type="pct"/>
            <w:tcBorders>
              <w:top w:val="single" w:sz="4" w:space="0" w:color="000000" w:themeColor="text1"/>
              <w:left w:val="nil"/>
              <w:bottom w:val="single" w:sz="4" w:space="0" w:color="auto"/>
              <w:right w:val="single" w:sz="4" w:space="0" w:color="auto"/>
            </w:tcBorders>
            <w:shd w:val="clear" w:color="auto" w:fill="C6EFCE"/>
            <w:noWrap/>
          </w:tcPr>
          <w:p w14:paraId="1887EF5A"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447" w:type="pct"/>
            <w:tcBorders>
              <w:top w:val="single" w:sz="4" w:space="0" w:color="000000" w:themeColor="text1"/>
              <w:left w:val="nil"/>
              <w:bottom w:val="single" w:sz="4" w:space="0" w:color="auto"/>
              <w:right w:val="single" w:sz="4" w:space="0" w:color="auto"/>
            </w:tcBorders>
            <w:shd w:val="clear" w:color="auto" w:fill="C6EFCE"/>
            <w:noWrap/>
          </w:tcPr>
          <w:p w14:paraId="1887EF5B" w14:textId="156D86C6"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Clear </w:t>
            </w:r>
            <w:r w:rsidR="0097635F" w:rsidRPr="00D1795B">
              <w:rPr>
                <w:rFonts w:ascii="Times New Roman" w:hAnsi="Times New Roman" w:cs="Times New Roman"/>
                <w:noProof/>
                <w:sz w:val="18"/>
                <w:szCs w:val="18"/>
              </w:rPr>
              <w:t>delimitation</w:t>
            </w:r>
            <w:r w:rsidRPr="00D1795B">
              <w:rPr>
                <w:rFonts w:ascii="Times New Roman" w:hAnsi="Times New Roman" w:cs="Times New Roman"/>
                <w:noProof/>
                <w:sz w:val="18"/>
                <w:szCs w:val="18"/>
              </w:rPr>
              <w:t xml:space="preserve"> between control and implementation duties </w:t>
            </w:r>
          </w:p>
        </w:tc>
        <w:tc>
          <w:tcPr>
            <w:tcW w:w="508" w:type="pct"/>
            <w:tcBorders>
              <w:top w:val="single" w:sz="4" w:space="0" w:color="000000" w:themeColor="text1"/>
              <w:left w:val="nil"/>
              <w:bottom w:val="single" w:sz="4" w:space="0" w:color="auto"/>
              <w:right w:val="single" w:sz="4" w:space="0" w:color="auto"/>
            </w:tcBorders>
            <w:shd w:val="clear" w:color="auto" w:fill="C6EFCE"/>
            <w:noWrap/>
          </w:tcPr>
          <w:p w14:paraId="1887EF5C"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Adopted instructions and proof of dissemination to all Implementing Bodies.</w:t>
            </w:r>
          </w:p>
        </w:tc>
        <w:tc>
          <w:tcPr>
            <w:tcW w:w="324" w:type="pct"/>
            <w:tcBorders>
              <w:top w:val="single" w:sz="4" w:space="0" w:color="000000" w:themeColor="text1"/>
              <w:left w:val="nil"/>
              <w:bottom w:val="single" w:sz="4" w:space="0" w:color="auto"/>
              <w:right w:val="single" w:sz="4" w:space="0" w:color="auto"/>
            </w:tcBorders>
            <w:shd w:val="clear" w:color="auto" w:fill="C6EFCE"/>
            <w:noWrap/>
          </w:tcPr>
          <w:p w14:paraId="1887EF5D" w14:textId="77777777" w:rsidR="00C02B59" w:rsidRPr="00D1795B" w:rsidRDefault="00C02B59" w:rsidP="00C02B59">
            <w:pPr>
              <w:spacing w:after="0" w:line="240" w:lineRule="auto"/>
              <w:jc w:val="center"/>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w:t>
            </w:r>
          </w:p>
        </w:tc>
        <w:tc>
          <w:tcPr>
            <w:tcW w:w="325" w:type="pct"/>
            <w:tcBorders>
              <w:top w:val="single" w:sz="4" w:space="0" w:color="000000" w:themeColor="text1"/>
              <w:left w:val="nil"/>
              <w:bottom w:val="single" w:sz="4" w:space="0" w:color="auto"/>
              <w:right w:val="single" w:sz="4" w:space="0" w:color="auto"/>
            </w:tcBorders>
            <w:shd w:val="clear" w:color="auto" w:fill="C6EFCE"/>
            <w:noWrap/>
          </w:tcPr>
          <w:p w14:paraId="1887EF5E" w14:textId="77777777" w:rsidR="00C02B59" w:rsidRPr="00D1795B" w:rsidRDefault="00C02B59" w:rsidP="00C02B59">
            <w:pPr>
              <w:spacing w:after="0" w:line="240" w:lineRule="auto"/>
              <w:jc w:val="center"/>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w:t>
            </w:r>
          </w:p>
        </w:tc>
        <w:tc>
          <w:tcPr>
            <w:tcW w:w="231" w:type="pct"/>
            <w:tcBorders>
              <w:top w:val="single" w:sz="4" w:space="0" w:color="000000" w:themeColor="text1"/>
              <w:left w:val="nil"/>
              <w:bottom w:val="single" w:sz="4" w:space="0" w:color="auto"/>
              <w:right w:val="single" w:sz="4" w:space="0" w:color="auto"/>
            </w:tcBorders>
            <w:shd w:val="clear" w:color="auto" w:fill="C6EFCE"/>
            <w:noWrap/>
          </w:tcPr>
          <w:p w14:paraId="1887EF5F" w14:textId="77777777" w:rsidR="00C02B59" w:rsidRPr="00D1795B" w:rsidRDefault="00C02B59" w:rsidP="00C02B59">
            <w:pPr>
              <w:spacing w:after="0" w:line="240" w:lineRule="auto"/>
              <w:jc w:val="center"/>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w:t>
            </w:r>
          </w:p>
        </w:tc>
        <w:tc>
          <w:tcPr>
            <w:tcW w:w="325" w:type="pct"/>
            <w:tcBorders>
              <w:top w:val="single" w:sz="4" w:space="0" w:color="000000" w:themeColor="text1"/>
              <w:left w:val="nil"/>
              <w:bottom w:val="single" w:sz="4" w:space="0" w:color="auto"/>
              <w:right w:val="single" w:sz="4" w:space="0" w:color="auto"/>
            </w:tcBorders>
            <w:shd w:val="clear" w:color="auto" w:fill="C6EFCE"/>
            <w:noWrap/>
          </w:tcPr>
          <w:p w14:paraId="1887EF60"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Q4</w:t>
            </w:r>
          </w:p>
        </w:tc>
        <w:tc>
          <w:tcPr>
            <w:tcW w:w="231" w:type="pct"/>
            <w:tcBorders>
              <w:top w:val="single" w:sz="4" w:space="0" w:color="000000" w:themeColor="text1"/>
              <w:left w:val="nil"/>
              <w:bottom w:val="single" w:sz="4" w:space="0" w:color="auto"/>
              <w:right w:val="single" w:sz="4" w:space="0" w:color="auto"/>
            </w:tcBorders>
            <w:shd w:val="clear" w:color="auto" w:fill="C6EFCE"/>
            <w:noWrap/>
          </w:tcPr>
          <w:p w14:paraId="1887EF61" w14:textId="77777777" w:rsidR="00C02B59" w:rsidRPr="00D1795B" w:rsidRDefault="00C02B59" w:rsidP="00C02B59">
            <w:pP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2023</w:t>
            </w:r>
          </w:p>
        </w:tc>
        <w:tc>
          <w:tcPr>
            <w:tcW w:w="1361" w:type="pct"/>
            <w:tcBorders>
              <w:top w:val="single" w:sz="4" w:space="0" w:color="000000" w:themeColor="text1"/>
              <w:left w:val="nil"/>
              <w:bottom w:val="single" w:sz="4" w:space="0" w:color="auto"/>
              <w:right w:val="single" w:sz="4" w:space="0" w:color="auto"/>
            </w:tcBorders>
            <w:shd w:val="clear" w:color="auto" w:fill="C6EFCE"/>
            <w:noWrap/>
          </w:tcPr>
          <w:p w14:paraId="1887EF62" w14:textId="77777777" w:rsidR="00C02B59" w:rsidRPr="00D1795B" w:rsidRDefault="00C02B59" w:rsidP="00C02B59">
            <w:pPr>
              <w:spacing w:line="240" w:lineRule="auto"/>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The Council of Ministers shall adopt mandatory instructions prepared by the Coordinating Authority which shall cover at least the following areas: </w:t>
            </w:r>
          </w:p>
          <w:p w14:paraId="1887EF63" w14:textId="77777777" w:rsidR="00C02B59" w:rsidRPr="00D1795B" w:rsidRDefault="00C02B59" w:rsidP="00C02B59">
            <w:pPr>
              <w:numPr>
                <w:ilvl w:val="0"/>
                <w:numId w:val="32"/>
              </w:numPr>
              <w:spacing w:after="0" w:line="240" w:lineRule="auto"/>
              <w:ind w:left="517"/>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The risk assessment methodology to be applied for all verification types (administrative and on the spot),</w:t>
            </w:r>
          </w:p>
          <w:p w14:paraId="1887EF64" w14:textId="77777777" w:rsidR="00C02B59" w:rsidRPr="00D1795B" w:rsidRDefault="00C02B59" w:rsidP="00C02B59">
            <w:pPr>
              <w:numPr>
                <w:ilvl w:val="0"/>
                <w:numId w:val="32"/>
              </w:numPr>
              <w:spacing w:after="0" w:line="240" w:lineRule="auto"/>
              <w:ind w:left="517"/>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Verifications for double funding and procedures for its avoidance, </w:t>
            </w:r>
          </w:p>
          <w:p w14:paraId="1887EF65" w14:textId="77777777" w:rsidR="00C02B59" w:rsidRPr="00D1795B" w:rsidRDefault="00C02B59" w:rsidP="00C02B59">
            <w:pPr>
              <w:numPr>
                <w:ilvl w:val="0"/>
                <w:numId w:val="32"/>
              </w:numPr>
              <w:spacing w:after="0" w:line="240" w:lineRule="auto"/>
              <w:ind w:left="517"/>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The treatment of irregularities and the whistle blowing process followed for interventions (projects or schemes) funded by the Union, </w:t>
            </w:r>
          </w:p>
          <w:p w14:paraId="1887EF66" w14:textId="77777777" w:rsidR="00C02B59" w:rsidRPr="00D1795B" w:rsidRDefault="00C02B59" w:rsidP="00C02B59">
            <w:pPr>
              <w:numPr>
                <w:ilvl w:val="0"/>
                <w:numId w:val="32"/>
              </w:numPr>
              <w:spacing w:after="0" w:line="240" w:lineRule="auto"/>
              <w:ind w:left="517"/>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Requirements for audit trail,</w:t>
            </w:r>
          </w:p>
          <w:p w14:paraId="1887EF67" w14:textId="77777777" w:rsidR="00C02B59" w:rsidRPr="00D1795B" w:rsidRDefault="00C02B59" w:rsidP="00C02B59">
            <w:pPr>
              <w:numPr>
                <w:ilvl w:val="0"/>
                <w:numId w:val="32"/>
              </w:numPr>
              <w:spacing w:after="0" w:line="240" w:lineRule="auto"/>
              <w:ind w:left="517"/>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A central fraud risk assessment for all contracting authorities, taking into consideration all the elements outlined in the Guidance Note on Fraud Risk Assessment and Effective and Proportionate Anti-Fraud Measures for ESIF 2014-2020. Each contracting authority functioning under the RRP is mandated to comply with the action plan devised by the central fraud risk assessment team.</w:t>
            </w:r>
          </w:p>
          <w:p w14:paraId="1887EF68" w14:textId="77777777" w:rsidR="00C02B59" w:rsidRPr="00D1795B" w:rsidRDefault="00C02B59" w:rsidP="00C02B59">
            <w:pPr>
              <w:numPr>
                <w:ilvl w:val="0"/>
                <w:numId w:val="32"/>
              </w:numPr>
              <w:spacing w:after="0" w:line="240" w:lineRule="auto"/>
              <w:ind w:left="517"/>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Establishment of specific functions for PFIU, dedicated to tackling issues related to fraud, corruption, and conflicts of interest in Implementing Bodies implementing aid schemes under the RRP.</w:t>
            </w:r>
          </w:p>
          <w:p w14:paraId="1887EF69" w14:textId="77777777" w:rsidR="00C02B59" w:rsidRPr="00D1795B" w:rsidRDefault="00C02B59" w:rsidP="00C02B59">
            <w:pPr>
              <w:spacing w:line="240"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 instructions shall be distributed to all entities involved in the implementation, monitoring and control of the RRP and shall clearly segregate their responsibilities, ensuring a clear separation between control and implementation duties and shall require that controls are conducted in alignment with them.</w:t>
            </w:r>
          </w:p>
        </w:tc>
      </w:tr>
    </w:tbl>
    <w:p w14:paraId="1887EF6B" w14:textId="77777777" w:rsidR="00C02B59" w:rsidRPr="00D1795B" w:rsidRDefault="00C02B59">
      <w:pPr>
        <w:rPr>
          <w:noProof/>
        </w:rPr>
      </w:pPr>
    </w:p>
    <w:p w14:paraId="1887EF6C" w14:textId="77777777" w:rsidR="00C02B59" w:rsidRPr="00D1795B" w:rsidRDefault="00C02B59" w:rsidP="00C02B59">
      <w:pPr>
        <w:rPr>
          <w:noProof/>
        </w:rPr>
        <w:sectPr w:rsidR="00C02B59" w:rsidRPr="00D1795B" w:rsidSect="00C02B59">
          <w:headerReference w:type="even" r:id="rId191"/>
          <w:headerReference w:type="default" r:id="rId192"/>
          <w:footerReference w:type="even" r:id="rId193"/>
          <w:footerReference w:type="default" r:id="rId194"/>
          <w:headerReference w:type="first" r:id="rId195"/>
          <w:footerReference w:type="first" r:id="rId196"/>
          <w:pgSz w:w="16838" w:h="11906" w:orient="landscape"/>
          <w:pgMar w:top="1134" w:right="1134" w:bottom="1134" w:left="1134" w:header="567" w:footer="567" w:gutter="0"/>
          <w:cols w:space="720"/>
          <w:docGrid w:linePitch="360"/>
        </w:sectPr>
      </w:pPr>
    </w:p>
    <w:p w14:paraId="1887EF6D" w14:textId="77777777" w:rsidR="00C02B59" w:rsidRPr="00D1795B" w:rsidRDefault="00C02B59" w:rsidP="00C02B59">
      <w:pPr>
        <w:pStyle w:val="NumPar1"/>
        <w:tabs>
          <w:tab w:val="num" w:pos="850"/>
        </w:tabs>
        <w:ind w:left="850" w:hanging="850"/>
        <w:rPr>
          <w:b/>
          <w:bCs/>
          <w:noProof/>
          <w:lang w:val="en-GB"/>
        </w:rPr>
      </w:pPr>
      <w:r w:rsidRPr="00D1795B">
        <w:rPr>
          <w:b/>
          <w:bCs/>
          <w:noProof/>
          <w:lang w:val="en-GB"/>
        </w:rPr>
        <w:t>Estimated total cost of the recovery and resilience plan</w:t>
      </w:r>
    </w:p>
    <w:p w14:paraId="1887EF6E" w14:textId="77777777" w:rsidR="00C02B59" w:rsidRPr="00D1795B" w:rsidRDefault="00C02B59" w:rsidP="00C02B59">
      <w:pPr>
        <w:pStyle w:val="Text1"/>
        <w:spacing w:line="240" w:lineRule="auto"/>
        <w:ind w:left="0"/>
        <w:rPr>
          <w:noProof/>
          <w:lang w:val="en-GB"/>
        </w:rPr>
      </w:pPr>
      <w:r w:rsidRPr="00D1795B">
        <w:rPr>
          <w:noProof/>
          <w:lang w:val="en-GB"/>
        </w:rPr>
        <w:t>The estimated total cost of the recovery and resilience plan of Cyprus is EUR 1 022 123 510.</w:t>
      </w:r>
    </w:p>
    <w:p w14:paraId="1887EF6F" w14:textId="77777777" w:rsidR="00C02B59" w:rsidRPr="00D1795B" w:rsidRDefault="00C02B59" w:rsidP="00C02B59">
      <w:pPr>
        <w:pStyle w:val="Text1"/>
        <w:spacing w:line="240" w:lineRule="auto"/>
        <w:ind w:left="0"/>
        <w:rPr>
          <w:noProof/>
          <w:lang w:val="en-GB"/>
        </w:rPr>
      </w:pPr>
      <w:r w:rsidRPr="00D1795B">
        <w:rPr>
          <w:noProof/>
          <w:lang w:val="en-GB"/>
        </w:rPr>
        <w:t>The estimated total cost of the REPowerEU chapter is EUR 104 580 000. In particular, the estimated total costs of the measures referred to in Article 21c(3), point (a) of Regulation (EU) 2023/435 is EUR 0 whilst the costs of the other measures in the REPowerEU chapter is EUR 104 580 000.</w:t>
      </w:r>
    </w:p>
    <w:p w14:paraId="1887EF70" w14:textId="77777777" w:rsidR="00C02B59" w:rsidRPr="00D1795B" w:rsidRDefault="00C02B59" w:rsidP="00C02B59">
      <w:pPr>
        <w:keepNext/>
        <w:spacing w:before="360" w:after="120" w:line="240" w:lineRule="auto"/>
        <w:jc w:val="both"/>
        <w:outlineLvl w:val="0"/>
        <w:rPr>
          <w:rFonts w:ascii="Times New Roman" w:hAnsi="Times New Roman" w:cs="Times New Roman"/>
          <w:b/>
          <w:smallCaps/>
          <w:noProof/>
        </w:rPr>
      </w:pPr>
      <w:r w:rsidRPr="00D1795B">
        <w:rPr>
          <w:rFonts w:ascii="Times New Roman" w:hAnsi="Times New Roman"/>
          <w:b/>
          <w:smallCaps/>
          <w:noProof/>
        </w:rPr>
        <w:t>SECTION 2: FINANCIAL SUPPORT</w:t>
      </w:r>
    </w:p>
    <w:p w14:paraId="1887EF71" w14:textId="77777777" w:rsidR="00C02B59" w:rsidRPr="00D1795B" w:rsidRDefault="00C02B59" w:rsidP="00C02B59">
      <w:pPr>
        <w:pStyle w:val="NumPar1"/>
        <w:numPr>
          <w:ilvl w:val="0"/>
          <w:numId w:val="33"/>
        </w:numPr>
        <w:rPr>
          <w:b/>
          <w:noProof/>
          <w:lang w:val="en-GB"/>
        </w:rPr>
      </w:pPr>
      <w:r w:rsidRPr="00D1795B">
        <w:rPr>
          <w:b/>
          <w:noProof/>
          <w:lang w:val="en-GB"/>
        </w:rPr>
        <w:t xml:space="preserve">Financial contribution </w:t>
      </w:r>
    </w:p>
    <w:p w14:paraId="1887EF72" w14:textId="77777777" w:rsidR="00C02B59" w:rsidRPr="00D1795B" w:rsidRDefault="00C02B59" w:rsidP="00C02B59">
      <w:pPr>
        <w:pStyle w:val="Text1"/>
        <w:rPr>
          <w:noProof/>
          <w:lang w:val="en-GB"/>
        </w:rPr>
      </w:pPr>
      <w:r w:rsidRPr="00D1795B">
        <w:rPr>
          <w:noProof/>
          <w:lang w:val="en-GB"/>
        </w:rPr>
        <w:t>The instalments referred to in Article 2(2) shall be organised in the following manner:</w:t>
      </w:r>
    </w:p>
    <w:p w14:paraId="1887EF73" w14:textId="77777777" w:rsidR="00C02B59" w:rsidRPr="00D1795B" w:rsidRDefault="00C02B59" w:rsidP="00C02B59">
      <w:pPr>
        <w:pStyle w:val="NumPar2"/>
        <w:tabs>
          <w:tab w:val="num" w:pos="850"/>
        </w:tabs>
        <w:ind w:left="850" w:hanging="850"/>
        <w:rPr>
          <w:noProof/>
          <w:lang w:val="en-GB"/>
        </w:rPr>
      </w:pPr>
      <w:r w:rsidRPr="00D1795B">
        <w:rPr>
          <w:noProof/>
          <w:lang w:val="en-GB"/>
        </w:rPr>
        <w:t xml:space="preserve">First Instalment (non-repayable support): </w:t>
      </w:r>
    </w:p>
    <w:tbl>
      <w:tblPr>
        <w:tblW w:w="10063" w:type="dxa"/>
        <w:jc w:val="center"/>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536"/>
        <w:gridCol w:w="1536"/>
        <w:gridCol w:w="2691"/>
      </w:tblGrid>
      <w:tr w:rsidR="00B70EBF" w:rsidRPr="00D1795B" w14:paraId="1887EF78" w14:textId="77777777" w:rsidTr="00175C28">
        <w:trPr>
          <w:cantSplit/>
          <w:trHeight w:val="509"/>
          <w:tblHeader/>
          <w:jc w:val="center"/>
        </w:trPr>
        <w:tc>
          <w:tcPr>
            <w:tcW w:w="1702" w:type="dxa"/>
            <w:vMerge w:val="restart"/>
            <w:tcBorders>
              <w:top w:val="single" w:sz="4" w:space="0" w:color="auto"/>
            </w:tcBorders>
            <w:shd w:val="clear" w:color="auto" w:fill="BDD7EE"/>
            <w:vAlign w:val="center"/>
            <w:hideMark/>
          </w:tcPr>
          <w:p w14:paraId="1887EF74"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4536" w:type="dxa"/>
            <w:vMerge w:val="restart"/>
            <w:tcBorders>
              <w:top w:val="single" w:sz="4" w:space="0" w:color="auto"/>
            </w:tcBorders>
            <w:shd w:val="clear" w:color="auto" w:fill="BDD7EE"/>
            <w:vAlign w:val="center"/>
            <w:hideMark/>
          </w:tcPr>
          <w:p w14:paraId="1887EF75"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1134" w:type="dxa"/>
            <w:vMerge w:val="restart"/>
            <w:tcBorders>
              <w:top w:val="single" w:sz="4" w:space="0" w:color="auto"/>
            </w:tcBorders>
            <w:shd w:val="clear" w:color="auto" w:fill="BDD7EE"/>
            <w:vAlign w:val="center"/>
            <w:hideMark/>
          </w:tcPr>
          <w:p w14:paraId="1887EF76"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Milestone/Target</w:t>
            </w:r>
          </w:p>
        </w:tc>
        <w:tc>
          <w:tcPr>
            <w:tcW w:w="2691" w:type="dxa"/>
            <w:vMerge w:val="restart"/>
            <w:tcBorders>
              <w:top w:val="single" w:sz="4" w:space="0" w:color="auto"/>
            </w:tcBorders>
            <w:shd w:val="clear" w:color="auto" w:fill="BDD7EE"/>
            <w:vAlign w:val="center"/>
            <w:hideMark/>
          </w:tcPr>
          <w:p w14:paraId="1887EF77"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Name</w:t>
            </w:r>
          </w:p>
        </w:tc>
      </w:tr>
      <w:tr w:rsidR="00C02B59" w:rsidRPr="00D1795B" w14:paraId="1887EF7D" w14:textId="77777777" w:rsidTr="00175C28">
        <w:trPr>
          <w:cantSplit/>
          <w:trHeight w:val="509"/>
          <w:tblHeader/>
          <w:jc w:val="center"/>
        </w:trPr>
        <w:tc>
          <w:tcPr>
            <w:tcW w:w="1702" w:type="dxa"/>
            <w:vMerge/>
            <w:tcBorders>
              <w:top w:val="single" w:sz="4" w:space="0" w:color="auto"/>
            </w:tcBorders>
            <w:vAlign w:val="center"/>
            <w:hideMark/>
          </w:tcPr>
          <w:p w14:paraId="1887EF79"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4536" w:type="dxa"/>
            <w:vMerge/>
            <w:tcBorders>
              <w:top w:val="single" w:sz="4" w:space="0" w:color="auto"/>
            </w:tcBorders>
            <w:vAlign w:val="center"/>
            <w:hideMark/>
          </w:tcPr>
          <w:p w14:paraId="1887EF7A"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1134" w:type="dxa"/>
            <w:vMerge/>
            <w:tcBorders>
              <w:top w:val="single" w:sz="4" w:space="0" w:color="auto"/>
            </w:tcBorders>
            <w:vAlign w:val="center"/>
            <w:hideMark/>
          </w:tcPr>
          <w:p w14:paraId="1887EF7B" w14:textId="77777777" w:rsidR="00C02B59" w:rsidRPr="00D1795B" w:rsidRDefault="00C02B59" w:rsidP="00C02B59">
            <w:pPr>
              <w:spacing w:after="0"/>
              <w:jc w:val="center"/>
              <w:rPr>
                <w:rFonts w:ascii="Times New Roman" w:eastAsia="Times New Roman" w:hAnsi="Times New Roman" w:cs="Times New Roman"/>
                <w:b/>
                <w:noProof/>
                <w:sz w:val="18"/>
                <w:szCs w:val="18"/>
                <w:lang w:eastAsia="en-GB"/>
              </w:rPr>
            </w:pPr>
          </w:p>
        </w:tc>
        <w:tc>
          <w:tcPr>
            <w:tcW w:w="2691" w:type="dxa"/>
            <w:vMerge/>
            <w:tcBorders>
              <w:top w:val="single" w:sz="4" w:space="0" w:color="auto"/>
            </w:tcBorders>
            <w:vAlign w:val="center"/>
            <w:hideMark/>
          </w:tcPr>
          <w:p w14:paraId="1887EF7C" w14:textId="77777777" w:rsidR="00C02B59" w:rsidRPr="00D1795B" w:rsidRDefault="00C02B59" w:rsidP="00C02B59">
            <w:pPr>
              <w:spacing w:after="0"/>
              <w:jc w:val="both"/>
              <w:rPr>
                <w:rFonts w:ascii="Times New Roman" w:eastAsia="Times New Roman" w:hAnsi="Times New Roman" w:cs="Times New Roman"/>
                <w:b/>
                <w:noProof/>
                <w:sz w:val="18"/>
                <w:szCs w:val="18"/>
                <w:lang w:eastAsia="en-GB"/>
              </w:rPr>
            </w:pPr>
          </w:p>
        </w:tc>
      </w:tr>
      <w:tr w:rsidR="00912879" w:rsidRPr="00D1795B" w14:paraId="1887EF83" w14:textId="77777777" w:rsidTr="00175C28">
        <w:trPr>
          <w:cantSplit/>
          <w:trHeight w:val="302"/>
          <w:jc w:val="center"/>
        </w:trPr>
        <w:tc>
          <w:tcPr>
            <w:tcW w:w="1702" w:type="dxa"/>
            <w:shd w:val="clear" w:color="auto" w:fill="C6EFCE"/>
            <w:noWrap/>
          </w:tcPr>
          <w:p w14:paraId="1887EF7E"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21</w:t>
            </w:r>
          </w:p>
        </w:tc>
        <w:tc>
          <w:tcPr>
            <w:tcW w:w="4536" w:type="dxa"/>
            <w:shd w:val="clear" w:color="auto" w:fill="C6EFCE"/>
            <w:noWrap/>
          </w:tcPr>
          <w:p w14:paraId="1887EF7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C2.1R2</w:t>
            </w:r>
          </w:p>
          <w:p w14:paraId="1887EF80" w14:textId="77777777" w:rsidR="00C02B59" w:rsidRPr="00D1795B" w:rsidRDefault="00C02B59" w:rsidP="00C02B59">
            <w:pP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Independence of Cyprus Transmission System Operator (TSOC) from the incumbent Electricity Authority of Cyprus</w:t>
            </w:r>
          </w:p>
        </w:tc>
        <w:tc>
          <w:tcPr>
            <w:tcW w:w="1134" w:type="dxa"/>
            <w:shd w:val="clear" w:color="auto" w:fill="C6EFCE"/>
            <w:noWrap/>
          </w:tcPr>
          <w:p w14:paraId="1887EF81"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91" w:type="dxa"/>
            <w:shd w:val="clear" w:color="auto" w:fill="C6EFCE"/>
            <w:noWrap/>
          </w:tcPr>
          <w:p w14:paraId="1887EF82"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Law for the Regulation of the Electricity Market of 2021</w:t>
            </w:r>
          </w:p>
        </w:tc>
      </w:tr>
      <w:tr w:rsidR="00912879" w:rsidRPr="00D1795B" w14:paraId="1887EF89" w14:textId="77777777" w:rsidTr="00175C28">
        <w:trPr>
          <w:cantSplit/>
          <w:trHeight w:val="302"/>
          <w:jc w:val="center"/>
        </w:trPr>
        <w:tc>
          <w:tcPr>
            <w:tcW w:w="1702" w:type="dxa"/>
            <w:shd w:val="clear" w:color="auto" w:fill="C6EFCE"/>
            <w:noWrap/>
          </w:tcPr>
          <w:p w14:paraId="1887EF84"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23</w:t>
            </w:r>
          </w:p>
        </w:tc>
        <w:tc>
          <w:tcPr>
            <w:tcW w:w="4536" w:type="dxa"/>
            <w:shd w:val="clear" w:color="auto" w:fill="C6EFCE"/>
            <w:noWrap/>
          </w:tcPr>
          <w:p w14:paraId="1887EF8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C2.1R4</w:t>
            </w:r>
          </w:p>
          <w:p w14:paraId="1887EF86" w14:textId="77777777" w:rsidR="00C02B59" w:rsidRPr="00D1795B" w:rsidRDefault="00C02B59" w:rsidP="00C02B59">
            <w:pP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Energy Storage Regulatory Framework</w:t>
            </w:r>
          </w:p>
        </w:tc>
        <w:tc>
          <w:tcPr>
            <w:tcW w:w="1134" w:type="dxa"/>
            <w:shd w:val="clear" w:color="auto" w:fill="C6EFCE"/>
            <w:noWrap/>
          </w:tcPr>
          <w:p w14:paraId="1887EF87"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91" w:type="dxa"/>
            <w:shd w:val="clear" w:color="auto" w:fill="C6EFCE"/>
            <w:noWrap/>
          </w:tcPr>
          <w:p w14:paraId="1887EF88"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Amendment of the Transmission and Distribution Rules (TDRs) and Trading and Settlement Rules (TSRs) </w:t>
            </w:r>
          </w:p>
        </w:tc>
      </w:tr>
      <w:tr w:rsidR="00912879" w:rsidRPr="00D1795B" w14:paraId="1887EF8F" w14:textId="77777777" w:rsidTr="00175C28">
        <w:trPr>
          <w:cantSplit/>
          <w:trHeight w:val="302"/>
          <w:jc w:val="center"/>
        </w:trPr>
        <w:tc>
          <w:tcPr>
            <w:tcW w:w="1702" w:type="dxa"/>
            <w:shd w:val="clear" w:color="auto" w:fill="C6EFCE"/>
            <w:noWrap/>
          </w:tcPr>
          <w:p w14:paraId="1887EF8A"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24</w:t>
            </w:r>
          </w:p>
        </w:tc>
        <w:tc>
          <w:tcPr>
            <w:tcW w:w="4536" w:type="dxa"/>
            <w:shd w:val="clear" w:color="auto" w:fill="C6EFCE"/>
            <w:noWrap/>
          </w:tcPr>
          <w:p w14:paraId="1887EF8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C2.1I1</w:t>
            </w:r>
          </w:p>
          <w:p w14:paraId="1887EF8C" w14:textId="77777777" w:rsidR="00C02B59" w:rsidRPr="00D1795B" w:rsidRDefault="00C02B59" w:rsidP="00C02B59">
            <w:pP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Promoting energy efficiency investments in SMEs and non-profit organisations</w:t>
            </w:r>
          </w:p>
        </w:tc>
        <w:tc>
          <w:tcPr>
            <w:tcW w:w="1134" w:type="dxa"/>
            <w:shd w:val="clear" w:color="auto" w:fill="C6EFCE"/>
            <w:noWrap/>
          </w:tcPr>
          <w:p w14:paraId="1887EF8D"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91" w:type="dxa"/>
            <w:shd w:val="clear" w:color="auto" w:fill="C6EFCE"/>
            <w:noWrap/>
          </w:tcPr>
          <w:p w14:paraId="1887EF8E"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Support scheme for Promoting energy efficiency investments in SME and non-profit organisations</w:t>
            </w:r>
          </w:p>
        </w:tc>
      </w:tr>
      <w:tr w:rsidR="00912879" w:rsidRPr="00D1795B" w14:paraId="1887EF95" w14:textId="77777777" w:rsidTr="00175C28">
        <w:trPr>
          <w:cantSplit/>
          <w:trHeight w:val="302"/>
          <w:jc w:val="center"/>
        </w:trPr>
        <w:tc>
          <w:tcPr>
            <w:tcW w:w="1702" w:type="dxa"/>
            <w:shd w:val="clear" w:color="auto" w:fill="C6EFCE"/>
            <w:noWrap/>
          </w:tcPr>
          <w:p w14:paraId="1887EF90"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27</w:t>
            </w:r>
          </w:p>
        </w:tc>
        <w:tc>
          <w:tcPr>
            <w:tcW w:w="4536" w:type="dxa"/>
            <w:shd w:val="clear" w:color="auto" w:fill="C6EFCE"/>
            <w:noWrap/>
          </w:tcPr>
          <w:p w14:paraId="1887EF9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C2.1I2</w:t>
            </w:r>
          </w:p>
          <w:p w14:paraId="1887EF9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Promoting renewables and individual energy efficiency measures in dwellings and tackling energy poverty in households with vulnerable electricity consumers</w:t>
            </w:r>
          </w:p>
        </w:tc>
        <w:tc>
          <w:tcPr>
            <w:tcW w:w="1134" w:type="dxa"/>
            <w:shd w:val="clear" w:color="auto" w:fill="C6EFCE"/>
            <w:noWrap/>
          </w:tcPr>
          <w:p w14:paraId="1887EF93"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91" w:type="dxa"/>
            <w:shd w:val="clear" w:color="auto" w:fill="C6EFCE"/>
            <w:noWrap/>
          </w:tcPr>
          <w:p w14:paraId="1887EF94"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First call for proposals for Promoting renewables and individual energy efficiency measures in dwellings </w:t>
            </w:r>
          </w:p>
        </w:tc>
      </w:tr>
      <w:tr w:rsidR="00912879" w:rsidRPr="00D1795B" w14:paraId="1887EF9B" w14:textId="77777777" w:rsidTr="00175C28">
        <w:trPr>
          <w:cantSplit/>
          <w:trHeight w:val="302"/>
          <w:jc w:val="center"/>
        </w:trPr>
        <w:tc>
          <w:tcPr>
            <w:tcW w:w="1702" w:type="dxa"/>
            <w:shd w:val="clear" w:color="auto" w:fill="C6EFCE"/>
            <w:noWrap/>
          </w:tcPr>
          <w:p w14:paraId="1887EF96"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30</w:t>
            </w:r>
          </w:p>
        </w:tc>
        <w:tc>
          <w:tcPr>
            <w:tcW w:w="4536" w:type="dxa"/>
            <w:shd w:val="clear" w:color="auto" w:fill="C6EFCE"/>
            <w:noWrap/>
          </w:tcPr>
          <w:p w14:paraId="1887EF9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C2.1I3</w:t>
            </w:r>
          </w:p>
          <w:p w14:paraId="1887EF9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Encouraging the use of renewables and energy savings by local/wider public authorities and facilitating the transition of local communities towards climate mitigation &amp; adaptation</w:t>
            </w:r>
          </w:p>
        </w:tc>
        <w:tc>
          <w:tcPr>
            <w:tcW w:w="1134" w:type="dxa"/>
            <w:shd w:val="clear" w:color="auto" w:fill="C6EFCE"/>
            <w:noWrap/>
          </w:tcPr>
          <w:p w14:paraId="1887EF99"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91" w:type="dxa"/>
            <w:shd w:val="clear" w:color="auto" w:fill="C6EFCE"/>
            <w:noWrap/>
          </w:tcPr>
          <w:p w14:paraId="1887EF9A"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First call for proposals to support local authorities in energy efficiency measures </w:t>
            </w:r>
          </w:p>
        </w:tc>
      </w:tr>
      <w:tr w:rsidR="00912879" w:rsidRPr="00D1795B" w14:paraId="1887EFA1" w14:textId="77777777" w:rsidTr="00175C28">
        <w:trPr>
          <w:cantSplit/>
          <w:trHeight w:val="302"/>
          <w:jc w:val="center"/>
        </w:trPr>
        <w:tc>
          <w:tcPr>
            <w:tcW w:w="1702" w:type="dxa"/>
            <w:shd w:val="clear" w:color="auto" w:fill="C6EFCE"/>
            <w:noWrap/>
          </w:tcPr>
          <w:p w14:paraId="1887EF9C"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93</w:t>
            </w:r>
          </w:p>
        </w:tc>
        <w:tc>
          <w:tcPr>
            <w:tcW w:w="4536" w:type="dxa"/>
            <w:shd w:val="clear" w:color="auto" w:fill="C6EFCE"/>
            <w:noWrap/>
          </w:tcPr>
          <w:p w14:paraId="1887EF9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C3.1I2</w:t>
            </w:r>
          </w:p>
          <w:p w14:paraId="1887EF9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Enhancement of isotopic database of traditional Cypriot products.</w:t>
            </w:r>
          </w:p>
        </w:tc>
        <w:tc>
          <w:tcPr>
            <w:tcW w:w="1134" w:type="dxa"/>
            <w:shd w:val="clear" w:color="auto" w:fill="C6EFCE"/>
            <w:noWrap/>
          </w:tcPr>
          <w:p w14:paraId="1887EF9F"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91" w:type="dxa"/>
            <w:shd w:val="clear" w:color="auto" w:fill="C6EFCE"/>
            <w:noWrap/>
          </w:tcPr>
          <w:p w14:paraId="1887EFA0"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Liquid Chromatography- Isotopic Ratio Mass Spectrometer (LC-IRMS) equipment</w:t>
            </w:r>
          </w:p>
        </w:tc>
      </w:tr>
      <w:tr w:rsidR="00912879" w:rsidRPr="00D1795B" w14:paraId="1887EFA7" w14:textId="77777777" w:rsidTr="00175C28">
        <w:trPr>
          <w:cantSplit/>
          <w:trHeight w:val="302"/>
          <w:jc w:val="center"/>
        </w:trPr>
        <w:tc>
          <w:tcPr>
            <w:tcW w:w="1702" w:type="dxa"/>
            <w:shd w:val="clear" w:color="auto" w:fill="C6EFCE"/>
            <w:noWrap/>
          </w:tcPr>
          <w:p w14:paraId="1887EFA2"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109</w:t>
            </w:r>
          </w:p>
        </w:tc>
        <w:tc>
          <w:tcPr>
            <w:tcW w:w="4536" w:type="dxa"/>
            <w:shd w:val="clear" w:color="auto" w:fill="C6EFCE"/>
            <w:noWrap/>
          </w:tcPr>
          <w:p w14:paraId="1887EFA3"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C3.1R4</w:t>
            </w:r>
          </w:p>
          <w:p w14:paraId="1887EFA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Enhancement of circular economy in the Industry</w:t>
            </w:r>
          </w:p>
        </w:tc>
        <w:tc>
          <w:tcPr>
            <w:tcW w:w="1134" w:type="dxa"/>
            <w:shd w:val="clear" w:color="auto" w:fill="C6EFCE"/>
            <w:noWrap/>
          </w:tcPr>
          <w:p w14:paraId="1887EFA5"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91" w:type="dxa"/>
            <w:shd w:val="clear" w:color="auto" w:fill="C6EFCE"/>
            <w:noWrap/>
          </w:tcPr>
          <w:p w14:paraId="1887EFA6"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Approval of the National Action Plan for the Enhancement of Circular Economy in Cyprus </w:t>
            </w:r>
          </w:p>
        </w:tc>
      </w:tr>
      <w:tr w:rsidR="00912879" w:rsidRPr="00D1795B" w14:paraId="1887EFAD" w14:textId="77777777" w:rsidTr="00175C28">
        <w:trPr>
          <w:cantSplit/>
          <w:trHeight w:val="302"/>
          <w:jc w:val="center"/>
        </w:trPr>
        <w:tc>
          <w:tcPr>
            <w:tcW w:w="1702" w:type="dxa"/>
            <w:shd w:val="clear" w:color="auto" w:fill="C6EFCE"/>
            <w:noWrap/>
          </w:tcPr>
          <w:p w14:paraId="1887EFA8"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160</w:t>
            </w:r>
          </w:p>
        </w:tc>
        <w:tc>
          <w:tcPr>
            <w:tcW w:w="4536" w:type="dxa"/>
            <w:shd w:val="clear" w:color="auto" w:fill="C6EFCE"/>
            <w:noWrap/>
          </w:tcPr>
          <w:p w14:paraId="1887EFA9"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C3.4R3</w:t>
            </w:r>
          </w:p>
          <w:p w14:paraId="1887EFA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Introduce new framework for evaluation and selection process for filling public service vacancies and new regulations for the evaluation of employees’ performance</w:t>
            </w:r>
          </w:p>
        </w:tc>
        <w:tc>
          <w:tcPr>
            <w:tcW w:w="1134" w:type="dxa"/>
            <w:shd w:val="clear" w:color="auto" w:fill="C6EFCE"/>
            <w:noWrap/>
          </w:tcPr>
          <w:p w14:paraId="1887EFAB"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91" w:type="dxa"/>
            <w:shd w:val="clear" w:color="auto" w:fill="C6EFCE"/>
            <w:noWrap/>
          </w:tcPr>
          <w:p w14:paraId="1887EFAC"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Entry into force of legislation for the evaluation and selection process for public service vacancies and regulations for employees’ performance evaluation. </w:t>
            </w:r>
          </w:p>
        </w:tc>
      </w:tr>
      <w:tr w:rsidR="00912879" w:rsidRPr="00D1795B" w14:paraId="1887EFB3" w14:textId="77777777" w:rsidTr="00175C28">
        <w:trPr>
          <w:cantSplit/>
          <w:trHeight w:val="302"/>
          <w:jc w:val="center"/>
        </w:trPr>
        <w:tc>
          <w:tcPr>
            <w:tcW w:w="1702" w:type="dxa"/>
            <w:shd w:val="clear" w:color="auto" w:fill="C6EFCE"/>
            <w:noWrap/>
          </w:tcPr>
          <w:p w14:paraId="1887EFAE"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186</w:t>
            </w:r>
          </w:p>
        </w:tc>
        <w:tc>
          <w:tcPr>
            <w:tcW w:w="4536" w:type="dxa"/>
            <w:shd w:val="clear" w:color="auto" w:fill="C6EFCE"/>
            <w:noWrap/>
          </w:tcPr>
          <w:p w14:paraId="1887EFA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C3.4I8</w:t>
            </w:r>
          </w:p>
          <w:p w14:paraId="1887EFB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Upgrading the infrastructure of courts</w:t>
            </w:r>
          </w:p>
        </w:tc>
        <w:tc>
          <w:tcPr>
            <w:tcW w:w="1134" w:type="dxa"/>
            <w:shd w:val="clear" w:color="auto" w:fill="C6EFCE"/>
            <w:noWrap/>
          </w:tcPr>
          <w:p w14:paraId="1887EFB1"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91" w:type="dxa"/>
            <w:shd w:val="clear" w:color="auto" w:fill="C6EFCE"/>
            <w:noWrap/>
          </w:tcPr>
          <w:p w14:paraId="1887EFB2"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Extension of the Famagusta District Court</w:t>
            </w:r>
          </w:p>
        </w:tc>
      </w:tr>
      <w:tr w:rsidR="00912879" w:rsidRPr="00D1795B" w14:paraId="1887EFB9" w14:textId="77777777" w:rsidTr="00175C28">
        <w:trPr>
          <w:cantSplit/>
          <w:trHeight w:val="302"/>
          <w:jc w:val="center"/>
        </w:trPr>
        <w:tc>
          <w:tcPr>
            <w:tcW w:w="1702" w:type="dxa"/>
            <w:shd w:val="clear" w:color="auto" w:fill="C6EFCE"/>
            <w:noWrap/>
          </w:tcPr>
          <w:p w14:paraId="1887EFB4"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188</w:t>
            </w:r>
          </w:p>
        </w:tc>
        <w:tc>
          <w:tcPr>
            <w:tcW w:w="4536" w:type="dxa"/>
            <w:shd w:val="clear" w:color="auto" w:fill="C6EFCE"/>
            <w:noWrap/>
          </w:tcPr>
          <w:p w14:paraId="1887EFB5"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C3.4R10</w:t>
            </w:r>
          </w:p>
          <w:p w14:paraId="1887EFB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Improving the legal and institutional framework for fighting corruption</w:t>
            </w:r>
          </w:p>
        </w:tc>
        <w:tc>
          <w:tcPr>
            <w:tcW w:w="1134" w:type="dxa"/>
            <w:shd w:val="clear" w:color="auto" w:fill="C6EFCE"/>
            <w:noWrap/>
          </w:tcPr>
          <w:p w14:paraId="1887EFB7"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91" w:type="dxa"/>
            <w:shd w:val="clear" w:color="auto" w:fill="C6EFCE"/>
            <w:noWrap/>
          </w:tcPr>
          <w:p w14:paraId="1887EFB8"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law on Transparency in Decision-Making and Related Matters</w:t>
            </w:r>
          </w:p>
        </w:tc>
      </w:tr>
      <w:tr w:rsidR="00912879" w:rsidRPr="00D1795B" w14:paraId="1887EFBF" w14:textId="77777777" w:rsidTr="00175C28">
        <w:trPr>
          <w:cantSplit/>
          <w:trHeight w:val="302"/>
          <w:jc w:val="center"/>
        </w:trPr>
        <w:tc>
          <w:tcPr>
            <w:tcW w:w="1702" w:type="dxa"/>
            <w:shd w:val="clear" w:color="auto" w:fill="C6EFCE"/>
            <w:noWrap/>
          </w:tcPr>
          <w:p w14:paraId="1887EFBA"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189</w:t>
            </w:r>
          </w:p>
        </w:tc>
        <w:tc>
          <w:tcPr>
            <w:tcW w:w="4536" w:type="dxa"/>
            <w:shd w:val="clear" w:color="auto" w:fill="C6EFCE"/>
            <w:noWrap/>
          </w:tcPr>
          <w:p w14:paraId="1887EFB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C3.4R10</w:t>
            </w:r>
          </w:p>
          <w:p w14:paraId="1887EFB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Improving the legal and institutional framework for fighting corruption</w:t>
            </w:r>
          </w:p>
        </w:tc>
        <w:tc>
          <w:tcPr>
            <w:tcW w:w="1134" w:type="dxa"/>
            <w:shd w:val="clear" w:color="auto" w:fill="C6EFCE"/>
            <w:noWrap/>
          </w:tcPr>
          <w:p w14:paraId="1887EFBD"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91" w:type="dxa"/>
            <w:shd w:val="clear" w:color="auto" w:fill="C6EFCE"/>
            <w:noWrap/>
          </w:tcPr>
          <w:p w14:paraId="1887EFBE"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law to protect whistle-blowers</w:t>
            </w:r>
          </w:p>
        </w:tc>
      </w:tr>
      <w:tr w:rsidR="00912879" w:rsidRPr="00D1795B" w14:paraId="1887EFC4" w14:textId="77777777" w:rsidTr="00175C28">
        <w:trPr>
          <w:cantSplit/>
          <w:trHeight w:val="302"/>
          <w:jc w:val="center"/>
        </w:trPr>
        <w:tc>
          <w:tcPr>
            <w:tcW w:w="1702" w:type="dxa"/>
            <w:shd w:val="clear" w:color="auto" w:fill="C6EFCE"/>
            <w:noWrap/>
          </w:tcPr>
          <w:p w14:paraId="1887EFC0"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192</w:t>
            </w:r>
          </w:p>
        </w:tc>
        <w:tc>
          <w:tcPr>
            <w:tcW w:w="4536" w:type="dxa"/>
            <w:shd w:val="clear" w:color="auto" w:fill="C6EFCE"/>
            <w:noWrap/>
          </w:tcPr>
          <w:p w14:paraId="1887EFC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C3.5R2 </w:t>
            </w:r>
            <w:r w:rsidRPr="00D1795B">
              <w:rPr>
                <w:rFonts w:ascii="Times New Roman" w:hAnsi="Times New Roman" w:cs="Times New Roman"/>
                <w:noProof/>
                <w:sz w:val="18"/>
                <w:szCs w:val="18"/>
              </w:rPr>
              <w:br/>
              <w:t>Framework and Action Plan for addressing NPLs</w:t>
            </w:r>
          </w:p>
        </w:tc>
        <w:tc>
          <w:tcPr>
            <w:tcW w:w="1134" w:type="dxa"/>
            <w:shd w:val="clear" w:color="auto" w:fill="C6EFCE"/>
            <w:noWrap/>
          </w:tcPr>
          <w:p w14:paraId="1887EFC2"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91" w:type="dxa"/>
            <w:shd w:val="clear" w:color="auto" w:fill="C6EFCE"/>
            <w:noWrap/>
          </w:tcPr>
          <w:p w14:paraId="1887EFC3"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package of amending laws regarding credit acquiring companies (CAC) and credit servicers to improve the working environment for non-performing loans management</w:t>
            </w:r>
          </w:p>
        </w:tc>
      </w:tr>
      <w:tr w:rsidR="00912879" w:rsidRPr="00D1795B" w14:paraId="1887EFCA" w14:textId="77777777" w:rsidTr="00175C28">
        <w:trPr>
          <w:cantSplit/>
          <w:trHeight w:val="302"/>
          <w:jc w:val="center"/>
        </w:trPr>
        <w:tc>
          <w:tcPr>
            <w:tcW w:w="1702" w:type="dxa"/>
            <w:shd w:val="clear" w:color="auto" w:fill="C6EFCE"/>
            <w:noWrap/>
          </w:tcPr>
          <w:p w14:paraId="1887EFC5"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232</w:t>
            </w:r>
          </w:p>
        </w:tc>
        <w:tc>
          <w:tcPr>
            <w:tcW w:w="4536" w:type="dxa"/>
            <w:shd w:val="clear" w:color="auto" w:fill="C6EFCE"/>
            <w:noWrap/>
          </w:tcPr>
          <w:p w14:paraId="1887EFC6"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C4.2I1</w:t>
            </w:r>
          </w:p>
          <w:p w14:paraId="1887EFC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Digitalisation in various Central Government Ministries – Services</w:t>
            </w:r>
          </w:p>
        </w:tc>
        <w:tc>
          <w:tcPr>
            <w:tcW w:w="1134" w:type="dxa"/>
            <w:shd w:val="clear" w:color="auto" w:fill="C6EFCE"/>
            <w:noWrap/>
          </w:tcPr>
          <w:p w14:paraId="1887EFC8"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91" w:type="dxa"/>
            <w:shd w:val="clear" w:color="auto" w:fill="C6EFCE"/>
            <w:noWrap/>
          </w:tcPr>
          <w:p w14:paraId="1887EFC9"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Repository system for audit and control: information for monitoring implementation of RRF</w:t>
            </w:r>
          </w:p>
        </w:tc>
      </w:tr>
      <w:tr w:rsidR="00912879" w:rsidRPr="00D1795B" w14:paraId="1887EFD0" w14:textId="77777777" w:rsidTr="00175C28">
        <w:trPr>
          <w:cantSplit/>
          <w:trHeight w:val="302"/>
          <w:jc w:val="center"/>
        </w:trPr>
        <w:tc>
          <w:tcPr>
            <w:tcW w:w="1702" w:type="dxa"/>
            <w:shd w:val="clear" w:color="auto" w:fill="C6EFCE"/>
            <w:noWrap/>
          </w:tcPr>
          <w:p w14:paraId="1887EFCB"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249</w:t>
            </w:r>
          </w:p>
        </w:tc>
        <w:tc>
          <w:tcPr>
            <w:tcW w:w="4536" w:type="dxa"/>
            <w:shd w:val="clear" w:color="auto" w:fill="C6EFCE"/>
            <w:noWrap/>
          </w:tcPr>
          <w:p w14:paraId="1887EFCC"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C5.1R5</w:t>
            </w:r>
          </w:p>
          <w:p w14:paraId="1887EFC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E-skills Action Plan – Implementation of specific actions</w:t>
            </w:r>
          </w:p>
        </w:tc>
        <w:tc>
          <w:tcPr>
            <w:tcW w:w="1134" w:type="dxa"/>
            <w:shd w:val="clear" w:color="auto" w:fill="C6EFCE"/>
            <w:noWrap/>
          </w:tcPr>
          <w:p w14:paraId="1887EFCE"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91" w:type="dxa"/>
            <w:shd w:val="clear" w:color="auto" w:fill="C6EFCE"/>
            <w:noWrap/>
          </w:tcPr>
          <w:p w14:paraId="1887EFCF"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National e-Skills Action Plan is adopted by the Council of Ministers </w:t>
            </w:r>
          </w:p>
        </w:tc>
      </w:tr>
      <w:tr w:rsidR="00B70EBF" w:rsidRPr="00D1795B" w14:paraId="1887EFD5" w14:textId="77777777" w:rsidTr="00175C28">
        <w:trPr>
          <w:cantSplit/>
          <w:trHeight w:val="302"/>
          <w:jc w:val="center"/>
        </w:trPr>
        <w:tc>
          <w:tcPr>
            <w:tcW w:w="1702" w:type="dxa"/>
            <w:shd w:val="clear" w:color="auto" w:fill="C6EFCE"/>
            <w:noWrap/>
            <w:vAlign w:val="bottom"/>
          </w:tcPr>
          <w:p w14:paraId="1887EFD1" w14:textId="77777777" w:rsidR="00C02B59" w:rsidRPr="00D1795B" w:rsidRDefault="00C02B59" w:rsidP="00C02B59">
            <w:pPr>
              <w:spacing w:after="0"/>
              <w:jc w:val="center"/>
              <w:rPr>
                <w:rFonts w:ascii="Times New Roman" w:eastAsia="Times New Roman" w:hAnsi="Times New Roman" w:cs="Times New Roman"/>
                <w:noProof/>
                <w:color w:val="006100"/>
                <w:sz w:val="18"/>
                <w:szCs w:val="18"/>
                <w:lang w:eastAsia="en-GB"/>
              </w:rPr>
            </w:pPr>
          </w:p>
        </w:tc>
        <w:tc>
          <w:tcPr>
            <w:tcW w:w="4536" w:type="dxa"/>
            <w:shd w:val="clear" w:color="auto" w:fill="C6EFCE"/>
            <w:noWrap/>
            <w:vAlign w:val="bottom"/>
          </w:tcPr>
          <w:p w14:paraId="1887EFD2" w14:textId="77777777" w:rsidR="00C02B59" w:rsidRPr="00D1795B" w:rsidRDefault="00C02B59" w:rsidP="00C02B59">
            <w:pPr>
              <w:spacing w:after="0"/>
              <w:rPr>
                <w:rFonts w:ascii="Times New Roman" w:eastAsia="Times New Roman" w:hAnsi="Times New Roman" w:cs="Times New Roman"/>
                <w:noProof/>
                <w:color w:val="006100"/>
                <w:sz w:val="18"/>
                <w:szCs w:val="18"/>
                <w:lang w:eastAsia="en-GB"/>
              </w:rPr>
            </w:pPr>
          </w:p>
        </w:tc>
        <w:tc>
          <w:tcPr>
            <w:tcW w:w="1134" w:type="dxa"/>
            <w:shd w:val="clear" w:color="auto" w:fill="C6EFCE"/>
            <w:noWrap/>
            <w:vAlign w:val="bottom"/>
            <w:hideMark/>
          </w:tcPr>
          <w:p w14:paraId="1887EFD3"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color w:val="006100"/>
                <w:sz w:val="18"/>
                <w:szCs w:val="18"/>
              </w:rPr>
              <w:t>Instalment Amount</w:t>
            </w:r>
          </w:p>
        </w:tc>
        <w:tc>
          <w:tcPr>
            <w:tcW w:w="2691" w:type="dxa"/>
            <w:shd w:val="clear" w:color="auto" w:fill="C6EFCE"/>
            <w:noWrap/>
            <w:vAlign w:val="bottom"/>
            <w:hideMark/>
          </w:tcPr>
          <w:p w14:paraId="1887EFD4" w14:textId="77777777" w:rsidR="00C02B59" w:rsidRPr="00D1795B" w:rsidRDefault="00C02B59" w:rsidP="00C02B59">
            <w:pPr>
              <w:spacing w:after="0" w:line="278" w:lineRule="auto"/>
              <w:rPr>
                <w:rFonts w:ascii="Times New Roman" w:eastAsia="Times New Roman" w:hAnsi="Times New Roman" w:cs="Times New Roman"/>
                <w:noProof/>
                <w:color w:val="006100"/>
                <w:sz w:val="18"/>
                <w:szCs w:val="18"/>
              </w:rPr>
            </w:pPr>
            <w:r w:rsidRPr="00D1795B">
              <w:rPr>
                <w:rFonts w:ascii="Times New Roman" w:hAnsi="Times New Roman" w:cs="Times New Roman"/>
                <w:noProof/>
                <w:color w:val="006100"/>
                <w:sz w:val="18"/>
                <w:szCs w:val="18"/>
              </w:rPr>
              <w:t>EUR 97 701 149</w:t>
            </w:r>
          </w:p>
        </w:tc>
      </w:tr>
    </w:tbl>
    <w:p w14:paraId="1887EFD6" w14:textId="77777777" w:rsidR="00C02B59" w:rsidRPr="00D1795B" w:rsidRDefault="00C02B59" w:rsidP="00C02B59">
      <w:pPr>
        <w:rPr>
          <w:noProof/>
        </w:rPr>
      </w:pPr>
    </w:p>
    <w:p w14:paraId="1887EFD7" w14:textId="77777777" w:rsidR="00C02B59" w:rsidRPr="00D80347" w:rsidRDefault="00C02B59" w:rsidP="00C02B59">
      <w:pPr>
        <w:pStyle w:val="NumPar2"/>
        <w:tabs>
          <w:tab w:val="num" w:pos="850"/>
        </w:tabs>
        <w:spacing w:after="240"/>
        <w:ind w:left="851" w:hanging="851"/>
        <w:rPr>
          <w:noProof/>
          <w:lang w:val="fr-FR"/>
        </w:rPr>
      </w:pPr>
      <w:r w:rsidRPr="00D80347">
        <w:rPr>
          <w:noProof/>
          <w:lang w:val="fr-FR"/>
        </w:rPr>
        <w:t xml:space="preserve">Second Instalment (non-repayable support): </w:t>
      </w:r>
    </w:p>
    <w:tbl>
      <w:tblPr>
        <w:tblW w:w="10063" w:type="dxa"/>
        <w:jc w:val="center"/>
        <w:tblLook w:val="04A0" w:firstRow="1" w:lastRow="0" w:firstColumn="1" w:lastColumn="0" w:noHBand="0" w:noVBand="1"/>
      </w:tblPr>
      <w:tblGrid>
        <w:gridCol w:w="1702"/>
        <w:gridCol w:w="4536"/>
        <w:gridCol w:w="1559"/>
        <w:gridCol w:w="2266"/>
      </w:tblGrid>
      <w:tr w:rsidR="00140D42" w:rsidRPr="00D1795B" w14:paraId="1887EFDC" w14:textId="77777777" w:rsidTr="00175C28">
        <w:trPr>
          <w:cantSplit/>
          <w:trHeight w:val="509"/>
          <w:tblHeader/>
          <w:jc w:val="center"/>
        </w:trPr>
        <w:tc>
          <w:tcPr>
            <w:tcW w:w="17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D8"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D9"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DA"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Milestone/Target</w:t>
            </w:r>
          </w:p>
        </w:tc>
        <w:tc>
          <w:tcPr>
            <w:tcW w:w="22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EFDB"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Name</w:t>
            </w:r>
          </w:p>
        </w:tc>
      </w:tr>
      <w:tr w:rsidR="00C02B59" w:rsidRPr="00D1795B" w14:paraId="1887EFE1" w14:textId="77777777" w:rsidTr="00175C28">
        <w:trPr>
          <w:cantSplit/>
          <w:trHeight w:val="509"/>
          <w:tblHeader/>
          <w:jc w:val="center"/>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1887EFDD"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1887EFDE"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887EFDF" w14:textId="77777777" w:rsidR="00C02B59" w:rsidRPr="00D1795B" w:rsidRDefault="00C02B59" w:rsidP="00C02B59">
            <w:pPr>
              <w:spacing w:after="0"/>
              <w:jc w:val="center"/>
              <w:rPr>
                <w:rFonts w:ascii="Times New Roman" w:eastAsia="Times New Roman" w:hAnsi="Times New Roman" w:cs="Times New Roman"/>
                <w:b/>
                <w:noProof/>
                <w:sz w:val="18"/>
                <w:szCs w:val="18"/>
                <w:lang w:eastAsia="en-GB"/>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14:paraId="1887EFE0" w14:textId="77777777" w:rsidR="00C02B59" w:rsidRPr="00D1795B" w:rsidRDefault="00C02B59" w:rsidP="00C02B59">
            <w:pPr>
              <w:spacing w:after="0"/>
              <w:jc w:val="both"/>
              <w:rPr>
                <w:rFonts w:ascii="Times New Roman" w:eastAsia="Times New Roman" w:hAnsi="Times New Roman" w:cs="Times New Roman"/>
                <w:b/>
                <w:noProof/>
                <w:sz w:val="18"/>
                <w:szCs w:val="18"/>
                <w:lang w:eastAsia="en-GB"/>
              </w:rPr>
            </w:pPr>
          </w:p>
        </w:tc>
      </w:tr>
      <w:tr w:rsidR="00912879" w:rsidRPr="00D1795B" w14:paraId="1887EFE7" w14:textId="77777777" w:rsidTr="00175C28">
        <w:trPr>
          <w:cantSplit/>
          <w:trHeight w:val="302"/>
          <w:jc w:val="center"/>
        </w:trPr>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887EFE2"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7</w:t>
            </w:r>
          </w:p>
        </w:tc>
        <w:tc>
          <w:tcPr>
            <w:tcW w:w="4536" w:type="dxa"/>
            <w:tcBorders>
              <w:top w:val="single" w:sz="4" w:space="0" w:color="auto"/>
              <w:left w:val="nil"/>
              <w:bottom w:val="single" w:sz="4" w:space="0" w:color="auto"/>
              <w:right w:val="single" w:sz="4" w:space="0" w:color="auto"/>
            </w:tcBorders>
            <w:shd w:val="clear" w:color="auto" w:fill="C6EFCE"/>
            <w:noWrap/>
          </w:tcPr>
          <w:p w14:paraId="1887EFE3"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C1.1I2</w:t>
            </w:r>
          </w:p>
          <w:p w14:paraId="1887EFE4" w14:textId="77777777" w:rsidR="00C02B59" w:rsidRPr="00D1795B" w:rsidRDefault="00C02B59" w:rsidP="00C02B59">
            <w:pP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 xml:space="preserve">Cyprus Innovative Public Health information and communications technology (ICT) System </w:t>
            </w:r>
          </w:p>
        </w:tc>
        <w:tc>
          <w:tcPr>
            <w:tcW w:w="1559" w:type="dxa"/>
            <w:tcBorders>
              <w:top w:val="single" w:sz="4" w:space="0" w:color="auto"/>
              <w:left w:val="nil"/>
              <w:bottom w:val="single" w:sz="4" w:space="0" w:color="auto"/>
              <w:right w:val="single" w:sz="4" w:space="0" w:color="auto"/>
            </w:tcBorders>
            <w:shd w:val="clear" w:color="auto" w:fill="C6EFCE"/>
            <w:noWrap/>
          </w:tcPr>
          <w:p w14:paraId="1887EFE5"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266" w:type="dxa"/>
            <w:tcBorders>
              <w:top w:val="single" w:sz="4" w:space="0" w:color="auto"/>
              <w:left w:val="nil"/>
              <w:bottom w:val="single" w:sz="4" w:space="0" w:color="auto"/>
              <w:right w:val="single" w:sz="4" w:space="0" w:color="auto"/>
            </w:tcBorders>
            <w:shd w:val="clear" w:color="auto" w:fill="C6EFCE"/>
            <w:noWrap/>
          </w:tcPr>
          <w:p w14:paraId="1887EFE6"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Influenza Sentinel Surveillance (ISS)System </w:t>
            </w:r>
          </w:p>
        </w:tc>
      </w:tr>
      <w:tr w:rsidR="00B70EBF" w:rsidRPr="00D1795B" w14:paraId="1887EFED"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EFE8"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35</w:t>
            </w:r>
          </w:p>
        </w:tc>
        <w:tc>
          <w:tcPr>
            <w:tcW w:w="4536" w:type="dxa"/>
            <w:tcBorders>
              <w:top w:val="nil"/>
              <w:left w:val="nil"/>
              <w:bottom w:val="single" w:sz="4" w:space="0" w:color="auto"/>
              <w:right w:val="single" w:sz="4" w:space="0" w:color="auto"/>
            </w:tcBorders>
            <w:shd w:val="clear" w:color="auto" w:fill="C6EFCE"/>
            <w:noWrap/>
          </w:tcPr>
          <w:p w14:paraId="1887EFE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C2.1I5</w:t>
            </w:r>
          </w:p>
          <w:p w14:paraId="1887EFEA" w14:textId="77777777" w:rsidR="00C02B59" w:rsidRPr="00D1795B" w:rsidRDefault="00C02B59" w:rsidP="00C02B59">
            <w:pP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Energy Efficiency Upgrading of public buildings</w:t>
            </w:r>
          </w:p>
        </w:tc>
        <w:tc>
          <w:tcPr>
            <w:tcW w:w="1559" w:type="dxa"/>
            <w:tcBorders>
              <w:top w:val="nil"/>
              <w:left w:val="nil"/>
              <w:bottom w:val="single" w:sz="4" w:space="0" w:color="auto"/>
              <w:right w:val="single" w:sz="4" w:space="0" w:color="auto"/>
            </w:tcBorders>
            <w:shd w:val="clear" w:color="auto" w:fill="C6EFCE"/>
            <w:noWrap/>
          </w:tcPr>
          <w:p w14:paraId="1887EFEB"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2266" w:type="dxa"/>
            <w:tcBorders>
              <w:top w:val="nil"/>
              <w:left w:val="nil"/>
              <w:bottom w:val="single" w:sz="4" w:space="0" w:color="auto"/>
              <w:right w:val="single" w:sz="4" w:space="0" w:color="auto"/>
            </w:tcBorders>
            <w:shd w:val="clear" w:color="auto" w:fill="C6EFCE"/>
            <w:noWrap/>
          </w:tcPr>
          <w:p w14:paraId="1887EFEC"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Thermal insulation and photovoltaic systems installed in schools</w:t>
            </w:r>
          </w:p>
        </w:tc>
      </w:tr>
      <w:tr w:rsidR="00B70EBF" w:rsidRPr="00D1795B" w14:paraId="1887EFF3"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EFEE"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45</w:t>
            </w:r>
          </w:p>
        </w:tc>
        <w:tc>
          <w:tcPr>
            <w:tcW w:w="4536" w:type="dxa"/>
            <w:tcBorders>
              <w:top w:val="nil"/>
              <w:left w:val="nil"/>
              <w:bottom w:val="single" w:sz="4" w:space="0" w:color="auto"/>
              <w:right w:val="single" w:sz="4" w:space="0" w:color="auto"/>
            </w:tcBorders>
            <w:shd w:val="clear" w:color="auto" w:fill="C6EFCE"/>
            <w:noWrap/>
          </w:tcPr>
          <w:p w14:paraId="1887EFE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C2.1I9</w:t>
            </w:r>
          </w:p>
          <w:p w14:paraId="1887EFF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Forests fire protection</w:t>
            </w:r>
          </w:p>
        </w:tc>
        <w:tc>
          <w:tcPr>
            <w:tcW w:w="1559" w:type="dxa"/>
            <w:tcBorders>
              <w:top w:val="nil"/>
              <w:left w:val="nil"/>
              <w:bottom w:val="single" w:sz="4" w:space="0" w:color="auto"/>
              <w:right w:val="single" w:sz="4" w:space="0" w:color="auto"/>
            </w:tcBorders>
            <w:shd w:val="clear" w:color="auto" w:fill="C6EFCE"/>
            <w:noWrap/>
          </w:tcPr>
          <w:p w14:paraId="1887EFF1"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1887EFF2"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Signing of 8 Agreements/ Contracts Signatures for the purchase of vehicles, equipment and provision of services and issue of call for tenders for the purchase of firefighting aircraft</w:t>
            </w:r>
          </w:p>
        </w:tc>
      </w:tr>
      <w:tr w:rsidR="00B70EBF" w:rsidRPr="00D1795B" w14:paraId="1887EFF9"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EFF4"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71</w:t>
            </w:r>
          </w:p>
        </w:tc>
        <w:tc>
          <w:tcPr>
            <w:tcW w:w="4536" w:type="dxa"/>
            <w:tcBorders>
              <w:top w:val="nil"/>
              <w:left w:val="nil"/>
              <w:bottom w:val="single" w:sz="4" w:space="0" w:color="auto"/>
              <w:right w:val="single" w:sz="4" w:space="0" w:color="auto"/>
            </w:tcBorders>
            <w:shd w:val="clear" w:color="auto" w:fill="C6EFCE"/>
            <w:noWrap/>
          </w:tcPr>
          <w:p w14:paraId="1887EFF5"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C2.3I3 </w:t>
            </w:r>
          </w:p>
          <w:p w14:paraId="1887EFF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Integrated Monitoring and Control Management System for the Water Development Department’s infrastructure</w:t>
            </w:r>
          </w:p>
        </w:tc>
        <w:tc>
          <w:tcPr>
            <w:tcW w:w="1559" w:type="dxa"/>
            <w:tcBorders>
              <w:top w:val="nil"/>
              <w:left w:val="nil"/>
              <w:bottom w:val="single" w:sz="4" w:space="0" w:color="auto"/>
              <w:right w:val="single" w:sz="4" w:space="0" w:color="auto"/>
            </w:tcBorders>
            <w:shd w:val="clear" w:color="auto" w:fill="C6EFCE"/>
            <w:noWrap/>
          </w:tcPr>
          <w:p w14:paraId="1887EFF7"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1887EFF8"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Completion of the detailed requirements analysis and system design document</w:t>
            </w:r>
          </w:p>
        </w:tc>
      </w:tr>
      <w:tr w:rsidR="00B70EBF" w:rsidRPr="00D1795B" w14:paraId="1887EFFF"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EFFA"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87</w:t>
            </w:r>
          </w:p>
        </w:tc>
        <w:tc>
          <w:tcPr>
            <w:tcW w:w="4536" w:type="dxa"/>
            <w:tcBorders>
              <w:top w:val="nil"/>
              <w:left w:val="nil"/>
              <w:bottom w:val="single" w:sz="4" w:space="0" w:color="auto"/>
              <w:right w:val="single" w:sz="4" w:space="0" w:color="auto"/>
            </w:tcBorders>
            <w:shd w:val="clear" w:color="auto" w:fill="C6EFCE"/>
            <w:noWrap/>
          </w:tcPr>
          <w:p w14:paraId="1887EFF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C3.1R2</w:t>
            </w:r>
          </w:p>
          <w:p w14:paraId="1887EFF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On-line platform for improving the trade and information symmetry in the fresh produce supply chain</w:t>
            </w:r>
          </w:p>
        </w:tc>
        <w:tc>
          <w:tcPr>
            <w:tcW w:w="1559" w:type="dxa"/>
            <w:tcBorders>
              <w:top w:val="nil"/>
              <w:left w:val="nil"/>
              <w:bottom w:val="single" w:sz="4" w:space="0" w:color="auto"/>
              <w:right w:val="single" w:sz="4" w:space="0" w:color="auto"/>
            </w:tcBorders>
            <w:shd w:val="clear" w:color="auto" w:fill="C6EFCE"/>
            <w:noWrap/>
          </w:tcPr>
          <w:p w14:paraId="1887EFFD"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1887EFFE"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Law on unfair practices in transactions in the local fresh produce market</w:t>
            </w:r>
          </w:p>
        </w:tc>
      </w:tr>
      <w:tr w:rsidR="00B70EBF" w:rsidRPr="00D1795B" w14:paraId="1887F005"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00"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97</w:t>
            </w:r>
          </w:p>
        </w:tc>
        <w:tc>
          <w:tcPr>
            <w:tcW w:w="4536" w:type="dxa"/>
            <w:tcBorders>
              <w:top w:val="nil"/>
              <w:left w:val="nil"/>
              <w:bottom w:val="single" w:sz="4" w:space="0" w:color="auto"/>
              <w:right w:val="single" w:sz="4" w:space="0" w:color="auto"/>
            </w:tcBorders>
            <w:shd w:val="clear" w:color="auto" w:fill="C6EFCE"/>
            <w:noWrap/>
          </w:tcPr>
          <w:p w14:paraId="1887F00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C3.1I5</w:t>
            </w:r>
          </w:p>
          <w:p w14:paraId="1887F00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Creation of a National Commercial Identity and promotion of the traditional product “halloumi”</w:t>
            </w:r>
          </w:p>
        </w:tc>
        <w:tc>
          <w:tcPr>
            <w:tcW w:w="1559" w:type="dxa"/>
            <w:tcBorders>
              <w:top w:val="nil"/>
              <w:left w:val="nil"/>
              <w:bottom w:val="single" w:sz="4" w:space="0" w:color="auto"/>
              <w:right w:val="single" w:sz="4" w:space="0" w:color="auto"/>
            </w:tcBorders>
            <w:shd w:val="clear" w:color="auto" w:fill="C6EFCE"/>
            <w:noWrap/>
          </w:tcPr>
          <w:p w14:paraId="1887F003"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1887F004" w14:textId="77777777" w:rsidR="00C02B59" w:rsidRPr="00D1795B" w:rsidRDefault="00C02B59" w:rsidP="00C02B59">
            <w:pPr>
              <w:spacing w:after="0" w:line="278" w:lineRule="auto"/>
              <w:jc w:val="both"/>
              <w:rPr>
                <w:rFonts w:ascii="Times New Roman" w:hAnsi="Times New Roman" w:cs="Times New Roman"/>
                <w:noProof/>
                <w:sz w:val="18"/>
                <w:szCs w:val="18"/>
              </w:rPr>
            </w:pPr>
            <w:r w:rsidRPr="00D1795B">
              <w:rPr>
                <w:rFonts w:ascii="Times New Roman" w:hAnsi="Times New Roman" w:cs="Times New Roman"/>
                <w:noProof/>
                <w:sz w:val="18"/>
                <w:szCs w:val="18"/>
              </w:rPr>
              <w:t>Action Plans for (a) the “made in Cyprus” branding, and (b) for the promotion of the halloumi cheese</w:t>
            </w:r>
          </w:p>
        </w:tc>
      </w:tr>
      <w:tr w:rsidR="00B70EBF" w:rsidRPr="00D1795B" w14:paraId="1887F00B"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06"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105</w:t>
            </w:r>
          </w:p>
        </w:tc>
        <w:tc>
          <w:tcPr>
            <w:tcW w:w="4536" w:type="dxa"/>
            <w:tcBorders>
              <w:top w:val="nil"/>
              <w:left w:val="nil"/>
              <w:bottom w:val="single" w:sz="4" w:space="0" w:color="auto"/>
              <w:right w:val="single" w:sz="4" w:space="0" w:color="auto"/>
            </w:tcBorders>
            <w:shd w:val="clear" w:color="auto" w:fill="C6EFCE"/>
            <w:noWrap/>
          </w:tcPr>
          <w:p w14:paraId="1887F00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C3.1I9</w:t>
            </w:r>
          </w:p>
          <w:p w14:paraId="1887F00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Promotion of circular economy in hotel establishments</w:t>
            </w:r>
          </w:p>
        </w:tc>
        <w:tc>
          <w:tcPr>
            <w:tcW w:w="1559" w:type="dxa"/>
            <w:tcBorders>
              <w:top w:val="nil"/>
              <w:left w:val="nil"/>
              <w:bottom w:val="single" w:sz="4" w:space="0" w:color="auto"/>
              <w:right w:val="single" w:sz="4" w:space="0" w:color="auto"/>
            </w:tcBorders>
            <w:shd w:val="clear" w:color="auto" w:fill="C6EFCE"/>
            <w:noWrap/>
          </w:tcPr>
          <w:p w14:paraId="1887F009"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2266" w:type="dxa"/>
            <w:tcBorders>
              <w:top w:val="nil"/>
              <w:left w:val="nil"/>
              <w:bottom w:val="single" w:sz="4" w:space="0" w:color="auto"/>
              <w:right w:val="single" w:sz="4" w:space="0" w:color="auto"/>
            </w:tcBorders>
            <w:shd w:val="clear" w:color="auto" w:fill="C6EFCE"/>
            <w:noWrap/>
          </w:tcPr>
          <w:p w14:paraId="1887F00A" w14:textId="77777777" w:rsidR="00C02B59" w:rsidRPr="00D1795B" w:rsidRDefault="00C02B59" w:rsidP="00C02B59">
            <w:pPr>
              <w:spacing w:after="0" w:line="278" w:lineRule="auto"/>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Coaching scheme for circular economy</w:t>
            </w:r>
          </w:p>
        </w:tc>
      </w:tr>
      <w:tr w:rsidR="00B70EBF" w:rsidRPr="00D1795B" w14:paraId="1887F011"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0C"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122</w:t>
            </w:r>
          </w:p>
        </w:tc>
        <w:tc>
          <w:tcPr>
            <w:tcW w:w="4536" w:type="dxa"/>
            <w:tcBorders>
              <w:top w:val="nil"/>
              <w:left w:val="nil"/>
              <w:bottom w:val="single" w:sz="4" w:space="0" w:color="auto"/>
              <w:right w:val="single" w:sz="4" w:space="0" w:color="auto"/>
            </w:tcBorders>
            <w:shd w:val="clear" w:color="auto" w:fill="C6EFCE"/>
            <w:noWrap/>
          </w:tcPr>
          <w:p w14:paraId="1887F00D"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C3.2R2</w:t>
            </w:r>
          </w:p>
          <w:p w14:paraId="1887F00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Incentives for investments and human capital in R&amp;I</w:t>
            </w:r>
          </w:p>
        </w:tc>
        <w:tc>
          <w:tcPr>
            <w:tcW w:w="1559" w:type="dxa"/>
            <w:tcBorders>
              <w:top w:val="nil"/>
              <w:left w:val="nil"/>
              <w:bottom w:val="single" w:sz="4" w:space="0" w:color="auto"/>
              <w:right w:val="single" w:sz="4" w:space="0" w:color="auto"/>
            </w:tcBorders>
            <w:shd w:val="clear" w:color="auto" w:fill="C6EFCE"/>
            <w:noWrap/>
          </w:tcPr>
          <w:p w14:paraId="1887F00F"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1887F010" w14:textId="77777777" w:rsidR="00C02B59" w:rsidRPr="00D1795B" w:rsidRDefault="00C02B59" w:rsidP="00C02B59">
            <w:pPr>
              <w:spacing w:after="0" w:line="278" w:lineRule="auto"/>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Tax exemption of legal entities for investing in innovative companies</w:t>
            </w:r>
          </w:p>
        </w:tc>
      </w:tr>
      <w:tr w:rsidR="00B70EBF" w:rsidRPr="00D1795B" w14:paraId="1887F017"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12"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125</w:t>
            </w:r>
          </w:p>
        </w:tc>
        <w:tc>
          <w:tcPr>
            <w:tcW w:w="4536" w:type="dxa"/>
            <w:tcBorders>
              <w:top w:val="nil"/>
              <w:left w:val="nil"/>
              <w:bottom w:val="single" w:sz="4" w:space="0" w:color="auto"/>
              <w:right w:val="single" w:sz="4" w:space="0" w:color="auto"/>
            </w:tcBorders>
            <w:shd w:val="clear" w:color="auto" w:fill="C6EFCE"/>
            <w:noWrap/>
          </w:tcPr>
          <w:p w14:paraId="1887F013"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C3.2I1</w:t>
            </w:r>
          </w:p>
          <w:p w14:paraId="1887F01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Set up and operate a central Knowledge Transfer Office (KTO)</w:t>
            </w:r>
          </w:p>
        </w:tc>
        <w:tc>
          <w:tcPr>
            <w:tcW w:w="1559" w:type="dxa"/>
            <w:tcBorders>
              <w:top w:val="nil"/>
              <w:left w:val="nil"/>
              <w:bottom w:val="single" w:sz="4" w:space="0" w:color="auto"/>
              <w:right w:val="single" w:sz="4" w:space="0" w:color="auto"/>
            </w:tcBorders>
            <w:shd w:val="clear" w:color="auto" w:fill="C6EFCE"/>
            <w:noWrap/>
          </w:tcPr>
          <w:p w14:paraId="1887F01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1887F016" w14:textId="77777777" w:rsidR="00C02B59" w:rsidRPr="00D1795B" w:rsidRDefault="00C02B59" w:rsidP="00C02B59">
            <w:pPr>
              <w:spacing w:after="0" w:line="278" w:lineRule="auto"/>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Launch of KTO </w:t>
            </w:r>
          </w:p>
        </w:tc>
      </w:tr>
      <w:tr w:rsidR="00B70EBF" w:rsidRPr="00D1795B" w14:paraId="1887F01D"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1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134</w:t>
            </w:r>
          </w:p>
        </w:tc>
        <w:tc>
          <w:tcPr>
            <w:tcW w:w="4536" w:type="dxa"/>
            <w:tcBorders>
              <w:top w:val="nil"/>
              <w:left w:val="nil"/>
              <w:bottom w:val="single" w:sz="4" w:space="0" w:color="auto"/>
              <w:right w:val="single" w:sz="4" w:space="0" w:color="auto"/>
            </w:tcBorders>
            <w:shd w:val="clear" w:color="auto" w:fill="C6EFCE"/>
            <w:noWrap/>
          </w:tcPr>
          <w:p w14:paraId="1887F01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C3.3R1</w:t>
            </w:r>
          </w:p>
          <w:p w14:paraId="1887F01A"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Facilitation of Strategic investments</w:t>
            </w:r>
          </w:p>
        </w:tc>
        <w:tc>
          <w:tcPr>
            <w:tcW w:w="1559" w:type="dxa"/>
            <w:tcBorders>
              <w:top w:val="nil"/>
              <w:left w:val="nil"/>
              <w:bottom w:val="single" w:sz="4" w:space="0" w:color="auto"/>
              <w:right w:val="single" w:sz="4" w:space="0" w:color="auto"/>
            </w:tcBorders>
            <w:shd w:val="clear" w:color="auto" w:fill="C6EFCE"/>
            <w:noWrap/>
          </w:tcPr>
          <w:p w14:paraId="1887F01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1887F01C" w14:textId="77777777" w:rsidR="00C02B59" w:rsidRPr="00D1795B" w:rsidRDefault="00C02B59" w:rsidP="00C02B59">
            <w:pPr>
              <w:spacing w:after="0" w:line="278" w:lineRule="auto"/>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Law for strategic investments</w:t>
            </w:r>
          </w:p>
        </w:tc>
      </w:tr>
      <w:tr w:rsidR="00B70EBF" w:rsidRPr="00D1795B" w14:paraId="1887F024"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1E"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155</w:t>
            </w:r>
          </w:p>
        </w:tc>
        <w:tc>
          <w:tcPr>
            <w:tcW w:w="4536" w:type="dxa"/>
            <w:tcBorders>
              <w:top w:val="nil"/>
              <w:left w:val="nil"/>
              <w:bottom w:val="single" w:sz="4" w:space="0" w:color="auto"/>
              <w:right w:val="single" w:sz="4" w:space="0" w:color="auto"/>
            </w:tcBorders>
            <w:shd w:val="clear" w:color="auto" w:fill="C6EFCE"/>
            <w:noWrap/>
          </w:tcPr>
          <w:p w14:paraId="1887F01F"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C3.4R1</w:t>
            </w:r>
          </w:p>
          <w:p w14:paraId="1887F020"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Enhance the administrative capacity and improve the functioning of public administration for better policy making and implementation</w:t>
            </w:r>
          </w:p>
        </w:tc>
        <w:tc>
          <w:tcPr>
            <w:tcW w:w="1559" w:type="dxa"/>
            <w:tcBorders>
              <w:top w:val="nil"/>
              <w:left w:val="nil"/>
              <w:bottom w:val="single" w:sz="4" w:space="0" w:color="auto"/>
              <w:right w:val="single" w:sz="4" w:space="0" w:color="auto"/>
            </w:tcBorders>
            <w:shd w:val="clear" w:color="auto" w:fill="C6EFCE"/>
            <w:noWrap/>
          </w:tcPr>
          <w:p w14:paraId="1887F02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1887F022" w14:textId="77777777" w:rsidR="00C02B59" w:rsidRPr="00D1795B" w:rsidRDefault="00C02B59" w:rsidP="00C02B59">
            <w:pPr>
              <w:spacing w:after="0" w:line="278" w:lineRule="auto"/>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Action Plan on the efficient management of human resource issues in the national public administration</w:t>
            </w:r>
          </w:p>
          <w:p w14:paraId="1887F023" w14:textId="77777777" w:rsidR="00C02B59" w:rsidRPr="00D1795B" w:rsidRDefault="00C02B59" w:rsidP="00C02B59">
            <w:pPr>
              <w:spacing w:after="0" w:line="278" w:lineRule="auto"/>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 </w:t>
            </w:r>
          </w:p>
        </w:tc>
      </w:tr>
      <w:tr w:rsidR="00B70EBF" w:rsidRPr="00D1795B" w14:paraId="1887F02A"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2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187</w:t>
            </w:r>
          </w:p>
        </w:tc>
        <w:tc>
          <w:tcPr>
            <w:tcW w:w="4536" w:type="dxa"/>
            <w:tcBorders>
              <w:top w:val="nil"/>
              <w:left w:val="nil"/>
              <w:bottom w:val="single" w:sz="4" w:space="0" w:color="auto"/>
              <w:right w:val="single" w:sz="4" w:space="0" w:color="auto"/>
            </w:tcBorders>
            <w:shd w:val="clear" w:color="auto" w:fill="C6EFCE"/>
            <w:noWrap/>
          </w:tcPr>
          <w:p w14:paraId="1887F02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C3.4R10</w:t>
            </w:r>
          </w:p>
          <w:p w14:paraId="1887F027"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Improving the legal and institutional framework for fighting corruption</w:t>
            </w:r>
          </w:p>
        </w:tc>
        <w:tc>
          <w:tcPr>
            <w:tcW w:w="1559" w:type="dxa"/>
            <w:tcBorders>
              <w:top w:val="nil"/>
              <w:left w:val="nil"/>
              <w:bottom w:val="single" w:sz="4" w:space="0" w:color="auto"/>
              <w:right w:val="single" w:sz="4" w:space="0" w:color="auto"/>
            </w:tcBorders>
            <w:shd w:val="clear" w:color="auto" w:fill="C6EFCE"/>
            <w:noWrap/>
          </w:tcPr>
          <w:p w14:paraId="1887F02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1887F029" w14:textId="77777777" w:rsidR="00C02B59" w:rsidRPr="00D1795B" w:rsidRDefault="00C02B59" w:rsidP="00C02B59">
            <w:pPr>
              <w:spacing w:after="0" w:line="278" w:lineRule="auto"/>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Entry into force of the law establishing the Independent Authority against Corruption </w:t>
            </w:r>
          </w:p>
        </w:tc>
      </w:tr>
      <w:tr w:rsidR="00B70EBF" w:rsidRPr="00D1795B" w14:paraId="1887F02F"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2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207a</w:t>
            </w:r>
          </w:p>
        </w:tc>
        <w:tc>
          <w:tcPr>
            <w:tcW w:w="4536" w:type="dxa"/>
            <w:tcBorders>
              <w:top w:val="nil"/>
              <w:left w:val="nil"/>
              <w:bottom w:val="single" w:sz="4" w:space="0" w:color="auto"/>
              <w:right w:val="single" w:sz="4" w:space="0" w:color="auto"/>
            </w:tcBorders>
            <w:shd w:val="clear" w:color="auto" w:fill="C6EFCE"/>
            <w:noWrap/>
          </w:tcPr>
          <w:p w14:paraId="1887F02C"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C3.5R9 </w:t>
            </w:r>
            <w:r w:rsidRPr="00D1795B">
              <w:rPr>
                <w:rFonts w:ascii="Times New Roman" w:hAnsi="Times New Roman" w:cs="Times New Roman"/>
                <w:noProof/>
                <w:sz w:val="18"/>
                <w:szCs w:val="18"/>
              </w:rPr>
              <w:br/>
              <w:t>Improving tax collection and effectiveness of the Tax Department</w:t>
            </w:r>
          </w:p>
        </w:tc>
        <w:tc>
          <w:tcPr>
            <w:tcW w:w="1559" w:type="dxa"/>
            <w:tcBorders>
              <w:top w:val="nil"/>
              <w:left w:val="nil"/>
              <w:bottom w:val="single" w:sz="4" w:space="0" w:color="auto"/>
              <w:right w:val="single" w:sz="4" w:space="0" w:color="auto"/>
            </w:tcBorders>
            <w:shd w:val="clear" w:color="auto" w:fill="C6EFCE"/>
            <w:noWrap/>
          </w:tcPr>
          <w:p w14:paraId="1887F02D"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1887F02E" w14:textId="77777777" w:rsidR="00C02B59" w:rsidRPr="00D1795B" w:rsidRDefault="00C02B59" w:rsidP="00C02B59">
            <w:pPr>
              <w:spacing w:after="0" w:line="278" w:lineRule="auto"/>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Operation of VAT Services within an Integrated Tax Administration System (ITAS)</w:t>
            </w:r>
          </w:p>
        </w:tc>
      </w:tr>
      <w:tr w:rsidR="00B70EBF" w:rsidRPr="00D1795B" w14:paraId="1887F035"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30"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214</w:t>
            </w:r>
          </w:p>
        </w:tc>
        <w:tc>
          <w:tcPr>
            <w:tcW w:w="4536" w:type="dxa"/>
            <w:tcBorders>
              <w:top w:val="nil"/>
              <w:left w:val="nil"/>
              <w:bottom w:val="single" w:sz="4" w:space="0" w:color="auto"/>
              <w:right w:val="single" w:sz="4" w:space="0" w:color="auto"/>
            </w:tcBorders>
            <w:shd w:val="clear" w:color="auto" w:fill="C6EFCE"/>
            <w:noWrap/>
          </w:tcPr>
          <w:p w14:paraId="1887F03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C4.1R1</w:t>
            </w:r>
          </w:p>
          <w:p w14:paraId="1887F032"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Empower the National Regulatory Authority (OCECPR)</w:t>
            </w:r>
          </w:p>
        </w:tc>
        <w:tc>
          <w:tcPr>
            <w:tcW w:w="1559" w:type="dxa"/>
            <w:tcBorders>
              <w:top w:val="nil"/>
              <w:left w:val="nil"/>
              <w:bottom w:val="single" w:sz="4" w:space="0" w:color="auto"/>
              <w:right w:val="single" w:sz="4" w:space="0" w:color="auto"/>
            </w:tcBorders>
            <w:shd w:val="clear" w:color="auto" w:fill="C6EFCE"/>
            <w:noWrap/>
          </w:tcPr>
          <w:p w14:paraId="1887F033"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1887F034" w14:textId="77777777" w:rsidR="00C02B59" w:rsidRPr="00D1795B" w:rsidRDefault="00C02B59" w:rsidP="00C02B59">
            <w:pPr>
              <w:spacing w:after="0" w:line="278" w:lineRule="auto"/>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Launch of the geographical survey and entry into force of secondary legislation </w:t>
            </w:r>
          </w:p>
        </w:tc>
      </w:tr>
      <w:tr w:rsidR="00B70EBF" w:rsidRPr="00D1795B" w14:paraId="1887F03B"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36"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233</w:t>
            </w:r>
          </w:p>
        </w:tc>
        <w:tc>
          <w:tcPr>
            <w:tcW w:w="4536" w:type="dxa"/>
            <w:tcBorders>
              <w:top w:val="nil"/>
              <w:left w:val="nil"/>
              <w:bottom w:val="single" w:sz="4" w:space="0" w:color="auto"/>
              <w:right w:val="single" w:sz="4" w:space="0" w:color="auto"/>
            </w:tcBorders>
            <w:shd w:val="clear" w:color="auto" w:fill="C6EFCE"/>
            <w:noWrap/>
          </w:tcPr>
          <w:p w14:paraId="1887F037"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C4.2I1</w:t>
            </w:r>
          </w:p>
          <w:p w14:paraId="1887F038"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Digitalisation in various Central Government Ministries – Services</w:t>
            </w:r>
          </w:p>
        </w:tc>
        <w:tc>
          <w:tcPr>
            <w:tcW w:w="1559" w:type="dxa"/>
            <w:tcBorders>
              <w:top w:val="nil"/>
              <w:left w:val="nil"/>
              <w:bottom w:val="single" w:sz="4" w:space="0" w:color="auto"/>
              <w:right w:val="single" w:sz="4" w:space="0" w:color="auto"/>
            </w:tcBorders>
            <w:shd w:val="clear" w:color="auto" w:fill="C6EFCE"/>
            <w:noWrap/>
          </w:tcPr>
          <w:p w14:paraId="1887F039"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2266" w:type="dxa"/>
            <w:tcBorders>
              <w:top w:val="nil"/>
              <w:left w:val="nil"/>
              <w:bottom w:val="single" w:sz="4" w:space="0" w:color="auto"/>
              <w:right w:val="single" w:sz="4" w:space="0" w:color="auto"/>
            </w:tcBorders>
            <w:shd w:val="clear" w:color="auto" w:fill="C6EFCE"/>
            <w:noWrap/>
          </w:tcPr>
          <w:p w14:paraId="1887F03A" w14:textId="77777777" w:rsidR="00C02B59" w:rsidRPr="00D1795B" w:rsidRDefault="00C02B59" w:rsidP="00C02B59">
            <w:pPr>
              <w:spacing w:after="0" w:line="278" w:lineRule="auto"/>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Start of the digital upgrade of a number of central government ministries and departments</w:t>
            </w:r>
          </w:p>
        </w:tc>
      </w:tr>
      <w:tr w:rsidR="00B70EBF" w:rsidRPr="00D1795B" w14:paraId="1887F041"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03C" w14:textId="77777777" w:rsidR="00C02B59" w:rsidRPr="00D1795B" w:rsidRDefault="00C02B59" w:rsidP="00C02B59">
            <w:pPr>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278</w:t>
            </w:r>
          </w:p>
        </w:tc>
        <w:tc>
          <w:tcPr>
            <w:tcW w:w="4536" w:type="dxa"/>
            <w:tcBorders>
              <w:top w:val="nil"/>
              <w:left w:val="nil"/>
              <w:bottom w:val="single" w:sz="4" w:space="0" w:color="auto"/>
              <w:right w:val="single" w:sz="4" w:space="0" w:color="auto"/>
            </w:tcBorders>
            <w:shd w:val="clear" w:color="auto" w:fill="C6EFCE"/>
            <w:noWrap/>
          </w:tcPr>
          <w:p w14:paraId="1887F03D"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C7.1R1 </w:t>
            </w:r>
          </w:p>
          <w:p w14:paraId="1887F03E" w14:textId="77777777" w:rsidR="00C02B59" w:rsidRPr="00D1795B" w:rsidRDefault="00C02B59" w:rsidP="00C02B59">
            <w:pPr>
              <w:spacing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Arrangements for the control framework of the Recovery and Resilience Plan</w:t>
            </w:r>
          </w:p>
        </w:tc>
        <w:tc>
          <w:tcPr>
            <w:tcW w:w="1559" w:type="dxa"/>
            <w:tcBorders>
              <w:top w:val="nil"/>
              <w:left w:val="nil"/>
              <w:bottom w:val="single" w:sz="4" w:space="0" w:color="auto"/>
              <w:right w:val="single" w:sz="4" w:space="0" w:color="auto"/>
            </w:tcBorders>
            <w:shd w:val="clear" w:color="auto" w:fill="C6EFCE"/>
            <w:noWrap/>
          </w:tcPr>
          <w:p w14:paraId="1887F03F" w14:textId="77777777" w:rsidR="00C02B59" w:rsidRPr="00D1795B" w:rsidRDefault="00C02B59" w:rsidP="00C02B59">
            <w:pPr>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1887F040" w14:textId="77777777" w:rsidR="00C02B59" w:rsidRPr="00D1795B" w:rsidRDefault="00C02B59" w:rsidP="00C02B59">
            <w:pPr>
              <w:spacing w:after="0" w:line="278" w:lineRule="auto"/>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Clear delimitation between control and implementation duties</w:t>
            </w:r>
          </w:p>
        </w:tc>
      </w:tr>
      <w:tr w:rsidR="00912879" w:rsidRPr="00D1795B" w14:paraId="1887F046" w14:textId="77777777" w:rsidTr="00175C28">
        <w:trPr>
          <w:cantSplit/>
          <w:trHeight w:val="302"/>
          <w:jc w:val="center"/>
        </w:trPr>
        <w:tc>
          <w:tcPr>
            <w:tcW w:w="1702"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887F042" w14:textId="77777777" w:rsidR="00C02B59" w:rsidRPr="00D1795B" w:rsidRDefault="00C02B59" w:rsidP="00C02B59">
            <w:pPr>
              <w:spacing w:after="0"/>
              <w:jc w:val="center"/>
              <w:rPr>
                <w:rFonts w:ascii="Times New Roman" w:eastAsia="Times New Roman" w:hAnsi="Times New Roman" w:cs="Times New Roman"/>
                <w:noProof/>
                <w:color w:val="006100"/>
                <w:sz w:val="18"/>
                <w:szCs w:val="18"/>
                <w:lang w:eastAsia="en-GB"/>
              </w:rPr>
            </w:pPr>
          </w:p>
        </w:tc>
        <w:tc>
          <w:tcPr>
            <w:tcW w:w="4536" w:type="dxa"/>
            <w:tcBorders>
              <w:top w:val="single" w:sz="4" w:space="0" w:color="auto"/>
              <w:left w:val="nil"/>
              <w:bottom w:val="single" w:sz="4" w:space="0" w:color="auto"/>
              <w:right w:val="single" w:sz="4" w:space="0" w:color="auto"/>
            </w:tcBorders>
            <w:shd w:val="clear" w:color="auto" w:fill="C6EFCE"/>
            <w:noWrap/>
            <w:vAlign w:val="bottom"/>
          </w:tcPr>
          <w:p w14:paraId="1887F043" w14:textId="77777777" w:rsidR="00C02B59" w:rsidRPr="00D1795B" w:rsidRDefault="00C02B59" w:rsidP="00C02B59">
            <w:pPr>
              <w:spacing w:after="0"/>
              <w:rPr>
                <w:rFonts w:ascii="Times New Roman" w:eastAsia="Times New Roman" w:hAnsi="Times New Roman" w:cs="Times New Roman"/>
                <w:noProof/>
                <w:color w:val="006100"/>
                <w:sz w:val="18"/>
                <w:szCs w:val="18"/>
                <w:lang w:eastAsia="en-GB"/>
              </w:rPr>
            </w:pPr>
          </w:p>
        </w:tc>
        <w:tc>
          <w:tcPr>
            <w:tcW w:w="1559" w:type="dxa"/>
            <w:tcBorders>
              <w:top w:val="single" w:sz="4" w:space="0" w:color="auto"/>
              <w:left w:val="nil"/>
              <w:bottom w:val="single" w:sz="4" w:space="0" w:color="auto"/>
              <w:right w:val="single" w:sz="4" w:space="0" w:color="auto"/>
            </w:tcBorders>
            <w:shd w:val="clear" w:color="auto" w:fill="C6EFCE"/>
            <w:noWrap/>
            <w:vAlign w:val="bottom"/>
            <w:hideMark/>
          </w:tcPr>
          <w:p w14:paraId="1887F044"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color w:val="006100"/>
                <w:sz w:val="18"/>
                <w:szCs w:val="18"/>
              </w:rPr>
              <w:t>Instalment Amount</w:t>
            </w:r>
          </w:p>
        </w:tc>
        <w:tc>
          <w:tcPr>
            <w:tcW w:w="2266" w:type="dxa"/>
            <w:tcBorders>
              <w:top w:val="single" w:sz="4" w:space="0" w:color="auto"/>
              <w:left w:val="nil"/>
              <w:bottom w:val="single" w:sz="4" w:space="0" w:color="auto"/>
              <w:right w:val="single" w:sz="4" w:space="0" w:color="auto"/>
            </w:tcBorders>
            <w:shd w:val="clear" w:color="auto" w:fill="C6EFCE"/>
            <w:noWrap/>
            <w:vAlign w:val="bottom"/>
            <w:hideMark/>
          </w:tcPr>
          <w:p w14:paraId="1887F045" w14:textId="77777777" w:rsidR="00C02B59" w:rsidRPr="00D1795B" w:rsidRDefault="00C02B59" w:rsidP="00C02B59">
            <w:pPr>
              <w:spacing w:after="0" w:line="278" w:lineRule="auto"/>
              <w:rPr>
                <w:rFonts w:ascii="Times New Roman" w:eastAsia="Times New Roman" w:hAnsi="Times New Roman" w:cs="Times New Roman"/>
                <w:noProof/>
                <w:color w:val="006100"/>
                <w:sz w:val="18"/>
                <w:szCs w:val="18"/>
              </w:rPr>
            </w:pPr>
            <w:r w:rsidRPr="00D1795B">
              <w:rPr>
                <w:rFonts w:ascii="Times New Roman" w:hAnsi="Times New Roman" w:cs="Times New Roman"/>
                <w:noProof/>
                <w:color w:val="006100"/>
                <w:sz w:val="18"/>
                <w:szCs w:val="18"/>
              </w:rPr>
              <w:t>EUR 87 136 829</w:t>
            </w:r>
          </w:p>
        </w:tc>
      </w:tr>
    </w:tbl>
    <w:p w14:paraId="1887F047" w14:textId="77777777" w:rsidR="00C02B59" w:rsidRPr="00D1795B" w:rsidRDefault="00C02B59" w:rsidP="00C02B59">
      <w:pPr>
        <w:rPr>
          <w:noProof/>
        </w:rPr>
      </w:pPr>
    </w:p>
    <w:p w14:paraId="1887F048" w14:textId="77777777" w:rsidR="00C02B59" w:rsidRPr="00D1795B" w:rsidRDefault="00C02B59" w:rsidP="00C02B59">
      <w:pPr>
        <w:rPr>
          <w:noProof/>
        </w:rPr>
      </w:pPr>
    </w:p>
    <w:p w14:paraId="1887F049" w14:textId="77777777" w:rsidR="00C02B59" w:rsidRPr="00D1795B" w:rsidRDefault="00C02B59">
      <w:pPr>
        <w:rPr>
          <w:noProof/>
        </w:rPr>
      </w:pPr>
      <w:r w:rsidRPr="00D1795B">
        <w:rPr>
          <w:noProof/>
        </w:rPr>
        <w:br w:type="page"/>
      </w:r>
    </w:p>
    <w:p w14:paraId="1887F04A" w14:textId="77777777" w:rsidR="00C02B59" w:rsidRPr="00D1795B" w:rsidRDefault="00C02B59" w:rsidP="00C02B59">
      <w:pPr>
        <w:pStyle w:val="NumPar2"/>
        <w:tabs>
          <w:tab w:val="num" w:pos="850"/>
        </w:tabs>
        <w:ind w:left="850" w:hanging="850"/>
        <w:rPr>
          <w:noProof/>
          <w:lang w:val="en-GB"/>
        </w:rPr>
      </w:pPr>
      <w:r w:rsidRPr="00D1795B">
        <w:rPr>
          <w:noProof/>
          <w:lang w:val="en-GB"/>
        </w:rPr>
        <w:t xml:space="preserve">Third Instalment (non-repayable support): </w:t>
      </w:r>
    </w:p>
    <w:tbl>
      <w:tblPr>
        <w:tblW w:w="10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105"/>
        <w:gridCol w:w="976"/>
        <w:gridCol w:w="3547"/>
      </w:tblGrid>
      <w:tr w:rsidR="00B70EBF" w:rsidRPr="00D1795B" w14:paraId="1887F04F" w14:textId="77777777" w:rsidTr="00175C28">
        <w:trPr>
          <w:cantSplit/>
          <w:trHeight w:val="509"/>
          <w:tblHeader/>
          <w:jc w:val="center"/>
        </w:trPr>
        <w:tc>
          <w:tcPr>
            <w:tcW w:w="1702" w:type="dxa"/>
            <w:vMerge w:val="restart"/>
            <w:shd w:val="clear" w:color="auto" w:fill="BDD7EE"/>
            <w:vAlign w:val="center"/>
            <w:hideMark/>
          </w:tcPr>
          <w:p w14:paraId="1887F04B"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4105" w:type="dxa"/>
            <w:vMerge w:val="restart"/>
            <w:shd w:val="clear" w:color="auto" w:fill="BDD7EE"/>
            <w:vAlign w:val="center"/>
            <w:hideMark/>
          </w:tcPr>
          <w:p w14:paraId="1887F04C"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709" w:type="dxa"/>
            <w:vMerge w:val="restart"/>
            <w:shd w:val="clear" w:color="auto" w:fill="BDD7EE"/>
            <w:vAlign w:val="center"/>
            <w:hideMark/>
          </w:tcPr>
          <w:p w14:paraId="1887F04D" w14:textId="5AF53F19"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Milestone</w:t>
            </w:r>
            <w:r w:rsidR="00175C28" w:rsidRPr="00D1795B">
              <w:rPr>
                <w:rFonts w:ascii="Times New Roman" w:hAnsi="Times New Roman" w:cs="Times New Roman"/>
                <w:b/>
                <w:noProof/>
                <w:sz w:val="18"/>
                <w:szCs w:val="18"/>
              </w:rPr>
              <w:br/>
            </w:r>
            <w:r w:rsidRPr="00D1795B">
              <w:rPr>
                <w:rFonts w:ascii="Times New Roman" w:hAnsi="Times New Roman" w:cs="Times New Roman"/>
                <w:b/>
                <w:noProof/>
                <w:sz w:val="18"/>
                <w:szCs w:val="18"/>
              </w:rPr>
              <w:t>/Target</w:t>
            </w:r>
          </w:p>
        </w:tc>
        <w:tc>
          <w:tcPr>
            <w:tcW w:w="3547" w:type="dxa"/>
            <w:vMerge w:val="restart"/>
            <w:shd w:val="clear" w:color="auto" w:fill="BDD7EE"/>
            <w:vAlign w:val="center"/>
            <w:hideMark/>
          </w:tcPr>
          <w:p w14:paraId="1887F04E"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Name</w:t>
            </w:r>
          </w:p>
        </w:tc>
      </w:tr>
      <w:tr w:rsidR="00C02B59" w:rsidRPr="00D1795B" w14:paraId="1887F054" w14:textId="77777777" w:rsidTr="00175C28">
        <w:trPr>
          <w:cantSplit/>
          <w:trHeight w:val="509"/>
          <w:tblHeader/>
          <w:jc w:val="center"/>
        </w:trPr>
        <w:tc>
          <w:tcPr>
            <w:tcW w:w="1702" w:type="dxa"/>
            <w:vMerge/>
            <w:vAlign w:val="center"/>
            <w:hideMark/>
          </w:tcPr>
          <w:p w14:paraId="1887F050"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4105" w:type="dxa"/>
            <w:vMerge/>
            <w:vAlign w:val="center"/>
            <w:hideMark/>
          </w:tcPr>
          <w:p w14:paraId="1887F051"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709" w:type="dxa"/>
            <w:vMerge/>
            <w:vAlign w:val="center"/>
            <w:hideMark/>
          </w:tcPr>
          <w:p w14:paraId="1887F052" w14:textId="77777777" w:rsidR="00C02B59" w:rsidRPr="00D1795B" w:rsidRDefault="00C02B59" w:rsidP="00C02B59">
            <w:pPr>
              <w:spacing w:after="0"/>
              <w:jc w:val="center"/>
              <w:rPr>
                <w:rFonts w:ascii="Times New Roman" w:eastAsia="Times New Roman" w:hAnsi="Times New Roman" w:cs="Times New Roman"/>
                <w:b/>
                <w:noProof/>
                <w:sz w:val="18"/>
                <w:szCs w:val="18"/>
                <w:lang w:eastAsia="en-GB"/>
              </w:rPr>
            </w:pPr>
          </w:p>
        </w:tc>
        <w:tc>
          <w:tcPr>
            <w:tcW w:w="3547" w:type="dxa"/>
            <w:vMerge/>
            <w:vAlign w:val="center"/>
            <w:hideMark/>
          </w:tcPr>
          <w:p w14:paraId="1887F053" w14:textId="77777777" w:rsidR="00C02B59" w:rsidRPr="00D1795B" w:rsidRDefault="00C02B59" w:rsidP="00C02B59">
            <w:pPr>
              <w:spacing w:after="0"/>
              <w:jc w:val="both"/>
              <w:rPr>
                <w:rFonts w:ascii="Times New Roman" w:eastAsia="Times New Roman" w:hAnsi="Times New Roman" w:cs="Times New Roman"/>
                <w:b/>
                <w:noProof/>
                <w:sz w:val="18"/>
                <w:szCs w:val="18"/>
                <w:lang w:eastAsia="en-GB"/>
              </w:rPr>
            </w:pPr>
          </w:p>
        </w:tc>
      </w:tr>
      <w:tr w:rsidR="00912879" w:rsidRPr="00D1795B" w14:paraId="1887F05A" w14:textId="77777777" w:rsidTr="00175C28">
        <w:trPr>
          <w:cantSplit/>
          <w:trHeight w:val="302"/>
          <w:jc w:val="center"/>
        </w:trPr>
        <w:tc>
          <w:tcPr>
            <w:tcW w:w="1702" w:type="dxa"/>
            <w:shd w:val="clear" w:color="auto" w:fill="C6EFCE"/>
            <w:noWrap/>
          </w:tcPr>
          <w:p w14:paraId="1887F055"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5</w:t>
            </w:r>
          </w:p>
        </w:tc>
        <w:tc>
          <w:tcPr>
            <w:tcW w:w="4105" w:type="dxa"/>
            <w:shd w:val="clear" w:color="auto" w:fill="C6EFCE"/>
            <w:noWrap/>
          </w:tcPr>
          <w:p w14:paraId="1887F056"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C1.1I1</w:t>
            </w:r>
          </w:p>
          <w:p w14:paraId="1887F057" w14:textId="77777777" w:rsidR="00C02B59" w:rsidRPr="00D1795B" w:rsidRDefault="00C02B59" w:rsidP="00C02B59">
            <w:pP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New facilities for the Cyprus Blood Establishment and procurement of the latest technology attendant equipment</w:t>
            </w:r>
          </w:p>
        </w:tc>
        <w:tc>
          <w:tcPr>
            <w:tcW w:w="709" w:type="dxa"/>
            <w:shd w:val="clear" w:color="auto" w:fill="C6EFCE"/>
            <w:noWrap/>
          </w:tcPr>
          <w:p w14:paraId="1887F058"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59"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Contract signature for the construction of the Cyprus Blood Establishment</w:t>
            </w:r>
          </w:p>
        </w:tc>
      </w:tr>
      <w:tr w:rsidR="00912879" w:rsidRPr="00D1795B" w14:paraId="1887F060" w14:textId="77777777" w:rsidTr="00175C28">
        <w:trPr>
          <w:cantSplit/>
          <w:trHeight w:val="302"/>
          <w:jc w:val="center"/>
        </w:trPr>
        <w:tc>
          <w:tcPr>
            <w:tcW w:w="1702" w:type="dxa"/>
            <w:shd w:val="clear" w:color="auto" w:fill="C6EFCE"/>
            <w:noWrap/>
          </w:tcPr>
          <w:p w14:paraId="1887F05B"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22</w:t>
            </w:r>
          </w:p>
        </w:tc>
        <w:tc>
          <w:tcPr>
            <w:tcW w:w="4105" w:type="dxa"/>
            <w:shd w:val="clear" w:color="auto" w:fill="C6EFCE"/>
            <w:noWrap/>
          </w:tcPr>
          <w:p w14:paraId="1887F05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C2.1R3</w:t>
            </w:r>
          </w:p>
          <w:p w14:paraId="1887F05D" w14:textId="77777777" w:rsidR="00C02B59" w:rsidRPr="00D1795B" w:rsidRDefault="00C02B59" w:rsidP="00C02B59">
            <w:pP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Digital One-Stop Shops to streamline RES projects permitting and to facilitate Energy Renovation in Buildings</w:t>
            </w:r>
          </w:p>
        </w:tc>
        <w:tc>
          <w:tcPr>
            <w:tcW w:w="709" w:type="dxa"/>
            <w:shd w:val="clear" w:color="auto" w:fill="C6EFCE"/>
            <w:noWrap/>
          </w:tcPr>
          <w:p w14:paraId="1887F05E"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5F"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Fully operational IT platform </w:t>
            </w:r>
          </w:p>
        </w:tc>
      </w:tr>
      <w:tr w:rsidR="00912879" w:rsidRPr="00D1795B" w14:paraId="1887F066" w14:textId="77777777" w:rsidTr="00175C28">
        <w:trPr>
          <w:cantSplit/>
          <w:trHeight w:val="302"/>
          <w:jc w:val="center"/>
        </w:trPr>
        <w:tc>
          <w:tcPr>
            <w:tcW w:w="1702" w:type="dxa"/>
            <w:shd w:val="clear" w:color="auto" w:fill="C6EFCE"/>
            <w:noWrap/>
          </w:tcPr>
          <w:p w14:paraId="1887F061"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77a</w:t>
            </w:r>
          </w:p>
        </w:tc>
        <w:tc>
          <w:tcPr>
            <w:tcW w:w="4105" w:type="dxa"/>
            <w:shd w:val="clear" w:color="auto" w:fill="C6EFCE"/>
            <w:noWrap/>
          </w:tcPr>
          <w:p w14:paraId="1887F06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C2.3I5</w:t>
            </w:r>
          </w:p>
          <w:p w14:paraId="1887F06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Anti-flood and water collection measures</w:t>
            </w:r>
          </w:p>
        </w:tc>
        <w:tc>
          <w:tcPr>
            <w:tcW w:w="709" w:type="dxa"/>
            <w:shd w:val="clear" w:color="auto" w:fill="C6EFCE"/>
            <w:noWrap/>
          </w:tcPr>
          <w:p w14:paraId="1887F064"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65"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Completion of construction works of drainage network and reconstruction of streets and pavements in areas of Nicosia</w:t>
            </w:r>
          </w:p>
        </w:tc>
      </w:tr>
      <w:tr w:rsidR="00912879" w:rsidRPr="00D1795B" w14:paraId="1887F06D" w14:textId="77777777" w:rsidTr="00175C28">
        <w:trPr>
          <w:cantSplit/>
          <w:trHeight w:val="302"/>
          <w:jc w:val="center"/>
        </w:trPr>
        <w:tc>
          <w:tcPr>
            <w:tcW w:w="1702" w:type="dxa"/>
            <w:shd w:val="clear" w:color="auto" w:fill="C6EFCE"/>
            <w:noWrap/>
          </w:tcPr>
          <w:p w14:paraId="1887F067"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85</w:t>
            </w:r>
          </w:p>
        </w:tc>
        <w:tc>
          <w:tcPr>
            <w:tcW w:w="4105" w:type="dxa"/>
            <w:shd w:val="clear" w:color="auto" w:fill="C6EFCE"/>
            <w:noWrap/>
          </w:tcPr>
          <w:p w14:paraId="1887F06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C3.1R1</w:t>
            </w:r>
          </w:p>
          <w:p w14:paraId="1887F06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Move agricultural practices from the 20</w:t>
            </w:r>
            <w:r w:rsidRPr="00D1795B">
              <w:rPr>
                <w:rFonts w:ascii="Times New Roman" w:hAnsi="Times New Roman" w:cs="Times New Roman"/>
                <w:noProof/>
                <w:sz w:val="18"/>
                <w:szCs w:val="18"/>
                <w:vertAlign w:val="superscript"/>
              </w:rPr>
              <w:t>th</w:t>
            </w:r>
            <w:r w:rsidRPr="00D1795B">
              <w:rPr>
                <w:rFonts w:ascii="Times New Roman" w:hAnsi="Times New Roman" w:cs="Times New Roman"/>
                <w:noProof/>
                <w:sz w:val="18"/>
                <w:szCs w:val="18"/>
              </w:rPr>
              <w:t xml:space="preserve"> century to the 21</w:t>
            </w:r>
            <w:r w:rsidRPr="00D1795B">
              <w:rPr>
                <w:rFonts w:ascii="Times New Roman" w:hAnsi="Times New Roman" w:cs="Times New Roman"/>
                <w:noProof/>
                <w:sz w:val="18"/>
                <w:szCs w:val="18"/>
                <w:vertAlign w:val="superscript"/>
              </w:rPr>
              <w:t>st</w:t>
            </w:r>
            <w:r w:rsidRPr="00D1795B">
              <w:rPr>
                <w:rFonts w:ascii="Times New Roman" w:hAnsi="Times New Roman" w:cs="Times New Roman"/>
                <w:noProof/>
                <w:sz w:val="18"/>
                <w:szCs w:val="18"/>
              </w:rPr>
              <w:t xml:space="preserve"> century by investing in a national centre for excellence in agri-tech</w:t>
            </w:r>
          </w:p>
        </w:tc>
        <w:tc>
          <w:tcPr>
            <w:tcW w:w="709" w:type="dxa"/>
            <w:shd w:val="clear" w:color="auto" w:fill="C6EFCE"/>
            <w:noWrap/>
          </w:tcPr>
          <w:p w14:paraId="1887F06A"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6B" w14:textId="77777777" w:rsidR="00C02B59" w:rsidRPr="00D1795B" w:rsidRDefault="00C02B59" w:rsidP="00C02B59">
            <w:pPr>
              <w:spacing w:after="0" w:line="240" w:lineRule="auto"/>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Cooperation between the Agricultural </w:t>
            </w:r>
          </w:p>
          <w:p w14:paraId="1887F06C"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Research Institute and higher education institution(s), for at least one MSc programme</w:t>
            </w:r>
          </w:p>
        </w:tc>
      </w:tr>
      <w:tr w:rsidR="00912879" w:rsidRPr="00D1795B" w14:paraId="1887F073" w14:textId="77777777" w:rsidTr="00175C28">
        <w:trPr>
          <w:cantSplit/>
          <w:trHeight w:val="302"/>
          <w:jc w:val="center"/>
        </w:trPr>
        <w:tc>
          <w:tcPr>
            <w:tcW w:w="1702" w:type="dxa"/>
            <w:shd w:val="clear" w:color="auto" w:fill="C6EFCE"/>
            <w:noWrap/>
          </w:tcPr>
          <w:p w14:paraId="1887F06E"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95</w:t>
            </w:r>
          </w:p>
        </w:tc>
        <w:tc>
          <w:tcPr>
            <w:tcW w:w="4105" w:type="dxa"/>
            <w:shd w:val="clear" w:color="auto" w:fill="C6EFCE"/>
            <w:noWrap/>
          </w:tcPr>
          <w:p w14:paraId="1887F06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C3.1I3</w:t>
            </w:r>
          </w:p>
          <w:p w14:paraId="1887F070"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Upskill existing and future farmers</w:t>
            </w:r>
          </w:p>
        </w:tc>
        <w:tc>
          <w:tcPr>
            <w:tcW w:w="709" w:type="dxa"/>
            <w:shd w:val="clear" w:color="auto" w:fill="C6EFCE"/>
            <w:noWrap/>
          </w:tcPr>
          <w:p w14:paraId="1887F07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47" w:type="dxa"/>
            <w:shd w:val="clear" w:color="auto" w:fill="C6EFCE"/>
            <w:noWrap/>
          </w:tcPr>
          <w:p w14:paraId="1887F072"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Scholarships granted</w:t>
            </w:r>
          </w:p>
        </w:tc>
      </w:tr>
      <w:tr w:rsidR="00912879" w:rsidRPr="00D1795B" w14:paraId="1887F079" w14:textId="77777777" w:rsidTr="00175C28">
        <w:trPr>
          <w:cantSplit/>
          <w:trHeight w:val="302"/>
          <w:jc w:val="center"/>
        </w:trPr>
        <w:tc>
          <w:tcPr>
            <w:tcW w:w="1702" w:type="dxa"/>
            <w:shd w:val="clear" w:color="auto" w:fill="C6EFCE"/>
            <w:noWrap/>
          </w:tcPr>
          <w:p w14:paraId="1887F074"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120</w:t>
            </w:r>
          </w:p>
        </w:tc>
        <w:tc>
          <w:tcPr>
            <w:tcW w:w="4105" w:type="dxa"/>
            <w:shd w:val="clear" w:color="auto" w:fill="C6EFCE"/>
            <w:noWrap/>
          </w:tcPr>
          <w:p w14:paraId="1887F075"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C3.2R1</w:t>
            </w:r>
          </w:p>
          <w:p w14:paraId="1887F076"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National R&amp;I Policy and policy tools</w:t>
            </w:r>
          </w:p>
        </w:tc>
        <w:tc>
          <w:tcPr>
            <w:tcW w:w="709" w:type="dxa"/>
            <w:shd w:val="clear" w:color="auto" w:fill="C6EFCE"/>
            <w:noWrap/>
          </w:tcPr>
          <w:p w14:paraId="1887F077"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78"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Adoption of the national R&amp;I Strategy and of the Action Plan to implement it</w:t>
            </w:r>
          </w:p>
        </w:tc>
      </w:tr>
      <w:tr w:rsidR="00912879" w:rsidRPr="00D1795B" w14:paraId="1887F07F" w14:textId="77777777" w:rsidTr="00175C28">
        <w:trPr>
          <w:cantSplit/>
          <w:trHeight w:val="302"/>
          <w:jc w:val="center"/>
        </w:trPr>
        <w:tc>
          <w:tcPr>
            <w:tcW w:w="1702" w:type="dxa"/>
            <w:shd w:val="clear" w:color="auto" w:fill="C6EFCE"/>
            <w:noWrap/>
          </w:tcPr>
          <w:p w14:paraId="1887F07A"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123</w:t>
            </w:r>
          </w:p>
        </w:tc>
        <w:tc>
          <w:tcPr>
            <w:tcW w:w="4105" w:type="dxa"/>
            <w:shd w:val="clear" w:color="auto" w:fill="C6EFCE"/>
            <w:noWrap/>
          </w:tcPr>
          <w:p w14:paraId="1887F07B"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C3.2R3</w:t>
            </w:r>
          </w:p>
          <w:p w14:paraId="1887F07C"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Policies to foster access to publicly funded research infrastructure and laboratories</w:t>
            </w:r>
          </w:p>
        </w:tc>
        <w:tc>
          <w:tcPr>
            <w:tcW w:w="709" w:type="dxa"/>
            <w:shd w:val="clear" w:color="auto" w:fill="C6EFCE"/>
            <w:noWrap/>
          </w:tcPr>
          <w:p w14:paraId="1887F07D"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7E"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Digital registry to record and publish research infrastructure </w:t>
            </w:r>
          </w:p>
        </w:tc>
      </w:tr>
      <w:tr w:rsidR="00912879" w:rsidRPr="00D1795B" w14:paraId="1887F085" w14:textId="77777777" w:rsidTr="00175C28">
        <w:trPr>
          <w:cantSplit/>
          <w:trHeight w:val="302"/>
          <w:jc w:val="center"/>
        </w:trPr>
        <w:tc>
          <w:tcPr>
            <w:tcW w:w="1702" w:type="dxa"/>
            <w:shd w:val="clear" w:color="auto" w:fill="C6EFCE"/>
            <w:noWrap/>
          </w:tcPr>
          <w:p w14:paraId="1887F080"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127</w:t>
            </w:r>
          </w:p>
        </w:tc>
        <w:tc>
          <w:tcPr>
            <w:tcW w:w="4105" w:type="dxa"/>
            <w:shd w:val="clear" w:color="auto" w:fill="C6EFCE"/>
            <w:noWrap/>
          </w:tcPr>
          <w:p w14:paraId="1887F081"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C3.2I2</w:t>
            </w:r>
          </w:p>
          <w:p w14:paraId="1887F082"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Innovation funding programmes for start-ups, innovative companies and SMEs</w:t>
            </w:r>
          </w:p>
        </w:tc>
        <w:tc>
          <w:tcPr>
            <w:tcW w:w="709" w:type="dxa"/>
            <w:shd w:val="clear" w:color="auto" w:fill="C6EFCE"/>
            <w:noWrap/>
          </w:tcPr>
          <w:p w14:paraId="1887F083"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84"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Signature of grant agreements for 50% of budget</w:t>
            </w:r>
          </w:p>
        </w:tc>
      </w:tr>
      <w:tr w:rsidR="00912879" w:rsidRPr="00D1795B" w14:paraId="1887F08B" w14:textId="77777777" w:rsidTr="00175C28">
        <w:trPr>
          <w:cantSplit/>
          <w:trHeight w:val="302"/>
          <w:jc w:val="center"/>
        </w:trPr>
        <w:tc>
          <w:tcPr>
            <w:tcW w:w="1702" w:type="dxa"/>
            <w:shd w:val="clear" w:color="auto" w:fill="C6EFCE"/>
            <w:noWrap/>
          </w:tcPr>
          <w:p w14:paraId="1887F086"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130</w:t>
            </w:r>
          </w:p>
        </w:tc>
        <w:tc>
          <w:tcPr>
            <w:tcW w:w="4105" w:type="dxa"/>
            <w:shd w:val="clear" w:color="auto" w:fill="C6EFCE"/>
            <w:noWrap/>
          </w:tcPr>
          <w:p w14:paraId="1887F087"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C3.2I3</w:t>
            </w:r>
          </w:p>
          <w:p w14:paraId="1887F088"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R&amp;I funding program on green transition</w:t>
            </w:r>
          </w:p>
        </w:tc>
        <w:tc>
          <w:tcPr>
            <w:tcW w:w="709" w:type="dxa"/>
            <w:shd w:val="clear" w:color="auto" w:fill="C6EFCE"/>
            <w:noWrap/>
          </w:tcPr>
          <w:p w14:paraId="1887F089"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8A" w14:textId="77777777" w:rsidR="00C02B59" w:rsidRPr="00D1795B" w:rsidRDefault="00C02B59" w:rsidP="00C02B59">
            <w:pPr>
              <w:spacing w:after="0" w:line="240" w:lineRule="auto"/>
              <w:jc w:val="both"/>
              <w:rPr>
                <w:rFonts w:ascii="Times New Roman" w:eastAsia="Times New Roman" w:hAnsi="Times New Roman" w:cs="Times New Roman"/>
                <w:noProof/>
                <w:sz w:val="18"/>
                <w:szCs w:val="18"/>
                <w:lang w:eastAsia="en-GB"/>
              </w:rPr>
            </w:pPr>
            <w:r w:rsidRPr="00D1795B">
              <w:rPr>
                <w:rFonts w:ascii="Times New Roman" w:hAnsi="Times New Roman" w:cs="Times New Roman"/>
                <w:noProof/>
                <w:color w:val="000000" w:themeColor="text1"/>
                <w:sz w:val="18"/>
                <w:szCs w:val="18"/>
              </w:rPr>
              <w:t>Signature of grant agreements for a R&amp;I funding programme of EUR 6 mln budget</w:t>
            </w:r>
          </w:p>
        </w:tc>
      </w:tr>
      <w:tr w:rsidR="00912879" w:rsidRPr="00D1795B" w14:paraId="1887F091" w14:textId="77777777" w:rsidTr="00175C28">
        <w:trPr>
          <w:cantSplit/>
          <w:trHeight w:val="302"/>
          <w:jc w:val="center"/>
        </w:trPr>
        <w:tc>
          <w:tcPr>
            <w:tcW w:w="1702" w:type="dxa"/>
            <w:shd w:val="clear" w:color="auto" w:fill="C6EFCE"/>
            <w:noWrap/>
          </w:tcPr>
          <w:p w14:paraId="1887F08C"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136</w:t>
            </w:r>
          </w:p>
        </w:tc>
        <w:tc>
          <w:tcPr>
            <w:tcW w:w="4105" w:type="dxa"/>
            <w:shd w:val="clear" w:color="auto" w:fill="C6EFCE"/>
            <w:noWrap/>
          </w:tcPr>
          <w:p w14:paraId="1887F08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C3.3R2</w:t>
            </w:r>
          </w:p>
          <w:p w14:paraId="1887F08E"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Enhancing Fast-Track Business Activation Mechanism</w:t>
            </w:r>
          </w:p>
        </w:tc>
        <w:tc>
          <w:tcPr>
            <w:tcW w:w="709" w:type="dxa"/>
            <w:shd w:val="clear" w:color="auto" w:fill="C6EFCE"/>
            <w:noWrap/>
          </w:tcPr>
          <w:p w14:paraId="1887F08F"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90"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color w:val="000000" w:themeColor="text1"/>
                <w:sz w:val="18"/>
                <w:szCs w:val="18"/>
              </w:rPr>
              <w:t>Establishment of an electronic system where investors can submit their online application</w:t>
            </w:r>
          </w:p>
        </w:tc>
      </w:tr>
      <w:tr w:rsidR="00912879" w:rsidRPr="00D1795B" w14:paraId="1887F097" w14:textId="77777777" w:rsidTr="00175C28">
        <w:trPr>
          <w:cantSplit/>
          <w:trHeight w:val="302"/>
          <w:jc w:val="center"/>
        </w:trPr>
        <w:tc>
          <w:tcPr>
            <w:tcW w:w="1702" w:type="dxa"/>
            <w:shd w:val="clear" w:color="auto" w:fill="C6EFCE"/>
            <w:noWrap/>
          </w:tcPr>
          <w:p w14:paraId="1887F092"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143</w:t>
            </w:r>
          </w:p>
        </w:tc>
        <w:tc>
          <w:tcPr>
            <w:tcW w:w="4105" w:type="dxa"/>
            <w:shd w:val="clear" w:color="auto" w:fill="C6EFCE"/>
            <w:noWrap/>
          </w:tcPr>
          <w:p w14:paraId="1887F09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C3.3R6</w:t>
            </w:r>
          </w:p>
          <w:p w14:paraId="1887F094"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Incentives to promote mergers and acquisitions.</w:t>
            </w:r>
          </w:p>
        </w:tc>
        <w:tc>
          <w:tcPr>
            <w:tcW w:w="709" w:type="dxa"/>
            <w:shd w:val="clear" w:color="auto" w:fill="C6EFCE"/>
            <w:noWrap/>
          </w:tcPr>
          <w:p w14:paraId="1887F09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96"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Action Plan for incentives for mergers and acquisitions</w:t>
            </w:r>
          </w:p>
        </w:tc>
      </w:tr>
      <w:tr w:rsidR="00912879" w:rsidRPr="00D1795B" w14:paraId="1887F09D" w14:textId="77777777" w:rsidTr="00175C28">
        <w:trPr>
          <w:cantSplit/>
          <w:trHeight w:val="302"/>
          <w:jc w:val="center"/>
        </w:trPr>
        <w:tc>
          <w:tcPr>
            <w:tcW w:w="1702" w:type="dxa"/>
            <w:shd w:val="clear" w:color="auto" w:fill="C6EFCE"/>
            <w:noWrap/>
          </w:tcPr>
          <w:p w14:paraId="1887F098"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151</w:t>
            </w:r>
          </w:p>
        </w:tc>
        <w:tc>
          <w:tcPr>
            <w:tcW w:w="4105" w:type="dxa"/>
            <w:shd w:val="clear" w:color="auto" w:fill="C6EFCE"/>
            <w:noWrap/>
          </w:tcPr>
          <w:p w14:paraId="1887F09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C3.3I6</w:t>
            </w:r>
          </w:p>
          <w:p w14:paraId="1887F09A"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State funded equity fund </w:t>
            </w:r>
          </w:p>
        </w:tc>
        <w:tc>
          <w:tcPr>
            <w:tcW w:w="709" w:type="dxa"/>
            <w:shd w:val="clear" w:color="auto" w:fill="C6EFCE"/>
            <w:noWrap/>
          </w:tcPr>
          <w:p w14:paraId="1887F09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9C"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Setup of the Fund</w:t>
            </w:r>
          </w:p>
        </w:tc>
      </w:tr>
      <w:tr w:rsidR="00912879" w:rsidRPr="00D1795B" w14:paraId="1887F0A3" w14:textId="77777777" w:rsidTr="00175C28">
        <w:trPr>
          <w:cantSplit/>
          <w:trHeight w:val="302"/>
          <w:jc w:val="center"/>
        </w:trPr>
        <w:tc>
          <w:tcPr>
            <w:tcW w:w="1702" w:type="dxa"/>
            <w:shd w:val="clear" w:color="auto" w:fill="C6EFCE"/>
            <w:noWrap/>
          </w:tcPr>
          <w:p w14:paraId="1887F09E"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173</w:t>
            </w:r>
          </w:p>
        </w:tc>
        <w:tc>
          <w:tcPr>
            <w:tcW w:w="4105" w:type="dxa"/>
            <w:shd w:val="clear" w:color="auto" w:fill="C6EFCE"/>
            <w:noWrap/>
          </w:tcPr>
          <w:p w14:paraId="1887F09F"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C3.4I4</w:t>
            </w:r>
          </w:p>
          <w:p w14:paraId="1887F0A0"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Enhancing e-system for issuing building permits </w:t>
            </w:r>
          </w:p>
        </w:tc>
        <w:tc>
          <w:tcPr>
            <w:tcW w:w="709" w:type="dxa"/>
            <w:shd w:val="clear" w:color="auto" w:fill="C6EFCE"/>
            <w:noWrap/>
          </w:tcPr>
          <w:p w14:paraId="1887F0A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A2"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Enhancement of the e-application environment of the Hippodamos System</w:t>
            </w:r>
          </w:p>
        </w:tc>
      </w:tr>
      <w:tr w:rsidR="00912879" w:rsidRPr="00D1795B" w14:paraId="1887F0A9" w14:textId="77777777" w:rsidTr="00175C28">
        <w:trPr>
          <w:cantSplit/>
          <w:trHeight w:val="302"/>
          <w:jc w:val="center"/>
        </w:trPr>
        <w:tc>
          <w:tcPr>
            <w:tcW w:w="1702" w:type="dxa"/>
            <w:shd w:val="clear" w:color="auto" w:fill="C6EFCE"/>
            <w:noWrap/>
          </w:tcPr>
          <w:p w14:paraId="1887F0A4"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194</w:t>
            </w:r>
          </w:p>
        </w:tc>
        <w:tc>
          <w:tcPr>
            <w:tcW w:w="4105" w:type="dxa"/>
            <w:shd w:val="clear" w:color="auto" w:fill="C6EFCE"/>
            <w:noWrap/>
          </w:tcPr>
          <w:p w14:paraId="1887F0A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C3.5R3</w:t>
            </w:r>
          </w:p>
          <w:p w14:paraId="1887F0A6"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Strategy for addressing inadequacies of the property transaction system (title deeds)</w:t>
            </w:r>
          </w:p>
        </w:tc>
        <w:tc>
          <w:tcPr>
            <w:tcW w:w="709" w:type="dxa"/>
            <w:shd w:val="clear" w:color="auto" w:fill="C6EFCE"/>
            <w:noWrap/>
          </w:tcPr>
          <w:p w14:paraId="1887F0A7"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A8"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Extension of the New Planning and Building Permit Policy </w:t>
            </w:r>
          </w:p>
        </w:tc>
      </w:tr>
      <w:tr w:rsidR="00912879" w:rsidRPr="00D1795B" w14:paraId="1887F0AF" w14:textId="77777777" w:rsidTr="00175C28">
        <w:trPr>
          <w:cantSplit/>
          <w:trHeight w:val="302"/>
          <w:jc w:val="center"/>
        </w:trPr>
        <w:tc>
          <w:tcPr>
            <w:tcW w:w="1702" w:type="dxa"/>
            <w:shd w:val="clear" w:color="auto" w:fill="C6EFCE"/>
            <w:noWrap/>
          </w:tcPr>
          <w:p w14:paraId="1887F0AA"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195</w:t>
            </w:r>
          </w:p>
        </w:tc>
        <w:tc>
          <w:tcPr>
            <w:tcW w:w="4105" w:type="dxa"/>
            <w:shd w:val="clear" w:color="auto" w:fill="C6EFCE"/>
            <w:noWrap/>
          </w:tcPr>
          <w:p w14:paraId="1887F0A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C3.5R3 </w:t>
            </w:r>
          </w:p>
          <w:p w14:paraId="1887F0AC"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Strategy for addressing inadequacies of the property transaction system (title deeds)</w:t>
            </w:r>
          </w:p>
        </w:tc>
        <w:tc>
          <w:tcPr>
            <w:tcW w:w="709" w:type="dxa"/>
            <w:shd w:val="clear" w:color="auto" w:fill="C6EFCE"/>
            <w:noWrap/>
          </w:tcPr>
          <w:p w14:paraId="1887F0AD"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AE"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Entry into force of the amendment of the Sale of Property (Specific Performance) Law </w:t>
            </w:r>
          </w:p>
        </w:tc>
      </w:tr>
      <w:tr w:rsidR="00912879" w:rsidRPr="00D1795B" w14:paraId="1887F0B5" w14:textId="77777777" w:rsidTr="00175C28">
        <w:trPr>
          <w:cantSplit/>
          <w:trHeight w:val="302"/>
          <w:jc w:val="center"/>
        </w:trPr>
        <w:tc>
          <w:tcPr>
            <w:tcW w:w="1702" w:type="dxa"/>
            <w:shd w:val="clear" w:color="auto" w:fill="C6EFCE"/>
            <w:noWrap/>
          </w:tcPr>
          <w:p w14:paraId="1887F0B0"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199</w:t>
            </w:r>
          </w:p>
        </w:tc>
        <w:tc>
          <w:tcPr>
            <w:tcW w:w="4105" w:type="dxa"/>
            <w:shd w:val="clear" w:color="auto" w:fill="C6EFCE"/>
            <w:noWrap/>
          </w:tcPr>
          <w:p w14:paraId="1887F0B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C3.5R5 </w:t>
            </w:r>
          </w:p>
          <w:p w14:paraId="1887F0B2"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Action plan for the development of a liability monitoring register</w:t>
            </w:r>
          </w:p>
        </w:tc>
        <w:tc>
          <w:tcPr>
            <w:tcW w:w="709" w:type="dxa"/>
            <w:shd w:val="clear" w:color="auto" w:fill="C6EFCE"/>
            <w:noWrap/>
          </w:tcPr>
          <w:p w14:paraId="1887F0B3"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B4"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Action Plan for the development of a liability monitoring register </w:t>
            </w:r>
          </w:p>
        </w:tc>
      </w:tr>
      <w:tr w:rsidR="00912879" w:rsidRPr="00D1795B" w14:paraId="1887F0BA" w14:textId="77777777" w:rsidTr="00175C28">
        <w:trPr>
          <w:cantSplit/>
          <w:trHeight w:val="302"/>
          <w:jc w:val="center"/>
        </w:trPr>
        <w:tc>
          <w:tcPr>
            <w:tcW w:w="1702" w:type="dxa"/>
            <w:shd w:val="clear" w:color="auto" w:fill="C6EFCE"/>
            <w:noWrap/>
          </w:tcPr>
          <w:p w14:paraId="1887F0B6"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201</w:t>
            </w:r>
          </w:p>
        </w:tc>
        <w:tc>
          <w:tcPr>
            <w:tcW w:w="4105" w:type="dxa"/>
            <w:shd w:val="clear" w:color="auto" w:fill="C6EFCE"/>
            <w:noWrap/>
          </w:tcPr>
          <w:p w14:paraId="1887F0B7"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C3.5R6 </w:t>
            </w:r>
            <w:r w:rsidRPr="00D1795B">
              <w:rPr>
                <w:rFonts w:ascii="Times New Roman" w:hAnsi="Times New Roman" w:cs="Times New Roman"/>
                <w:noProof/>
                <w:sz w:val="18"/>
                <w:szCs w:val="18"/>
              </w:rPr>
              <w:br/>
              <w:t>Reinforcing and strengthening the insolvency framework</w:t>
            </w:r>
          </w:p>
        </w:tc>
        <w:tc>
          <w:tcPr>
            <w:tcW w:w="709" w:type="dxa"/>
            <w:shd w:val="clear" w:color="auto" w:fill="C6EFCE"/>
            <w:noWrap/>
          </w:tcPr>
          <w:p w14:paraId="1887F0B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B9"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Full implementation and full operation of the legal and institutional framework for insolvency </w:t>
            </w:r>
          </w:p>
        </w:tc>
      </w:tr>
      <w:tr w:rsidR="00912879" w:rsidRPr="00D1795B" w14:paraId="1887F0BF" w14:textId="77777777" w:rsidTr="00175C28">
        <w:trPr>
          <w:cantSplit/>
          <w:trHeight w:val="302"/>
          <w:jc w:val="center"/>
        </w:trPr>
        <w:tc>
          <w:tcPr>
            <w:tcW w:w="1702" w:type="dxa"/>
            <w:shd w:val="clear" w:color="auto" w:fill="C6EFCE"/>
            <w:noWrap/>
          </w:tcPr>
          <w:p w14:paraId="1887F0B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209</w:t>
            </w:r>
          </w:p>
        </w:tc>
        <w:tc>
          <w:tcPr>
            <w:tcW w:w="4105" w:type="dxa"/>
            <w:shd w:val="clear" w:color="auto" w:fill="C6EFCE"/>
            <w:noWrap/>
          </w:tcPr>
          <w:p w14:paraId="1887F0BC"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C3.5R10 </w:t>
            </w:r>
            <w:r w:rsidRPr="00D1795B">
              <w:rPr>
                <w:rFonts w:ascii="Times New Roman" w:hAnsi="Times New Roman" w:cs="Times New Roman"/>
                <w:noProof/>
                <w:sz w:val="18"/>
                <w:szCs w:val="18"/>
              </w:rPr>
              <w:br/>
              <w:t>Addressing Aggressive Tax Planning</w:t>
            </w:r>
          </w:p>
        </w:tc>
        <w:tc>
          <w:tcPr>
            <w:tcW w:w="709" w:type="dxa"/>
            <w:shd w:val="clear" w:color="auto" w:fill="C6EFCE"/>
            <w:noWrap/>
          </w:tcPr>
          <w:p w14:paraId="1887F0BD"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BE"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Entry into force of the law to tackle aggressive tax planning </w:t>
            </w:r>
          </w:p>
        </w:tc>
      </w:tr>
      <w:tr w:rsidR="00912879" w:rsidRPr="00D1795B" w14:paraId="1887F0C5" w14:textId="77777777" w:rsidTr="00175C28">
        <w:trPr>
          <w:cantSplit/>
          <w:trHeight w:val="302"/>
          <w:jc w:val="center"/>
        </w:trPr>
        <w:tc>
          <w:tcPr>
            <w:tcW w:w="1702" w:type="dxa"/>
            <w:shd w:val="clear" w:color="auto" w:fill="C6EFCE"/>
            <w:noWrap/>
          </w:tcPr>
          <w:p w14:paraId="1887F0C0"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224</w:t>
            </w:r>
          </w:p>
        </w:tc>
        <w:tc>
          <w:tcPr>
            <w:tcW w:w="4105" w:type="dxa"/>
            <w:shd w:val="clear" w:color="auto" w:fill="C6EFCE"/>
            <w:noWrap/>
          </w:tcPr>
          <w:p w14:paraId="1887F0C1"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C4.2R1</w:t>
            </w:r>
          </w:p>
          <w:p w14:paraId="1887F0C2"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Digital Services Factory</w:t>
            </w:r>
          </w:p>
        </w:tc>
        <w:tc>
          <w:tcPr>
            <w:tcW w:w="709" w:type="dxa"/>
            <w:shd w:val="clear" w:color="auto" w:fill="C6EFCE"/>
            <w:noWrap/>
          </w:tcPr>
          <w:p w14:paraId="1887F0C3"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C4"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Definition of the Service Delivery Model for the Digital Services Factory </w:t>
            </w:r>
          </w:p>
        </w:tc>
      </w:tr>
      <w:tr w:rsidR="00912879" w:rsidRPr="00D1795B" w14:paraId="1887F0CB" w14:textId="77777777" w:rsidTr="00175C28">
        <w:trPr>
          <w:cantSplit/>
          <w:trHeight w:val="302"/>
          <w:jc w:val="center"/>
        </w:trPr>
        <w:tc>
          <w:tcPr>
            <w:tcW w:w="1702" w:type="dxa"/>
            <w:shd w:val="clear" w:color="auto" w:fill="C6EFCE"/>
            <w:noWrap/>
          </w:tcPr>
          <w:p w14:paraId="1887F0C6"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251</w:t>
            </w:r>
          </w:p>
        </w:tc>
        <w:tc>
          <w:tcPr>
            <w:tcW w:w="4105" w:type="dxa"/>
            <w:shd w:val="clear" w:color="auto" w:fill="C6EFCE"/>
            <w:noWrap/>
          </w:tcPr>
          <w:p w14:paraId="1887F0C7"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C5.1I1</w:t>
            </w:r>
          </w:p>
          <w:p w14:paraId="1887F0C8"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Construction of one Model Technical School</w:t>
            </w:r>
          </w:p>
        </w:tc>
        <w:tc>
          <w:tcPr>
            <w:tcW w:w="709" w:type="dxa"/>
            <w:shd w:val="clear" w:color="auto" w:fill="C6EFCE"/>
            <w:noWrap/>
          </w:tcPr>
          <w:p w14:paraId="1887F0C9"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CA"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Contract for the construction of one Technical School</w:t>
            </w:r>
          </w:p>
        </w:tc>
      </w:tr>
      <w:tr w:rsidR="00912879" w:rsidRPr="00D1795B" w14:paraId="1887F0D1" w14:textId="77777777" w:rsidTr="00175C28">
        <w:trPr>
          <w:cantSplit/>
          <w:trHeight w:val="302"/>
          <w:jc w:val="center"/>
        </w:trPr>
        <w:tc>
          <w:tcPr>
            <w:tcW w:w="1702" w:type="dxa"/>
            <w:shd w:val="clear" w:color="auto" w:fill="C6EFCE"/>
            <w:noWrap/>
          </w:tcPr>
          <w:p w14:paraId="1887F0CC"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266</w:t>
            </w:r>
          </w:p>
        </w:tc>
        <w:tc>
          <w:tcPr>
            <w:tcW w:w="4105" w:type="dxa"/>
            <w:shd w:val="clear" w:color="auto" w:fill="C6EFCE"/>
            <w:noWrap/>
          </w:tcPr>
          <w:p w14:paraId="1887F0CD"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C5.2I4</w:t>
            </w:r>
          </w:p>
          <w:p w14:paraId="1887F0CE"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Child Centres in Municipalities</w:t>
            </w:r>
          </w:p>
        </w:tc>
        <w:tc>
          <w:tcPr>
            <w:tcW w:w="709" w:type="dxa"/>
            <w:shd w:val="clear" w:color="auto" w:fill="C6EFCE"/>
            <w:noWrap/>
          </w:tcPr>
          <w:p w14:paraId="1887F0CF"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47" w:type="dxa"/>
            <w:shd w:val="clear" w:color="auto" w:fill="C6EFCE"/>
            <w:noWrap/>
          </w:tcPr>
          <w:p w14:paraId="1887F0D0"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Construction of at least one child centre </w:t>
            </w:r>
          </w:p>
        </w:tc>
      </w:tr>
      <w:tr w:rsidR="00912879" w:rsidRPr="00D1795B" w14:paraId="1887F0D7" w14:textId="77777777" w:rsidTr="00175C28">
        <w:trPr>
          <w:cantSplit/>
          <w:trHeight w:val="302"/>
          <w:jc w:val="center"/>
        </w:trPr>
        <w:tc>
          <w:tcPr>
            <w:tcW w:w="1702" w:type="dxa"/>
            <w:shd w:val="clear" w:color="auto" w:fill="C6EFCE"/>
            <w:noWrap/>
          </w:tcPr>
          <w:p w14:paraId="1887F0D2"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268</w:t>
            </w:r>
          </w:p>
        </w:tc>
        <w:tc>
          <w:tcPr>
            <w:tcW w:w="4105" w:type="dxa"/>
            <w:shd w:val="clear" w:color="auto" w:fill="C6EFCE"/>
            <w:noWrap/>
          </w:tcPr>
          <w:p w14:paraId="1887F0D3"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C5.2I5</w:t>
            </w:r>
          </w:p>
          <w:p w14:paraId="1887F0D4"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Construction of Two Model Special Education Schools</w:t>
            </w:r>
          </w:p>
        </w:tc>
        <w:tc>
          <w:tcPr>
            <w:tcW w:w="709" w:type="dxa"/>
            <w:shd w:val="clear" w:color="auto" w:fill="C6EFCE"/>
            <w:noWrap/>
          </w:tcPr>
          <w:p w14:paraId="1887F0D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47" w:type="dxa"/>
            <w:shd w:val="clear" w:color="auto" w:fill="C6EFCE"/>
            <w:noWrap/>
          </w:tcPr>
          <w:p w14:paraId="1887F0D6"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Signing of contract with the selected tenderer (contractor) </w:t>
            </w:r>
          </w:p>
        </w:tc>
      </w:tr>
      <w:tr w:rsidR="00B70EBF" w:rsidRPr="00D1795B" w14:paraId="1887F0DC" w14:textId="77777777" w:rsidTr="00175C28">
        <w:trPr>
          <w:cantSplit/>
          <w:trHeight w:val="302"/>
          <w:jc w:val="center"/>
        </w:trPr>
        <w:tc>
          <w:tcPr>
            <w:tcW w:w="1702" w:type="dxa"/>
            <w:shd w:val="clear" w:color="auto" w:fill="C6EFCE"/>
            <w:noWrap/>
            <w:vAlign w:val="bottom"/>
          </w:tcPr>
          <w:p w14:paraId="1887F0D8" w14:textId="77777777" w:rsidR="00C02B59" w:rsidRPr="00D1795B" w:rsidRDefault="00C02B59" w:rsidP="00C02B59">
            <w:pPr>
              <w:spacing w:after="0"/>
              <w:jc w:val="center"/>
              <w:rPr>
                <w:rFonts w:ascii="Times New Roman" w:eastAsia="Times New Roman" w:hAnsi="Times New Roman" w:cs="Times New Roman"/>
                <w:noProof/>
                <w:color w:val="006100"/>
                <w:sz w:val="18"/>
                <w:szCs w:val="18"/>
                <w:lang w:eastAsia="en-GB"/>
              </w:rPr>
            </w:pPr>
          </w:p>
        </w:tc>
        <w:tc>
          <w:tcPr>
            <w:tcW w:w="4105" w:type="dxa"/>
            <w:shd w:val="clear" w:color="auto" w:fill="C6EFCE"/>
            <w:noWrap/>
            <w:vAlign w:val="bottom"/>
          </w:tcPr>
          <w:p w14:paraId="1887F0D9" w14:textId="77777777" w:rsidR="00C02B59" w:rsidRPr="00D1795B" w:rsidRDefault="00C02B59" w:rsidP="00C02B59">
            <w:pPr>
              <w:spacing w:after="0"/>
              <w:rPr>
                <w:rFonts w:ascii="Times New Roman" w:eastAsia="Times New Roman" w:hAnsi="Times New Roman" w:cs="Times New Roman"/>
                <w:noProof/>
                <w:color w:val="006100"/>
                <w:sz w:val="18"/>
                <w:szCs w:val="18"/>
                <w:lang w:eastAsia="en-GB"/>
              </w:rPr>
            </w:pPr>
          </w:p>
        </w:tc>
        <w:tc>
          <w:tcPr>
            <w:tcW w:w="709" w:type="dxa"/>
            <w:shd w:val="clear" w:color="auto" w:fill="C6EFCE"/>
            <w:noWrap/>
            <w:vAlign w:val="bottom"/>
            <w:hideMark/>
          </w:tcPr>
          <w:p w14:paraId="1887F0DA"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color w:val="006100"/>
                <w:sz w:val="18"/>
                <w:szCs w:val="18"/>
              </w:rPr>
              <w:t>Instalment Amount</w:t>
            </w:r>
          </w:p>
        </w:tc>
        <w:tc>
          <w:tcPr>
            <w:tcW w:w="3547" w:type="dxa"/>
            <w:shd w:val="clear" w:color="auto" w:fill="C6EFCE"/>
            <w:noWrap/>
            <w:vAlign w:val="bottom"/>
            <w:hideMark/>
          </w:tcPr>
          <w:p w14:paraId="1887F0DB" w14:textId="77777777" w:rsidR="00C02B59" w:rsidRPr="00D1795B" w:rsidRDefault="00C02B59" w:rsidP="00C02B59">
            <w:pPr>
              <w:spacing w:after="0"/>
              <w:rPr>
                <w:rFonts w:ascii="Times New Roman" w:eastAsia="Times New Roman" w:hAnsi="Times New Roman" w:cs="Times New Roman"/>
                <w:noProof/>
                <w:color w:val="006100"/>
                <w:sz w:val="18"/>
                <w:szCs w:val="18"/>
              </w:rPr>
            </w:pPr>
            <w:r w:rsidRPr="00D1795B">
              <w:rPr>
                <w:rFonts w:ascii="Times New Roman" w:hAnsi="Times New Roman" w:cs="Times New Roman"/>
                <w:noProof/>
                <w:color w:val="006100"/>
                <w:sz w:val="18"/>
                <w:szCs w:val="18"/>
              </w:rPr>
              <w:t>EUR 103 036 204</w:t>
            </w:r>
          </w:p>
        </w:tc>
      </w:tr>
    </w:tbl>
    <w:p w14:paraId="1887F0DD" w14:textId="77777777" w:rsidR="00C02B59" w:rsidRPr="00D1795B" w:rsidRDefault="00C02B59" w:rsidP="00C02B59">
      <w:pPr>
        <w:rPr>
          <w:noProof/>
        </w:rPr>
      </w:pPr>
    </w:p>
    <w:p w14:paraId="1887F0DE" w14:textId="77777777" w:rsidR="00C02B59" w:rsidRPr="00D1795B" w:rsidRDefault="00C02B59" w:rsidP="00C02B59">
      <w:pPr>
        <w:rPr>
          <w:noProof/>
        </w:rPr>
        <w:sectPr w:rsidR="00C02B59" w:rsidRPr="00D1795B" w:rsidSect="00C02B59">
          <w:headerReference w:type="even" r:id="rId197"/>
          <w:headerReference w:type="default" r:id="rId198"/>
          <w:footerReference w:type="even" r:id="rId199"/>
          <w:footerReference w:type="default" r:id="rId200"/>
          <w:headerReference w:type="first" r:id="rId201"/>
          <w:footerReference w:type="first" r:id="rId202"/>
          <w:pgSz w:w="11906" w:h="16838"/>
          <w:pgMar w:top="1134" w:right="1134" w:bottom="1134" w:left="1134" w:header="567" w:footer="567" w:gutter="0"/>
          <w:cols w:space="720"/>
          <w:docGrid w:linePitch="360"/>
        </w:sectPr>
      </w:pPr>
    </w:p>
    <w:p w14:paraId="1887F0DF" w14:textId="77777777" w:rsidR="00C02B59" w:rsidRPr="00D1795B" w:rsidRDefault="00C02B59" w:rsidP="00C02B59">
      <w:pPr>
        <w:pStyle w:val="NumPar2"/>
        <w:tabs>
          <w:tab w:val="num" w:pos="850"/>
        </w:tabs>
        <w:ind w:left="850" w:hanging="850"/>
        <w:rPr>
          <w:noProof/>
          <w:lang w:val="en-GB"/>
        </w:rPr>
      </w:pPr>
      <w:r w:rsidRPr="00D1795B">
        <w:rPr>
          <w:noProof/>
          <w:lang w:val="en-GB"/>
        </w:rPr>
        <w:t xml:space="preserve">Fourth Instalment (non-repayable support): </w:t>
      </w:r>
    </w:p>
    <w:tbl>
      <w:tblPr>
        <w:tblW w:w="10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3963"/>
        <w:gridCol w:w="1560"/>
        <w:gridCol w:w="2924"/>
      </w:tblGrid>
      <w:tr w:rsidR="00B70EBF" w:rsidRPr="00D1795B" w14:paraId="1887F0E4" w14:textId="77777777" w:rsidTr="00175C28">
        <w:trPr>
          <w:cantSplit/>
          <w:trHeight w:val="509"/>
          <w:tblHeader/>
          <w:jc w:val="center"/>
        </w:trPr>
        <w:tc>
          <w:tcPr>
            <w:tcW w:w="1702" w:type="dxa"/>
            <w:vMerge w:val="restart"/>
            <w:shd w:val="clear" w:color="auto" w:fill="BDD7EE"/>
            <w:vAlign w:val="center"/>
            <w:hideMark/>
          </w:tcPr>
          <w:p w14:paraId="1887F0E0"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3963" w:type="dxa"/>
            <w:vMerge w:val="restart"/>
            <w:shd w:val="clear" w:color="auto" w:fill="BDD7EE"/>
            <w:vAlign w:val="center"/>
            <w:hideMark/>
          </w:tcPr>
          <w:p w14:paraId="1887F0E1"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1560" w:type="dxa"/>
            <w:vMerge w:val="restart"/>
            <w:shd w:val="clear" w:color="auto" w:fill="BDD7EE"/>
            <w:vAlign w:val="center"/>
            <w:hideMark/>
          </w:tcPr>
          <w:p w14:paraId="1887F0E2" w14:textId="7BE6CC23"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Milestone/</w:t>
            </w:r>
            <w:r w:rsidR="00175C28" w:rsidRPr="00D1795B">
              <w:rPr>
                <w:rFonts w:ascii="Times New Roman" w:hAnsi="Times New Roman" w:cs="Times New Roman"/>
                <w:b/>
                <w:noProof/>
                <w:sz w:val="18"/>
                <w:szCs w:val="18"/>
              </w:rPr>
              <w:br/>
            </w:r>
            <w:r w:rsidRPr="00D1795B">
              <w:rPr>
                <w:rFonts w:ascii="Times New Roman" w:hAnsi="Times New Roman" w:cs="Times New Roman"/>
                <w:b/>
                <w:noProof/>
                <w:sz w:val="18"/>
                <w:szCs w:val="18"/>
              </w:rPr>
              <w:t>Target</w:t>
            </w:r>
          </w:p>
        </w:tc>
        <w:tc>
          <w:tcPr>
            <w:tcW w:w="2924" w:type="dxa"/>
            <w:vMerge w:val="restart"/>
            <w:shd w:val="clear" w:color="auto" w:fill="BDD7EE"/>
            <w:vAlign w:val="center"/>
            <w:hideMark/>
          </w:tcPr>
          <w:p w14:paraId="1887F0E3"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Name</w:t>
            </w:r>
          </w:p>
        </w:tc>
      </w:tr>
      <w:tr w:rsidR="00C02B59" w:rsidRPr="00D1795B" w14:paraId="1887F0E9" w14:textId="77777777" w:rsidTr="00175C28">
        <w:trPr>
          <w:cantSplit/>
          <w:trHeight w:val="509"/>
          <w:tblHeader/>
          <w:jc w:val="center"/>
        </w:trPr>
        <w:tc>
          <w:tcPr>
            <w:tcW w:w="1702" w:type="dxa"/>
            <w:vMerge/>
            <w:vAlign w:val="center"/>
            <w:hideMark/>
          </w:tcPr>
          <w:p w14:paraId="1887F0E5"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3963" w:type="dxa"/>
            <w:vMerge/>
            <w:vAlign w:val="center"/>
            <w:hideMark/>
          </w:tcPr>
          <w:p w14:paraId="1887F0E6"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1560" w:type="dxa"/>
            <w:vMerge/>
            <w:vAlign w:val="center"/>
            <w:hideMark/>
          </w:tcPr>
          <w:p w14:paraId="1887F0E7" w14:textId="77777777" w:rsidR="00C02B59" w:rsidRPr="00D1795B" w:rsidRDefault="00C02B59" w:rsidP="00C02B59">
            <w:pPr>
              <w:spacing w:after="0"/>
              <w:jc w:val="center"/>
              <w:rPr>
                <w:rFonts w:ascii="Times New Roman" w:eastAsia="Times New Roman" w:hAnsi="Times New Roman" w:cs="Times New Roman"/>
                <w:b/>
                <w:noProof/>
                <w:sz w:val="18"/>
                <w:szCs w:val="18"/>
                <w:lang w:eastAsia="en-GB"/>
              </w:rPr>
            </w:pPr>
          </w:p>
        </w:tc>
        <w:tc>
          <w:tcPr>
            <w:tcW w:w="2924" w:type="dxa"/>
            <w:vMerge/>
            <w:vAlign w:val="center"/>
            <w:hideMark/>
          </w:tcPr>
          <w:p w14:paraId="1887F0E8" w14:textId="77777777" w:rsidR="00C02B59" w:rsidRPr="00D1795B" w:rsidRDefault="00C02B59" w:rsidP="00C02B59">
            <w:pPr>
              <w:spacing w:after="0"/>
              <w:jc w:val="both"/>
              <w:rPr>
                <w:rFonts w:ascii="Times New Roman" w:eastAsia="Times New Roman" w:hAnsi="Times New Roman" w:cs="Times New Roman"/>
                <w:b/>
                <w:noProof/>
                <w:sz w:val="18"/>
                <w:szCs w:val="18"/>
                <w:lang w:eastAsia="en-GB"/>
              </w:rPr>
            </w:pPr>
          </w:p>
        </w:tc>
      </w:tr>
      <w:tr w:rsidR="00912879" w:rsidRPr="00D1795B" w14:paraId="1887F0EF" w14:textId="77777777" w:rsidTr="00175C28">
        <w:trPr>
          <w:cantSplit/>
          <w:trHeight w:val="302"/>
          <w:jc w:val="center"/>
        </w:trPr>
        <w:tc>
          <w:tcPr>
            <w:tcW w:w="1702" w:type="dxa"/>
            <w:shd w:val="clear" w:color="auto" w:fill="C6EFCE"/>
            <w:noWrap/>
          </w:tcPr>
          <w:p w14:paraId="1887F0EA"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3</w:t>
            </w:r>
          </w:p>
        </w:tc>
        <w:tc>
          <w:tcPr>
            <w:tcW w:w="3963" w:type="dxa"/>
            <w:shd w:val="clear" w:color="auto" w:fill="C6EFCE"/>
            <w:noWrap/>
          </w:tcPr>
          <w:p w14:paraId="1887F0EB"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C1.1R2</w:t>
            </w:r>
          </w:p>
          <w:p w14:paraId="1887F0EC" w14:textId="77777777" w:rsidR="00C02B59" w:rsidRPr="00D1795B" w:rsidRDefault="00C02B59" w:rsidP="00C02B59">
            <w:pP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 xml:space="preserve">Design of an Electronic platform for the surveillance of Nosocomial Antibiotic Consumption and Healthcare – Associated Infections </w:t>
            </w:r>
          </w:p>
        </w:tc>
        <w:tc>
          <w:tcPr>
            <w:tcW w:w="1560" w:type="dxa"/>
            <w:shd w:val="clear" w:color="auto" w:fill="C6EFCE"/>
            <w:noWrap/>
          </w:tcPr>
          <w:p w14:paraId="1887F0ED"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924" w:type="dxa"/>
            <w:shd w:val="clear" w:color="auto" w:fill="C6EFCE"/>
            <w:noWrap/>
          </w:tcPr>
          <w:p w14:paraId="1887F0EE"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Adoption of the list of health care facilities </w:t>
            </w:r>
          </w:p>
        </w:tc>
      </w:tr>
      <w:tr w:rsidR="00912879" w:rsidRPr="00D1795B" w14:paraId="1887F0F5" w14:textId="77777777" w:rsidTr="00175C28">
        <w:trPr>
          <w:cantSplit/>
          <w:trHeight w:val="302"/>
          <w:jc w:val="center"/>
        </w:trPr>
        <w:tc>
          <w:tcPr>
            <w:tcW w:w="1702" w:type="dxa"/>
            <w:shd w:val="clear" w:color="auto" w:fill="C6EFCE"/>
            <w:noWrap/>
          </w:tcPr>
          <w:p w14:paraId="1887F0F0"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43</w:t>
            </w:r>
          </w:p>
        </w:tc>
        <w:tc>
          <w:tcPr>
            <w:tcW w:w="3963" w:type="dxa"/>
            <w:shd w:val="clear" w:color="auto" w:fill="C6EFCE"/>
            <w:noWrap/>
          </w:tcPr>
          <w:p w14:paraId="1887F0F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C2.1I8</w:t>
            </w:r>
          </w:p>
          <w:p w14:paraId="1887F0F2" w14:textId="77777777" w:rsidR="00C02B59" w:rsidRPr="00D1795B" w:rsidRDefault="00C02B59" w:rsidP="00C02B59">
            <w:pP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Monitoring and reduction of GHG emissions in agriculture</w:t>
            </w:r>
          </w:p>
        </w:tc>
        <w:tc>
          <w:tcPr>
            <w:tcW w:w="1560" w:type="dxa"/>
            <w:shd w:val="clear" w:color="auto" w:fill="C6EFCE"/>
            <w:noWrap/>
          </w:tcPr>
          <w:p w14:paraId="1887F0F3"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924" w:type="dxa"/>
            <w:shd w:val="clear" w:color="auto" w:fill="C6EFCE"/>
            <w:noWrap/>
          </w:tcPr>
          <w:p w14:paraId="1887F0F4"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Purchase and installation of monitoring units for measuring GHG emissions from agriculture</w:t>
            </w:r>
          </w:p>
        </w:tc>
      </w:tr>
      <w:tr w:rsidR="00912879" w:rsidRPr="00D1795B" w14:paraId="1887F0FB" w14:textId="77777777" w:rsidTr="00175C28">
        <w:trPr>
          <w:cantSplit/>
          <w:trHeight w:val="302"/>
          <w:jc w:val="center"/>
        </w:trPr>
        <w:tc>
          <w:tcPr>
            <w:tcW w:w="1702" w:type="dxa"/>
            <w:shd w:val="clear" w:color="auto" w:fill="C6EFCE"/>
            <w:noWrap/>
          </w:tcPr>
          <w:p w14:paraId="1887F0F6"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48</w:t>
            </w:r>
          </w:p>
        </w:tc>
        <w:tc>
          <w:tcPr>
            <w:tcW w:w="3963" w:type="dxa"/>
            <w:shd w:val="clear" w:color="auto" w:fill="C6EFCE"/>
            <w:noWrap/>
          </w:tcPr>
          <w:p w14:paraId="1887F0F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C2.1I10</w:t>
            </w:r>
          </w:p>
          <w:p w14:paraId="1887F0F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Market Management System to facilitate the opening of the electricity market to competition</w:t>
            </w:r>
          </w:p>
        </w:tc>
        <w:tc>
          <w:tcPr>
            <w:tcW w:w="1560" w:type="dxa"/>
            <w:shd w:val="clear" w:color="auto" w:fill="C6EFCE"/>
            <w:noWrap/>
          </w:tcPr>
          <w:p w14:paraId="1887F0F9"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924" w:type="dxa"/>
            <w:shd w:val="clear" w:color="auto" w:fill="C6EFCE"/>
            <w:noWrap/>
          </w:tcPr>
          <w:p w14:paraId="1887F0FA"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Installation of the Market Management System </w:t>
            </w:r>
          </w:p>
        </w:tc>
      </w:tr>
      <w:tr w:rsidR="00912879" w:rsidRPr="00D1795B" w14:paraId="1887F101" w14:textId="77777777" w:rsidTr="00175C28">
        <w:trPr>
          <w:cantSplit/>
          <w:trHeight w:val="302"/>
          <w:jc w:val="center"/>
        </w:trPr>
        <w:tc>
          <w:tcPr>
            <w:tcW w:w="1702" w:type="dxa"/>
            <w:shd w:val="clear" w:color="auto" w:fill="C6EFCE"/>
            <w:noWrap/>
          </w:tcPr>
          <w:p w14:paraId="1887F0FC"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74a</w:t>
            </w:r>
          </w:p>
        </w:tc>
        <w:tc>
          <w:tcPr>
            <w:tcW w:w="3963" w:type="dxa"/>
            <w:shd w:val="clear" w:color="auto" w:fill="C6EFCE"/>
            <w:noWrap/>
          </w:tcPr>
          <w:p w14:paraId="1887F0F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C2.3I4</w:t>
            </w:r>
          </w:p>
          <w:p w14:paraId="1887F0F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Smart Water and Sewerage Networks Management</w:t>
            </w:r>
          </w:p>
        </w:tc>
        <w:tc>
          <w:tcPr>
            <w:tcW w:w="1560" w:type="dxa"/>
            <w:shd w:val="clear" w:color="auto" w:fill="C6EFCE"/>
            <w:noWrap/>
          </w:tcPr>
          <w:p w14:paraId="1887F0FF"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2924" w:type="dxa"/>
            <w:shd w:val="clear" w:color="auto" w:fill="C6EFCE"/>
            <w:noWrap/>
          </w:tcPr>
          <w:p w14:paraId="1887F100"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Delivery and installation of photovoltaics at the Larnaca Wastewater Treatment Plant</w:t>
            </w:r>
          </w:p>
        </w:tc>
      </w:tr>
      <w:tr w:rsidR="00912879" w:rsidRPr="00D1795B" w14:paraId="1887F107" w14:textId="77777777" w:rsidTr="00175C28">
        <w:trPr>
          <w:cantSplit/>
          <w:trHeight w:val="302"/>
          <w:jc w:val="center"/>
        </w:trPr>
        <w:tc>
          <w:tcPr>
            <w:tcW w:w="1702" w:type="dxa"/>
            <w:shd w:val="clear" w:color="auto" w:fill="C6EFCE"/>
            <w:noWrap/>
          </w:tcPr>
          <w:p w14:paraId="1887F102"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86</w:t>
            </w:r>
          </w:p>
        </w:tc>
        <w:tc>
          <w:tcPr>
            <w:tcW w:w="3963" w:type="dxa"/>
            <w:shd w:val="clear" w:color="auto" w:fill="C6EFCE"/>
            <w:noWrap/>
          </w:tcPr>
          <w:p w14:paraId="1887F10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C3.1R1</w:t>
            </w:r>
          </w:p>
          <w:p w14:paraId="1887F10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Move agricultural practices from the 20</w:t>
            </w:r>
            <w:r w:rsidRPr="00D1795B">
              <w:rPr>
                <w:rFonts w:ascii="Times New Roman" w:hAnsi="Times New Roman" w:cs="Times New Roman"/>
                <w:noProof/>
                <w:sz w:val="18"/>
                <w:szCs w:val="18"/>
                <w:vertAlign w:val="superscript"/>
              </w:rPr>
              <w:t>th</w:t>
            </w:r>
            <w:r w:rsidRPr="00D1795B">
              <w:rPr>
                <w:rFonts w:ascii="Times New Roman" w:hAnsi="Times New Roman" w:cs="Times New Roman"/>
                <w:noProof/>
                <w:sz w:val="18"/>
                <w:szCs w:val="18"/>
              </w:rPr>
              <w:t xml:space="preserve"> century to the 21</w:t>
            </w:r>
            <w:r w:rsidRPr="00D1795B">
              <w:rPr>
                <w:rFonts w:ascii="Times New Roman" w:hAnsi="Times New Roman" w:cs="Times New Roman"/>
                <w:noProof/>
                <w:sz w:val="18"/>
                <w:szCs w:val="18"/>
                <w:vertAlign w:val="superscript"/>
              </w:rPr>
              <w:t>st</w:t>
            </w:r>
            <w:r w:rsidRPr="00D1795B">
              <w:rPr>
                <w:rFonts w:ascii="Times New Roman" w:hAnsi="Times New Roman" w:cs="Times New Roman"/>
                <w:noProof/>
                <w:sz w:val="18"/>
                <w:szCs w:val="18"/>
              </w:rPr>
              <w:t xml:space="preserve"> century by investing in a national centre for excellence in agri-tech</w:t>
            </w:r>
          </w:p>
        </w:tc>
        <w:tc>
          <w:tcPr>
            <w:tcW w:w="1560" w:type="dxa"/>
            <w:shd w:val="clear" w:color="auto" w:fill="C6EFCE"/>
            <w:noWrap/>
          </w:tcPr>
          <w:p w14:paraId="1887F10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924" w:type="dxa"/>
            <w:shd w:val="clear" w:color="auto" w:fill="C6EFCE"/>
            <w:noWrap/>
          </w:tcPr>
          <w:p w14:paraId="1887F106"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Masters in the wider domain of Agriculture</w:t>
            </w:r>
          </w:p>
        </w:tc>
      </w:tr>
      <w:tr w:rsidR="00912879" w:rsidRPr="00D1795B" w14:paraId="1887F10D" w14:textId="77777777" w:rsidTr="00175C28">
        <w:trPr>
          <w:cantSplit/>
          <w:trHeight w:val="302"/>
          <w:jc w:val="center"/>
        </w:trPr>
        <w:tc>
          <w:tcPr>
            <w:tcW w:w="1702" w:type="dxa"/>
            <w:shd w:val="clear" w:color="auto" w:fill="C6EFCE"/>
            <w:noWrap/>
          </w:tcPr>
          <w:p w14:paraId="1887F10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132</w:t>
            </w:r>
          </w:p>
        </w:tc>
        <w:tc>
          <w:tcPr>
            <w:tcW w:w="3963" w:type="dxa"/>
            <w:shd w:val="clear" w:color="auto" w:fill="C6EFCE"/>
            <w:noWrap/>
          </w:tcPr>
          <w:p w14:paraId="1887F109"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C3.2I4</w:t>
            </w:r>
          </w:p>
          <w:p w14:paraId="1887F10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Funding to organisations performing R&amp;D activities on dual technologies</w:t>
            </w:r>
          </w:p>
        </w:tc>
        <w:tc>
          <w:tcPr>
            <w:tcW w:w="1560" w:type="dxa"/>
            <w:shd w:val="clear" w:color="auto" w:fill="C6EFCE"/>
            <w:noWrap/>
          </w:tcPr>
          <w:p w14:paraId="1887F10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924" w:type="dxa"/>
            <w:shd w:val="clear" w:color="auto" w:fill="C6EFCE"/>
            <w:noWrap/>
          </w:tcPr>
          <w:p w14:paraId="1887F10C"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Signing of grant agreements which commit 80% of total budget for funding to organisations performing R&amp;D activities on dual technologies</w:t>
            </w:r>
          </w:p>
        </w:tc>
      </w:tr>
      <w:tr w:rsidR="00912879" w:rsidRPr="00D1795B" w14:paraId="1887F113" w14:textId="77777777" w:rsidTr="00175C28">
        <w:trPr>
          <w:cantSplit/>
          <w:trHeight w:val="302"/>
          <w:jc w:val="center"/>
        </w:trPr>
        <w:tc>
          <w:tcPr>
            <w:tcW w:w="1702" w:type="dxa"/>
            <w:shd w:val="clear" w:color="auto" w:fill="C6EFCE"/>
            <w:noWrap/>
          </w:tcPr>
          <w:p w14:paraId="1887F10E"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135</w:t>
            </w:r>
          </w:p>
        </w:tc>
        <w:tc>
          <w:tcPr>
            <w:tcW w:w="3963" w:type="dxa"/>
            <w:shd w:val="clear" w:color="auto" w:fill="C6EFCE"/>
            <w:noWrap/>
          </w:tcPr>
          <w:p w14:paraId="1887F10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C3.3R1</w:t>
            </w:r>
          </w:p>
          <w:p w14:paraId="1887F11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Facilitation of Strategic investments</w:t>
            </w:r>
          </w:p>
        </w:tc>
        <w:tc>
          <w:tcPr>
            <w:tcW w:w="1560" w:type="dxa"/>
            <w:shd w:val="clear" w:color="auto" w:fill="C6EFCE"/>
            <w:noWrap/>
          </w:tcPr>
          <w:p w14:paraId="1887F11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924" w:type="dxa"/>
            <w:shd w:val="clear" w:color="auto" w:fill="C6EFCE"/>
            <w:noWrap/>
          </w:tcPr>
          <w:p w14:paraId="1887F112"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Organisational capacity’s enhancement for the facilitation of strategic investments</w:t>
            </w:r>
          </w:p>
        </w:tc>
      </w:tr>
      <w:tr w:rsidR="00912879" w:rsidRPr="00D1795B" w14:paraId="1887F119" w14:textId="77777777" w:rsidTr="00175C28">
        <w:trPr>
          <w:cantSplit/>
          <w:trHeight w:val="302"/>
          <w:jc w:val="center"/>
        </w:trPr>
        <w:tc>
          <w:tcPr>
            <w:tcW w:w="1702" w:type="dxa"/>
            <w:shd w:val="clear" w:color="auto" w:fill="C6EFCE"/>
            <w:noWrap/>
          </w:tcPr>
          <w:p w14:paraId="1887F114"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140</w:t>
            </w:r>
          </w:p>
        </w:tc>
        <w:tc>
          <w:tcPr>
            <w:tcW w:w="3963" w:type="dxa"/>
            <w:shd w:val="clear" w:color="auto" w:fill="C6EFCE"/>
            <w:noWrap/>
          </w:tcPr>
          <w:p w14:paraId="1887F11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C3.3R4</w:t>
            </w:r>
          </w:p>
          <w:p w14:paraId="1887F11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Design and establish a National Promotional Agency </w:t>
            </w:r>
          </w:p>
        </w:tc>
        <w:tc>
          <w:tcPr>
            <w:tcW w:w="1560" w:type="dxa"/>
            <w:shd w:val="clear" w:color="auto" w:fill="C6EFCE"/>
            <w:noWrap/>
          </w:tcPr>
          <w:p w14:paraId="1887F117"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924" w:type="dxa"/>
            <w:shd w:val="clear" w:color="auto" w:fill="C6EFCE"/>
            <w:noWrap/>
          </w:tcPr>
          <w:p w14:paraId="1887F118"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Approval by the Council of Ministers of the roadmap for the creation and establishment of a National Promotional Agency</w:t>
            </w:r>
          </w:p>
        </w:tc>
      </w:tr>
      <w:tr w:rsidR="00912879" w:rsidRPr="00D1795B" w14:paraId="1887F11F" w14:textId="77777777" w:rsidTr="00175C28">
        <w:trPr>
          <w:cantSplit/>
          <w:trHeight w:val="302"/>
          <w:jc w:val="center"/>
        </w:trPr>
        <w:tc>
          <w:tcPr>
            <w:tcW w:w="1702" w:type="dxa"/>
            <w:shd w:val="clear" w:color="auto" w:fill="C6EFCE"/>
            <w:noWrap/>
          </w:tcPr>
          <w:p w14:paraId="1887F11A"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147</w:t>
            </w:r>
          </w:p>
        </w:tc>
        <w:tc>
          <w:tcPr>
            <w:tcW w:w="3963" w:type="dxa"/>
            <w:shd w:val="clear" w:color="auto" w:fill="C6EFCE"/>
            <w:noWrap/>
          </w:tcPr>
          <w:p w14:paraId="1887F11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C3.3I4</w:t>
            </w:r>
          </w:p>
          <w:p w14:paraId="1887F11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Scheme for the digital upgrade of enterprises </w:t>
            </w:r>
          </w:p>
        </w:tc>
        <w:tc>
          <w:tcPr>
            <w:tcW w:w="1560" w:type="dxa"/>
            <w:shd w:val="clear" w:color="auto" w:fill="C6EFCE"/>
            <w:noWrap/>
          </w:tcPr>
          <w:p w14:paraId="1887F11D"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924" w:type="dxa"/>
            <w:shd w:val="clear" w:color="auto" w:fill="C6EFCE"/>
            <w:noWrap/>
          </w:tcPr>
          <w:p w14:paraId="1887F11E"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Publication of call for proposals following approval of the scheme by the Council of Ministers</w:t>
            </w:r>
          </w:p>
        </w:tc>
      </w:tr>
      <w:tr w:rsidR="00912879" w:rsidRPr="00D1795B" w14:paraId="1887F125" w14:textId="77777777" w:rsidTr="00175C28">
        <w:trPr>
          <w:cantSplit/>
          <w:trHeight w:val="302"/>
          <w:jc w:val="center"/>
        </w:trPr>
        <w:tc>
          <w:tcPr>
            <w:tcW w:w="1702" w:type="dxa"/>
            <w:shd w:val="clear" w:color="auto" w:fill="C6EFCE"/>
            <w:noWrap/>
          </w:tcPr>
          <w:p w14:paraId="1887F120"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158</w:t>
            </w:r>
          </w:p>
        </w:tc>
        <w:tc>
          <w:tcPr>
            <w:tcW w:w="3963" w:type="dxa"/>
            <w:shd w:val="clear" w:color="auto" w:fill="C6EFCE"/>
            <w:noWrap/>
          </w:tcPr>
          <w:p w14:paraId="1887F121"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C3.4R2</w:t>
            </w:r>
          </w:p>
          <w:p w14:paraId="1887F12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Regulate flexible working arrangements in the public sector </w:t>
            </w:r>
          </w:p>
        </w:tc>
        <w:tc>
          <w:tcPr>
            <w:tcW w:w="1560" w:type="dxa"/>
            <w:shd w:val="clear" w:color="auto" w:fill="C6EFCE"/>
            <w:noWrap/>
          </w:tcPr>
          <w:p w14:paraId="1887F123"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924" w:type="dxa"/>
            <w:shd w:val="clear" w:color="auto" w:fill="C6EFCE"/>
            <w:noWrap/>
          </w:tcPr>
          <w:p w14:paraId="1887F124"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Decision on flexible working arrangements in the public sector</w:t>
            </w:r>
          </w:p>
        </w:tc>
      </w:tr>
      <w:tr w:rsidR="00912879" w:rsidRPr="00D1795B" w14:paraId="1887F12B" w14:textId="77777777" w:rsidTr="00175C28">
        <w:trPr>
          <w:cantSplit/>
          <w:trHeight w:val="302"/>
          <w:jc w:val="center"/>
        </w:trPr>
        <w:tc>
          <w:tcPr>
            <w:tcW w:w="1702" w:type="dxa"/>
            <w:shd w:val="clear" w:color="auto" w:fill="C6EFCE"/>
            <w:noWrap/>
          </w:tcPr>
          <w:p w14:paraId="1887F126"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193</w:t>
            </w:r>
          </w:p>
        </w:tc>
        <w:tc>
          <w:tcPr>
            <w:tcW w:w="3963" w:type="dxa"/>
            <w:shd w:val="clear" w:color="auto" w:fill="C6EFCE"/>
            <w:noWrap/>
          </w:tcPr>
          <w:p w14:paraId="1887F12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C3.5R3 </w:t>
            </w:r>
          </w:p>
          <w:p w14:paraId="1887F12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Strategy for addressing inadequacies of the property transaction system (title deeds)</w:t>
            </w:r>
          </w:p>
        </w:tc>
        <w:tc>
          <w:tcPr>
            <w:tcW w:w="1560" w:type="dxa"/>
            <w:shd w:val="clear" w:color="auto" w:fill="C6EFCE"/>
            <w:noWrap/>
          </w:tcPr>
          <w:p w14:paraId="1887F129"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2924" w:type="dxa"/>
            <w:shd w:val="clear" w:color="auto" w:fill="C6EFCE"/>
            <w:noWrap/>
          </w:tcPr>
          <w:p w14:paraId="1887F12A"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color w:val="000000" w:themeColor="text1"/>
                <w:sz w:val="18"/>
                <w:szCs w:val="18"/>
              </w:rPr>
              <w:t xml:space="preserve"> Reduction of backlog of cases for issuance of title deeds either by issuing title deeds or by rejecting the case</w:t>
            </w:r>
            <w:r w:rsidRPr="00D1795B">
              <w:rPr>
                <w:rFonts w:ascii="Times New Roman" w:hAnsi="Times New Roman" w:cs="Times New Roman"/>
                <w:noProof/>
                <w:sz w:val="18"/>
                <w:szCs w:val="18"/>
              </w:rPr>
              <w:t xml:space="preserve"> </w:t>
            </w:r>
          </w:p>
        </w:tc>
      </w:tr>
      <w:tr w:rsidR="00912879" w:rsidRPr="00D1795B" w14:paraId="1887F131" w14:textId="77777777" w:rsidTr="00175C28">
        <w:trPr>
          <w:cantSplit/>
          <w:trHeight w:val="302"/>
          <w:jc w:val="center"/>
        </w:trPr>
        <w:tc>
          <w:tcPr>
            <w:tcW w:w="1702" w:type="dxa"/>
            <w:shd w:val="clear" w:color="auto" w:fill="C6EFCE"/>
            <w:noWrap/>
          </w:tcPr>
          <w:p w14:paraId="1887F12C"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197</w:t>
            </w:r>
          </w:p>
        </w:tc>
        <w:tc>
          <w:tcPr>
            <w:tcW w:w="3963" w:type="dxa"/>
            <w:shd w:val="clear" w:color="auto" w:fill="C6EFCE"/>
            <w:noWrap/>
          </w:tcPr>
          <w:p w14:paraId="1887F12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C3.5R4 </w:t>
            </w:r>
          </w:p>
          <w:p w14:paraId="1887F12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New legal framework and system of exchange of data and credit bureau</w:t>
            </w:r>
          </w:p>
        </w:tc>
        <w:tc>
          <w:tcPr>
            <w:tcW w:w="1560" w:type="dxa"/>
            <w:shd w:val="clear" w:color="auto" w:fill="C6EFCE"/>
            <w:noWrap/>
          </w:tcPr>
          <w:p w14:paraId="1887F12F"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924" w:type="dxa"/>
            <w:shd w:val="clear" w:color="auto" w:fill="C6EFCE"/>
            <w:noWrap/>
          </w:tcPr>
          <w:p w14:paraId="1887F130"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Entry into force of the framework and system of exchange of data legislation </w:t>
            </w:r>
          </w:p>
        </w:tc>
      </w:tr>
      <w:tr w:rsidR="00912879" w:rsidRPr="00D1795B" w14:paraId="1887F137" w14:textId="77777777" w:rsidTr="00175C28">
        <w:trPr>
          <w:cantSplit/>
          <w:trHeight w:val="302"/>
          <w:jc w:val="center"/>
        </w:trPr>
        <w:tc>
          <w:tcPr>
            <w:tcW w:w="1702" w:type="dxa"/>
            <w:shd w:val="clear" w:color="auto" w:fill="C6EFCE"/>
            <w:noWrap/>
          </w:tcPr>
          <w:p w14:paraId="1887F132"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220</w:t>
            </w:r>
          </w:p>
        </w:tc>
        <w:tc>
          <w:tcPr>
            <w:tcW w:w="3963" w:type="dxa"/>
            <w:shd w:val="clear" w:color="auto" w:fill="C6EFCE"/>
            <w:noWrap/>
          </w:tcPr>
          <w:p w14:paraId="1887F13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C4.1I2</w:t>
            </w:r>
          </w:p>
          <w:p w14:paraId="1887F13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Upgrade internet connection to be “Gigabit-ready” and promote connectivity take-up </w:t>
            </w:r>
          </w:p>
        </w:tc>
        <w:tc>
          <w:tcPr>
            <w:tcW w:w="1560" w:type="dxa"/>
            <w:shd w:val="clear" w:color="auto" w:fill="C6EFCE"/>
            <w:noWrap/>
          </w:tcPr>
          <w:p w14:paraId="1887F13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2924" w:type="dxa"/>
            <w:shd w:val="clear" w:color="auto" w:fill="C6EFCE"/>
            <w:noWrap/>
          </w:tcPr>
          <w:p w14:paraId="1887F136"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Expansion of Gigabit-ready internet connection take-up by households</w:t>
            </w:r>
          </w:p>
        </w:tc>
      </w:tr>
      <w:tr w:rsidR="00912879" w:rsidRPr="00D1795B" w14:paraId="1887F13D" w14:textId="77777777" w:rsidTr="00175C28">
        <w:trPr>
          <w:cantSplit/>
          <w:trHeight w:val="302"/>
          <w:jc w:val="center"/>
        </w:trPr>
        <w:tc>
          <w:tcPr>
            <w:tcW w:w="1702" w:type="dxa"/>
            <w:shd w:val="clear" w:color="auto" w:fill="C6EFCE"/>
            <w:noWrap/>
          </w:tcPr>
          <w:p w14:paraId="1887F13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229</w:t>
            </w:r>
          </w:p>
        </w:tc>
        <w:tc>
          <w:tcPr>
            <w:tcW w:w="3963" w:type="dxa"/>
            <w:shd w:val="clear" w:color="auto" w:fill="C6EFCE"/>
            <w:noWrap/>
          </w:tcPr>
          <w:p w14:paraId="1887F139"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C4.2R3</w:t>
            </w:r>
          </w:p>
          <w:p w14:paraId="1887F13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Police Procedures digitalisation on Digipol</w:t>
            </w:r>
          </w:p>
        </w:tc>
        <w:tc>
          <w:tcPr>
            <w:tcW w:w="1560" w:type="dxa"/>
            <w:shd w:val="clear" w:color="auto" w:fill="C6EFCE"/>
            <w:noWrap/>
          </w:tcPr>
          <w:p w14:paraId="1887F13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924" w:type="dxa"/>
            <w:shd w:val="clear" w:color="auto" w:fill="C6EFCE"/>
            <w:noWrap/>
          </w:tcPr>
          <w:p w14:paraId="1887F13C"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Digipol prototype operational </w:t>
            </w:r>
          </w:p>
        </w:tc>
      </w:tr>
      <w:tr w:rsidR="00912879" w:rsidRPr="00D1795B" w14:paraId="1887F143" w14:textId="77777777" w:rsidTr="00175C28">
        <w:trPr>
          <w:cantSplit/>
          <w:trHeight w:val="302"/>
          <w:jc w:val="center"/>
        </w:trPr>
        <w:tc>
          <w:tcPr>
            <w:tcW w:w="1702" w:type="dxa"/>
            <w:shd w:val="clear" w:color="auto" w:fill="C6EFCE"/>
            <w:noWrap/>
          </w:tcPr>
          <w:p w14:paraId="1887F13E"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236</w:t>
            </w:r>
          </w:p>
        </w:tc>
        <w:tc>
          <w:tcPr>
            <w:tcW w:w="3963" w:type="dxa"/>
            <w:shd w:val="clear" w:color="auto" w:fill="C6EFCE"/>
            <w:noWrap/>
          </w:tcPr>
          <w:p w14:paraId="1887F13F"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C4.2I2</w:t>
            </w:r>
          </w:p>
          <w:p w14:paraId="1887F14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Digitalisation of the Cyprus Ports Authority</w:t>
            </w:r>
          </w:p>
        </w:tc>
        <w:tc>
          <w:tcPr>
            <w:tcW w:w="1560" w:type="dxa"/>
            <w:shd w:val="clear" w:color="auto" w:fill="C6EFCE"/>
            <w:noWrap/>
          </w:tcPr>
          <w:p w14:paraId="1887F14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2924" w:type="dxa"/>
            <w:shd w:val="clear" w:color="auto" w:fill="C6EFCE"/>
            <w:noWrap/>
          </w:tcPr>
          <w:p w14:paraId="1887F142"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Start of the digital upgrade of the Cyprus Ports Authority</w:t>
            </w:r>
          </w:p>
        </w:tc>
      </w:tr>
      <w:tr w:rsidR="00912879" w:rsidRPr="00D1795B" w14:paraId="1887F149" w14:textId="77777777" w:rsidTr="00175C28">
        <w:trPr>
          <w:cantSplit/>
          <w:trHeight w:val="302"/>
          <w:jc w:val="center"/>
        </w:trPr>
        <w:tc>
          <w:tcPr>
            <w:tcW w:w="1702" w:type="dxa"/>
            <w:shd w:val="clear" w:color="auto" w:fill="C6EFCE"/>
            <w:noWrap/>
          </w:tcPr>
          <w:p w14:paraId="1887F144"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255</w:t>
            </w:r>
          </w:p>
        </w:tc>
        <w:tc>
          <w:tcPr>
            <w:tcW w:w="3963" w:type="dxa"/>
            <w:shd w:val="clear" w:color="auto" w:fill="C6EFCE"/>
            <w:noWrap/>
          </w:tcPr>
          <w:p w14:paraId="1887F145"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C5.2R2</w:t>
            </w:r>
          </w:p>
          <w:p w14:paraId="1887F146"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Flexible Work Arrangements in the Form of Telework</w:t>
            </w:r>
          </w:p>
        </w:tc>
        <w:tc>
          <w:tcPr>
            <w:tcW w:w="1560" w:type="dxa"/>
            <w:shd w:val="clear" w:color="auto" w:fill="C6EFCE"/>
            <w:noWrap/>
          </w:tcPr>
          <w:p w14:paraId="1887F147"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924" w:type="dxa"/>
            <w:shd w:val="clear" w:color="auto" w:fill="C6EFCE"/>
            <w:noWrap/>
          </w:tcPr>
          <w:p w14:paraId="1887F148"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Entry into force of the law for flexible work arrangements in the form of telework</w:t>
            </w:r>
          </w:p>
        </w:tc>
      </w:tr>
      <w:tr w:rsidR="00B70EBF" w:rsidRPr="00D1795B" w14:paraId="1887F14E" w14:textId="77777777" w:rsidTr="00175C28">
        <w:trPr>
          <w:cantSplit/>
          <w:trHeight w:val="302"/>
          <w:jc w:val="center"/>
        </w:trPr>
        <w:tc>
          <w:tcPr>
            <w:tcW w:w="1702" w:type="dxa"/>
            <w:shd w:val="clear" w:color="auto" w:fill="C6EFCE"/>
            <w:noWrap/>
            <w:vAlign w:val="bottom"/>
          </w:tcPr>
          <w:p w14:paraId="1887F14A" w14:textId="77777777" w:rsidR="00C02B59" w:rsidRPr="00D1795B" w:rsidRDefault="00C02B59" w:rsidP="00C02B59">
            <w:pPr>
              <w:spacing w:after="0"/>
              <w:jc w:val="center"/>
              <w:rPr>
                <w:rFonts w:ascii="Times New Roman" w:eastAsia="Times New Roman" w:hAnsi="Times New Roman" w:cs="Times New Roman"/>
                <w:noProof/>
                <w:color w:val="006100"/>
                <w:sz w:val="18"/>
                <w:szCs w:val="18"/>
                <w:lang w:eastAsia="en-GB"/>
              </w:rPr>
            </w:pPr>
          </w:p>
        </w:tc>
        <w:tc>
          <w:tcPr>
            <w:tcW w:w="3963" w:type="dxa"/>
            <w:shd w:val="clear" w:color="auto" w:fill="C6EFCE"/>
            <w:noWrap/>
            <w:vAlign w:val="bottom"/>
          </w:tcPr>
          <w:p w14:paraId="1887F14B" w14:textId="77777777" w:rsidR="00C02B59" w:rsidRPr="00D1795B" w:rsidRDefault="00C02B59" w:rsidP="00C02B59">
            <w:pPr>
              <w:spacing w:after="0"/>
              <w:rPr>
                <w:rFonts w:ascii="Times New Roman" w:eastAsia="Times New Roman" w:hAnsi="Times New Roman" w:cs="Times New Roman"/>
                <w:noProof/>
                <w:color w:val="006100"/>
                <w:sz w:val="18"/>
                <w:szCs w:val="18"/>
                <w:lang w:eastAsia="en-GB"/>
              </w:rPr>
            </w:pPr>
          </w:p>
        </w:tc>
        <w:tc>
          <w:tcPr>
            <w:tcW w:w="1560" w:type="dxa"/>
            <w:shd w:val="clear" w:color="auto" w:fill="C6EFCE"/>
            <w:noWrap/>
            <w:vAlign w:val="bottom"/>
            <w:hideMark/>
          </w:tcPr>
          <w:p w14:paraId="1887F14C"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color w:val="006100"/>
                <w:sz w:val="18"/>
                <w:szCs w:val="18"/>
              </w:rPr>
              <w:t>Instalment Amount</w:t>
            </w:r>
          </w:p>
        </w:tc>
        <w:tc>
          <w:tcPr>
            <w:tcW w:w="2924" w:type="dxa"/>
            <w:shd w:val="clear" w:color="auto" w:fill="C6EFCE"/>
            <w:noWrap/>
            <w:vAlign w:val="bottom"/>
            <w:hideMark/>
          </w:tcPr>
          <w:p w14:paraId="1887F14D" w14:textId="77777777" w:rsidR="00C02B59" w:rsidRPr="00D1795B" w:rsidRDefault="00C02B59" w:rsidP="00C02B59">
            <w:pPr>
              <w:spacing w:after="0"/>
              <w:rPr>
                <w:rFonts w:ascii="Times New Roman" w:eastAsia="Times New Roman" w:hAnsi="Times New Roman" w:cs="Times New Roman"/>
                <w:noProof/>
                <w:color w:val="006100"/>
                <w:sz w:val="18"/>
                <w:szCs w:val="18"/>
              </w:rPr>
            </w:pPr>
            <w:r w:rsidRPr="00D1795B">
              <w:rPr>
                <w:rFonts w:ascii="Times New Roman" w:hAnsi="Times New Roman" w:cs="Times New Roman"/>
                <w:noProof/>
                <w:color w:val="006100"/>
                <w:sz w:val="18"/>
                <w:szCs w:val="18"/>
              </w:rPr>
              <w:t>EUR 89 251 156</w:t>
            </w:r>
          </w:p>
        </w:tc>
      </w:tr>
    </w:tbl>
    <w:p w14:paraId="1887F14F" w14:textId="77777777" w:rsidR="00C02B59" w:rsidRPr="00D1795B" w:rsidRDefault="00C02B59" w:rsidP="00C02B59">
      <w:pPr>
        <w:pStyle w:val="NumPar2"/>
        <w:numPr>
          <w:ilvl w:val="0"/>
          <w:numId w:val="0"/>
        </w:numPr>
        <w:ind w:left="850"/>
        <w:rPr>
          <w:noProof/>
          <w:lang w:val="en-GB"/>
        </w:rPr>
      </w:pPr>
    </w:p>
    <w:p w14:paraId="1887F150" w14:textId="77777777" w:rsidR="00C02B59" w:rsidRPr="00D1795B" w:rsidRDefault="00C02B59" w:rsidP="00C02B59">
      <w:pPr>
        <w:pStyle w:val="NumPar2"/>
        <w:tabs>
          <w:tab w:val="num" w:pos="850"/>
        </w:tabs>
        <w:ind w:left="850" w:hanging="850"/>
        <w:rPr>
          <w:noProof/>
          <w:lang w:val="en-GB"/>
        </w:rPr>
      </w:pPr>
      <w:r w:rsidRPr="00D1795B">
        <w:rPr>
          <w:noProof/>
          <w:lang w:val="en-GB"/>
        </w:rPr>
        <w:t xml:space="preserve">Fifth Instalment (non-repayable support): </w:t>
      </w:r>
    </w:p>
    <w:tbl>
      <w:tblPr>
        <w:tblW w:w="9949" w:type="dxa"/>
        <w:jc w:val="center"/>
        <w:tblLook w:val="04A0" w:firstRow="1" w:lastRow="0" w:firstColumn="1" w:lastColumn="0" w:noHBand="0" w:noVBand="1"/>
      </w:tblPr>
      <w:tblGrid>
        <w:gridCol w:w="1702"/>
        <w:gridCol w:w="4110"/>
        <w:gridCol w:w="1418"/>
        <w:gridCol w:w="2719"/>
      </w:tblGrid>
      <w:tr w:rsidR="00140D42" w:rsidRPr="00D1795B" w14:paraId="1887F155" w14:textId="77777777" w:rsidTr="00175C28">
        <w:trPr>
          <w:cantSplit/>
          <w:trHeight w:val="509"/>
          <w:tblHeader/>
          <w:jc w:val="center"/>
        </w:trPr>
        <w:tc>
          <w:tcPr>
            <w:tcW w:w="17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F151"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F152"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F153" w14:textId="5FD64D9E"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Milestone/</w:t>
            </w:r>
            <w:r w:rsidR="00175C28" w:rsidRPr="00D1795B">
              <w:rPr>
                <w:rFonts w:ascii="Times New Roman" w:hAnsi="Times New Roman" w:cs="Times New Roman"/>
                <w:b/>
                <w:noProof/>
                <w:sz w:val="18"/>
                <w:szCs w:val="18"/>
              </w:rPr>
              <w:br/>
            </w:r>
            <w:r w:rsidRPr="00D1795B">
              <w:rPr>
                <w:rFonts w:ascii="Times New Roman" w:hAnsi="Times New Roman" w:cs="Times New Roman"/>
                <w:b/>
                <w:noProof/>
                <w:sz w:val="18"/>
                <w:szCs w:val="18"/>
              </w:rPr>
              <w:t>Target</w:t>
            </w:r>
          </w:p>
        </w:tc>
        <w:tc>
          <w:tcPr>
            <w:tcW w:w="271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7F154"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Name</w:t>
            </w:r>
          </w:p>
        </w:tc>
      </w:tr>
      <w:tr w:rsidR="00C02B59" w:rsidRPr="00D1795B" w14:paraId="1887F15A" w14:textId="77777777" w:rsidTr="00175C28">
        <w:trPr>
          <w:cantSplit/>
          <w:trHeight w:val="509"/>
          <w:tblHeader/>
          <w:jc w:val="center"/>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1887F156"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1887F157"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887F158" w14:textId="77777777" w:rsidR="00C02B59" w:rsidRPr="00D1795B" w:rsidRDefault="00C02B59" w:rsidP="00C02B59">
            <w:pPr>
              <w:spacing w:after="0"/>
              <w:jc w:val="center"/>
              <w:rPr>
                <w:rFonts w:ascii="Times New Roman" w:eastAsia="Times New Roman" w:hAnsi="Times New Roman" w:cs="Times New Roman"/>
                <w:b/>
                <w:noProof/>
                <w:sz w:val="18"/>
                <w:szCs w:val="18"/>
                <w:lang w:eastAsia="en-GB"/>
              </w:rPr>
            </w:pPr>
          </w:p>
        </w:tc>
        <w:tc>
          <w:tcPr>
            <w:tcW w:w="2719" w:type="dxa"/>
            <w:vMerge/>
            <w:tcBorders>
              <w:top w:val="single" w:sz="4" w:space="0" w:color="auto"/>
              <w:left w:val="single" w:sz="4" w:space="0" w:color="auto"/>
              <w:bottom w:val="single" w:sz="4" w:space="0" w:color="auto"/>
              <w:right w:val="single" w:sz="4" w:space="0" w:color="auto"/>
            </w:tcBorders>
            <w:vAlign w:val="center"/>
            <w:hideMark/>
          </w:tcPr>
          <w:p w14:paraId="1887F159" w14:textId="77777777" w:rsidR="00C02B59" w:rsidRPr="00D1795B" w:rsidRDefault="00C02B59" w:rsidP="00C02B59">
            <w:pPr>
              <w:spacing w:after="0"/>
              <w:jc w:val="both"/>
              <w:rPr>
                <w:rFonts w:ascii="Times New Roman" w:eastAsia="Times New Roman" w:hAnsi="Times New Roman" w:cs="Times New Roman"/>
                <w:b/>
                <w:noProof/>
                <w:sz w:val="18"/>
                <w:szCs w:val="18"/>
                <w:lang w:eastAsia="en-GB"/>
              </w:rPr>
            </w:pPr>
          </w:p>
        </w:tc>
      </w:tr>
      <w:tr w:rsidR="00912879" w:rsidRPr="00D1795B" w14:paraId="1887F160" w14:textId="77777777" w:rsidTr="00175C28">
        <w:trPr>
          <w:cantSplit/>
          <w:trHeight w:val="302"/>
          <w:jc w:val="center"/>
        </w:trPr>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887F15B"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9</w:t>
            </w:r>
          </w:p>
        </w:tc>
        <w:tc>
          <w:tcPr>
            <w:tcW w:w="4110" w:type="dxa"/>
            <w:tcBorders>
              <w:top w:val="single" w:sz="4" w:space="0" w:color="auto"/>
              <w:left w:val="nil"/>
              <w:bottom w:val="single" w:sz="4" w:space="0" w:color="auto"/>
              <w:right w:val="single" w:sz="4" w:space="0" w:color="auto"/>
            </w:tcBorders>
            <w:shd w:val="clear" w:color="auto" w:fill="C6EFCE"/>
            <w:noWrap/>
          </w:tcPr>
          <w:p w14:paraId="1887F15C"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C1.1I3</w:t>
            </w:r>
          </w:p>
          <w:p w14:paraId="1887F15D" w14:textId="77777777" w:rsidR="00C02B59" w:rsidRPr="00D1795B" w:rsidRDefault="00C02B59" w:rsidP="00C02B59">
            <w:pP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Purchase/replacement of medical equipment in hospitals</w:t>
            </w:r>
          </w:p>
        </w:tc>
        <w:tc>
          <w:tcPr>
            <w:tcW w:w="1418" w:type="dxa"/>
            <w:tcBorders>
              <w:top w:val="single" w:sz="4" w:space="0" w:color="auto"/>
              <w:left w:val="nil"/>
              <w:bottom w:val="single" w:sz="4" w:space="0" w:color="auto"/>
              <w:right w:val="single" w:sz="4" w:space="0" w:color="auto"/>
            </w:tcBorders>
            <w:shd w:val="clear" w:color="auto" w:fill="C6EFCE"/>
            <w:noWrap/>
          </w:tcPr>
          <w:p w14:paraId="1887F15E"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2719" w:type="dxa"/>
            <w:tcBorders>
              <w:top w:val="single" w:sz="4" w:space="0" w:color="auto"/>
              <w:left w:val="nil"/>
              <w:bottom w:val="single" w:sz="4" w:space="0" w:color="auto"/>
              <w:right w:val="single" w:sz="4" w:space="0" w:color="auto"/>
            </w:tcBorders>
            <w:shd w:val="clear" w:color="auto" w:fill="C6EFCE"/>
            <w:noWrap/>
          </w:tcPr>
          <w:p w14:paraId="1887F15F"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Health institutions having benefitted from the financial support scheme </w:t>
            </w:r>
          </w:p>
        </w:tc>
      </w:tr>
      <w:tr w:rsidR="00B70EBF" w:rsidRPr="00D1795B" w14:paraId="1887F166"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61"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13</w:t>
            </w:r>
          </w:p>
        </w:tc>
        <w:tc>
          <w:tcPr>
            <w:tcW w:w="4110" w:type="dxa"/>
            <w:tcBorders>
              <w:top w:val="nil"/>
              <w:left w:val="nil"/>
              <w:bottom w:val="single" w:sz="4" w:space="0" w:color="auto"/>
              <w:right w:val="single" w:sz="4" w:space="0" w:color="auto"/>
            </w:tcBorders>
            <w:shd w:val="clear" w:color="auto" w:fill="C6EFCE"/>
            <w:noWrap/>
          </w:tcPr>
          <w:p w14:paraId="1887F162"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C1.1I6</w:t>
            </w:r>
          </w:p>
          <w:p w14:paraId="1887F163" w14:textId="77777777" w:rsidR="00C02B59" w:rsidRPr="00D1795B" w:rsidRDefault="00C02B59" w:rsidP="00C02B59">
            <w:pP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Deployment of generic cross border e-health services in Cyprus</w:t>
            </w:r>
          </w:p>
        </w:tc>
        <w:tc>
          <w:tcPr>
            <w:tcW w:w="1418" w:type="dxa"/>
            <w:tcBorders>
              <w:top w:val="nil"/>
              <w:left w:val="nil"/>
              <w:bottom w:val="single" w:sz="4" w:space="0" w:color="auto"/>
              <w:right w:val="single" w:sz="4" w:space="0" w:color="auto"/>
            </w:tcBorders>
            <w:shd w:val="clear" w:color="auto" w:fill="C6EFCE"/>
            <w:noWrap/>
          </w:tcPr>
          <w:p w14:paraId="1887F164"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719" w:type="dxa"/>
            <w:tcBorders>
              <w:top w:val="nil"/>
              <w:left w:val="nil"/>
              <w:bottom w:val="single" w:sz="4" w:space="0" w:color="auto"/>
              <w:right w:val="single" w:sz="4" w:space="0" w:color="auto"/>
            </w:tcBorders>
            <w:shd w:val="clear" w:color="auto" w:fill="C6EFCE"/>
            <w:noWrap/>
          </w:tcPr>
          <w:p w14:paraId="1887F165"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Completion of the analysis, design and development phase of the IT System for cross-border e-health services</w:t>
            </w:r>
          </w:p>
        </w:tc>
      </w:tr>
      <w:tr w:rsidR="00B70EBF" w:rsidRPr="00D1795B" w14:paraId="1887F16C"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67"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28a</w:t>
            </w:r>
          </w:p>
        </w:tc>
        <w:tc>
          <w:tcPr>
            <w:tcW w:w="4110" w:type="dxa"/>
            <w:tcBorders>
              <w:top w:val="nil"/>
              <w:left w:val="nil"/>
              <w:bottom w:val="single" w:sz="4" w:space="0" w:color="auto"/>
              <w:right w:val="single" w:sz="4" w:space="0" w:color="auto"/>
            </w:tcBorders>
            <w:shd w:val="clear" w:color="auto" w:fill="C6EFCE"/>
            <w:noWrap/>
          </w:tcPr>
          <w:p w14:paraId="1887F16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C2.1I2</w:t>
            </w:r>
          </w:p>
          <w:p w14:paraId="1887F169" w14:textId="77777777" w:rsidR="00C02B59" w:rsidRPr="00D1795B" w:rsidRDefault="00C02B59" w:rsidP="00C02B59">
            <w:pP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Promoting renewables and individual energy efficiency measures in dwellings and tackling energy poverty in households with vulnerable electricity consumers</w:t>
            </w:r>
          </w:p>
        </w:tc>
        <w:tc>
          <w:tcPr>
            <w:tcW w:w="1418" w:type="dxa"/>
            <w:tcBorders>
              <w:top w:val="nil"/>
              <w:left w:val="nil"/>
              <w:bottom w:val="single" w:sz="4" w:space="0" w:color="auto"/>
              <w:right w:val="single" w:sz="4" w:space="0" w:color="auto"/>
            </w:tcBorders>
            <w:shd w:val="clear" w:color="auto" w:fill="C6EFCE"/>
            <w:noWrap/>
          </w:tcPr>
          <w:p w14:paraId="1887F16A"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2719" w:type="dxa"/>
            <w:tcBorders>
              <w:top w:val="nil"/>
              <w:left w:val="nil"/>
              <w:bottom w:val="single" w:sz="4" w:space="0" w:color="auto"/>
              <w:right w:val="single" w:sz="4" w:space="0" w:color="auto"/>
            </w:tcBorders>
            <w:shd w:val="clear" w:color="auto" w:fill="C6EFCE"/>
            <w:noWrap/>
          </w:tcPr>
          <w:p w14:paraId="1887F16B"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Dwellings and households with vulnerable electricity consumers (including people with disabilities) having improved their energy performance </w:t>
            </w:r>
          </w:p>
        </w:tc>
      </w:tr>
      <w:tr w:rsidR="00B70EBF" w:rsidRPr="00D1795B" w14:paraId="1887F172"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6D"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36</w:t>
            </w:r>
          </w:p>
        </w:tc>
        <w:tc>
          <w:tcPr>
            <w:tcW w:w="4110" w:type="dxa"/>
            <w:tcBorders>
              <w:top w:val="nil"/>
              <w:left w:val="nil"/>
              <w:bottom w:val="single" w:sz="4" w:space="0" w:color="auto"/>
              <w:right w:val="single" w:sz="4" w:space="0" w:color="auto"/>
            </w:tcBorders>
            <w:shd w:val="clear" w:color="auto" w:fill="C6EFCE"/>
            <w:noWrap/>
          </w:tcPr>
          <w:p w14:paraId="1887F16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C2.1I5</w:t>
            </w:r>
          </w:p>
          <w:p w14:paraId="1887F16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Energy Efficiency Upgrading of public buildings</w:t>
            </w:r>
          </w:p>
        </w:tc>
        <w:tc>
          <w:tcPr>
            <w:tcW w:w="1418" w:type="dxa"/>
            <w:tcBorders>
              <w:top w:val="nil"/>
              <w:left w:val="nil"/>
              <w:bottom w:val="single" w:sz="4" w:space="0" w:color="auto"/>
              <w:right w:val="single" w:sz="4" w:space="0" w:color="auto"/>
            </w:tcBorders>
            <w:shd w:val="clear" w:color="auto" w:fill="C6EFCE"/>
            <w:noWrap/>
          </w:tcPr>
          <w:p w14:paraId="1887F170"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2719" w:type="dxa"/>
            <w:tcBorders>
              <w:top w:val="nil"/>
              <w:left w:val="nil"/>
              <w:bottom w:val="single" w:sz="4" w:space="0" w:color="auto"/>
              <w:right w:val="single" w:sz="4" w:space="0" w:color="auto"/>
            </w:tcBorders>
            <w:shd w:val="clear" w:color="auto" w:fill="C6EFCE"/>
            <w:noWrap/>
          </w:tcPr>
          <w:p w14:paraId="1887F171"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Completion of set up and installation of photovoltaics system at the Nicosia General Hospital </w:t>
            </w:r>
          </w:p>
        </w:tc>
      </w:tr>
      <w:tr w:rsidR="00B70EBF" w:rsidRPr="00D1795B" w14:paraId="1887F178"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73"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38</w:t>
            </w:r>
          </w:p>
        </w:tc>
        <w:tc>
          <w:tcPr>
            <w:tcW w:w="4110" w:type="dxa"/>
            <w:tcBorders>
              <w:top w:val="nil"/>
              <w:left w:val="nil"/>
              <w:bottom w:val="single" w:sz="4" w:space="0" w:color="auto"/>
              <w:right w:val="single" w:sz="4" w:space="0" w:color="auto"/>
            </w:tcBorders>
            <w:shd w:val="clear" w:color="auto" w:fill="C6EFCE"/>
            <w:noWrap/>
          </w:tcPr>
          <w:p w14:paraId="1887F17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C2.1I6</w:t>
            </w:r>
          </w:p>
          <w:p w14:paraId="1887F17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Upgrading renewable energy and smart grids testing infrastructure at the University of Cyprus</w:t>
            </w:r>
          </w:p>
        </w:tc>
        <w:tc>
          <w:tcPr>
            <w:tcW w:w="1418" w:type="dxa"/>
            <w:tcBorders>
              <w:top w:val="nil"/>
              <w:left w:val="nil"/>
              <w:bottom w:val="single" w:sz="4" w:space="0" w:color="auto"/>
              <w:right w:val="single" w:sz="4" w:space="0" w:color="auto"/>
            </w:tcBorders>
            <w:shd w:val="clear" w:color="auto" w:fill="C6EFCE"/>
            <w:noWrap/>
          </w:tcPr>
          <w:p w14:paraId="1887F176"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719" w:type="dxa"/>
            <w:tcBorders>
              <w:top w:val="nil"/>
              <w:left w:val="nil"/>
              <w:bottom w:val="single" w:sz="4" w:space="0" w:color="auto"/>
              <w:right w:val="single" w:sz="4" w:space="0" w:color="auto"/>
            </w:tcBorders>
            <w:shd w:val="clear" w:color="auto" w:fill="C6EFCE"/>
            <w:noWrap/>
          </w:tcPr>
          <w:p w14:paraId="1887F177"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Signature of contracts for the installation of equipment to upgrade the electricity grid into a smart grid</w:t>
            </w:r>
          </w:p>
        </w:tc>
      </w:tr>
      <w:tr w:rsidR="00B70EBF" w:rsidRPr="00D1795B" w14:paraId="1887F17E"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79"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55</w:t>
            </w:r>
          </w:p>
        </w:tc>
        <w:tc>
          <w:tcPr>
            <w:tcW w:w="4110" w:type="dxa"/>
            <w:tcBorders>
              <w:top w:val="nil"/>
              <w:left w:val="nil"/>
              <w:bottom w:val="single" w:sz="4" w:space="0" w:color="auto"/>
              <w:right w:val="single" w:sz="4" w:space="0" w:color="auto"/>
            </w:tcBorders>
            <w:shd w:val="clear" w:color="auto" w:fill="C6EFCE"/>
            <w:noWrap/>
          </w:tcPr>
          <w:p w14:paraId="1887F17A"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C2.2R3</w:t>
            </w:r>
          </w:p>
          <w:p w14:paraId="1887F17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Progressively phase out the most polluting vehicles, especially in polluted urban areas</w:t>
            </w:r>
          </w:p>
        </w:tc>
        <w:tc>
          <w:tcPr>
            <w:tcW w:w="1418" w:type="dxa"/>
            <w:tcBorders>
              <w:top w:val="nil"/>
              <w:left w:val="nil"/>
              <w:bottom w:val="single" w:sz="4" w:space="0" w:color="auto"/>
              <w:right w:val="single" w:sz="4" w:space="0" w:color="auto"/>
            </w:tcBorders>
            <w:shd w:val="clear" w:color="auto" w:fill="C6EFCE"/>
            <w:noWrap/>
          </w:tcPr>
          <w:p w14:paraId="1887F17C"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719" w:type="dxa"/>
            <w:tcBorders>
              <w:top w:val="nil"/>
              <w:left w:val="nil"/>
              <w:bottom w:val="single" w:sz="4" w:space="0" w:color="auto"/>
              <w:right w:val="single" w:sz="4" w:space="0" w:color="auto"/>
            </w:tcBorders>
            <w:shd w:val="clear" w:color="auto" w:fill="C6EFCE"/>
            <w:noWrap/>
          </w:tcPr>
          <w:p w14:paraId="1887F17D"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legislative act related to the phasing out of the most polluting vehicles</w:t>
            </w:r>
          </w:p>
        </w:tc>
      </w:tr>
      <w:tr w:rsidR="00B70EBF" w:rsidRPr="00D1795B" w14:paraId="1887F184"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7F" w14:textId="77777777" w:rsidR="00C02B59" w:rsidRPr="00D1795B" w:rsidDel="5562373A"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100</w:t>
            </w:r>
          </w:p>
        </w:tc>
        <w:tc>
          <w:tcPr>
            <w:tcW w:w="4110" w:type="dxa"/>
            <w:tcBorders>
              <w:top w:val="nil"/>
              <w:left w:val="nil"/>
              <w:bottom w:val="single" w:sz="4" w:space="0" w:color="auto"/>
              <w:right w:val="single" w:sz="4" w:space="0" w:color="auto"/>
            </w:tcBorders>
            <w:shd w:val="clear" w:color="auto" w:fill="C6EFCE"/>
            <w:noWrap/>
          </w:tcPr>
          <w:p w14:paraId="1887F18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C3.1I7</w:t>
            </w:r>
          </w:p>
          <w:p w14:paraId="1887F181" w14:textId="77777777" w:rsidR="00C02B59" w:rsidRPr="00D1795B" w:rsidDel="5562373A"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Scheme for the enhancement of the competitiveness and/or the energy efficiency of large enterprises in Cyprus</w:t>
            </w:r>
          </w:p>
        </w:tc>
        <w:tc>
          <w:tcPr>
            <w:tcW w:w="1418" w:type="dxa"/>
            <w:tcBorders>
              <w:top w:val="nil"/>
              <w:left w:val="nil"/>
              <w:bottom w:val="single" w:sz="4" w:space="0" w:color="auto"/>
              <w:right w:val="single" w:sz="4" w:space="0" w:color="auto"/>
            </w:tcBorders>
            <w:shd w:val="clear" w:color="auto" w:fill="C6EFCE"/>
            <w:noWrap/>
          </w:tcPr>
          <w:p w14:paraId="1887F182" w14:textId="77777777" w:rsidR="00C02B59" w:rsidRPr="00D1795B" w:rsidDel="5562373A"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719" w:type="dxa"/>
            <w:tcBorders>
              <w:top w:val="nil"/>
              <w:left w:val="nil"/>
              <w:bottom w:val="single" w:sz="4" w:space="0" w:color="auto"/>
              <w:right w:val="single" w:sz="4" w:space="0" w:color="auto"/>
            </w:tcBorders>
            <w:shd w:val="clear" w:color="auto" w:fill="C6EFCE"/>
            <w:noWrap/>
          </w:tcPr>
          <w:p w14:paraId="1887F183" w14:textId="77777777" w:rsidR="00C02B59" w:rsidRPr="00D1795B" w:rsidDel="5562373A"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Start of the grant scheme on large enterprises</w:t>
            </w:r>
          </w:p>
        </w:tc>
      </w:tr>
      <w:tr w:rsidR="00B70EBF" w:rsidRPr="00D1795B" w14:paraId="1887F18A"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8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112</w:t>
            </w:r>
          </w:p>
        </w:tc>
        <w:tc>
          <w:tcPr>
            <w:tcW w:w="4110" w:type="dxa"/>
            <w:tcBorders>
              <w:top w:val="nil"/>
              <w:left w:val="nil"/>
              <w:bottom w:val="single" w:sz="4" w:space="0" w:color="auto"/>
              <w:right w:val="single" w:sz="4" w:space="0" w:color="auto"/>
            </w:tcBorders>
            <w:shd w:val="clear" w:color="auto" w:fill="C6EFCE"/>
            <w:noWrap/>
          </w:tcPr>
          <w:p w14:paraId="1887F18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C3.1I12</w:t>
            </w:r>
          </w:p>
          <w:p w14:paraId="1887F18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Waste management towards circular economy </w:t>
            </w:r>
          </w:p>
        </w:tc>
        <w:tc>
          <w:tcPr>
            <w:tcW w:w="1418" w:type="dxa"/>
            <w:tcBorders>
              <w:top w:val="nil"/>
              <w:left w:val="nil"/>
              <w:bottom w:val="single" w:sz="4" w:space="0" w:color="auto"/>
              <w:right w:val="single" w:sz="4" w:space="0" w:color="auto"/>
            </w:tcBorders>
            <w:shd w:val="clear" w:color="auto" w:fill="C6EFCE"/>
            <w:noWrap/>
          </w:tcPr>
          <w:p w14:paraId="1887F18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719" w:type="dxa"/>
            <w:tcBorders>
              <w:top w:val="nil"/>
              <w:left w:val="nil"/>
              <w:bottom w:val="single" w:sz="4" w:space="0" w:color="auto"/>
              <w:right w:val="single" w:sz="4" w:space="0" w:color="auto"/>
            </w:tcBorders>
            <w:shd w:val="clear" w:color="auto" w:fill="C6EFCE"/>
            <w:noWrap/>
          </w:tcPr>
          <w:p w14:paraId="1887F189"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Signature of the contract for the installation of Green kiosks</w:t>
            </w:r>
          </w:p>
        </w:tc>
      </w:tr>
      <w:tr w:rsidR="00B70EBF" w:rsidRPr="00D1795B" w14:paraId="1887F190"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8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128</w:t>
            </w:r>
          </w:p>
        </w:tc>
        <w:tc>
          <w:tcPr>
            <w:tcW w:w="4110" w:type="dxa"/>
            <w:tcBorders>
              <w:top w:val="nil"/>
              <w:left w:val="nil"/>
              <w:bottom w:val="single" w:sz="4" w:space="0" w:color="auto"/>
              <w:right w:val="single" w:sz="4" w:space="0" w:color="auto"/>
            </w:tcBorders>
            <w:shd w:val="clear" w:color="auto" w:fill="C6EFCE"/>
            <w:noWrap/>
          </w:tcPr>
          <w:p w14:paraId="1887F18C"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C3.2I2</w:t>
            </w:r>
          </w:p>
          <w:p w14:paraId="1887F18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Innovation funding programmes for start-ups, innovative companies and SMEs</w:t>
            </w:r>
          </w:p>
        </w:tc>
        <w:tc>
          <w:tcPr>
            <w:tcW w:w="1418" w:type="dxa"/>
            <w:tcBorders>
              <w:top w:val="nil"/>
              <w:left w:val="nil"/>
              <w:bottom w:val="single" w:sz="4" w:space="0" w:color="auto"/>
              <w:right w:val="single" w:sz="4" w:space="0" w:color="auto"/>
            </w:tcBorders>
            <w:shd w:val="clear" w:color="auto" w:fill="C6EFCE"/>
            <w:noWrap/>
          </w:tcPr>
          <w:p w14:paraId="1887F18E"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2719" w:type="dxa"/>
            <w:tcBorders>
              <w:top w:val="nil"/>
              <w:left w:val="nil"/>
              <w:bottom w:val="single" w:sz="4" w:space="0" w:color="auto"/>
              <w:right w:val="single" w:sz="4" w:space="0" w:color="auto"/>
            </w:tcBorders>
            <w:shd w:val="clear" w:color="auto" w:fill="C6EFCE"/>
            <w:noWrap/>
          </w:tcPr>
          <w:p w14:paraId="1887F18F"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Completed projects to carry out R&amp;I related activities</w:t>
            </w:r>
          </w:p>
        </w:tc>
      </w:tr>
      <w:tr w:rsidR="00B70EBF" w:rsidRPr="00D1795B" w14:paraId="1887F196"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9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156</w:t>
            </w:r>
          </w:p>
        </w:tc>
        <w:tc>
          <w:tcPr>
            <w:tcW w:w="4110" w:type="dxa"/>
            <w:tcBorders>
              <w:top w:val="nil"/>
              <w:left w:val="nil"/>
              <w:bottom w:val="single" w:sz="4" w:space="0" w:color="auto"/>
              <w:right w:val="single" w:sz="4" w:space="0" w:color="auto"/>
            </w:tcBorders>
            <w:shd w:val="clear" w:color="auto" w:fill="C6EFCE"/>
            <w:noWrap/>
          </w:tcPr>
          <w:p w14:paraId="1887F192"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C3.4R1</w:t>
            </w:r>
          </w:p>
          <w:p w14:paraId="1887F19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Enhance the administrative capacity and improve the functioning of public administration for better policy making and implementation</w:t>
            </w:r>
          </w:p>
        </w:tc>
        <w:tc>
          <w:tcPr>
            <w:tcW w:w="1418" w:type="dxa"/>
            <w:tcBorders>
              <w:top w:val="nil"/>
              <w:left w:val="nil"/>
              <w:bottom w:val="single" w:sz="4" w:space="0" w:color="auto"/>
              <w:right w:val="single" w:sz="4" w:space="0" w:color="auto"/>
            </w:tcBorders>
            <w:shd w:val="clear" w:color="auto" w:fill="C6EFCE"/>
            <w:noWrap/>
          </w:tcPr>
          <w:p w14:paraId="1887F194"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719" w:type="dxa"/>
            <w:tcBorders>
              <w:top w:val="nil"/>
              <w:left w:val="nil"/>
              <w:bottom w:val="single" w:sz="4" w:space="0" w:color="auto"/>
              <w:right w:val="single" w:sz="4" w:space="0" w:color="auto"/>
            </w:tcBorders>
            <w:shd w:val="clear" w:color="auto" w:fill="C6EFCE"/>
            <w:noWrap/>
          </w:tcPr>
          <w:p w14:paraId="1887F195"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New human resources management framework for Cyprus Police </w:t>
            </w:r>
          </w:p>
        </w:tc>
      </w:tr>
      <w:tr w:rsidR="00B70EBF" w:rsidRPr="00D1795B" w14:paraId="1887F19C"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97"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163</w:t>
            </w:r>
          </w:p>
        </w:tc>
        <w:tc>
          <w:tcPr>
            <w:tcW w:w="4110" w:type="dxa"/>
            <w:tcBorders>
              <w:top w:val="nil"/>
              <w:left w:val="nil"/>
              <w:bottom w:val="single" w:sz="4" w:space="0" w:color="auto"/>
              <w:right w:val="single" w:sz="4" w:space="0" w:color="auto"/>
            </w:tcBorders>
            <w:shd w:val="clear" w:color="auto" w:fill="C6EFCE"/>
            <w:noWrap/>
          </w:tcPr>
          <w:p w14:paraId="1887F198"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C3.4R5</w:t>
            </w:r>
          </w:p>
          <w:p w14:paraId="1887F19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Enhancement of the capacity of the Law Office </w:t>
            </w:r>
          </w:p>
        </w:tc>
        <w:tc>
          <w:tcPr>
            <w:tcW w:w="1418" w:type="dxa"/>
            <w:tcBorders>
              <w:top w:val="nil"/>
              <w:left w:val="nil"/>
              <w:bottom w:val="single" w:sz="4" w:space="0" w:color="auto"/>
              <w:right w:val="single" w:sz="4" w:space="0" w:color="auto"/>
            </w:tcBorders>
            <w:shd w:val="clear" w:color="auto" w:fill="C6EFCE"/>
            <w:noWrap/>
          </w:tcPr>
          <w:p w14:paraId="1887F19A"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719" w:type="dxa"/>
            <w:tcBorders>
              <w:top w:val="nil"/>
              <w:left w:val="nil"/>
              <w:bottom w:val="single" w:sz="4" w:space="0" w:color="auto"/>
              <w:right w:val="single" w:sz="4" w:space="0" w:color="auto"/>
            </w:tcBorders>
            <w:shd w:val="clear" w:color="auto" w:fill="C6EFCE"/>
            <w:noWrap/>
          </w:tcPr>
          <w:p w14:paraId="1887F19B"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New IT system for the Law Office</w:t>
            </w:r>
          </w:p>
        </w:tc>
      </w:tr>
      <w:tr w:rsidR="00B70EBF" w:rsidRPr="00D1795B" w14:paraId="1887F1A2"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9D"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167</w:t>
            </w:r>
          </w:p>
        </w:tc>
        <w:tc>
          <w:tcPr>
            <w:tcW w:w="4110" w:type="dxa"/>
            <w:tcBorders>
              <w:top w:val="nil"/>
              <w:left w:val="nil"/>
              <w:bottom w:val="single" w:sz="4" w:space="0" w:color="auto"/>
              <w:right w:val="single" w:sz="4" w:space="0" w:color="auto"/>
            </w:tcBorders>
            <w:shd w:val="clear" w:color="auto" w:fill="C6EFCE"/>
            <w:noWrap/>
          </w:tcPr>
          <w:p w14:paraId="1887F19E"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C3.4I3</w:t>
            </w:r>
          </w:p>
          <w:p w14:paraId="1887F19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Economic Policy Modelling Hub </w:t>
            </w:r>
          </w:p>
        </w:tc>
        <w:tc>
          <w:tcPr>
            <w:tcW w:w="1418" w:type="dxa"/>
            <w:tcBorders>
              <w:top w:val="nil"/>
              <w:left w:val="nil"/>
              <w:bottom w:val="single" w:sz="4" w:space="0" w:color="auto"/>
              <w:right w:val="single" w:sz="4" w:space="0" w:color="auto"/>
            </w:tcBorders>
            <w:shd w:val="clear" w:color="auto" w:fill="C6EFCE"/>
            <w:noWrap/>
          </w:tcPr>
          <w:p w14:paraId="1887F1A0"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719" w:type="dxa"/>
            <w:tcBorders>
              <w:top w:val="nil"/>
              <w:left w:val="nil"/>
              <w:bottom w:val="single" w:sz="4" w:space="0" w:color="auto"/>
              <w:right w:val="single" w:sz="4" w:space="0" w:color="auto"/>
            </w:tcBorders>
            <w:shd w:val="clear" w:color="auto" w:fill="C6EFCE"/>
            <w:noWrap/>
          </w:tcPr>
          <w:p w14:paraId="1887F1A1"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Setting up a Modelling Hub for Economic Policy Analysis</w:t>
            </w:r>
          </w:p>
        </w:tc>
      </w:tr>
      <w:tr w:rsidR="00B70EBF" w:rsidRPr="00D1795B" w14:paraId="1887F1A8"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A3"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180</w:t>
            </w:r>
          </w:p>
        </w:tc>
        <w:tc>
          <w:tcPr>
            <w:tcW w:w="4110" w:type="dxa"/>
            <w:tcBorders>
              <w:top w:val="nil"/>
              <w:left w:val="nil"/>
              <w:bottom w:val="single" w:sz="4" w:space="0" w:color="auto"/>
              <w:right w:val="single" w:sz="4" w:space="0" w:color="auto"/>
            </w:tcBorders>
            <w:shd w:val="clear" w:color="auto" w:fill="C6EFCE"/>
            <w:noWrap/>
          </w:tcPr>
          <w:p w14:paraId="1887F1A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C3.4R8</w:t>
            </w:r>
          </w:p>
          <w:p w14:paraId="1887F1A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Efficiency of Justice</w:t>
            </w:r>
          </w:p>
        </w:tc>
        <w:tc>
          <w:tcPr>
            <w:tcW w:w="1418" w:type="dxa"/>
            <w:tcBorders>
              <w:top w:val="nil"/>
              <w:left w:val="nil"/>
              <w:bottom w:val="single" w:sz="4" w:space="0" w:color="auto"/>
              <w:right w:val="single" w:sz="4" w:space="0" w:color="auto"/>
            </w:tcBorders>
            <w:shd w:val="clear" w:color="auto" w:fill="C6EFCE"/>
            <w:noWrap/>
          </w:tcPr>
          <w:p w14:paraId="1887F1A6"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719" w:type="dxa"/>
            <w:tcBorders>
              <w:top w:val="nil"/>
              <w:left w:val="nil"/>
              <w:bottom w:val="single" w:sz="4" w:space="0" w:color="auto"/>
              <w:right w:val="single" w:sz="4" w:space="0" w:color="auto"/>
            </w:tcBorders>
            <w:shd w:val="clear" w:color="auto" w:fill="C6EFCE"/>
            <w:noWrap/>
          </w:tcPr>
          <w:p w14:paraId="1887F1A7"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Entry into force of new Rules of Civil Procedure</w:t>
            </w:r>
          </w:p>
        </w:tc>
      </w:tr>
      <w:tr w:rsidR="00B70EBF" w:rsidRPr="00D1795B" w14:paraId="1887F1AE"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A9"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196</w:t>
            </w:r>
          </w:p>
        </w:tc>
        <w:tc>
          <w:tcPr>
            <w:tcW w:w="4110" w:type="dxa"/>
            <w:tcBorders>
              <w:top w:val="nil"/>
              <w:left w:val="nil"/>
              <w:bottom w:val="single" w:sz="4" w:space="0" w:color="auto"/>
              <w:right w:val="single" w:sz="4" w:space="0" w:color="auto"/>
            </w:tcBorders>
            <w:shd w:val="clear" w:color="auto" w:fill="C6EFCE"/>
            <w:noWrap/>
          </w:tcPr>
          <w:p w14:paraId="1887F1A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C3.5R3 </w:t>
            </w:r>
          </w:p>
          <w:p w14:paraId="1887F1A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Strategy for addressing inadequacies of the property transaction system (title deeds)</w:t>
            </w:r>
          </w:p>
        </w:tc>
        <w:tc>
          <w:tcPr>
            <w:tcW w:w="1418" w:type="dxa"/>
            <w:tcBorders>
              <w:top w:val="nil"/>
              <w:left w:val="nil"/>
              <w:bottom w:val="single" w:sz="4" w:space="0" w:color="auto"/>
              <w:right w:val="single" w:sz="4" w:space="0" w:color="auto"/>
            </w:tcBorders>
            <w:shd w:val="clear" w:color="auto" w:fill="C6EFCE"/>
            <w:noWrap/>
          </w:tcPr>
          <w:p w14:paraId="1887F1AC"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719" w:type="dxa"/>
            <w:tcBorders>
              <w:top w:val="nil"/>
              <w:left w:val="nil"/>
              <w:bottom w:val="single" w:sz="4" w:space="0" w:color="auto"/>
              <w:right w:val="single" w:sz="4" w:space="0" w:color="auto"/>
            </w:tcBorders>
            <w:shd w:val="clear" w:color="auto" w:fill="C6EFCE"/>
            <w:noWrap/>
          </w:tcPr>
          <w:p w14:paraId="1887F1AD"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Review of the Streets and Building Law</w:t>
            </w:r>
          </w:p>
        </w:tc>
      </w:tr>
      <w:tr w:rsidR="00B70EBF" w:rsidRPr="00D1795B" w14:paraId="1887F1B4"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AF"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203</w:t>
            </w:r>
          </w:p>
        </w:tc>
        <w:tc>
          <w:tcPr>
            <w:tcW w:w="4110" w:type="dxa"/>
            <w:tcBorders>
              <w:top w:val="nil"/>
              <w:left w:val="nil"/>
              <w:bottom w:val="single" w:sz="4" w:space="0" w:color="auto"/>
              <w:right w:val="single" w:sz="4" w:space="0" w:color="auto"/>
            </w:tcBorders>
            <w:shd w:val="clear" w:color="auto" w:fill="C6EFCE"/>
            <w:noWrap/>
          </w:tcPr>
          <w:p w14:paraId="1887F1B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C3.5R7 </w:t>
            </w:r>
          </w:p>
          <w:p w14:paraId="1887F1B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Strategy for Combating Financial Illiteracy</w:t>
            </w:r>
          </w:p>
        </w:tc>
        <w:tc>
          <w:tcPr>
            <w:tcW w:w="1418" w:type="dxa"/>
            <w:tcBorders>
              <w:top w:val="nil"/>
              <w:left w:val="nil"/>
              <w:bottom w:val="single" w:sz="4" w:space="0" w:color="auto"/>
              <w:right w:val="single" w:sz="4" w:space="0" w:color="auto"/>
            </w:tcBorders>
            <w:shd w:val="clear" w:color="auto" w:fill="C6EFCE"/>
            <w:noWrap/>
          </w:tcPr>
          <w:p w14:paraId="1887F1B2"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719" w:type="dxa"/>
            <w:tcBorders>
              <w:top w:val="nil"/>
              <w:left w:val="nil"/>
              <w:bottom w:val="single" w:sz="4" w:space="0" w:color="auto"/>
              <w:right w:val="single" w:sz="4" w:space="0" w:color="auto"/>
            </w:tcBorders>
            <w:shd w:val="clear" w:color="auto" w:fill="C6EFCE"/>
            <w:noWrap/>
          </w:tcPr>
          <w:p w14:paraId="1887F1B3"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Strategy for Combating Financial Illiteracy</w:t>
            </w:r>
          </w:p>
        </w:tc>
      </w:tr>
      <w:tr w:rsidR="00B70EBF" w:rsidRPr="00D1795B" w14:paraId="1887F1B9"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B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205</w:t>
            </w:r>
          </w:p>
        </w:tc>
        <w:tc>
          <w:tcPr>
            <w:tcW w:w="4110" w:type="dxa"/>
            <w:tcBorders>
              <w:top w:val="nil"/>
              <w:left w:val="nil"/>
              <w:bottom w:val="single" w:sz="4" w:space="0" w:color="auto"/>
              <w:right w:val="single" w:sz="4" w:space="0" w:color="auto"/>
            </w:tcBorders>
            <w:shd w:val="clear" w:color="auto" w:fill="C6EFCE"/>
            <w:noWrap/>
          </w:tcPr>
          <w:p w14:paraId="1887F1B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C3.5R8 </w:t>
            </w:r>
            <w:r w:rsidRPr="00D1795B">
              <w:rPr>
                <w:rFonts w:ascii="Times New Roman" w:hAnsi="Times New Roman" w:cs="Times New Roman"/>
                <w:noProof/>
                <w:sz w:val="18"/>
                <w:szCs w:val="18"/>
              </w:rPr>
              <w:br/>
              <w:t>Enhancing supervision of Insurance and Pension Funds</w:t>
            </w:r>
          </w:p>
        </w:tc>
        <w:tc>
          <w:tcPr>
            <w:tcW w:w="1418" w:type="dxa"/>
            <w:tcBorders>
              <w:top w:val="nil"/>
              <w:left w:val="nil"/>
              <w:bottom w:val="single" w:sz="4" w:space="0" w:color="auto"/>
              <w:right w:val="single" w:sz="4" w:space="0" w:color="auto"/>
            </w:tcBorders>
            <w:shd w:val="clear" w:color="auto" w:fill="C6EFCE"/>
            <w:noWrap/>
          </w:tcPr>
          <w:p w14:paraId="1887F1B7"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719" w:type="dxa"/>
            <w:tcBorders>
              <w:top w:val="nil"/>
              <w:left w:val="nil"/>
              <w:bottom w:val="single" w:sz="4" w:space="0" w:color="auto"/>
              <w:right w:val="single" w:sz="4" w:space="0" w:color="auto"/>
            </w:tcBorders>
            <w:shd w:val="clear" w:color="auto" w:fill="C6EFCE"/>
            <w:noWrap/>
          </w:tcPr>
          <w:p w14:paraId="1887F1B8"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Supervisory tools including data collection and analysis tool</w:t>
            </w:r>
          </w:p>
        </w:tc>
      </w:tr>
      <w:tr w:rsidR="00B70EBF" w:rsidRPr="00D1795B" w14:paraId="1887F1BE"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BA"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206</w:t>
            </w:r>
          </w:p>
        </w:tc>
        <w:tc>
          <w:tcPr>
            <w:tcW w:w="4110" w:type="dxa"/>
            <w:tcBorders>
              <w:top w:val="nil"/>
              <w:left w:val="nil"/>
              <w:bottom w:val="single" w:sz="4" w:space="0" w:color="auto"/>
              <w:right w:val="single" w:sz="4" w:space="0" w:color="auto"/>
            </w:tcBorders>
            <w:shd w:val="clear" w:color="auto" w:fill="C6EFCE"/>
            <w:noWrap/>
          </w:tcPr>
          <w:p w14:paraId="1887F1B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C3.5I1 </w:t>
            </w:r>
            <w:r w:rsidRPr="00D1795B">
              <w:rPr>
                <w:rFonts w:ascii="Times New Roman" w:hAnsi="Times New Roman" w:cs="Times New Roman"/>
                <w:noProof/>
                <w:sz w:val="18"/>
                <w:szCs w:val="18"/>
              </w:rPr>
              <w:br/>
              <w:t>Enhancement of the Supervisory Function of the Cyprus Securities and Exchange Commission</w:t>
            </w:r>
          </w:p>
        </w:tc>
        <w:tc>
          <w:tcPr>
            <w:tcW w:w="1418" w:type="dxa"/>
            <w:tcBorders>
              <w:top w:val="nil"/>
              <w:left w:val="nil"/>
              <w:bottom w:val="single" w:sz="4" w:space="0" w:color="auto"/>
              <w:right w:val="single" w:sz="4" w:space="0" w:color="auto"/>
            </w:tcBorders>
            <w:shd w:val="clear" w:color="auto" w:fill="C6EFCE"/>
            <w:noWrap/>
          </w:tcPr>
          <w:p w14:paraId="1887F1BC"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719" w:type="dxa"/>
            <w:tcBorders>
              <w:top w:val="nil"/>
              <w:left w:val="nil"/>
              <w:bottom w:val="single" w:sz="4" w:space="0" w:color="auto"/>
              <w:right w:val="single" w:sz="4" w:space="0" w:color="auto"/>
            </w:tcBorders>
            <w:shd w:val="clear" w:color="auto" w:fill="C6EFCE"/>
            <w:noWrap/>
          </w:tcPr>
          <w:p w14:paraId="1887F1BD"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Digital system for supervision of transactions for the Cyprus Securities and Exchange Commission </w:t>
            </w:r>
          </w:p>
        </w:tc>
      </w:tr>
      <w:tr w:rsidR="00B70EBF" w:rsidRPr="00D1795B" w14:paraId="1887F1C3"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BF"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207b</w:t>
            </w:r>
          </w:p>
        </w:tc>
        <w:tc>
          <w:tcPr>
            <w:tcW w:w="4110" w:type="dxa"/>
            <w:tcBorders>
              <w:top w:val="nil"/>
              <w:left w:val="nil"/>
              <w:bottom w:val="single" w:sz="4" w:space="0" w:color="auto"/>
              <w:right w:val="single" w:sz="4" w:space="0" w:color="auto"/>
            </w:tcBorders>
            <w:shd w:val="clear" w:color="auto" w:fill="C6EFCE"/>
            <w:noWrap/>
          </w:tcPr>
          <w:p w14:paraId="1887F1C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C3.5R9 Improving tax collection and effectiveness of the Tax Department</w:t>
            </w:r>
          </w:p>
        </w:tc>
        <w:tc>
          <w:tcPr>
            <w:tcW w:w="1418" w:type="dxa"/>
            <w:tcBorders>
              <w:top w:val="nil"/>
              <w:left w:val="nil"/>
              <w:bottom w:val="single" w:sz="4" w:space="0" w:color="auto"/>
              <w:right w:val="single" w:sz="4" w:space="0" w:color="auto"/>
            </w:tcBorders>
            <w:shd w:val="clear" w:color="auto" w:fill="C6EFCE"/>
            <w:noWrap/>
          </w:tcPr>
          <w:p w14:paraId="1887F1C1"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719" w:type="dxa"/>
            <w:tcBorders>
              <w:top w:val="nil"/>
              <w:left w:val="nil"/>
              <w:bottom w:val="single" w:sz="4" w:space="0" w:color="auto"/>
              <w:right w:val="single" w:sz="4" w:space="0" w:color="auto"/>
            </w:tcBorders>
            <w:shd w:val="clear" w:color="auto" w:fill="C6EFCE"/>
            <w:noWrap/>
          </w:tcPr>
          <w:p w14:paraId="1887F1C2"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Purchase of the new building for the integrated Nicosia District Office and Large Taxpayers’ Office</w:t>
            </w:r>
          </w:p>
        </w:tc>
      </w:tr>
      <w:tr w:rsidR="00B70EBF" w:rsidRPr="00D1795B" w14:paraId="1887F1C8"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C4"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212</w:t>
            </w:r>
          </w:p>
        </w:tc>
        <w:tc>
          <w:tcPr>
            <w:tcW w:w="4110" w:type="dxa"/>
            <w:tcBorders>
              <w:top w:val="nil"/>
              <w:left w:val="nil"/>
              <w:bottom w:val="single" w:sz="4" w:space="0" w:color="auto"/>
              <w:right w:val="single" w:sz="4" w:space="0" w:color="auto"/>
            </w:tcBorders>
            <w:shd w:val="clear" w:color="auto" w:fill="C6EFCE"/>
            <w:noWrap/>
          </w:tcPr>
          <w:p w14:paraId="1887F1C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C3.5I2 Modernisation of Customs and Electronic Payment System </w:t>
            </w:r>
          </w:p>
        </w:tc>
        <w:tc>
          <w:tcPr>
            <w:tcW w:w="1418" w:type="dxa"/>
            <w:tcBorders>
              <w:top w:val="nil"/>
              <w:left w:val="nil"/>
              <w:bottom w:val="single" w:sz="4" w:space="0" w:color="auto"/>
              <w:right w:val="single" w:sz="4" w:space="0" w:color="auto"/>
            </w:tcBorders>
            <w:shd w:val="clear" w:color="auto" w:fill="C6EFCE"/>
            <w:noWrap/>
          </w:tcPr>
          <w:p w14:paraId="1887F1C6"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2719" w:type="dxa"/>
            <w:tcBorders>
              <w:top w:val="nil"/>
              <w:left w:val="nil"/>
              <w:bottom w:val="single" w:sz="4" w:space="0" w:color="auto"/>
              <w:right w:val="single" w:sz="4" w:space="0" w:color="auto"/>
            </w:tcBorders>
            <w:shd w:val="clear" w:color="auto" w:fill="C6EFCE"/>
            <w:noWrap/>
          </w:tcPr>
          <w:p w14:paraId="1887F1C7"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Putting into operation the information systems– envisaged under the Union Customs Code (UCC)</w:t>
            </w:r>
          </w:p>
        </w:tc>
      </w:tr>
      <w:tr w:rsidR="00B70EBF" w:rsidRPr="00D1795B" w14:paraId="1887F1CE"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C9"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217</w:t>
            </w:r>
          </w:p>
        </w:tc>
        <w:tc>
          <w:tcPr>
            <w:tcW w:w="4110" w:type="dxa"/>
            <w:tcBorders>
              <w:top w:val="nil"/>
              <w:left w:val="nil"/>
              <w:bottom w:val="single" w:sz="4" w:space="0" w:color="auto"/>
              <w:right w:val="single" w:sz="4" w:space="0" w:color="auto"/>
            </w:tcBorders>
            <w:shd w:val="clear" w:color="auto" w:fill="C6EFCE"/>
            <w:noWrap/>
          </w:tcPr>
          <w:p w14:paraId="1887F1C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C4.1I1</w:t>
            </w:r>
          </w:p>
          <w:p w14:paraId="1887F1C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Expansion of Very High Capacity Networks in underserved areas</w:t>
            </w:r>
          </w:p>
        </w:tc>
        <w:tc>
          <w:tcPr>
            <w:tcW w:w="1418" w:type="dxa"/>
            <w:tcBorders>
              <w:top w:val="nil"/>
              <w:left w:val="nil"/>
              <w:bottom w:val="single" w:sz="4" w:space="0" w:color="auto"/>
              <w:right w:val="single" w:sz="4" w:space="0" w:color="auto"/>
            </w:tcBorders>
            <w:shd w:val="clear" w:color="auto" w:fill="C6EFCE"/>
            <w:noWrap/>
          </w:tcPr>
          <w:p w14:paraId="1887F1CC"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719" w:type="dxa"/>
            <w:tcBorders>
              <w:top w:val="nil"/>
              <w:left w:val="nil"/>
              <w:bottom w:val="single" w:sz="4" w:space="0" w:color="auto"/>
              <w:right w:val="single" w:sz="4" w:space="0" w:color="auto"/>
            </w:tcBorders>
            <w:shd w:val="clear" w:color="auto" w:fill="C6EFCE"/>
            <w:noWrap/>
          </w:tcPr>
          <w:p w14:paraId="1887F1CD"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Start of very high capacity networks’ deployment in underserved areas</w:t>
            </w:r>
          </w:p>
        </w:tc>
      </w:tr>
      <w:tr w:rsidR="00B70EBF" w:rsidRPr="00D1795B" w14:paraId="1887F1D4"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CF"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225</w:t>
            </w:r>
          </w:p>
        </w:tc>
        <w:tc>
          <w:tcPr>
            <w:tcW w:w="4110" w:type="dxa"/>
            <w:tcBorders>
              <w:top w:val="nil"/>
              <w:left w:val="nil"/>
              <w:bottom w:val="single" w:sz="4" w:space="0" w:color="auto"/>
              <w:right w:val="single" w:sz="4" w:space="0" w:color="auto"/>
            </w:tcBorders>
            <w:shd w:val="clear" w:color="auto" w:fill="C6EFCE"/>
            <w:noWrap/>
          </w:tcPr>
          <w:p w14:paraId="1887F1D0"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C4.2R1</w:t>
            </w:r>
          </w:p>
          <w:p w14:paraId="1887F1D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 Services Factory</w:t>
            </w:r>
          </w:p>
        </w:tc>
        <w:tc>
          <w:tcPr>
            <w:tcW w:w="1418" w:type="dxa"/>
            <w:tcBorders>
              <w:top w:val="nil"/>
              <w:left w:val="nil"/>
              <w:bottom w:val="single" w:sz="4" w:space="0" w:color="auto"/>
              <w:right w:val="single" w:sz="4" w:space="0" w:color="auto"/>
            </w:tcBorders>
            <w:shd w:val="clear" w:color="auto" w:fill="C6EFCE"/>
            <w:noWrap/>
          </w:tcPr>
          <w:p w14:paraId="1887F1D2"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2719" w:type="dxa"/>
            <w:tcBorders>
              <w:top w:val="nil"/>
              <w:left w:val="nil"/>
              <w:bottom w:val="single" w:sz="4" w:space="0" w:color="auto"/>
              <w:right w:val="single" w:sz="4" w:space="0" w:color="auto"/>
            </w:tcBorders>
            <w:shd w:val="clear" w:color="auto" w:fill="C6EFCE"/>
            <w:noWrap/>
          </w:tcPr>
          <w:p w14:paraId="1887F1D3"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Expansion of delivery of government services online through the Digital Services Factory</w:t>
            </w:r>
          </w:p>
        </w:tc>
      </w:tr>
      <w:tr w:rsidR="00B70EBF" w:rsidRPr="00D1795B" w14:paraId="1887F1DA"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D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231</w:t>
            </w:r>
          </w:p>
        </w:tc>
        <w:tc>
          <w:tcPr>
            <w:tcW w:w="4110" w:type="dxa"/>
            <w:tcBorders>
              <w:top w:val="nil"/>
              <w:left w:val="nil"/>
              <w:bottom w:val="single" w:sz="4" w:space="0" w:color="auto"/>
              <w:right w:val="single" w:sz="4" w:space="0" w:color="auto"/>
            </w:tcBorders>
            <w:shd w:val="clear" w:color="auto" w:fill="C6EFCE"/>
            <w:noWrap/>
          </w:tcPr>
          <w:p w14:paraId="1887F1D6"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C4.2R4</w:t>
            </w:r>
          </w:p>
          <w:p w14:paraId="1887F1D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Setting up the beneficial ownership registry</w:t>
            </w:r>
          </w:p>
        </w:tc>
        <w:tc>
          <w:tcPr>
            <w:tcW w:w="1418" w:type="dxa"/>
            <w:tcBorders>
              <w:top w:val="nil"/>
              <w:left w:val="nil"/>
              <w:bottom w:val="single" w:sz="4" w:space="0" w:color="auto"/>
              <w:right w:val="single" w:sz="4" w:space="0" w:color="auto"/>
            </w:tcBorders>
            <w:shd w:val="clear" w:color="auto" w:fill="C6EFCE"/>
            <w:noWrap/>
          </w:tcPr>
          <w:p w14:paraId="1887F1D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719" w:type="dxa"/>
            <w:tcBorders>
              <w:top w:val="nil"/>
              <w:left w:val="nil"/>
              <w:bottom w:val="single" w:sz="4" w:space="0" w:color="auto"/>
              <w:right w:val="single" w:sz="4" w:space="0" w:color="auto"/>
            </w:tcBorders>
            <w:shd w:val="clear" w:color="auto" w:fill="C6EFCE"/>
            <w:noWrap/>
          </w:tcPr>
          <w:p w14:paraId="1887F1D9"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Beneficial ownership registry available for use </w:t>
            </w:r>
          </w:p>
        </w:tc>
      </w:tr>
      <w:tr w:rsidR="00B70EBF" w:rsidRPr="00D1795B" w14:paraId="1887F1E0" w14:textId="77777777" w:rsidTr="00175C28">
        <w:trPr>
          <w:cantSplit/>
          <w:trHeight w:val="302"/>
          <w:jc w:val="center"/>
        </w:trPr>
        <w:tc>
          <w:tcPr>
            <w:tcW w:w="1702" w:type="dxa"/>
            <w:tcBorders>
              <w:top w:val="nil"/>
              <w:left w:val="single" w:sz="4" w:space="0" w:color="auto"/>
              <w:bottom w:val="single" w:sz="4" w:space="0" w:color="auto"/>
              <w:right w:val="single" w:sz="4" w:space="0" w:color="auto"/>
            </w:tcBorders>
            <w:shd w:val="clear" w:color="auto" w:fill="C6EFCE"/>
            <w:noWrap/>
          </w:tcPr>
          <w:p w14:paraId="1887F1D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243</w:t>
            </w:r>
          </w:p>
        </w:tc>
        <w:tc>
          <w:tcPr>
            <w:tcW w:w="4110" w:type="dxa"/>
            <w:tcBorders>
              <w:top w:val="single" w:sz="4" w:space="0" w:color="auto"/>
              <w:left w:val="nil"/>
              <w:bottom w:val="single" w:sz="4" w:space="0" w:color="auto"/>
              <w:right w:val="single" w:sz="4" w:space="0" w:color="auto"/>
            </w:tcBorders>
            <w:shd w:val="clear" w:color="auto" w:fill="C6EFCE"/>
            <w:noWrap/>
          </w:tcPr>
          <w:p w14:paraId="1887F1DC"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C5.1R3</w:t>
            </w:r>
          </w:p>
          <w:p w14:paraId="1887F1DD"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Gradual extension of free compulsory pre-primary education from the age of four </w:t>
            </w:r>
          </w:p>
        </w:tc>
        <w:tc>
          <w:tcPr>
            <w:tcW w:w="1418" w:type="dxa"/>
            <w:tcBorders>
              <w:top w:val="single" w:sz="4" w:space="0" w:color="auto"/>
              <w:left w:val="nil"/>
              <w:bottom w:val="single" w:sz="4" w:space="0" w:color="auto"/>
              <w:right w:val="single" w:sz="4" w:space="0" w:color="auto"/>
            </w:tcBorders>
            <w:shd w:val="clear" w:color="auto" w:fill="C6EFCE"/>
            <w:noWrap/>
          </w:tcPr>
          <w:p w14:paraId="1887F1DE"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719" w:type="dxa"/>
            <w:tcBorders>
              <w:top w:val="single" w:sz="4" w:space="0" w:color="auto"/>
              <w:left w:val="nil"/>
              <w:bottom w:val="single" w:sz="4" w:space="0" w:color="auto"/>
              <w:right w:val="single" w:sz="4" w:space="0" w:color="auto"/>
            </w:tcBorders>
            <w:shd w:val="clear" w:color="auto" w:fill="C6EFCE"/>
            <w:noWrap/>
          </w:tcPr>
          <w:p w14:paraId="1887F1DF"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Entry into force of the new Law regarding the gradual extension of free compulsory pre-primary education from the age of four years and adoption of aid schemes by the Council of Ministers</w:t>
            </w:r>
          </w:p>
        </w:tc>
      </w:tr>
      <w:tr w:rsidR="00912879" w:rsidRPr="00D1795B" w14:paraId="1887F1E5" w14:textId="77777777" w:rsidTr="00175C28">
        <w:trPr>
          <w:cantSplit/>
          <w:trHeight w:val="302"/>
          <w:jc w:val="center"/>
        </w:trPr>
        <w:tc>
          <w:tcPr>
            <w:tcW w:w="1702"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887F1E1" w14:textId="77777777" w:rsidR="00C02B59" w:rsidRPr="00D1795B" w:rsidRDefault="00C02B59" w:rsidP="00C02B59">
            <w:pPr>
              <w:spacing w:after="0"/>
              <w:jc w:val="center"/>
              <w:rPr>
                <w:rFonts w:ascii="Times New Roman" w:eastAsia="Times New Roman" w:hAnsi="Times New Roman" w:cs="Times New Roman"/>
                <w:noProof/>
                <w:color w:val="006100"/>
                <w:sz w:val="18"/>
                <w:szCs w:val="18"/>
                <w:lang w:eastAsia="en-GB"/>
              </w:rPr>
            </w:pPr>
          </w:p>
        </w:tc>
        <w:tc>
          <w:tcPr>
            <w:tcW w:w="4110" w:type="dxa"/>
            <w:tcBorders>
              <w:top w:val="single" w:sz="4" w:space="0" w:color="auto"/>
              <w:left w:val="nil"/>
              <w:bottom w:val="single" w:sz="4" w:space="0" w:color="auto"/>
              <w:right w:val="single" w:sz="4" w:space="0" w:color="auto"/>
            </w:tcBorders>
            <w:shd w:val="clear" w:color="auto" w:fill="C6EFCE"/>
            <w:noWrap/>
            <w:vAlign w:val="bottom"/>
          </w:tcPr>
          <w:p w14:paraId="1887F1E2" w14:textId="77777777" w:rsidR="00C02B59" w:rsidRPr="00D1795B" w:rsidRDefault="00C02B59" w:rsidP="00C02B59">
            <w:pPr>
              <w:spacing w:after="0"/>
              <w:rPr>
                <w:rFonts w:ascii="Times New Roman" w:eastAsia="Times New Roman" w:hAnsi="Times New Roman" w:cs="Times New Roman"/>
                <w:noProof/>
                <w:color w:val="006100"/>
                <w:sz w:val="18"/>
                <w:szCs w:val="18"/>
                <w:lang w:eastAsia="en-GB"/>
              </w:rPr>
            </w:pPr>
          </w:p>
        </w:tc>
        <w:tc>
          <w:tcPr>
            <w:tcW w:w="1418" w:type="dxa"/>
            <w:tcBorders>
              <w:top w:val="single" w:sz="4" w:space="0" w:color="auto"/>
              <w:left w:val="nil"/>
              <w:bottom w:val="single" w:sz="4" w:space="0" w:color="auto"/>
              <w:right w:val="single" w:sz="4" w:space="0" w:color="auto"/>
            </w:tcBorders>
            <w:shd w:val="clear" w:color="auto" w:fill="C6EFCE"/>
            <w:noWrap/>
            <w:vAlign w:val="bottom"/>
            <w:hideMark/>
          </w:tcPr>
          <w:p w14:paraId="1887F1E3"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color w:val="006100"/>
                <w:sz w:val="18"/>
                <w:szCs w:val="18"/>
              </w:rPr>
              <w:t>Instalment Amount</w:t>
            </w:r>
          </w:p>
        </w:tc>
        <w:tc>
          <w:tcPr>
            <w:tcW w:w="2719" w:type="dxa"/>
            <w:tcBorders>
              <w:top w:val="single" w:sz="4" w:space="0" w:color="auto"/>
              <w:left w:val="nil"/>
              <w:bottom w:val="single" w:sz="4" w:space="0" w:color="auto"/>
              <w:right w:val="single" w:sz="4" w:space="0" w:color="auto"/>
            </w:tcBorders>
            <w:shd w:val="clear" w:color="auto" w:fill="C6EFCE"/>
            <w:noWrap/>
            <w:vAlign w:val="bottom"/>
            <w:hideMark/>
          </w:tcPr>
          <w:p w14:paraId="1887F1E4" w14:textId="77777777" w:rsidR="00C02B59" w:rsidRPr="00D1795B" w:rsidRDefault="00C02B59" w:rsidP="00C02B59">
            <w:pPr>
              <w:spacing w:after="0"/>
              <w:rPr>
                <w:rFonts w:ascii="Times New Roman" w:hAnsi="Times New Roman" w:cs="Times New Roman"/>
                <w:noProof/>
                <w:color w:val="006100"/>
                <w:sz w:val="18"/>
                <w:szCs w:val="18"/>
              </w:rPr>
            </w:pPr>
            <w:r w:rsidRPr="00D1795B">
              <w:rPr>
                <w:rFonts w:ascii="Times New Roman" w:hAnsi="Times New Roman" w:cs="Times New Roman"/>
                <w:noProof/>
                <w:color w:val="006100"/>
                <w:sz w:val="18"/>
                <w:szCs w:val="18"/>
              </w:rPr>
              <w:t>EUR 88 089 650</w:t>
            </w:r>
          </w:p>
        </w:tc>
      </w:tr>
    </w:tbl>
    <w:p w14:paraId="1887F1E6" w14:textId="77777777" w:rsidR="00C02B59" w:rsidRPr="00D1795B" w:rsidRDefault="00C02B59" w:rsidP="00C02B59">
      <w:pPr>
        <w:pStyle w:val="Text1"/>
        <w:ind w:left="0"/>
        <w:rPr>
          <w:rStyle w:val="IntenseEmphasis"/>
          <w:rFonts w:eastAsiaTheme="majorEastAsia"/>
          <w:b/>
          <w:noProof/>
          <w:lang w:val="en-GB"/>
        </w:rPr>
      </w:pPr>
    </w:p>
    <w:p w14:paraId="1887F1E7" w14:textId="77777777" w:rsidR="00C02B59" w:rsidRPr="00D1795B" w:rsidRDefault="00C02B59" w:rsidP="00C02B59">
      <w:pPr>
        <w:rPr>
          <w:noProof/>
        </w:rPr>
        <w:sectPr w:rsidR="00C02B59" w:rsidRPr="00D1795B" w:rsidSect="00C02B59">
          <w:headerReference w:type="even" r:id="rId203"/>
          <w:headerReference w:type="default" r:id="rId204"/>
          <w:footerReference w:type="even" r:id="rId205"/>
          <w:footerReference w:type="default" r:id="rId206"/>
          <w:headerReference w:type="first" r:id="rId207"/>
          <w:footerReference w:type="first" r:id="rId208"/>
          <w:pgSz w:w="11907" w:h="16839"/>
          <w:pgMar w:top="1134" w:right="1134" w:bottom="1134" w:left="1134" w:header="567" w:footer="567" w:gutter="0"/>
          <w:cols w:space="720"/>
          <w:docGrid w:linePitch="360"/>
        </w:sectPr>
      </w:pPr>
    </w:p>
    <w:p w14:paraId="1887F1E8" w14:textId="77777777" w:rsidR="00C02B59" w:rsidRPr="00D1795B" w:rsidRDefault="00C02B59" w:rsidP="00C02B59">
      <w:pPr>
        <w:pStyle w:val="NumPar2"/>
        <w:tabs>
          <w:tab w:val="num" w:pos="850"/>
        </w:tabs>
        <w:ind w:left="850" w:hanging="850"/>
        <w:rPr>
          <w:noProof/>
          <w:lang w:val="en-GB"/>
        </w:rPr>
      </w:pPr>
      <w:r w:rsidRPr="00D1795B">
        <w:rPr>
          <w:noProof/>
          <w:lang w:val="en-GB"/>
        </w:rPr>
        <w:t xml:space="preserve">Sixth Instalment (non-repayable support): </w:t>
      </w:r>
    </w:p>
    <w:tbl>
      <w:tblPr>
        <w:tblW w:w="10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247"/>
        <w:gridCol w:w="1417"/>
        <w:gridCol w:w="2936"/>
      </w:tblGrid>
      <w:tr w:rsidR="00B70EBF" w:rsidRPr="00D1795B" w14:paraId="1887F1ED" w14:textId="77777777" w:rsidTr="00175C28">
        <w:trPr>
          <w:cantSplit/>
          <w:trHeight w:val="509"/>
          <w:tblHeader/>
          <w:jc w:val="center"/>
        </w:trPr>
        <w:tc>
          <w:tcPr>
            <w:tcW w:w="1702" w:type="dxa"/>
            <w:vMerge w:val="restart"/>
            <w:shd w:val="clear" w:color="auto" w:fill="BDD7EE"/>
            <w:vAlign w:val="center"/>
            <w:hideMark/>
          </w:tcPr>
          <w:p w14:paraId="1887F1E9"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4247" w:type="dxa"/>
            <w:vMerge w:val="restart"/>
            <w:shd w:val="clear" w:color="auto" w:fill="BDD7EE"/>
            <w:vAlign w:val="center"/>
            <w:hideMark/>
          </w:tcPr>
          <w:p w14:paraId="1887F1EA"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1417" w:type="dxa"/>
            <w:vMerge w:val="restart"/>
            <w:shd w:val="clear" w:color="auto" w:fill="BDD7EE"/>
            <w:vAlign w:val="center"/>
            <w:hideMark/>
          </w:tcPr>
          <w:p w14:paraId="1887F1EB"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Milestone / Target</w:t>
            </w:r>
          </w:p>
        </w:tc>
        <w:tc>
          <w:tcPr>
            <w:tcW w:w="2936" w:type="dxa"/>
            <w:vMerge w:val="restart"/>
            <w:shd w:val="clear" w:color="auto" w:fill="BDD7EE"/>
            <w:vAlign w:val="center"/>
            <w:hideMark/>
          </w:tcPr>
          <w:p w14:paraId="1887F1EC"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Name</w:t>
            </w:r>
          </w:p>
        </w:tc>
      </w:tr>
      <w:tr w:rsidR="00C02B59" w:rsidRPr="00D1795B" w14:paraId="1887F1F2" w14:textId="77777777" w:rsidTr="00175C28">
        <w:trPr>
          <w:cantSplit/>
          <w:trHeight w:val="509"/>
          <w:tblHeader/>
          <w:jc w:val="center"/>
        </w:trPr>
        <w:tc>
          <w:tcPr>
            <w:tcW w:w="1702" w:type="dxa"/>
            <w:vMerge/>
            <w:vAlign w:val="center"/>
            <w:hideMark/>
          </w:tcPr>
          <w:p w14:paraId="1887F1EE"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4247" w:type="dxa"/>
            <w:vMerge/>
            <w:vAlign w:val="center"/>
            <w:hideMark/>
          </w:tcPr>
          <w:p w14:paraId="1887F1EF"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1417" w:type="dxa"/>
            <w:vMerge/>
            <w:vAlign w:val="center"/>
            <w:hideMark/>
          </w:tcPr>
          <w:p w14:paraId="1887F1F0" w14:textId="77777777" w:rsidR="00C02B59" w:rsidRPr="00D1795B" w:rsidRDefault="00C02B59" w:rsidP="00C02B59">
            <w:pPr>
              <w:spacing w:after="0"/>
              <w:jc w:val="center"/>
              <w:rPr>
                <w:rFonts w:ascii="Times New Roman" w:eastAsia="Times New Roman" w:hAnsi="Times New Roman" w:cs="Times New Roman"/>
                <w:b/>
                <w:noProof/>
                <w:sz w:val="18"/>
                <w:szCs w:val="18"/>
                <w:lang w:eastAsia="en-GB"/>
              </w:rPr>
            </w:pPr>
          </w:p>
        </w:tc>
        <w:tc>
          <w:tcPr>
            <w:tcW w:w="2936" w:type="dxa"/>
            <w:vMerge/>
            <w:vAlign w:val="center"/>
            <w:hideMark/>
          </w:tcPr>
          <w:p w14:paraId="1887F1F1" w14:textId="77777777" w:rsidR="00C02B59" w:rsidRPr="00D1795B" w:rsidRDefault="00C02B59" w:rsidP="00C02B59">
            <w:pPr>
              <w:spacing w:after="0"/>
              <w:jc w:val="both"/>
              <w:rPr>
                <w:rFonts w:ascii="Times New Roman" w:eastAsia="Times New Roman" w:hAnsi="Times New Roman" w:cs="Times New Roman"/>
                <w:b/>
                <w:noProof/>
                <w:sz w:val="18"/>
                <w:szCs w:val="18"/>
                <w:lang w:eastAsia="en-GB"/>
              </w:rPr>
            </w:pPr>
          </w:p>
        </w:tc>
      </w:tr>
      <w:tr w:rsidR="00912879" w:rsidRPr="00D1795B" w14:paraId="1887F1F8" w14:textId="77777777" w:rsidTr="00175C28">
        <w:trPr>
          <w:cantSplit/>
          <w:trHeight w:val="302"/>
          <w:jc w:val="center"/>
        </w:trPr>
        <w:tc>
          <w:tcPr>
            <w:tcW w:w="1702" w:type="dxa"/>
            <w:shd w:val="clear" w:color="auto" w:fill="C6EFCE"/>
            <w:noWrap/>
          </w:tcPr>
          <w:p w14:paraId="1887F1F3"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40</w:t>
            </w:r>
          </w:p>
        </w:tc>
        <w:tc>
          <w:tcPr>
            <w:tcW w:w="4247" w:type="dxa"/>
            <w:shd w:val="clear" w:color="auto" w:fill="C6EFCE"/>
            <w:noWrap/>
          </w:tcPr>
          <w:p w14:paraId="1887F1F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C2.1I7</w:t>
            </w:r>
          </w:p>
          <w:p w14:paraId="1887F1F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Mass installation by the Distribution System Operator (DSO) of Smart Metering Infrastructure (Advanced Metering Infrastructure)</w:t>
            </w:r>
          </w:p>
        </w:tc>
        <w:tc>
          <w:tcPr>
            <w:tcW w:w="1417" w:type="dxa"/>
            <w:shd w:val="clear" w:color="auto" w:fill="C6EFCE"/>
            <w:noWrap/>
          </w:tcPr>
          <w:p w14:paraId="1887F1F6"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936" w:type="dxa"/>
            <w:shd w:val="clear" w:color="auto" w:fill="C6EFCE"/>
            <w:noWrap/>
          </w:tcPr>
          <w:p w14:paraId="1887F1F7"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Contract Signature for smart electricity metering infrastructure</w:t>
            </w:r>
          </w:p>
        </w:tc>
      </w:tr>
      <w:tr w:rsidR="00912879" w:rsidRPr="00D1795B" w14:paraId="1887F1FE" w14:textId="77777777" w:rsidTr="00175C28">
        <w:trPr>
          <w:cantSplit/>
          <w:trHeight w:val="302"/>
          <w:jc w:val="center"/>
        </w:trPr>
        <w:tc>
          <w:tcPr>
            <w:tcW w:w="1702" w:type="dxa"/>
            <w:shd w:val="clear" w:color="auto" w:fill="C6EFCE"/>
            <w:noWrap/>
          </w:tcPr>
          <w:p w14:paraId="1887F1F9"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52</w:t>
            </w:r>
          </w:p>
        </w:tc>
        <w:tc>
          <w:tcPr>
            <w:tcW w:w="4247" w:type="dxa"/>
            <w:shd w:val="clear" w:color="auto" w:fill="C6EFCE"/>
            <w:noWrap/>
          </w:tcPr>
          <w:p w14:paraId="1887F1FA"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C2.2R1</w:t>
            </w:r>
          </w:p>
          <w:p w14:paraId="1887F1FB" w14:textId="77777777" w:rsidR="00C02B59" w:rsidRPr="00D1795B" w:rsidRDefault="00C02B59" w:rsidP="00C02B59">
            <w:pP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Installation of an Intelligent Transport System using Digital Twin technologies</w:t>
            </w:r>
          </w:p>
        </w:tc>
        <w:tc>
          <w:tcPr>
            <w:tcW w:w="1417" w:type="dxa"/>
            <w:shd w:val="clear" w:color="auto" w:fill="C6EFCE"/>
            <w:noWrap/>
          </w:tcPr>
          <w:p w14:paraId="1887F1FC"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2936" w:type="dxa"/>
            <w:shd w:val="clear" w:color="auto" w:fill="C6EFCE"/>
            <w:noWrap/>
          </w:tcPr>
          <w:p w14:paraId="1887F1FD"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Installation and connection to the National Access Point of at least 150 sensors</w:t>
            </w:r>
          </w:p>
        </w:tc>
      </w:tr>
      <w:tr w:rsidR="00912879" w:rsidRPr="00D1795B" w14:paraId="1887F204" w14:textId="77777777" w:rsidTr="00175C28">
        <w:trPr>
          <w:cantSplit/>
          <w:trHeight w:val="302"/>
          <w:jc w:val="center"/>
        </w:trPr>
        <w:tc>
          <w:tcPr>
            <w:tcW w:w="1702" w:type="dxa"/>
            <w:shd w:val="clear" w:color="auto" w:fill="C6EFCE"/>
            <w:noWrap/>
          </w:tcPr>
          <w:p w14:paraId="1887F1FF"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78</w:t>
            </w:r>
          </w:p>
        </w:tc>
        <w:tc>
          <w:tcPr>
            <w:tcW w:w="4247" w:type="dxa"/>
            <w:shd w:val="clear" w:color="auto" w:fill="C6EFCE"/>
            <w:noWrap/>
          </w:tcPr>
          <w:p w14:paraId="1887F20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C2.3I5</w:t>
            </w:r>
          </w:p>
          <w:p w14:paraId="1887F201"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Anti-flood and water collection measures</w:t>
            </w:r>
          </w:p>
        </w:tc>
        <w:tc>
          <w:tcPr>
            <w:tcW w:w="1417" w:type="dxa"/>
            <w:shd w:val="clear" w:color="auto" w:fill="C6EFCE"/>
            <w:noWrap/>
          </w:tcPr>
          <w:p w14:paraId="1887F202"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936" w:type="dxa"/>
            <w:shd w:val="clear" w:color="auto" w:fill="C6EFCE"/>
            <w:noWrap/>
          </w:tcPr>
          <w:p w14:paraId="1887F203"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Construction works for the rainwater collection and recycling system in Kladeri area</w:t>
            </w:r>
          </w:p>
        </w:tc>
      </w:tr>
      <w:tr w:rsidR="00912879" w:rsidRPr="00D1795B" w14:paraId="1887F20A" w14:textId="77777777" w:rsidTr="00175C28">
        <w:trPr>
          <w:cantSplit/>
          <w:trHeight w:val="302"/>
          <w:jc w:val="center"/>
        </w:trPr>
        <w:tc>
          <w:tcPr>
            <w:tcW w:w="1702" w:type="dxa"/>
            <w:shd w:val="clear" w:color="auto" w:fill="C6EFCE"/>
            <w:noWrap/>
          </w:tcPr>
          <w:p w14:paraId="1887F20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80</w:t>
            </w:r>
          </w:p>
        </w:tc>
        <w:tc>
          <w:tcPr>
            <w:tcW w:w="4247" w:type="dxa"/>
            <w:shd w:val="clear" w:color="auto" w:fill="C6EFCE"/>
            <w:noWrap/>
          </w:tcPr>
          <w:p w14:paraId="1887F20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C2.3I6</w:t>
            </w:r>
          </w:p>
          <w:p w14:paraId="1887F20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Water security projects</w:t>
            </w:r>
          </w:p>
        </w:tc>
        <w:tc>
          <w:tcPr>
            <w:tcW w:w="1417" w:type="dxa"/>
            <w:shd w:val="clear" w:color="auto" w:fill="C6EFCE"/>
            <w:noWrap/>
          </w:tcPr>
          <w:p w14:paraId="1887F20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2936" w:type="dxa"/>
            <w:shd w:val="clear" w:color="auto" w:fill="C6EFCE"/>
            <w:noWrap/>
          </w:tcPr>
          <w:p w14:paraId="1887F209"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Construction of two glass lined steel reservoirs in Nicosia district</w:t>
            </w:r>
          </w:p>
        </w:tc>
      </w:tr>
      <w:tr w:rsidR="00912879" w:rsidRPr="00D1795B" w14:paraId="1887F210" w14:textId="77777777" w:rsidTr="00175C28">
        <w:trPr>
          <w:cantSplit/>
          <w:trHeight w:val="302"/>
          <w:jc w:val="center"/>
        </w:trPr>
        <w:tc>
          <w:tcPr>
            <w:tcW w:w="1702" w:type="dxa"/>
            <w:shd w:val="clear" w:color="auto" w:fill="C6EFCE"/>
            <w:noWrap/>
          </w:tcPr>
          <w:p w14:paraId="1887F20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103</w:t>
            </w:r>
          </w:p>
        </w:tc>
        <w:tc>
          <w:tcPr>
            <w:tcW w:w="4247" w:type="dxa"/>
            <w:shd w:val="clear" w:color="auto" w:fill="C6EFCE"/>
            <w:noWrap/>
          </w:tcPr>
          <w:p w14:paraId="1887F20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C3.1I8</w:t>
            </w:r>
          </w:p>
          <w:p w14:paraId="1887F20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Added value of tourism </w:t>
            </w:r>
          </w:p>
        </w:tc>
        <w:tc>
          <w:tcPr>
            <w:tcW w:w="1417" w:type="dxa"/>
            <w:shd w:val="clear" w:color="auto" w:fill="C6EFCE"/>
            <w:noWrap/>
          </w:tcPr>
          <w:p w14:paraId="1887F20E"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2936" w:type="dxa"/>
            <w:shd w:val="clear" w:color="auto" w:fill="C6EFCE"/>
            <w:noWrap/>
          </w:tcPr>
          <w:p w14:paraId="1887F20F"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Grant agreements signed with enterprises in the hospitality sector </w:t>
            </w:r>
          </w:p>
        </w:tc>
      </w:tr>
      <w:tr w:rsidR="00912879" w:rsidRPr="00D1795B" w14:paraId="1887F216" w14:textId="77777777" w:rsidTr="00175C28">
        <w:trPr>
          <w:cantSplit/>
          <w:trHeight w:val="302"/>
          <w:jc w:val="center"/>
        </w:trPr>
        <w:tc>
          <w:tcPr>
            <w:tcW w:w="1702" w:type="dxa"/>
            <w:shd w:val="clear" w:color="auto" w:fill="C6EFCE"/>
            <w:noWrap/>
          </w:tcPr>
          <w:p w14:paraId="1887F21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144</w:t>
            </w:r>
          </w:p>
        </w:tc>
        <w:tc>
          <w:tcPr>
            <w:tcW w:w="4247" w:type="dxa"/>
            <w:shd w:val="clear" w:color="auto" w:fill="C6EFCE"/>
            <w:noWrap/>
          </w:tcPr>
          <w:p w14:paraId="1887F21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C3.3I2</w:t>
            </w:r>
          </w:p>
          <w:p w14:paraId="1887F21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 Regulatory Sandbox</w:t>
            </w:r>
          </w:p>
        </w:tc>
        <w:tc>
          <w:tcPr>
            <w:tcW w:w="1417" w:type="dxa"/>
            <w:shd w:val="clear" w:color="auto" w:fill="C6EFCE"/>
            <w:noWrap/>
          </w:tcPr>
          <w:p w14:paraId="1887F214"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936" w:type="dxa"/>
            <w:shd w:val="clear" w:color="auto" w:fill="C6EFCE"/>
            <w:noWrap/>
          </w:tcPr>
          <w:p w14:paraId="1887F215"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Regulatory Sandbox </w:t>
            </w:r>
          </w:p>
        </w:tc>
      </w:tr>
      <w:tr w:rsidR="00912879" w:rsidRPr="00D1795B" w14:paraId="1887F21C" w14:textId="77777777" w:rsidTr="00175C28">
        <w:trPr>
          <w:cantSplit/>
          <w:trHeight w:val="302"/>
          <w:jc w:val="center"/>
        </w:trPr>
        <w:tc>
          <w:tcPr>
            <w:tcW w:w="1702" w:type="dxa"/>
            <w:shd w:val="clear" w:color="auto" w:fill="C6EFCE"/>
            <w:noWrap/>
          </w:tcPr>
          <w:p w14:paraId="1887F217"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169</w:t>
            </w:r>
          </w:p>
        </w:tc>
        <w:tc>
          <w:tcPr>
            <w:tcW w:w="4247" w:type="dxa"/>
            <w:shd w:val="clear" w:color="auto" w:fill="C6EFCE"/>
            <w:noWrap/>
          </w:tcPr>
          <w:p w14:paraId="1887F218"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C3.4R6</w:t>
            </w:r>
          </w:p>
          <w:p w14:paraId="1887F219"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New legal framework for Local Authorities and support measures </w:t>
            </w:r>
          </w:p>
        </w:tc>
        <w:tc>
          <w:tcPr>
            <w:tcW w:w="1417" w:type="dxa"/>
            <w:shd w:val="clear" w:color="auto" w:fill="C6EFCE"/>
            <w:noWrap/>
          </w:tcPr>
          <w:p w14:paraId="1887F21A"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936" w:type="dxa"/>
            <w:shd w:val="clear" w:color="auto" w:fill="C6EFCE"/>
            <w:noWrap/>
          </w:tcPr>
          <w:p w14:paraId="1887F21B"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New legal framework on local authorities</w:t>
            </w:r>
          </w:p>
        </w:tc>
      </w:tr>
      <w:tr w:rsidR="00912879" w:rsidRPr="00D1795B" w14:paraId="1887F222" w14:textId="77777777" w:rsidTr="00175C28">
        <w:trPr>
          <w:cantSplit/>
          <w:trHeight w:val="302"/>
          <w:jc w:val="center"/>
        </w:trPr>
        <w:tc>
          <w:tcPr>
            <w:tcW w:w="1702" w:type="dxa"/>
            <w:shd w:val="clear" w:color="auto" w:fill="C6EFCE"/>
            <w:noWrap/>
          </w:tcPr>
          <w:p w14:paraId="1887F21D"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171</w:t>
            </w:r>
          </w:p>
        </w:tc>
        <w:tc>
          <w:tcPr>
            <w:tcW w:w="4247" w:type="dxa"/>
            <w:shd w:val="clear" w:color="auto" w:fill="C6EFCE"/>
            <w:noWrap/>
          </w:tcPr>
          <w:p w14:paraId="1887F21E"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C3.4R7</w:t>
            </w:r>
          </w:p>
          <w:p w14:paraId="1887F21F"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Urban land consolidation </w:t>
            </w:r>
          </w:p>
        </w:tc>
        <w:tc>
          <w:tcPr>
            <w:tcW w:w="1417" w:type="dxa"/>
            <w:shd w:val="clear" w:color="auto" w:fill="C6EFCE"/>
            <w:noWrap/>
          </w:tcPr>
          <w:p w14:paraId="1887F220"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936" w:type="dxa"/>
            <w:shd w:val="clear" w:color="auto" w:fill="C6EFCE"/>
            <w:noWrap/>
          </w:tcPr>
          <w:p w14:paraId="1887F221"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Entry into force of the law on urban land consolidation </w:t>
            </w:r>
          </w:p>
        </w:tc>
      </w:tr>
      <w:tr w:rsidR="00912879" w:rsidRPr="00D1795B" w14:paraId="1887F228" w14:textId="77777777" w:rsidTr="00175C28">
        <w:trPr>
          <w:cantSplit/>
          <w:trHeight w:val="302"/>
          <w:jc w:val="center"/>
        </w:trPr>
        <w:tc>
          <w:tcPr>
            <w:tcW w:w="1702" w:type="dxa"/>
            <w:shd w:val="clear" w:color="auto" w:fill="C6EFCE"/>
            <w:noWrap/>
          </w:tcPr>
          <w:p w14:paraId="1887F223"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181</w:t>
            </w:r>
          </w:p>
        </w:tc>
        <w:tc>
          <w:tcPr>
            <w:tcW w:w="4247" w:type="dxa"/>
            <w:shd w:val="clear" w:color="auto" w:fill="C6EFCE"/>
            <w:noWrap/>
          </w:tcPr>
          <w:p w14:paraId="1887F22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C3.4R8</w:t>
            </w:r>
          </w:p>
          <w:p w14:paraId="1887F225"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Efficiency of Justice</w:t>
            </w:r>
          </w:p>
        </w:tc>
        <w:tc>
          <w:tcPr>
            <w:tcW w:w="1417" w:type="dxa"/>
            <w:shd w:val="clear" w:color="auto" w:fill="C6EFCE"/>
            <w:noWrap/>
          </w:tcPr>
          <w:p w14:paraId="1887F226"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2936" w:type="dxa"/>
            <w:shd w:val="clear" w:color="auto" w:fill="C6EFCE"/>
            <w:noWrap/>
          </w:tcPr>
          <w:p w14:paraId="1887F227"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Reducing the backlog of cases and appeals</w:t>
            </w:r>
          </w:p>
        </w:tc>
      </w:tr>
      <w:tr w:rsidR="00912879" w:rsidRPr="00D1795B" w14:paraId="1887F22E" w14:textId="77777777" w:rsidTr="00175C28">
        <w:trPr>
          <w:cantSplit/>
          <w:trHeight w:val="302"/>
          <w:jc w:val="center"/>
        </w:trPr>
        <w:tc>
          <w:tcPr>
            <w:tcW w:w="1702" w:type="dxa"/>
            <w:shd w:val="clear" w:color="auto" w:fill="C6EFCE"/>
            <w:noWrap/>
          </w:tcPr>
          <w:p w14:paraId="1887F229"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216</w:t>
            </w:r>
          </w:p>
        </w:tc>
        <w:tc>
          <w:tcPr>
            <w:tcW w:w="4247" w:type="dxa"/>
            <w:shd w:val="clear" w:color="auto" w:fill="C6EFCE"/>
            <w:noWrap/>
          </w:tcPr>
          <w:p w14:paraId="1887F22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C4.1R2</w:t>
            </w:r>
          </w:p>
          <w:p w14:paraId="1887F22B"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Simplification of the administrative procedures for the deployment of VHCN </w:t>
            </w:r>
          </w:p>
        </w:tc>
        <w:tc>
          <w:tcPr>
            <w:tcW w:w="1417" w:type="dxa"/>
            <w:shd w:val="clear" w:color="auto" w:fill="C6EFCE"/>
            <w:noWrap/>
          </w:tcPr>
          <w:p w14:paraId="1887F22C"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936" w:type="dxa"/>
            <w:shd w:val="clear" w:color="auto" w:fill="C6EFCE"/>
            <w:noWrap/>
          </w:tcPr>
          <w:p w14:paraId="1887F22D"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Entry into force of the administrative acts for very high capacity networks’ deployment</w:t>
            </w:r>
          </w:p>
        </w:tc>
      </w:tr>
      <w:tr w:rsidR="00912879" w:rsidRPr="00D1795B" w14:paraId="1887F234" w14:textId="77777777" w:rsidTr="00175C28">
        <w:trPr>
          <w:cantSplit/>
          <w:trHeight w:val="302"/>
          <w:jc w:val="center"/>
        </w:trPr>
        <w:tc>
          <w:tcPr>
            <w:tcW w:w="1702" w:type="dxa"/>
            <w:shd w:val="clear" w:color="auto" w:fill="C6EFCE"/>
            <w:noWrap/>
          </w:tcPr>
          <w:p w14:paraId="1887F22F"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246a</w:t>
            </w:r>
          </w:p>
        </w:tc>
        <w:tc>
          <w:tcPr>
            <w:tcW w:w="4247" w:type="dxa"/>
            <w:shd w:val="clear" w:color="auto" w:fill="C6EFCE"/>
            <w:noWrap/>
          </w:tcPr>
          <w:p w14:paraId="1887F230"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C5.1R4</w:t>
            </w:r>
          </w:p>
          <w:p w14:paraId="1887F23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 transformation of school units with the aim of supporting digital skills and skills related to STEM education</w:t>
            </w:r>
          </w:p>
        </w:tc>
        <w:tc>
          <w:tcPr>
            <w:tcW w:w="1417" w:type="dxa"/>
            <w:shd w:val="clear" w:color="auto" w:fill="C6EFCE"/>
            <w:noWrap/>
          </w:tcPr>
          <w:p w14:paraId="1887F232"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2936" w:type="dxa"/>
            <w:shd w:val="clear" w:color="auto" w:fill="C6EFCE"/>
            <w:noWrap/>
          </w:tcPr>
          <w:p w14:paraId="1887F233"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Classrooms digitally equipped </w:t>
            </w:r>
          </w:p>
        </w:tc>
      </w:tr>
      <w:tr w:rsidR="00B70EBF" w:rsidRPr="00D1795B" w14:paraId="1887F239" w14:textId="77777777" w:rsidTr="00175C28">
        <w:trPr>
          <w:cantSplit/>
          <w:trHeight w:val="302"/>
          <w:jc w:val="center"/>
        </w:trPr>
        <w:tc>
          <w:tcPr>
            <w:tcW w:w="1702" w:type="dxa"/>
            <w:shd w:val="clear" w:color="auto" w:fill="C6EFCE"/>
            <w:noWrap/>
          </w:tcPr>
          <w:p w14:paraId="1887F235"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274</w:t>
            </w:r>
          </w:p>
        </w:tc>
        <w:tc>
          <w:tcPr>
            <w:tcW w:w="4247" w:type="dxa"/>
            <w:shd w:val="clear" w:color="auto" w:fill="C6EFCE"/>
            <w:noWrap/>
          </w:tcPr>
          <w:p w14:paraId="1887F236" w14:textId="77777777" w:rsidR="00C02B59" w:rsidRPr="00D1795B" w:rsidRDefault="00C02B59" w:rsidP="00C02B59">
            <w:pPr>
              <w:spacing w:after="0"/>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C6.1I3 Promoting extensive energy renovations of dwellings</w:t>
            </w:r>
          </w:p>
        </w:tc>
        <w:tc>
          <w:tcPr>
            <w:tcW w:w="1417" w:type="dxa"/>
            <w:shd w:val="clear" w:color="auto" w:fill="C6EFCE"/>
            <w:noWrap/>
          </w:tcPr>
          <w:p w14:paraId="1887F237"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Milestone</w:t>
            </w:r>
          </w:p>
        </w:tc>
        <w:tc>
          <w:tcPr>
            <w:tcW w:w="2936" w:type="dxa"/>
            <w:shd w:val="clear" w:color="auto" w:fill="C6EFCE"/>
            <w:noWrap/>
            <w:vAlign w:val="bottom"/>
          </w:tcPr>
          <w:p w14:paraId="1887F238" w14:textId="77777777" w:rsidR="00C02B59" w:rsidRPr="00D1795B" w:rsidRDefault="00C02B59" w:rsidP="00C02B59">
            <w:pPr>
              <w:spacing w:after="0"/>
              <w:jc w:val="both"/>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Support scheme for energy upgrading of dwellings</w:t>
            </w:r>
          </w:p>
        </w:tc>
      </w:tr>
      <w:tr w:rsidR="00912879" w:rsidRPr="00D1795B" w14:paraId="1887F23F" w14:textId="77777777" w:rsidTr="00175C28">
        <w:trPr>
          <w:cantSplit/>
          <w:trHeight w:val="302"/>
          <w:jc w:val="center"/>
        </w:trPr>
        <w:tc>
          <w:tcPr>
            <w:tcW w:w="1702" w:type="dxa"/>
            <w:shd w:val="clear" w:color="auto" w:fill="C6EFCE"/>
            <w:noWrap/>
          </w:tcPr>
          <w:p w14:paraId="1887F23A"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8</w:t>
            </w:r>
          </w:p>
        </w:tc>
        <w:tc>
          <w:tcPr>
            <w:tcW w:w="4247" w:type="dxa"/>
            <w:shd w:val="clear" w:color="auto" w:fill="C6EFCE"/>
            <w:noWrap/>
          </w:tcPr>
          <w:p w14:paraId="1887F23B"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C1.1I2</w:t>
            </w:r>
          </w:p>
          <w:p w14:paraId="1887F23C" w14:textId="77777777" w:rsidR="00C02B59" w:rsidRPr="00D1795B" w:rsidRDefault="00C02B59" w:rsidP="00C02B59">
            <w:pPr>
              <w:spacing w:after="0"/>
              <w:rPr>
                <w:rFonts w:ascii="Times New Roman" w:hAnsi="Times New Roman" w:cs="Times New Roman"/>
                <w:noProof/>
                <w:sz w:val="18"/>
                <w:szCs w:val="18"/>
              </w:rPr>
            </w:pPr>
            <w:r w:rsidRPr="00D1795B">
              <w:rPr>
                <w:rFonts w:ascii="Times New Roman" w:hAnsi="Times New Roman" w:cs="Times New Roman"/>
                <w:noProof/>
                <w:sz w:val="18"/>
                <w:szCs w:val="18"/>
              </w:rPr>
              <w:t>Cyprus Public Health information System</w:t>
            </w:r>
          </w:p>
        </w:tc>
        <w:tc>
          <w:tcPr>
            <w:tcW w:w="1417" w:type="dxa"/>
            <w:shd w:val="clear" w:color="auto" w:fill="C6EFCE"/>
            <w:noWrap/>
          </w:tcPr>
          <w:p w14:paraId="1887F23D"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2936" w:type="dxa"/>
            <w:shd w:val="clear" w:color="auto" w:fill="C6EFCE"/>
            <w:noWrap/>
          </w:tcPr>
          <w:p w14:paraId="1887F23E"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Sentinels registered in the module</w:t>
            </w:r>
          </w:p>
        </w:tc>
      </w:tr>
      <w:tr w:rsidR="00912879" w:rsidRPr="00D1795B" w14:paraId="1887F245" w14:textId="77777777" w:rsidTr="00175C28">
        <w:trPr>
          <w:cantSplit/>
          <w:trHeight w:val="302"/>
          <w:jc w:val="center"/>
        </w:trPr>
        <w:tc>
          <w:tcPr>
            <w:tcW w:w="1702" w:type="dxa"/>
            <w:shd w:val="clear" w:color="auto" w:fill="C6EFCE"/>
            <w:noWrap/>
          </w:tcPr>
          <w:p w14:paraId="1887F240"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237</w:t>
            </w:r>
          </w:p>
        </w:tc>
        <w:tc>
          <w:tcPr>
            <w:tcW w:w="4247" w:type="dxa"/>
            <w:shd w:val="clear" w:color="auto" w:fill="C6EFCE"/>
            <w:noWrap/>
          </w:tcPr>
          <w:p w14:paraId="1887F241"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C4.2I2</w:t>
            </w:r>
          </w:p>
          <w:p w14:paraId="1887F242" w14:textId="77777777" w:rsidR="00C02B59" w:rsidRPr="00D1795B" w:rsidRDefault="00C02B59" w:rsidP="00C02B59">
            <w:pPr>
              <w:spacing w:after="0"/>
              <w:rPr>
                <w:rFonts w:ascii="Times New Roman" w:hAnsi="Times New Roman" w:cs="Times New Roman"/>
                <w:noProof/>
                <w:sz w:val="18"/>
                <w:szCs w:val="18"/>
              </w:rPr>
            </w:pPr>
            <w:r w:rsidRPr="00D1795B">
              <w:rPr>
                <w:rFonts w:ascii="Times New Roman" w:hAnsi="Times New Roman" w:cs="Times New Roman"/>
                <w:noProof/>
                <w:sz w:val="18"/>
                <w:szCs w:val="18"/>
              </w:rPr>
              <w:t>Digitalisation of the Cyprus Ports Authority</w:t>
            </w:r>
          </w:p>
        </w:tc>
        <w:tc>
          <w:tcPr>
            <w:tcW w:w="1417" w:type="dxa"/>
            <w:shd w:val="clear" w:color="auto" w:fill="C6EFCE"/>
            <w:noWrap/>
          </w:tcPr>
          <w:p w14:paraId="1887F243"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2936" w:type="dxa"/>
            <w:shd w:val="clear" w:color="auto" w:fill="C6EFCE"/>
            <w:noWrap/>
          </w:tcPr>
          <w:p w14:paraId="1887F244"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IT infrastructure of the Cyprus Ports Authority</w:t>
            </w:r>
          </w:p>
        </w:tc>
      </w:tr>
      <w:tr w:rsidR="00912879" w:rsidRPr="00D1795B" w14:paraId="1887F24B" w14:textId="77777777" w:rsidTr="00175C28">
        <w:trPr>
          <w:cantSplit/>
          <w:trHeight w:val="302"/>
          <w:jc w:val="center"/>
        </w:trPr>
        <w:tc>
          <w:tcPr>
            <w:tcW w:w="1702" w:type="dxa"/>
            <w:shd w:val="clear" w:color="auto" w:fill="C6EFCE"/>
            <w:noWrap/>
          </w:tcPr>
          <w:p w14:paraId="1887F246"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107</w:t>
            </w:r>
          </w:p>
        </w:tc>
        <w:tc>
          <w:tcPr>
            <w:tcW w:w="4247" w:type="dxa"/>
            <w:shd w:val="clear" w:color="auto" w:fill="C6EFCE"/>
            <w:noWrap/>
          </w:tcPr>
          <w:p w14:paraId="1887F24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C3.1I10</w:t>
            </w:r>
          </w:p>
          <w:p w14:paraId="1887F248" w14:textId="77777777" w:rsidR="00C02B59" w:rsidRPr="00D1795B" w:rsidRDefault="00C02B59" w:rsidP="00C02B59">
            <w:pPr>
              <w:spacing w:after="0"/>
              <w:rPr>
                <w:rFonts w:ascii="Times New Roman" w:hAnsi="Times New Roman" w:cs="Times New Roman"/>
                <w:noProof/>
                <w:sz w:val="18"/>
                <w:szCs w:val="18"/>
              </w:rPr>
            </w:pPr>
            <w:r w:rsidRPr="00D1795B">
              <w:rPr>
                <w:rFonts w:ascii="Times New Roman" w:hAnsi="Times New Roman" w:cs="Times New Roman"/>
                <w:noProof/>
                <w:sz w:val="18"/>
                <w:szCs w:val="18"/>
              </w:rPr>
              <w:t xml:space="preserve">Enrichment of tourism </w:t>
            </w:r>
          </w:p>
        </w:tc>
        <w:tc>
          <w:tcPr>
            <w:tcW w:w="1417" w:type="dxa"/>
            <w:shd w:val="clear" w:color="auto" w:fill="C6EFCE"/>
            <w:noWrap/>
          </w:tcPr>
          <w:p w14:paraId="1887F249"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936" w:type="dxa"/>
            <w:shd w:val="clear" w:color="auto" w:fill="C6EFCE"/>
            <w:noWrap/>
          </w:tcPr>
          <w:p w14:paraId="1887F24A"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Aphrodite Route</w:t>
            </w:r>
          </w:p>
        </w:tc>
      </w:tr>
      <w:tr w:rsidR="00912879" w:rsidRPr="00D1795B" w14:paraId="1887F251" w14:textId="77777777" w:rsidTr="00175C28">
        <w:trPr>
          <w:cantSplit/>
          <w:trHeight w:val="302"/>
          <w:jc w:val="center"/>
        </w:trPr>
        <w:tc>
          <w:tcPr>
            <w:tcW w:w="1702" w:type="dxa"/>
            <w:shd w:val="clear" w:color="auto" w:fill="C6EFCE"/>
            <w:noWrap/>
          </w:tcPr>
          <w:p w14:paraId="1887F24C" w14:textId="77777777" w:rsidR="00C02B59" w:rsidRPr="00D1795B" w:rsidRDefault="00C02B59" w:rsidP="00C02B59">
            <w:pPr>
              <w:spacing w:after="0"/>
              <w:jc w:val="center"/>
              <w:rPr>
                <w:rFonts w:ascii="Times New Roman" w:eastAsia="Times New Roman" w:hAnsi="Times New Roman" w:cs="Times New Roman"/>
                <w:noProof/>
                <w:color w:val="006100"/>
                <w:sz w:val="18"/>
                <w:szCs w:val="18"/>
                <w:lang w:eastAsia="en-GB"/>
              </w:rPr>
            </w:pPr>
            <w:r w:rsidRPr="00D1795B">
              <w:rPr>
                <w:rFonts w:ascii="Times New Roman" w:hAnsi="Times New Roman" w:cs="Times New Roman"/>
                <w:noProof/>
                <w:sz w:val="18"/>
                <w:szCs w:val="18"/>
              </w:rPr>
              <w:t>88</w:t>
            </w:r>
          </w:p>
        </w:tc>
        <w:tc>
          <w:tcPr>
            <w:tcW w:w="4247" w:type="dxa"/>
            <w:shd w:val="clear" w:color="auto" w:fill="C6EFCE"/>
            <w:noWrap/>
          </w:tcPr>
          <w:p w14:paraId="1887F24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C3.1R2</w:t>
            </w:r>
          </w:p>
          <w:p w14:paraId="1887F24E" w14:textId="77777777" w:rsidR="00C02B59" w:rsidRPr="00D1795B" w:rsidRDefault="00C02B59" w:rsidP="00C02B59">
            <w:pPr>
              <w:spacing w:after="0"/>
              <w:rPr>
                <w:rFonts w:ascii="Times New Roman" w:eastAsia="Times New Roman" w:hAnsi="Times New Roman" w:cs="Times New Roman"/>
                <w:noProof/>
                <w:color w:val="006100"/>
                <w:sz w:val="18"/>
                <w:szCs w:val="18"/>
                <w:lang w:eastAsia="en-GB"/>
              </w:rPr>
            </w:pPr>
            <w:r w:rsidRPr="00D1795B">
              <w:rPr>
                <w:rFonts w:ascii="Times New Roman" w:hAnsi="Times New Roman" w:cs="Times New Roman"/>
                <w:noProof/>
                <w:sz w:val="18"/>
                <w:szCs w:val="18"/>
              </w:rPr>
              <w:t>On-line platform for trade and information symmetry in the fresh produce supply chain</w:t>
            </w:r>
          </w:p>
        </w:tc>
        <w:tc>
          <w:tcPr>
            <w:tcW w:w="1417" w:type="dxa"/>
            <w:shd w:val="clear" w:color="auto" w:fill="C6EFCE"/>
            <w:noWrap/>
          </w:tcPr>
          <w:p w14:paraId="1887F24F" w14:textId="77777777" w:rsidR="00C02B59" w:rsidRPr="00D1795B" w:rsidRDefault="00C02B59" w:rsidP="00C02B59">
            <w:pPr>
              <w:spacing w:after="0"/>
              <w:jc w:val="center"/>
              <w:rPr>
                <w:rFonts w:ascii="Times New Roman" w:hAnsi="Times New Roman" w:cs="Times New Roman"/>
                <w:noProof/>
                <w:color w:val="006100"/>
                <w:sz w:val="18"/>
                <w:szCs w:val="18"/>
              </w:rPr>
            </w:pPr>
            <w:r w:rsidRPr="00D1795B">
              <w:rPr>
                <w:rFonts w:ascii="Times New Roman" w:hAnsi="Times New Roman" w:cs="Times New Roman"/>
                <w:noProof/>
                <w:sz w:val="18"/>
                <w:szCs w:val="18"/>
              </w:rPr>
              <w:t>Milestone</w:t>
            </w:r>
          </w:p>
        </w:tc>
        <w:tc>
          <w:tcPr>
            <w:tcW w:w="2936" w:type="dxa"/>
            <w:shd w:val="clear" w:color="auto" w:fill="C6EFCE"/>
            <w:noWrap/>
          </w:tcPr>
          <w:p w14:paraId="1887F250" w14:textId="77777777" w:rsidR="00C02B59" w:rsidRPr="00D1795B" w:rsidRDefault="00C02B59" w:rsidP="00C02B59">
            <w:pPr>
              <w:spacing w:after="0"/>
              <w:jc w:val="both"/>
              <w:rPr>
                <w:rFonts w:ascii="Times New Roman" w:hAnsi="Times New Roman" w:cs="Times New Roman"/>
                <w:noProof/>
                <w:color w:val="006100"/>
                <w:sz w:val="18"/>
                <w:szCs w:val="18"/>
              </w:rPr>
            </w:pPr>
            <w:r w:rsidRPr="00D1795B">
              <w:rPr>
                <w:rFonts w:ascii="Times New Roman" w:hAnsi="Times New Roman" w:cs="Times New Roman"/>
                <w:noProof/>
                <w:sz w:val="18"/>
                <w:szCs w:val="18"/>
              </w:rPr>
              <w:t>Platform for recording transactions in the local fresh produce market</w:t>
            </w:r>
          </w:p>
        </w:tc>
      </w:tr>
      <w:tr w:rsidR="00912879" w:rsidRPr="00D1795B" w14:paraId="1887F256" w14:textId="77777777" w:rsidTr="00175C28">
        <w:trPr>
          <w:cantSplit/>
          <w:trHeight w:val="302"/>
          <w:jc w:val="center"/>
        </w:trPr>
        <w:tc>
          <w:tcPr>
            <w:tcW w:w="1702" w:type="dxa"/>
            <w:shd w:val="clear" w:color="auto" w:fill="C6EFCE"/>
            <w:noWrap/>
          </w:tcPr>
          <w:p w14:paraId="1887F252" w14:textId="77777777" w:rsidR="00C02B59" w:rsidRPr="00D1795B" w:rsidRDefault="00C02B59" w:rsidP="00C02B59">
            <w:pPr>
              <w:spacing w:after="0"/>
              <w:jc w:val="center"/>
              <w:rPr>
                <w:rFonts w:ascii="Times New Roman" w:eastAsia="Times New Roman" w:hAnsi="Times New Roman" w:cs="Times New Roman"/>
                <w:noProof/>
                <w:color w:val="006100"/>
                <w:sz w:val="18"/>
                <w:szCs w:val="18"/>
                <w:lang w:eastAsia="en-GB"/>
              </w:rPr>
            </w:pPr>
            <w:r w:rsidRPr="00D1795B">
              <w:rPr>
                <w:rFonts w:ascii="Times New Roman" w:hAnsi="Times New Roman" w:cs="Times New Roman"/>
                <w:noProof/>
                <w:sz w:val="18"/>
                <w:szCs w:val="18"/>
              </w:rPr>
              <w:t>17</w:t>
            </w:r>
          </w:p>
        </w:tc>
        <w:tc>
          <w:tcPr>
            <w:tcW w:w="4247" w:type="dxa"/>
            <w:shd w:val="clear" w:color="auto" w:fill="C6EFCE"/>
            <w:noWrap/>
          </w:tcPr>
          <w:p w14:paraId="1887F253" w14:textId="77777777" w:rsidR="00C02B59" w:rsidRPr="00D1795B" w:rsidRDefault="00C02B59" w:rsidP="00C02B59">
            <w:pPr>
              <w:spacing w:after="0"/>
              <w:rPr>
                <w:rFonts w:ascii="Times New Roman" w:eastAsia="Times New Roman" w:hAnsi="Times New Roman" w:cs="Times New Roman"/>
                <w:noProof/>
                <w:color w:val="006100"/>
                <w:sz w:val="18"/>
                <w:szCs w:val="18"/>
                <w:lang w:eastAsia="en-GB"/>
              </w:rPr>
            </w:pPr>
            <w:r w:rsidRPr="00D1795B">
              <w:rPr>
                <w:rFonts w:ascii="Times New Roman" w:hAnsi="Times New Roman" w:cs="Times New Roman"/>
                <w:noProof/>
                <w:sz w:val="18"/>
                <w:szCs w:val="18"/>
              </w:rPr>
              <w:t xml:space="preserve">C1.1I5 </w:t>
            </w:r>
            <w:r w:rsidRPr="00D1795B">
              <w:rPr>
                <w:rFonts w:ascii="Times New Roman" w:hAnsi="Times New Roman" w:cs="Times New Roman"/>
                <w:noProof/>
                <w:sz w:val="18"/>
                <w:szCs w:val="18"/>
              </w:rPr>
              <w:br/>
              <w:t>Construction works and new equipment in Cyprus State Hospitals</w:t>
            </w:r>
          </w:p>
        </w:tc>
        <w:tc>
          <w:tcPr>
            <w:tcW w:w="1417" w:type="dxa"/>
            <w:shd w:val="clear" w:color="auto" w:fill="C6EFCE"/>
            <w:noWrap/>
          </w:tcPr>
          <w:p w14:paraId="1887F254" w14:textId="77777777" w:rsidR="00C02B59" w:rsidRPr="00D1795B" w:rsidRDefault="00C02B59" w:rsidP="00C02B59">
            <w:pPr>
              <w:spacing w:after="0"/>
              <w:jc w:val="center"/>
              <w:rPr>
                <w:rFonts w:ascii="Times New Roman" w:hAnsi="Times New Roman" w:cs="Times New Roman"/>
                <w:noProof/>
                <w:color w:val="006100"/>
                <w:sz w:val="18"/>
                <w:szCs w:val="18"/>
              </w:rPr>
            </w:pPr>
            <w:r w:rsidRPr="00D1795B">
              <w:rPr>
                <w:rFonts w:ascii="Times New Roman" w:hAnsi="Times New Roman" w:cs="Times New Roman"/>
                <w:noProof/>
                <w:sz w:val="18"/>
                <w:szCs w:val="18"/>
              </w:rPr>
              <w:t>Target</w:t>
            </w:r>
          </w:p>
        </w:tc>
        <w:tc>
          <w:tcPr>
            <w:tcW w:w="2936" w:type="dxa"/>
            <w:shd w:val="clear" w:color="auto" w:fill="C6EFCE"/>
            <w:noWrap/>
          </w:tcPr>
          <w:p w14:paraId="1887F255" w14:textId="77777777" w:rsidR="00C02B59" w:rsidRPr="00D1795B" w:rsidRDefault="00C02B59" w:rsidP="00C02B59">
            <w:pPr>
              <w:spacing w:after="0"/>
              <w:jc w:val="both"/>
              <w:rPr>
                <w:rFonts w:ascii="Times New Roman" w:hAnsi="Times New Roman" w:cs="Times New Roman"/>
                <w:noProof/>
                <w:color w:val="006100"/>
                <w:sz w:val="18"/>
                <w:szCs w:val="18"/>
              </w:rPr>
            </w:pPr>
            <w:r w:rsidRPr="00D1795B">
              <w:rPr>
                <w:rFonts w:ascii="Times New Roman" w:hAnsi="Times New Roman" w:cs="Times New Roman"/>
                <w:noProof/>
                <w:sz w:val="18"/>
                <w:szCs w:val="18"/>
              </w:rPr>
              <w:t>Construction works or purchase of equipment in Cyprus State hospitals</w:t>
            </w:r>
          </w:p>
        </w:tc>
      </w:tr>
      <w:tr w:rsidR="00912879" w:rsidRPr="00D1795B" w14:paraId="1887F25C" w14:textId="77777777" w:rsidTr="00175C28">
        <w:trPr>
          <w:cantSplit/>
          <w:trHeight w:val="302"/>
          <w:jc w:val="center"/>
        </w:trPr>
        <w:tc>
          <w:tcPr>
            <w:tcW w:w="1702" w:type="dxa"/>
            <w:shd w:val="clear" w:color="auto" w:fill="C6EFCE"/>
            <w:noWrap/>
          </w:tcPr>
          <w:p w14:paraId="1887F257" w14:textId="77777777" w:rsidR="00C02B59" w:rsidRPr="00D1795B" w:rsidRDefault="00C02B59" w:rsidP="00C02B59">
            <w:pPr>
              <w:spacing w:after="0"/>
              <w:jc w:val="center"/>
              <w:rPr>
                <w:rFonts w:ascii="Times New Roman" w:eastAsia="Times New Roman" w:hAnsi="Times New Roman" w:cs="Times New Roman"/>
                <w:noProof/>
                <w:color w:val="006100"/>
                <w:sz w:val="18"/>
                <w:szCs w:val="18"/>
                <w:lang w:eastAsia="en-GB"/>
              </w:rPr>
            </w:pPr>
            <w:r w:rsidRPr="00D1795B">
              <w:rPr>
                <w:rFonts w:ascii="Times New Roman" w:hAnsi="Times New Roman" w:cs="Times New Roman"/>
                <w:noProof/>
                <w:sz w:val="18"/>
                <w:szCs w:val="18"/>
              </w:rPr>
              <w:t>153</w:t>
            </w:r>
          </w:p>
        </w:tc>
        <w:tc>
          <w:tcPr>
            <w:tcW w:w="4247" w:type="dxa"/>
            <w:shd w:val="clear" w:color="auto" w:fill="C6EFCE"/>
            <w:noWrap/>
          </w:tcPr>
          <w:p w14:paraId="1887F25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C3.3I1</w:t>
            </w:r>
          </w:p>
          <w:p w14:paraId="1887F259" w14:textId="77777777" w:rsidR="00C02B59" w:rsidRPr="00D1795B" w:rsidRDefault="00C02B59" w:rsidP="00C02B59">
            <w:pPr>
              <w:spacing w:after="0"/>
              <w:rPr>
                <w:rFonts w:ascii="Times New Roman" w:eastAsia="Times New Roman" w:hAnsi="Times New Roman" w:cs="Times New Roman"/>
                <w:noProof/>
                <w:color w:val="006100"/>
                <w:sz w:val="18"/>
                <w:szCs w:val="18"/>
                <w:lang w:eastAsia="en-GB"/>
              </w:rPr>
            </w:pPr>
            <w:r w:rsidRPr="00D1795B">
              <w:rPr>
                <w:rFonts w:ascii="Times New Roman" w:hAnsi="Times New Roman" w:cs="Times New Roman"/>
                <w:noProof/>
                <w:sz w:val="18"/>
                <w:szCs w:val="18"/>
              </w:rPr>
              <w:t>Integrated Information system for the Department of Registrar of Companies and Intellectual Property</w:t>
            </w:r>
          </w:p>
        </w:tc>
        <w:tc>
          <w:tcPr>
            <w:tcW w:w="1417" w:type="dxa"/>
            <w:shd w:val="clear" w:color="auto" w:fill="C6EFCE"/>
            <w:noWrap/>
          </w:tcPr>
          <w:p w14:paraId="1887F25A" w14:textId="77777777" w:rsidR="00C02B59" w:rsidRPr="00D1795B" w:rsidRDefault="00C02B59" w:rsidP="00C02B59">
            <w:pPr>
              <w:spacing w:after="0"/>
              <w:jc w:val="center"/>
              <w:rPr>
                <w:rFonts w:ascii="Times New Roman" w:hAnsi="Times New Roman" w:cs="Times New Roman"/>
                <w:noProof/>
                <w:color w:val="006100"/>
                <w:sz w:val="18"/>
                <w:szCs w:val="18"/>
              </w:rPr>
            </w:pPr>
            <w:r w:rsidRPr="00D1795B">
              <w:rPr>
                <w:rFonts w:ascii="Times New Roman" w:hAnsi="Times New Roman" w:cs="Times New Roman"/>
                <w:noProof/>
                <w:sz w:val="18"/>
                <w:szCs w:val="18"/>
              </w:rPr>
              <w:t>Milestone</w:t>
            </w:r>
          </w:p>
        </w:tc>
        <w:tc>
          <w:tcPr>
            <w:tcW w:w="2936" w:type="dxa"/>
            <w:shd w:val="clear" w:color="auto" w:fill="C6EFCE"/>
            <w:noWrap/>
          </w:tcPr>
          <w:p w14:paraId="1887F25B" w14:textId="77777777" w:rsidR="00C02B59" w:rsidRPr="00D1795B" w:rsidRDefault="00C02B59" w:rsidP="00C02B59">
            <w:pPr>
              <w:spacing w:after="0"/>
              <w:jc w:val="both"/>
              <w:rPr>
                <w:rFonts w:ascii="Times New Roman" w:hAnsi="Times New Roman" w:cs="Times New Roman"/>
                <w:noProof/>
                <w:color w:val="006100"/>
                <w:sz w:val="18"/>
                <w:szCs w:val="18"/>
              </w:rPr>
            </w:pPr>
            <w:r w:rsidRPr="00D1795B">
              <w:rPr>
                <w:rFonts w:ascii="Times New Roman" w:hAnsi="Times New Roman" w:cs="Times New Roman"/>
                <w:noProof/>
                <w:sz w:val="18"/>
                <w:szCs w:val="18"/>
              </w:rPr>
              <w:t>System hardware, software and networking installation</w:t>
            </w:r>
          </w:p>
        </w:tc>
      </w:tr>
      <w:tr w:rsidR="00B70EBF" w:rsidRPr="00D1795B" w14:paraId="1887F261" w14:textId="77777777" w:rsidTr="00175C28">
        <w:trPr>
          <w:cantSplit/>
          <w:trHeight w:val="302"/>
          <w:jc w:val="center"/>
        </w:trPr>
        <w:tc>
          <w:tcPr>
            <w:tcW w:w="1702" w:type="dxa"/>
            <w:shd w:val="clear" w:color="auto" w:fill="C6EFCE"/>
            <w:noWrap/>
            <w:vAlign w:val="bottom"/>
          </w:tcPr>
          <w:p w14:paraId="1887F25D" w14:textId="77777777" w:rsidR="00C02B59" w:rsidRPr="00D1795B" w:rsidRDefault="00C02B59" w:rsidP="00C02B59">
            <w:pPr>
              <w:spacing w:after="0"/>
              <w:jc w:val="center"/>
              <w:rPr>
                <w:rFonts w:ascii="Times New Roman" w:eastAsia="Times New Roman" w:hAnsi="Times New Roman" w:cs="Times New Roman"/>
                <w:noProof/>
                <w:color w:val="006100"/>
                <w:sz w:val="18"/>
                <w:szCs w:val="18"/>
                <w:lang w:eastAsia="en-GB"/>
              </w:rPr>
            </w:pPr>
          </w:p>
        </w:tc>
        <w:tc>
          <w:tcPr>
            <w:tcW w:w="4247" w:type="dxa"/>
            <w:shd w:val="clear" w:color="auto" w:fill="C6EFCE"/>
            <w:noWrap/>
            <w:vAlign w:val="bottom"/>
          </w:tcPr>
          <w:p w14:paraId="1887F25E" w14:textId="77777777" w:rsidR="00C02B59" w:rsidRPr="00D1795B" w:rsidRDefault="00C02B59" w:rsidP="00C02B59">
            <w:pPr>
              <w:spacing w:after="0"/>
              <w:rPr>
                <w:rFonts w:ascii="Times New Roman" w:eastAsia="Times New Roman" w:hAnsi="Times New Roman" w:cs="Times New Roman"/>
                <w:noProof/>
                <w:color w:val="006100"/>
                <w:sz w:val="18"/>
                <w:szCs w:val="18"/>
                <w:lang w:eastAsia="en-GB"/>
              </w:rPr>
            </w:pPr>
          </w:p>
        </w:tc>
        <w:tc>
          <w:tcPr>
            <w:tcW w:w="1417" w:type="dxa"/>
            <w:shd w:val="clear" w:color="auto" w:fill="C6EFCE"/>
            <w:noWrap/>
            <w:vAlign w:val="bottom"/>
            <w:hideMark/>
          </w:tcPr>
          <w:p w14:paraId="1887F25F"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color w:val="006100"/>
                <w:sz w:val="18"/>
                <w:szCs w:val="18"/>
              </w:rPr>
              <w:t>Instalment Amount</w:t>
            </w:r>
          </w:p>
        </w:tc>
        <w:tc>
          <w:tcPr>
            <w:tcW w:w="2936" w:type="dxa"/>
            <w:shd w:val="clear" w:color="auto" w:fill="C6EFCE"/>
            <w:noWrap/>
            <w:vAlign w:val="bottom"/>
            <w:hideMark/>
          </w:tcPr>
          <w:p w14:paraId="1887F260" w14:textId="77777777" w:rsidR="00C02B59" w:rsidRPr="00D1795B" w:rsidRDefault="00C02B59" w:rsidP="00C02B59">
            <w:pPr>
              <w:spacing w:after="0"/>
              <w:rPr>
                <w:rFonts w:ascii="Times New Roman" w:eastAsia="Times New Roman" w:hAnsi="Times New Roman" w:cs="Times New Roman"/>
                <w:noProof/>
                <w:color w:val="006100"/>
                <w:sz w:val="18"/>
                <w:szCs w:val="18"/>
              </w:rPr>
            </w:pPr>
            <w:r w:rsidRPr="00D1795B">
              <w:rPr>
                <w:rFonts w:ascii="Times New Roman" w:hAnsi="Times New Roman" w:cs="Times New Roman"/>
                <w:noProof/>
                <w:color w:val="006100"/>
                <w:sz w:val="18"/>
                <w:szCs w:val="18"/>
              </w:rPr>
              <w:t>EUR 24 637 332</w:t>
            </w:r>
          </w:p>
        </w:tc>
      </w:tr>
    </w:tbl>
    <w:p w14:paraId="1887F262" w14:textId="77777777" w:rsidR="00C02B59" w:rsidRPr="00D1795B" w:rsidRDefault="00C02B59" w:rsidP="00C02B59">
      <w:pPr>
        <w:rPr>
          <w:noProof/>
        </w:rPr>
      </w:pPr>
    </w:p>
    <w:p w14:paraId="1887F263" w14:textId="77777777" w:rsidR="00C02B59" w:rsidRPr="00D1795B" w:rsidRDefault="00C02B59" w:rsidP="00C02B59">
      <w:pPr>
        <w:pStyle w:val="NumPar2"/>
        <w:keepNext/>
        <w:tabs>
          <w:tab w:val="num" w:pos="850"/>
        </w:tabs>
        <w:ind w:left="851" w:hanging="851"/>
        <w:rPr>
          <w:noProof/>
          <w:lang w:val="en-GB"/>
        </w:rPr>
      </w:pPr>
      <w:r w:rsidRPr="00D1795B">
        <w:rPr>
          <w:noProof/>
          <w:lang w:val="en-GB"/>
        </w:rPr>
        <w:t xml:space="preserve">Seventh Instalment (non-repayable support): </w:t>
      </w:r>
    </w:p>
    <w:tbl>
      <w:tblPr>
        <w:tblW w:w="10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677"/>
        <w:gridCol w:w="1276"/>
        <w:gridCol w:w="2672"/>
      </w:tblGrid>
      <w:tr w:rsidR="00B70EBF" w:rsidRPr="00D1795B" w14:paraId="1887F268" w14:textId="77777777" w:rsidTr="00175C28">
        <w:trPr>
          <w:cantSplit/>
          <w:trHeight w:val="509"/>
          <w:tblHeader/>
          <w:jc w:val="center"/>
        </w:trPr>
        <w:tc>
          <w:tcPr>
            <w:tcW w:w="1702" w:type="dxa"/>
            <w:vMerge w:val="restart"/>
            <w:shd w:val="clear" w:color="auto" w:fill="BDD7EE"/>
            <w:vAlign w:val="center"/>
            <w:hideMark/>
          </w:tcPr>
          <w:p w14:paraId="1887F264"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4677" w:type="dxa"/>
            <w:vMerge w:val="restart"/>
            <w:shd w:val="clear" w:color="auto" w:fill="BDD7EE"/>
            <w:vAlign w:val="center"/>
            <w:hideMark/>
          </w:tcPr>
          <w:p w14:paraId="1887F265"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1276" w:type="dxa"/>
            <w:vMerge w:val="restart"/>
            <w:shd w:val="clear" w:color="auto" w:fill="BDD7EE"/>
            <w:vAlign w:val="center"/>
            <w:hideMark/>
          </w:tcPr>
          <w:p w14:paraId="1887F266"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Milestone / Target</w:t>
            </w:r>
          </w:p>
        </w:tc>
        <w:tc>
          <w:tcPr>
            <w:tcW w:w="2672" w:type="dxa"/>
            <w:vMerge w:val="restart"/>
            <w:shd w:val="clear" w:color="auto" w:fill="BDD7EE"/>
            <w:vAlign w:val="center"/>
            <w:hideMark/>
          </w:tcPr>
          <w:p w14:paraId="1887F267"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Name</w:t>
            </w:r>
          </w:p>
        </w:tc>
      </w:tr>
      <w:tr w:rsidR="00C02B59" w:rsidRPr="00D1795B" w14:paraId="1887F26D" w14:textId="77777777" w:rsidTr="00175C28">
        <w:trPr>
          <w:cantSplit/>
          <w:trHeight w:val="509"/>
          <w:tblHeader/>
          <w:jc w:val="center"/>
        </w:trPr>
        <w:tc>
          <w:tcPr>
            <w:tcW w:w="1702" w:type="dxa"/>
            <w:vMerge/>
            <w:vAlign w:val="center"/>
            <w:hideMark/>
          </w:tcPr>
          <w:p w14:paraId="1887F269"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4677" w:type="dxa"/>
            <w:vMerge/>
            <w:vAlign w:val="center"/>
            <w:hideMark/>
          </w:tcPr>
          <w:p w14:paraId="1887F26A"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1276" w:type="dxa"/>
            <w:vMerge/>
            <w:vAlign w:val="center"/>
            <w:hideMark/>
          </w:tcPr>
          <w:p w14:paraId="1887F26B" w14:textId="77777777" w:rsidR="00C02B59" w:rsidRPr="00D1795B" w:rsidRDefault="00C02B59" w:rsidP="00C02B59">
            <w:pPr>
              <w:spacing w:after="0"/>
              <w:jc w:val="center"/>
              <w:rPr>
                <w:rFonts w:ascii="Times New Roman" w:eastAsia="Times New Roman" w:hAnsi="Times New Roman" w:cs="Times New Roman"/>
                <w:b/>
                <w:noProof/>
                <w:sz w:val="18"/>
                <w:szCs w:val="18"/>
                <w:lang w:eastAsia="en-GB"/>
              </w:rPr>
            </w:pPr>
          </w:p>
        </w:tc>
        <w:tc>
          <w:tcPr>
            <w:tcW w:w="2672" w:type="dxa"/>
            <w:vMerge/>
            <w:vAlign w:val="center"/>
            <w:hideMark/>
          </w:tcPr>
          <w:p w14:paraId="1887F26C" w14:textId="77777777" w:rsidR="00C02B59" w:rsidRPr="00D1795B" w:rsidRDefault="00C02B59" w:rsidP="00C02B59">
            <w:pPr>
              <w:spacing w:after="0"/>
              <w:jc w:val="both"/>
              <w:rPr>
                <w:rFonts w:ascii="Times New Roman" w:eastAsia="Times New Roman" w:hAnsi="Times New Roman" w:cs="Times New Roman"/>
                <w:b/>
                <w:noProof/>
                <w:sz w:val="18"/>
                <w:szCs w:val="18"/>
                <w:lang w:eastAsia="en-GB"/>
              </w:rPr>
            </w:pPr>
          </w:p>
        </w:tc>
      </w:tr>
      <w:tr w:rsidR="00912879" w:rsidRPr="00D1795B" w14:paraId="1887F273" w14:textId="77777777" w:rsidTr="00175C28">
        <w:trPr>
          <w:cantSplit/>
          <w:trHeight w:val="302"/>
          <w:jc w:val="center"/>
        </w:trPr>
        <w:tc>
          <w:tcPr>
            <w:tcW w:w="1702" w:type="dxa"/>
            <w:shd w:val="clear" w:color="auto" w:fill="C6EFCE"/>
            <w:noWrap/>
          </w:tcPr>
          <w:p w14:paraId="1887F26E"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39</w:t>
            </w:r>
          </w:p>
        </w:tc>
        <w:tc>
          <w:tcPr>
            <w:tcW w:w="4677" w:type="dxa"/>
            <w:shd w:val="clear" w:color="auto" w:fill="C6EFCE"/>
            <w:noWrap/>
          </w:tcPr>
          <w:p w14:paraId="1887F26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C2.1I6</w:t>
            </w:r>
          </w:p>
          <w:p w14:paraId="1887F27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Expansion of the renewable energy and smart grids testing infrastructure at the University of Cyprus</w:t>
            </w:r>
          </w:p>
        </w:tc>
        <w:tc>
          <w:tcPr>
            <w:tcW w:w="1276" w:type="dxa"/>
            <w:shd w:val="clear" w:color="auto" w:fill="C6EFCE"/>
            <w:noWrap/>
          </w:tcPr>
          <w:p w14:paraId="1887F271"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72"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Acceptance of renewable energy and smart grids testing equipment</w:t>
            </w:r>
          </w:p>
        </w:tc>
      </w:tr>
      <w:tr w:rsidR="00912879" w:rsidRPr="00D1795B" w14:paraId="1887F27A" w14:textId="77777777" w:rsidTr="00175C28">
        <w:trPr>
          <w:cantSplit/>
          <w:trHeight w:val="302"/>
          <w:jc w:val="center"/>
        </w:trPr>
        <w:tc>
          <w:tcPr>
            <w:tcW w:w="1702" w:type="dxa"/>
            <w:shd w:val="clear" w:color="auto" w:fill="C6EFCE"/>
            <w:noWrap/>
          </w:tcPr>
          <w:p w14:paraId="1887F274"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54</w:t>
            </w:r>
          </w:p>
        </w:tc>
        <w:tc>
          <w:tcPr>
            <w:tcW w:w="4677" w:type="dxa"/>
            <w:shd w:val="clear" w:color="auto" w:fill="C6EFCE"/>
            <w:noWrap/>
          </w:tcPr>
          <w:p w14:paraId="1887F27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C2.2R2 </w:t>
            </w:r>
          </w:p>
          <w:p w14:paraId="1887F27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Entry into force of legal act(s) regarding electric vehicle (EV) recharging infrastructure </w:t>
            </w:r>
          </w:p>
          <w:p w14:paraId="1887F277" w14:textId="77777777" w:rsidR="00C02B59" w:rsidRPr="00D1795B" w:rsidRDefault="00C02B59" w:rsidP="00C02B59">
            <w:pPr>
              <w:spacing w:after="0" w:line="240" w:lineRule="auto"/>
              <w:rPr>
                <w:rFonts w:ascii="Times New Roman" w:hAnsi="Times New Roman" w:cs="Times New Roman"/>
                <w:noProof/>
                <w:sz w:val="18"/>
                <w:szCs w:val="18"/>
              </w:rPr>
            </w:pPr>
          </w:p>
        </w:tc>
        <w:tc>
          <w:tcPr>
            <w:tcW w:w="1276" w:type="dxa"/>
            <w:shd w:val="clear" w:color="auto" w:fill="C6EFCE"/>
            <w:noWrap/>
          </w:tcPr>
          <w:p w14:paraId="1887F278"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79"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legal act(s) related to electric vehicle charging points </w:t>
            </w:r>
          </w:p>
        </w:tc>
      </w:tr>
      <w:tr w:rsidR="00912879" w:rsidRPr="00D1795B" w14:paraId="1887F280" w14:textId="77777777" w:rsidTr="00175C28">
        <w:trPr>
          <w:cantSplit/>
          <w:trHeight w:val="302"/>
          <w:jc w:val="center"/>
        </w:trPr>
        <w:tc>
          <w:tcPr>
            <w:tcW w:w="1702" w:type="dxa"/>
            <w:shd w:val="clear" w:color="auto" w:fill="C6EFCE"/>
            <w:noWrap/>
          </w:tcPr>
          <w:p w14:paraId="1887F27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 124</w:t>
            </w:r>
          </w:p>
        </w:tc>
        <w:tc>
          <w:tcPr>
            <w:tcW w:w="4677" w:type="dxa"/>
            <w:shd w:val="clear" w:color="auto" w:fill="C6EFCE"/>
            <w:noWrap/>
          </w:tcPr>
          <w:p w14:paraId="1887F27C"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C3.2R3</w:t>
            </w:r>
          </w:p>
          <w:p w14:paraId="1887F27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Support access to publicly funded research infrastructure</w:t>
            </w:r>
          </w:p>
        </w:tc>
        <w:tc>
          <w:tcPr>
            <w:tcW w:w="1276" w:type="dxa"/>
            <w:shd w:val="clear" w:color="auto" w:fill="C6EFCE"/>
            <w:noWrap/>
          </w:tcPr>
          <w:p w14:paraId="1887F27E"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7F"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National Policy of the Republic of Cyprus for Open Science Practices </w:t>
            </w:r>
          </w:p>
        </w:tc>
      </w:tr>
      <w:tr w:rsidR="00912879" w:rsidRPr="00D1795B" w14:paraId="1887F286" w14:textId="77777777" w:rsidTr="00175C28">
        <w:trPr>
          <w:cantSplit/>
          <w:trHeight w:val="302"/>
          <w:jc w:val="center"/>
        </w:trPr>
        <w:tc>
          <w:tcPr>
            <w:tcW w:w="1702" w:type="dxa"/>
            <w:shd w:val="clear" w:color="auto" w:fill="C6EFCE"/>
            <w:noWrap/>
          </w:tcPr>
          <w:p w14:paraId="1887F28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159</w:t>
            </w:r>
          </w:p>
        </w:tc>
        <w:tc>
          <w:tcPr>
            <w:tcW w:w="4677" w:type="dxa"/>
            <w:shd w:val="clear" w:color="auto" w:fill="C6EFCE"/>
            <w:noWrap/>
          </w:tcPr>
          <w:p w14:paraId="1887F282"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C3.4R2</w:t>
            </w:r>
          </w:p>
          <w:p w14:paraId="1887F28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Regulate flexible working arrangements in the public sector </w:t>
            </w:r>
          </w:p>
        </w:tc>
        <w:tc>
          <w:tcPr>
            <w:tcW w:w="1276" w:type="dxa"/>
            <w:shd w:val="clear" w:color="auto" w:fill="C6EFCE"/>
            <w:noWrap/>
          </w:tcPr>
          <w:p w14:paraId="1887F284"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85"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Flexible working arrangements</w:t>
            </w:r>
          </w:p>
        </w:tc>
      </w:tr>
      <w:tr w:rsidR="00912879" w:rsidRPr="00D1795B" w14:paraId="1887F28C" w14:textId="77777777" w:rsidTr="00175C28">
        <w:trPr>
          <w:cantSplit/>
          <w:trHeight w:val="302"/>
          <w:jc w:val="center"/>
        </w:trPr>
        <w:tc>
          <w:tcPr>
            <w:tcW w:w="1702" w:type="dxa"/>
            <w:shd w:val="clear" w:color="auto" w:fill="C6EFCE"/>
            <w:noWrap/>
          </w:tcPr>
          <w:p w14:paraId="1887F287"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170</w:t>
            </w:r>
          </w:p>
        </w:tc>
        <w:tc>
          <w:tcPr>
            <w:tcW w:w="4677" w:type="dxa"/>
            <w:shd w:val="clear" w:color="auto" w:fill="C6EFCE"/>
            <w:noWrap/>
          </w:tcPr>
          <w:p w14:paraId="1887F288"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C3.4R6</w:t>
            </w:r>
          </w:p>
          <w:p w14:paraId="1887F28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New legal framework for Local Authorities and support measures </w:t>
            </w:r>
          </w:p>
        </w:tc>
        <w:tc>
          <w:tcPr>
            <w:tcW w:w="1276" w:type="dxa"/>
            <w:shd w:val="clear" w:color="auto" w:fill="C6EFCE"/>
            <w:noWrap/>
          </w:tcPr>
          <w:p w14:paraId="1887F28A"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8B"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Trainings </w:t>
            </w:r>
          </w:p>
        </w:tc>
      </w:tr>
      <w:tr w:rsidR="00912879" w:rsidRPr="00D1795B" w14:paraId="1887F292" w14:textId="77777777" w:rsidTr="00175C28">
        <w:trPr>
          <w:cantSplit/>
          <w:trHeight w:val="302"/>
          <w:jc w:val="center"/>
        </w:trPr>
        <w:tc>
          <w:tcPr>
            <w:tcW w:w="1702" w:type="dxa"/>
            <w:shd w:val="clear" w:color="auto" w:fill="C6EFCE"/>
            <w:noWrap/>
          </w:tcPr>
          <w:p w14:paraId="1887F28D"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174</w:t>
            </w:r>
          </w:p>
        </w:tc>
        <w:tc>
          <w:tcPr>
            <w:tcW w:w="4677" w:type="dxa"/>
            <w:shd w:val="clear" w:color="auto" w:fill="C6EFCE"/>
            <w:noWrap/>
          </w:tcPr>
          <w:p w14:paraId="1887F28E"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C3.4I4</w:t>
            </w:r>
          </w:p>
          <w:p w14:paraId="1887F28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E-system for issuing building permits </w:t>
            </w:r>
          </w:p>
        </w:tc>
        <w:tc>
          <w:tcPr>
            <w:tcW w:w="1276" w:type="dxa"/>
            <w:shd w:val="clear" w:color="auto" w:fill="C6EFCE"/>
            <w:noWrap/>
          </w:tcPr>
          <w:p w14:paraId="1887F290"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91"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Planning and control tool, project management tool. Software and hardware of Hippodamos </w:t>
            </w:r>
          </w:p>
        </w:tc>
      </w:tr>
      <w:tr w:rsidR="00912879" w:rsidRPr="00D1795B" w14:paraId="1887F298" w14:textId="77777777" w:rsidTr="00175C28">
        <w:trPr>
          <w:cantSplit/>
          <w:trHeight w:val="302"/>
          <w:jc w:val="center"/>
        </w:trPr>
        <w:tc>
          <w:tcPr>
            <w:tcW w:w="1702" w:type="dxa"/>
            <w:shd w:val="clear" w:color="auto" w:fill="C6EFCE"/>
            <w:noWrap/>
          </w:tcPr>
          <w:p w14:paraId="1887F293"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198</w:t>
            </w:r>
          </w:p>
        </w:tc>
        <w:tc>
          <w:tcPr>
            <w:tcW w:w="4677" w:type="dxa"/>
            <w:shd w:val="clear" w:color="auto" w:fill="C6EFCE"/>
            <w:noWrap/>
          </w:tcPr>
          <w:p w14:paraId="1887F29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C3.5R4 </w:t>
            </w:r>
          </w:p>
          <w:p w14:paraId="1887F295"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Digital system for the exchange of data and the provision of credit scoring services</w:t>
            </w:r>
          </w:p>
        </w:tc>
        <w:tc>
          <w:tcPr>
            <w:tcW w:w="1276" w:type="dxa"/>
            <w:shd w:val="clear" w:color="auto" w:fill="C6EFCE"/>
            <w:noWrap/>
          </w:tcPr>
          <w:p w14:paraId="1887F296"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97"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Entry into force of legal act(s) on the ARTEMIS data exchange mechanism and ARTEMIS data exchange mechanism providing credit scoring services in User Acceptance Testing phase </w:t>
            </w:r>
          </w:p>
        </w:tc>
      </w:tr>
      <w:tr w:rsidR="00912879" w:rsidRPr="00D1795B" w14:paraId="1887F29E" w14:textId="77777777" w:rsidTr="00175C28">
        <w:trPr>
          <w:cantSplit/>
          <w:trHeight w:val="302"/>
          <w:jc w:val="center"/>
        </w:trPr>
        <w:tc>
          <w:tcPr>
            <w:tcW w:w="1702" w:type="dxa"/>
            <w:shd w:val="clear" w:color="auto" w:fill="C6EFCE"/>
            <w:noWrap/>
          </w:tcPr>
          <w:p w14:paraId="1887F299"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200</w:t>
            </w:r>
          </w:p>
        </w:tc>
        <w:tc>
          <w:tcPr>
            <w:tcW w:w="4677" w:type="dxa"/>
            <w:shd w:val="clear" w:color="auto" w:fill="C6EFCE"/>
            <w:noWrap/>
          </w:tcPr>
          <w:p w14:paraId="1887F29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C3.5R5 </w:t>
            </w:r>
          </w:p>
          <w:p w14:paraId="1887F29B"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Framework for Management of Private Debt</w:t>
            </w:r>
          </w:p>
        </w:tc>
        <w:tc>
          <w:tcPr>
            <w:tcW w:w="1276" w:type="dxa"/>
            <w:shd w:val="clear" w:color="auto" w:fill="C6EFCE"/>
            <w:noWrap/>
          </w:tcPr>
          <w:p w14:paraId="1887F29C"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9D"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Entry into force of legal act(s) for the management of private debt.</w:t>
            </w:r>
          </w:p>
        </w:tc>
      </w:tr>
      <w:tr w:rsidR="00912879" w:rsidRPr="00D1795B" w14:paraId="1887F2A3" w14:textId="77777777" w:rsidTr="00175C28">
        <w:trPr>
          <w:cantSplit/>
          <w:trHeight w:val="302"/>
          <w:jc w:val="center"/>
        </w:trPr>
        <w:tc>
          <w:tcPr>
            <w:tcW w:w="1702" w:type="dxa"/>
            <w:shd w:val="clear" w:color="auto" w:fill="C6EFCE"/>
            <w:noWrap/>
          </w:tcPr>
          <w:p w14:paraId="1887F29F"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210</w:t>
            </w:r>
          </w:p>
        </w:tc>
        <w:tc>
          <w:tcPr>
            <w:tcW w:w="4677" w:type="dxa"/>
            <w:shd w:val="clear" w:color="auto" w:fill="C6EFCE"/>
            <w:noWrap/>
          </w:tcPr>
          <w:p w14:paraId="1887F2A0"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C3.5R10 </w:t>
            </w:r>
            <w:r w:rsidRPr="00D1795B">
              <w:rPr>
                <w:rFonts w:ascii="Times New Roman" w:hAnsi="Times New Roman" w:cs="Times New Roman"/>
                <w:noProof/>
                <w:sz w:val="18"/>
                <w:szCs w:val="18"/>
              </w:rPr>
              <w:br/>
              <w:t>Addressing Aggressive Tax Planning</w:t>
            </w:r>
          </w:p>
        </w:tc>
        <w:tc>
          <w:tcPr>
            <w:tcW w:w="1276" w:type="dxa"/>
            <w:shd w:val="clear" w:color="auto" w:fill="C6EFCE"/>
            <w:noWrap/>
          </w:tcPr>
          <w:p w14:paraId="1887F2A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A2"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Entry into force of legal act(s) to tackle aggressive tax planning</w:t>
            </w:r>
          </w:p>
        </w:tc>
      </w:tr>
      <w:tr w:rsidR="00912879" w:rsidRPr="00D1795B" w14:paraId="1887F2A9" w14:textId="77777777" w:rsidTr="00175C28">
        <w:trPr>
          <w:cantSplit/>
          <w:trHeight w:val="302"/>
          <w:jc w:val="center"/>
        </w:trPr>
        <w:tc>
          <w:tcPr>
            <w:tcW w:w="1702" w:type="dxa"/>
            <w:shd w:val="clear" w:color="auto" w:fill="C6EFCE"/>
            <w:noWrap/>
          </w:tcPr>
          <w:p w14:paraId="1887F2A4"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215</w:t>
            </w:r>
          </w:p>
        </w:tc>
        <w:tc>
          <w:tcPr>
            <w:tcW w:w="4677" w:type="dxa"/>
            <w:shd w:val="clear" w:color="auto" w:fill="C6EFCE"/>
            <w:noWrap/>
          </w:tcPr>
          <w:p w14:paraId="1887F2A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C4.1R1</w:t>
            </w:r>
          </w:p>
          <w:p w14:paraId="1887F2A6"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Empower the National Regulatory Authority (OCECPR)</w:t>
            </w:r>
          </w:p>
        </w:tc>
        <w:tc>
          <w:tcPr>
            <w:tcW w:w="1276" w:type="dxa"/>
            <w:shd w:val="clear" w:color="auto" w:fill="C6EFCE"/>
            <w:noWrap/>
          </w:tcPr>
          <w:p w14:paraId="1887F2A7"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A8"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Web portal on broadband and infrastructure mapping</w:t>
            </w:r>
          </w:p>
        </w:tc>
      </w:tr>
      <w:tr w:rsidR="00912879" w:rsidRPr="00D1795B" w14:paraId="1887F2AF" w14:textId="77777777" w:rsidTr="00175C28">
        <w:trPr>
          <w:cantSplit/>
          <w:trHeight w:val="302"/>
          <w:jc w:val="center"/>
        </w:trPr>
        <w:tc>
          <w:tcPr>
            <w:tcW w:w="1702" w:type="dxa"/>
            <w:shd w:val="clear" w:color="auto" w:fill="C6EFCE"/>
            <w:noWrap/>
          </w:tcPr>
          <w:p w14:paraId="1887F2AA"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227</w:t>
            </w:r>
          </w:p>
        </w:tc>
        <w:tc>
          <w:tcPr>
            <w:tcW w:w="4677" w:type="dxa"/>
            <w:shd w:val="clear" w:color="auto" w:fill="C6EFCE"/>
            <w:noWrap/>
          </w:tcPr>
          <w:p w14:paraId="1887F2AB"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C4.2R2</w:t>
            </w:r>
          </w:p>
          <w:p w14:paraId="1887F2AC"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New cloud policy with regard to government IT systems and services and infrastructure set-up</w:t>
            </w:r>
          </w:p>
        </w:tc>
        <w:tc>
          <w:tcPr>
            <w:tcW w:w="1276" w:type="dxa"/>
            <w:shd w:val="clear" w:color="auto" w:fill="C6EFCE"/>
            <w:noWrap/>
          </w:tcPr>
          <w:p w14:paraId="1887F2AD"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Target</w:t>
            </w:r>
          </w:p>
        </w:tc>
        <w:tc>
          <w:tcPr>
            <w:tcW w:w="2672" w:type="dxa"/>
            <w:shd w:val="clear" w:color="auto" w:fill="C6EFCE"/>
            <w:noWrap/>
          </w:tcPr>
          <w:p w14:paraId="1887F2AE"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Two data centres with hosting services for government IT systems</w:t>
            </w:r>
          </w:p>
        </w:tc>
      </w:tr>
      <w:tr w:rsidR="00912879" w:rsidRPr="00D1795B" w14:paraId="1887F2B5" w14:textId="77777777" w:rsidTr="00175C28">
        <w:trPr>
          <w:cantSplit/>
          <w:trHeight w:val="302"/>
          <w:jc w:val="center"/>
        </w:trPr>
        <w:tc>
          <w:tcPr>
            <w:tcW w:w="1702" w:type="dxa"/>
            <w:shd w:val="clear" w:color="auto" w:fill="C6EFCE"/>
            <w:noWrap/>
          </w:tcPr>
          <w:p w14:paraId="1887F2B0"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239a</w:t>
            </w:r>
          </w:p>
        </w:tc>
        <w:tc>
          <w:tcPr>
            <w:tcW w:w="4677" w:type="dxa"/>
            <w:shd w:val="clear" w:color="auto" w:fill="C6EFCE"/>
            <w:noWrap/>
          </w:tcPr>
          <w:p w14:paraId="1887F2B1"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C5.1R1</w:t>
            </w:r>
          </w:p>
          <w:p w14:paraId="1887F2B2"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Addressing skills mismatch between education and labour market (Secondary and Higher Education)</w:t>
            </w:r>
          </w:p>
        </w:tc>
        <w:tc>
          <w:tcPr>
            <w:tcW w:w="1276" w:type="dxa"/>
            <w:shd w:val="clear" w:color="auto" w:fill="C6EFCE"/>
            <w:noWrap/>
          </w:tcPr>
          <w:p w14:paraId="1887F2B3"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B4"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Measures included in the National Action Plan </w:t>
            </w:r>
          </w:p>
        </w:tc>
      </w:tr>
      <w:tr w:rsidR="00912879" w:rsidRPr="00D1795B" w14:paraId="1887F2BB" w14:textId="77777777" w:rsidTr="00175C28">
        <w:trPr>
          <w:cantSplit/>
          <w:trHeight w:val="302"/>
          <w:jc w:val="center"/>
        </w:trPr>
        <w:tc>
          <w:tcPr>
            <w:tcW w:w="1702" w:type="dxa"/>
            <w:shd w:val="clear" w:color="auto" w:fill="C6EFCE"/>
            <w:noWrap/>
          </w:tcPr>
          <w:p w14:paraId="1887F2B6"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258</w:t>
            </w:r>
          </w:p>
        </w:tc>
        <w:tc>
          <w:tcPr>
            <w:tcW w:w="4677" w:type="dxa"/>
            <w:shd w:val="clear" w:color="auto" w:fill="C6EFCE"/>
            <w:noWrap/>
          </w:tcPr>
          <w:p w14:paraId="1887F2B7"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C5.2I1</w:t>
            </w:r>
          </w:p>
          <w:p w14:paraId="1887F2B8"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Supporting the Department of Labour and Public Employment Services and reinforcing support for young people </w:t>
            </w:r>
          </w:p>
        </w:tc>
        <w:tc>
          <w:tcPr>
            <w:tcW w:w="1276" w:type="dxa"/>
            <w:shd w:val="clear" w:color="auto" w:fill="C6EFCE"/>
            <w:noWrap/>
          </w:tcPr>
          <w:p w14:paraId="1887F2B9"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2672" w:type="dxa"/>
            <w:shd w:val="clear" w:color="auto" w:fill="C6EFCE"/>
            <w:noWrap/>
          </w:tcPr>
          <w:p w14:paraId="1887F2BA"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Platform and systems accessible</w:t>
            </w:r>
          </w:p>
        </w:tc>
      </w:tr>
      <w:tr w:rsidR="00912879" w:rsidRPr="00D1795B" w14:paraId="1887F2C1" w14:textId="77777777" w:rsidTr="00175C28">
        <w:trPr>
          <w:cantSplit/>
          <w:trHeight w:val="302"/>
          <w:jc w:val="center"/>
        </w:trPr>
        <w:tc>
          <w:tcPr>
            <w:tcW w:w="1702" w:type="dxa"/>
            <w:shd w:val="clear" w:color="auto" w:fill="C6EFCE"/>
            <w:noWrap/>
          </w:tcPr>
          <w:p w14:paraId="1887F2BC"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261</w:t>
            </w:r>
          </w:p>
        </w:tc>
        <w:tc>
          <w:tcPr>
            <w:tcW w:w="4677" w:type="dxa"/>
            <w:shd w:val="clear" w:color="auto" w:fill="C6EFCE"/>
            <w:noWrap/>
          </w:tcPr>
          <w:p w14:paraId="1887F2BD"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C5.2I2</w:t>
            </w:r>
          </w:p>
          <w:p w14:paraId="1887F2BE"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Establishment of multifunctional centres and childcare centres</w:t>
            </w:r>
          </w:p>
        </w:tc>
        <w:tc>
          <w:tcPr>
            <w:tcW w:w="1276" w:type="dxa"/>
            <w:shd w:val="clear" w:color="auto" w:fill="C6EFCE"/>
            <w:noWrap/>
          </w:tcPr>
          <w:p w14:paraId="1887F2BF"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C0"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Adoption of a national strategy on early childhood education and care (ECEC) and action plan </w:t>
            </w:r>
          </w:p>
        </w:tc>
      </w:tr>
      <w:tr w:rsidR="00912879" w:rsidRPr="00D1795B" w14:paraId="1887F2C7" w14:textId="77777777" w:rsidTr="00175C28">
        <w:trPr>
          <w:cantSplit/>
          <w:trHeight w:val="302"/>
          <w:jc w:val="center"/>
        </w:trPr>
        <w:tc>
          <w:tcPr>
            <w:tcW w:w="1702" w:type="dxa"/>
            <w:shd w:val="clear" w:color="auto" w:fill="C6EFCE"/>
            <w:noWrap/>
          </w:tcPr>
          <w:p w14:paraId="1887F2C2"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267</w:t>
            </w:r>
          </w:p>
        </w:tc>
        <w:tc>
          <w:tcPr>
            <w:tcW w:w="4677" w:type="dxa"/>
            <w:shd w:val="clear" w:color="auto" w:fill="C6EFCE"/>
            <w:noWrap/>
          </w:tcPr>
          <w:p w14:paraId="1887F2C3"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C5.2I4</w:t>
            </w:r>
          </w:p>
          <w:p w14:paraId="1887F2C4"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Child Centres in Municipalities</w:t>
            </w:r>
          </w:p>
        </w:tc>
        <w:tc>
          <w:tcPr>
            <w:tcW w:w="1276" w:type="dxa"/>
            <w:shd w:val="clear" w:color="auto" w:fill="C6EFCE"/>
            <w:noWrap/>
          </w:tcPr>
          <w:p w14:paraId="1887F2C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2672" w:type="dxa"/>
            <w:shd w:val="clear" w:color="auto" w:fill="C6EFCE"/>
            <w:noWrap/>
          </w:tcPr>
          <w:p w14:paraId="1887F2C6"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Construction of at least three child centres </w:t>
            </w:r>
          </w:p>
        </w:tc>
      </w:tr>
      <w:tr w:rsidR="00912879" w:rsidRPr="00D1795B" w14:paraId="1887F2CD" w14:textId="77777777" w:rsidTr="00175C28">
        <w:trPr>
          <w:cantSplit/>
          <w:trHeight w:val="302"/>
          <w:jc w:val="center"/>
        </w:trPr>
        <w:tc>
          <w:tcPr>
            <w:tcW w:w="1702" w:type="dxa"/>
            <w:shd w:val="clear" w:color="auto" w:fill="C6EFCE"/>
            <w:noWrap/>
          </w:tcPr>
          <w:p w14:paraId="1887F2C8" w14:textId="77777777" w:rsidR="00C02B59" w:rsidRPr="00D1795B" w:rsidDel="00F061C0"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270</w:t>
            </w:r>
          </w:p>
        </w:tc>
        <w:tc>
          <w:tcPr>
            <w:tcW w:w="4677" w:type="dxa"/>
            <w:shd w:val="clear" w:color="auto" w:fill="C6EFCE"/>
            <w:noWrap/>
          </w:tcPr>
          <w:p w14:paraId="1887F2C9"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C5.2R1</w:t>
            </w:r>
          </w:p>
          <w:p w14:paraId="1887F2CA" w14:textId="77777777" w:rsidR="00C02B59" w:rsidRPr="00D1795B" w:rsidDel="00F061C0"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Reform of the Social Insurance System and Restructuring of the Social Insurance Services</w:t>
            </w:r>
          </w:p>
        </w:tc>
        <w:tc>
          <w:tcPr>
            <w:tcW w:w="1276" w:type="dxa"/>
            <w:shd w:val="clear" w:color="auto" w:fill="C6EFCE"/>
            <w:noWrap/>
          </w:tcPr>
          <w:p w14:paraId="1887F2CB" w14:textId="77777777" w:rsidR="00C02B59" w:rsidRPr="00D1795B" w:rsidDel="00F061C0"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CC" w14:textId="77777777" w:rsidR="00C02B59" w:rsidRPr="00D1795B" w:rsidDel="00F061C0"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revised Social Insurance Law</w:t>
            </w:r>
          </w:p>
        </w:tc>
      </w:tr>
      <w:tr w:rsidR="00912879" w:rsidRPr="00D1795B" w14:paraId="1887F2D2" w14:textId="77777777" w:rsidTr="00175C28">
        <w:trPr>
          <w:cantSplit/>
          <w:trHeight w:val="302"/>
          <w:jc w:val="center"/>
        </w:trPr>
        <w:tc>
          <w:tcPr>
            <w:tcW w:w="1702" w:type="dxa"/>
            <w:shd w:val="clear" w:color="auto" w:fill="C6EFCE"/>
            <w:noWrap/>
          </w:tcPr>
          <w:p w14:paraId="1887F2CE" w14:textId="77777777" w:rsidR="00C02B59" w:rsidRPr="00D1795B" w:rsidDel="00F061C0"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16</w:t>
            </w:r>
          </w:p>
        </w:tc>
        <w:tc>
          <w:tcPr>
            <w:tcW w:w="4677" w:type="dxa"/>
            <w:shd w:val="clear" w:color="auto" w:fill="C6EFCE"/>
            <w:noWrap/>
          </w:tcPr>
          <w:p w14:paraId="1887F2CF" w14:textId="77777777" w:rsidR="00C02B59" w:rsidRPr="00D1795B" w:rsidDel="00F061C0"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C1.1R3 </w:t>
            </w:r>
            <w:r w:rsidRPr="00D1795B">
              <w:rPr>
                <w:rFonts w:ascii="Times New Roman" w:hAnsi="Times New Roman" w:cs="Times New Roman"/>
                <w:noProof/>
                <w:sz w:val="18"/>
                <w:szCs w:val="18"/>
              </w:rPr>
              <w:br/>
              <w:t>Gradually shifting the healthcare provision and reimbursement framework towards value-based models.</w:t>
            </w:r>
          </w:p>
        </w:tc>
        <w:tc>
          <w:tcPr>
            <w:tcW w:w="1276" w:type="dxa"/>
            <w:shd w:val="clear" w:color="auto" w:fill="C6EFCE"/>
            <w:noWrap/>
          </w:tcPr>
          <w:p w14:paraId="1887F2D0" w14:textId="77777777" w:rsidR="00C02B59" w:rsidRPr="00D1795B" w:rsidDel="00F061C0"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D1" w14:textId="77777777" w:rsidR="00C02B59" w:rsidRPr="00D1795B" w:rsidDel="00F061C0"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Value-based reimbursement to be reflected for primary and in-patient care </w:t>
            </w:r>
          </w:p>
        </w:tc>
      </w:tr>
      <w:tr w:rsidR="00912879" w:rsidRPr="00D1795B" w14:paraId="1887F2D8" w14:textId="77777777" w:rsidTr="00175C28">
        <w:trPr>
          <w:cantSplit/>
          <w:trHeight w:val="302"/>
          <w:jc w:val="center"/>
        </w:trPr>
        <w:tc>
          <w:tcPr>
            <w:tcW w:w="1702" w:type="dxa"/>
            <w:shd w:val="clear" w:color="auto" w:fill="C6EFCE"/>
            <w:noWrap/>
          </w:tcPr>
          <w:p w14:paraId="1887F2D3" w14:textId="77777777" w:rsidR="00C02B59" w:rsidRPr="00D1795B" w:rsidDel="00F061C0"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142a</w:t>
            </w:r>
          </w:p>
        </w:tc>
        <w:tc>
          <w:tcPr>
            <w:tcW w:w="4677" w:type="dxa"/>
            <w:shd w:val="clear" w:color="auto" w:fill="C6EFCE"/>
            <w:noWrap/>
          </w:tcPr>
          <w:p w14:paraId="1887F2D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C3.3R8</w:t>
            </w:r>
          </w:p>
          <w:p w14:paraId="1887F2D5" w14:textId="77777777" w:rsidR="00C02B59" w:rsidRPr="00D1795B" w:rsidDel="00F061C0"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The Provision of Crowdfunding Services for Business Law </w:t>
            </w:r>
          </w:p>
        </w:tc>
        <w:tc>
          <w:tcPr>
            <w:tcW w:w="1276" w:type="dxa"/>
            <w:shd w:val="clear" w:color="auto" w:fill="C6EFCE"/>
            <w:noWrap/>
          </w:tcPr>
          <w:p w14:paraId="1887F2D6" w14:textId="77777777" w:rsidR="00C02B59" w:rsidRPr="00D1795B" w:rsidDel="00F061C0"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D7" w14:textId="77777777" w:rsidR="00C02B59" w:rsidRPr="00D1795B" w:rsidDel="00F061C0"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the legislation on the Provision of Crowdfunding Services for Business Law</w:t>
            </w:r>
          </w:p>
        </w:tc>
      </w:tr>
      <w:tr w:rsidR="00912879" w:rsidRPr="00D1795B" w14:paraId="1887F2DE" w14:textId="77777777" w:rsidTr="00175C28">
        <w:trPr>
          <w:cantSplit/>
          <w:trHeight w:val="302"/>
          <w:jc w:val="center"/>
        </w:trPr>
        <w:tc>
          <w:tcPr>
            <w:tcW w:w="1702" w:type="dxa"/>
            <w:shd w:val="clear" w:color="auto" w:fill="C6EFCE"/>
            <w:noWrap/>
          </w:tcPr>
          <w:p w14:paraId="1887F2D9"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6</w:t>
            </w:r>
          </w:p>
        </w:tc>
        <w:tc>
          <w:tcPr>
            <w:tcW w:w="4677" w:type="dxa"/>
            <w:shd w:val="clear" w:color="auto" w:fill="C6EFCE"/>
            <w:noWrap/>
          </w:tcPr>
          <w:p w14:paraId="1887F2DA"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C1.1I1</w:t>
            </w:r>
          </w:p>
          <w:p w14:paraId="1887F2D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Cyprus Blood Establishment</w:t>
            </w:r>
          </w:p>
        </w:tc>
        <w:tc>
          <w:tcPr>
            <w:tcW w:w="1276" w:type="dxa"/>
            <w:shd w:val="clear" w:color="auto" w:fill="C6EFCE"/>
            <w:noWrap/>
          </w:tcPr>
          <w:p w14:paraId="1887F2DC"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DD"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Blood establishment facilities and equipment</w:t>
            </w:r>
          </w:p>
        </w:tc>
      </w:tr>
      <w:tr w:rsidR="00912879" w:rsidRPr="00D1795B" w14:paraId="1887F2E4" w14:textId="77777777" w:rsidTr="00175C28">
        <w:trPr>
          <w:cantSplit/>
          <w:trHeight w:val="302"/>
          <w:jc w:val="center"/>
        </w:trPr>
        <w:tc>
          <w:tcPr>
            <w:tcW w:w="1702" w:type="dxa"/>
            <w:shd w:val="clear" w:color="auto" w:fill="C6EFCE"/>
            <w:noWrap/>
          </w:tcPr>
          <w:p w14:paraId="1887F2DF"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14</w:t>
            </w:r>
          </w:p>
        </w:tc>
        <w:tc>
          <w:tcPr>
            <w:tcW w:w="4677" w:type="dxa"/>
            <w:shd w:val="clear" w:color="auto" w:fill="C6EFCE"/>
            <w:noWrap/>
          </w:tcPr>
          <w:p w14:paraId="1887F2E0"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C1.1I6</w:t>
            </w:r>
          </w:p>
          <w:p w14:paraId="1887F2E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 Generic cross border e-health services in Cyprus</w:t>
            </w:r>
          </w:p>
        </w:tc>
        <w:tc>
          <w:tcPr>
            <w:tcW w:w="1276" w:type="dxa"/>
            <w:shd w:val="clear" w:color="auto" w:fill="C6EFCE"/>
            <w:noWrap/>
          </w:tcPr>
          <w:p w14:paraId="1887F2E2"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E3"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 Cross-border patient data exchange </w:t>
            </w:r>
          </w:p>
        </w:tc>
      </w:tr>
      <w:tr w:rsidR="00912879" w:rsidRPr="00D1795B" w14:paraId="1887F2EA" w14:textId="77777777" w:rsidTr="00175C28">
        <w:trPr>
          <w:cantSplit/>
          <w:trHeight w:val="302"/>
          <w:jc w:val="center"/>
        </w:trPr>
        <w:tc>
          <w:tcPr>
            <w:tcW w:w="1702" w:type="dxa"/>
            <w:shd w:val="clear" w:color="auto" w:fill="C6EFCE"/>
            <w:noWrap/>
          </w:tcPr>
          <w:p w14:paraId="1887F2E5"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66</w:t>
            </w:r>
          </w:p>
        </w:tc>
        <w:tc>
          <w:tcPr>
            <w:tcW w:w="4677" w:type="dxa"/>
            <w:shd w:val="clear" w:color="auto" w:fill="C6EFCE"/>
            <w:noWrap/>
          </w:tcPr>
          <w:p w14:paraId="1887F2E6"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C2.3R1 </w:t>
            </w:r>
          </w:p>
          <w:p w14:paraId="1887F2E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Water Resource Management Reform</w:t>
            </w:r>
          </w:p>
        </w:tc>
        <w:tc>
          <w:tcPr>
            <w:tcW w:w="1276" w:type="dxa"/>
            <w:shd w:val="clear" w:color="auto" w:fill="C6EFCE"/>
            <w:noWrap/>
          </w:tcPr>
          <w:p w14:paraId="1887F2E8"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E9"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Adoption and publication of an action plan on water resource management</w:t>
            </w:r>
            <w:r w:rsidRPr="00D1795B">
              <w:rPr>
                <w:rFonts w:ascii="Times New Roman" w:eastAsia="Times New Roman" w:hAnsi="Times New Roman" w:cs="Times New Roman"/>
                <w:noProof/>
                <w:sz w:val="18"/>
                <w:szCs w:val="18"/>
              </w:rPr>
              <w:t xml:space="preserve"> </w:t>
            </w:r>
          </w:p>
        </w:tc>
      </w:tr>
      <w:tr w:rsidR="00912879" w:rsidRPr="00D1795B" w14:paraId="1887F2F0" w14:textId="77777777" w:rsidTr="00175C28">
        <w:trPr>
          <w:cantSplit/>
          <w:trHeight w:val="302"/>
          <w:jc w:val="center"/>
        </w:trPr>
        <w:tc>
          <w:tcPr>
            <w:tcW w:w="1702" w:type="dxa"/>
            <w:shd w:val="clear" w:color="auto" w:fill="C6EFCE"/>
            <w:noWrap/>
          </w:tcPr>
          <w:p w14:paraId="1887F2EB"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84</w:t>
            </w:r>
          </w:p>
        </w:tc>
        <w:tc>
          <w:tcPr>
            <w:tcW w:w="4677" w:type="dxa"/>
            <w:shd w:val="clear" w:color="auto" w:fill="C6EFCE"/>
            <w:noWrap/>
          </w:tcPr>
          <w:p w14:paraId="1887F2EC"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C2.3I8 </w:t>
            </w:r>
          </w:p>
          <w:p w14:paraId="1887F2E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Protection of the marine ecosystem from hazards through oil spills</w:t>
            </w:r>
          </w:p>
        </w:tc>
        <w:tc>
          <w:tcPr>
            <w:tcW w:w="1276" w:type="dxa"/>
            <w:shd w:val="clear" w:color="auto" w:fill="C6EFCE"/>
            <w:noWrap/>
          </w:tcPr>
          <w:p w14:paraId="1887F2EE"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EF" w14:textId="77777777" w:rsidR="00C02B59" w:rsidRPr="00D1795B" w:rsidRDefault="00C02B59" w:rsidP="00C02B59">
            <w:pPr>
              <w:spacing w:after="0"/>
              <w:jc w:val="both"/>
              <w:rPr>
                <w:rFonts w:ascii="Times New Roman" w:eastAsia="Times New Roman" w:hAnsi="Times New Roman" w:cs="Times New Roman"/>
                <w:noProof/>
                <w:color w:val="000000" w:themeColor="text1"/>
                <w:sz w:val="18"/>
                <w:szCs w:val="18"/>
              </w:rPr>
            </w:pPr>
            <w:r w:rsidRPr="00D1795B">
              <w:rPr>
                <w:rFonts w:ascii="Times New Roman" w:eastAsia="Times New Roman" w:hAnsi="Times New Roman" w:cs="Times New Roman"/>
                <w:noProof/>
                <w:color w:val="000000" w:themeColor="text1"/>
                <w:sz w:val="18"/>
                <w:szCs w:val="18"/>
              </w:rPr>
              <w:t>Delivery, quality inspection to verify their operational effectiveness and acceptance of three vessels and two aerial spraying systems</w:t>
            </w:r>
          </w:p>
        </w:tc>
      </w:tr>
      <w:tr w:rsidR="00912879" w:rsidRPr="00D1795B" w14:paraId="1887F2F6" w14:textId="77777777" w:rsidTr="00175C28">
        <w:trPr>
          <w:cantSplit/>
          <w:trHeight w:val="302"/>
          <w:jc w:val="center"/>
        </w:trPr>
        <w:tc>
          <w:tcPr>
            <w:tcW w:w="1702" w:type="dxa"/>
            <w:shd w:val="clear" w:color="auto" w:fill="C6EFCE"/>
            <w:noWrap/>
          </w:tcPr>
          <w:p w14:paraId="1887F2F1"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94</w:t>
            </w:r>
          </w:p>
        </w:tc>
        <w:tc>
          <w:tcPr>
            <w:tcW w:w="4677" w:type="dxa"/>
            <w:shd w:val="clear" w:color="auto" w:fill="C6EFCE"/>
            <w:noWrap/>
          </w:tcPr>
          <w:p w14:paraId="1887F2F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C3.1I2</w:t>
            </w:r>
          </w:p>
          <w:p w14:paraId="1887F2F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 Support of isotopic database of Cypriot food or drink products</w:t>
            </w:r>
          </w:p>
        </w:tc>
        <w:tc>
          <w:tcPr>
            <w:tcW w:w="1276" w:type="dxa"/>
            <w:shd w:val="clear" w:color="auto" w:fill="C6EFCE"/>
            <w:noWrap/>
          </w:tcPr>
          <w:p w14:paraId="1887F2F4"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2672" w:type="dxa"/>
            <w:shd w:val="clear" w:color="auto" w:fill="C6EFCE"/>
            <w:noWrap/>
          </w:tcPr>
          <w:p w14:paraId="1887F2F5"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Products connected to the system</w:t>
            </w:r>
          </w:p>
        </w:tc>
      </w:tr>
      <w:tr w:rsidR="00912879" w:rsidRPr="00D1795B" w14:paraId="1887F2FC" w14:textId="77777777" w:rsidTr="00175C28">
        <w:trPr>
          <w:cantSplit/>
          <w:trHeight w:val="302"/>
          <w:jc w:val="center"/>
        </w:trPr>
        <w:tc>
          <w:tcPr>
            <w:tcW w:w="1702" w:type="dxa"/>
            <w:shd w:val="clear" w:color="auto" w:fill="C6EFCE"/>
            <w:noWrap/>
          </w:tcPr>
          <w:p w14:paraId="1887F2F7"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111</w:t>
            </w:r>
          </w:p>
        </w:tc>
        <w:tc>
          <w:tcPr>
            <w:tcW w:w="4677" w:type="dxa"/>
            <w:shd w:val="clear" w:color="auto" w:fill="C6EFCE"/>
            <w:noWrap/>
          </w:tcPr>
          <w:p w14:paraId="1887F2F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C3.1R5</w:t>
            </w:r>
          </w:p>
          <w:p w14:paraId="1887F2F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 Waste management coordination unit in the Department of Environment</w:t>
            </w:r>
          </w:p>
        </w:tc>
        <w:tc>
          <w:tcPr>
            <w:tcW w:w="1276" w:type="dxa"/>
            <w:shd w:val="clear" w:color="auto" w:fill="C6EFCE"/>
            <w:noWrap/>
          </w:tcPr>
          <w:p w14:paraId="1887F2FA"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2FB"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Waste management coordination unit</w:t>
            </w:r>
          </w:p>
        </w:tc>
      </w:tr>
      <w:tr w:rsidR="00912879" w:rsidRPr="00D1795B" w14:paraId="1887F301" w14:textId="77777777" w:rsidTr="00175C28">
        <w:trPr>
          <w:cantSplit/>
          <w:trHeight w:val="302"/>
          <w:jc w:val="center"/>
        </w:trPr>
        <w:tc>
          <w:tcPr>
            <w:tcW w:w="1702" w:type="dxa"/>
            <w:shd w:val="clear" w:color="auto" w:fill="C6EFCE"/>
            <w:noWrap/>
          </w:tcPr>
          <w:p w14:paraId="1887F2FD"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202</w:t>
            </w:r>
          </w:p>
        </w:tc>
        <w:tc>
          <w:tcPr>
            <w:tcW w:w="4677" w:type="dxa"/>
            <w:shd w:val="clear" w:color="auto" w:fill="C6EFCE"/>
            <w:noWrap/>
          </w:tcPr>
          <w:p w14:paraId="1887F2F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C3.5R6 </w:t>
            </w:r>
            <w:r w:rsidRPr="00D1795B">
              <w:rPr>
                <w:rFonts w:ascii="Times New Roman" w:eastAsia="Times New Roman" w:hAnsi="Times New Roman" w:cs="Times New Roman"/>
                <w:noProof/>
                <w:color w:val="000000" w:themeColor="text1"/>
                <w:sz w:val="18"/>
                <w:szCs w:val="18"/>
              </w:rPr>
              <w:t>Reinforcing the insolvency framework</w:t>
            </w:r>
          </w:p>
        </w:tc>
        <w:tc>
          <w:tcPr>
            <w:tcW w:w="1276" w:type="dxa"/>
            <w:shd w:val="clear" w:color="auto" w:fill="C6EFCE"/>
            <w:noWrap/>
          </w:tcPr>
          <w:p w14:paraId="1887F2FF"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300"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Digital systems of the Department of Insolvency accessible</w:t>
            </w:r>
          </w:p>
        </w:tc>
      </w:tr>
      <w:tr w:rsidR="00912879" w:rsidRPr="00D1795B" w14:paraId="1887F307" w14:textId="77777777" w:rsidTr="00175C28">
        <w:trPr>
          <w:cantSplit/>
          <w:trHeight w:val="302"/>
          <w:jc w:val="center"/>
        </w:trPr>
        <w:tc>
          <w:tcPr>
            <w:tcW w:w="1702" w:type="dxa"/>
            <w:shd w:val="clear" w:color="auto" w:fill="C6EFCE"/>
            <w:noWrap/>
          </w:tcPr>
          <w:p w14:paraId="1887F302"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221</w:t>
            </w:r>
          </w:p>
        </w:tc>
        <w:tc>
          <w:tcPr>
            <w:tcW w:w="4677" w:type="dxa"/>
            <w:shd w:val="clear" w:color="auto" w:fill="C6EFCE"/>
            <w:noWrap/>
          </w:tcPr>
          <w:p w14:paraId="1887F30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C4.1I2</w:t>
            </w:r>
          </w:p>
          <w:p w14:paraId="1887F30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Upgrade internet connection to be “Gigabit-ready” and promote connectivity take-up</w:t>
            </w:r>
          </w:p>
        </w:tc>
        <w:tc>
          <w:tcPr>
            <w:tcW w:w="1276" w:type="dxa"/>
            <w:shd w:val="clear" w:color="auto" w:fill="C6EFCE"/>
            <w:noWrap/>
          </w:tcPr>
          <w:p w14:paraId="1887F305"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2672" w:type="dxa"/>
            <w:shd w:val="clear" w:color="auto" w:fill="C6EFCE"/>
            <w:noWrap/>
          </w:tcPr>
          <w:p w14:paraId="1887F306" w14:textId="5C1DCBB2"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Gigabit-ready internet connection take-up by at least 82 000 households</w:t>
            </w:r>
            <w:r w:rsidRPr="00D1795B">
              <w:rPr>
                <w:rFonts w:ascii="Times New Roman" w:hAnsi="Times New Roman" w:cs="Times New Roman"/>
                <w:noProof/>
                <w:sz w:val="18"/>
                <w:szCs w:val="18"/>
              </w:rPr>
              <w:t xml:space="preserve"> </w:t>
            </w:r>
          </w:p>
        </w:tc>
      </w:tr>
      <w:tr w:rsidR="00912879" w:rsidRPr="00D1795B" w14:paraId="1887F30D" w14:textId="77777777" w:rsidTr="00175C28">
        <w:trPr>
          <w:cantSplit/>
          <w:trHeight w:val="302"/>
          <w:jc w:val="center"/>
        </w:trPr>
        <w:tc>
          <w:tcPr>
            <w:tcW w:w="1702" w:type="dxa"/>
            <w:shd w:val="clear" w:color="auto" w:fill="C6EFCE"/>
            <w:noWrap/>
          </w:tcPr>
          <w:p w14:paraId="1887F308"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241</w:t>
            </w:r>
          </w:p>
        </w:tc>
        <w:tc>
          <w:tcPr>
            <w:tcW w:w="4677" w:type="dxa"/>
            <w:shd w:val="clear" w:color="auto" w:fill="C6EFCE"/>
            <w:noWrap/>
          </w:tcPr>
          <w:p w14:paraId="1887F309"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C5.1R2</w:t>
            </w:r>
          </w:p>
          <w:p w14:paraId="1887F30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 school evaluation system and formative evaluation of teachers</w:t>
            </w:r>
          </w:p>
        </w:tc>
        <w:tc>
          <w:tcPr>
            <w:tcW w:w="1276" w:type="dxa"/>
            <w:shd w:val="clear" w:color="auto" w:fill="C6EFCE"/>
            <w:noWrap/>
          </w:tcPr>
          <w:p w14:paraId="1887F30B"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2672" w:type="dxa"/>
            <w:shd w:val="clear" w:color="auto" w:fill="C6EFCE"/>
            <w:noWrap/>
          </w:tcPr>
          <w:p w14:paraId="1887F30C" w14:textId="77777777" w:rsidR="00C02B59" w:rsidRPr="00D1795B" w:rsidRDefault="00C02B59" w:rsidP="00C02B59">
            <w:pPr>
              <w:spacing w:after="0"/>
              <w:jc w:val="both"/>
              <w:rPr>
                <w:rFonts w:ascii="Times New Roman" w:eastAsia="Times New Roman" w:hAnsi="Times New Roman" w:cs="Times New Roman"/>
                <w:noProof/>
                <w:color w:val="000000" w:themeColor="text1"/>
                <w:sz w:val="18"/>
                <w:szCs w:val="18"/>
              </w:rPr>
            </w:pPr>
            <w:r w:rsidRPr="00D1795B">
              <w:rPr>
                <w:rFonts w:ascii="Times New Roman" w:eastAsia="Times New Roman" w:hAnsi="Times New Roman" w:cs="Times New Roman"/>
                <w:noProof/>
                <w:color w:val="000000" w:themeColor="text1"/>
                <w:sz w:val="18"/>
                <w:szCs w:val="18"/>
              </w:rPr>
              <w:t xml:space="preserve">Council of Ministers Decision for a new School Evaluation system and entry into force of the legal act(s) for the Formative Evaluation of Teachers </w:t>
            </w:r>
          </w:p>
        </w:tc>
      </w:tr>
      <w:tr w:rsidR="00B70EBF" w:rsidRPr="00D1795B" w14:paraId="1887F313" w14:textId="77777777" w:rsidTr="00175C28">
        <w:trPr>
          <w:cantSplit/>
          <w:trHeight w:val="302"/>
          <w:jc w:val="center"/>
        </w:trPr>
        <w:tc>
          <w:tcPr>
            <w:tcW w:w="1702" w:type="dxa"/>
            <w:shd w:val="clear" w:color="auto" w:fill="C6EFCE"/>
            <w:noWrap/>
          </w:tcPr>
          <w:p w14:paraId="1887F30E" w14:textId="77777777" w:rsidR="00C02B59" w:rsidRPr="00D1795B" w:rsidRDefault="00C02B59" w:rsidP="00C02B59">
            <w:pPr>
              <w:spacing w:after="0"/>
              <w:jc w:val="center"/>
              <w:rPr>
                <w:rFonts w:ascii="Times New Roman" w:hAnsi="Times New Roman" w:cs="Times New Roman"/>
                <w:noProof/>
                <w:sz w:val="18"/>
                <w:szCs w:val="18"/>
              </w:rPr>
            </w:pPr>
          </w:p>
        </w:tc>
        <w:tc>
          <w:tcPr>
            <w:tcW w:w="4677" w:type="dxa"/>
            <w:shd w:val="clear" w:color="auto" w:fill="C6EFCE"/>
            <w:noWrap/>
          </w:tcPr>
          <w:p w14:paraId="1887F30F" w14:textId="77777777" w:rsidR="00C02B59" w:rsidRPr="00D1795B" w:rsidRDefault="00C02B59" w:rsidP="00C02B59">
            <w:pPr>
              <w:spacing w:after="0" w:line="240" w:lineRule="auto"/>
              <w:rPr>
                <w:rFonts w:ascii="Times New Roman" w:hAnsi="Times New Roman" w:cs="Times New Roman"/>
                <w:noProof/>
                <w:sz w:val="18"/>
                <w:szCs w:val="18"/>
              </w:rPr>
            </w:pPr>
          </w:p>
        </w:tc>
        <w:tc>
          <w:tcPr>
            <w:tcW w:w="1276" w:type="dxa"/>
            <w:shd w:val="clear" w:color="auto" w:fill="C6EFCE"/>
            <w:noWrap/>
            <w:vAlign w:val="bottom"/>
          </w:tcPr>
          <w:p w14:paraId="1887F310"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color w:val="006100"/>
                <w:sz w:val="18"/>
                <w:szCs w:val="18"/>
              </w:rPr>
              <w:t>Instalment Amount</w:t>
            </w:r>
          </w:p>
        </w:tc>
        <w:tc>
          <w:tcPr>
            <w:tcW w:w="2672" w:type="dxa"/>
            <w:shd w:val="clear" w:color="auto" w:fill="C6EFCE"/>
            <w:noWrap/>
            <w:vAlign w:val="bottom"/>
          </w:tcPr>
          <w:p w14:paraId="1887F311" w14:textId="77777777" w:rsidR="00C02B59" w:rsidRPr="00D1795B" w:rsidRDefault="00C02B59" w:rsidP="00C02B59">
            <w:pPr>
              <w:spacing w:after="0"/>
              <w:rPr>
                <w:rFonts w:ascii="Times New Roman" w:hAnsi="Times New Roman" w:cs="Times New Roman"/>
                <w:noProof/>
                <w:color w:val="006100"/>
                <w:sz w:val="18"/>
                <w:szCs w:val="18"/>
              </w:rPr>
            </w:pPr>
            <w:r w:rsidRPr="00D1795B">
              <w:rPr>
                <w:rFonts w:ascii="Times New Roman" w:hAnsi="Times New Roman" w:cs="Times New Roman"/>
                <w:noProof/>
                <w:color w:val="006100"/>
                <w:sz w:val="18"/>
                <w:szCs w:val="18"/>
              </w:rPr>
              <w:t>EUR 138 994 773</w:t>
            </w:r>
          </w:p>
          <w:p w14:paraId="1887F312"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color w:val="006100"/>
                <w:sz w:val="18"/>
                <w:szCs w:val="18"/>
              </w:rPr>
              <w:t xml:space="preserve"> </w:t>
            </w:r>
          </w:p>
        </w:tc>
      </w:tr>
    </w:tbl>
    <w:p w14:paraId="1887F314" w14:textId="77777777" w:rsidR="00C02B59" w:rsidRPr="00D1795B" w:rsidRDefault="00C02B59" w:rsidP="00C02B59">
      <w:pPr>
        <w:pStyle w:val="NumPar2"/>
        <w:numPr>
          <w:ilvl w:val="0"/>
          <w:numId w:val="0"/>
        </w:numPr>
        <w:rPr>
          <w:noProof/>
          <w:lang w:val="en-GB"/>
        </w:rPr>
      </w:pPr>
    </w:p>
    <w:p w14:paraId="1887F315" w14:textId="77777777" w:rsidR="00C02B59" w:rsidRPr="00D1795B" w:rsidRDefault="00C02B59" w:rsidP="00C02B59">
      <w:pPr>
        <w:rPr>
          <w:noProof/>
        </w:rPr>
        <w:sectPr w:rsidR="00C02B59" w:rsidRPr="00D1795B" w:rsidSect="00C02B59">
          <w:headerReference w:type="even" r:id="rId209"/>
          <w:headerReference w:type="default" r:id="rId210"/>
          <w:footerReference w:type="even" r:id="rId211"/>
          <w:footerReference w:type="default" r:id="rId212"/>
          <w:headerReference w:type="first" r:id="rId213"/>
          <w:footerReference w:type="first" r:id="rId214"/>
          <w:pgSz w:w="11907" w:h="16839"/>
          <w:pgMar w:top="1134" w:right="1134" w:bottom="1134" w:left="1134" w:header="567" w:footer="567" w:gutter="0"/>
          <w:cols w:space="720"/>
          <w:docGrid w:linePitch="360"/>
        </w:sectPr>
      </w:pPr>
    </w:p>
    <w:p w14:paraId="1887F316" w14:textId="77777777" w:rsidR="00C02B59" w:rsidRPr="00D1795B" w:rsidRDefault="00C02B59" w:rsidP="00C02B59">
      <w:pPr>
        <w:pStyle w:val="NumPar2"/>
        <w:tabs>
          <w:tab w:val="num" w:pos="850"/>
        </w:tabs>
        <w:ind w:left="850" w:hanging="850"/>
        <w:rPr>
          <w:noProof/>
          <w:lang w:val="en-GB"/>
        </w:rPr>
      </w:pPr>
      <w:r w:rsidRPr="00D1795B">
        <w:rPr>
          <w:noProof/>
          <w:lang w:val="en-GB"/>
        </w:rPr>
        <w:t xml:space="preserve">Eight Instalment (non-repayable support):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3939"/>
        <w:gridCol w:w="1134"/>
        <w:gridCol w:w="3261"/>
      </w:tblGrid>
      <w:tr w:rsidR="00C02B59" w:rsidRPr="00D1795B" w14:paraId="1887F31B" w14:textId="77777777" w:rsidTr="00175C28">
        <w:trPr>
          <w:cantSplit/>
          <w:trHeight w:val="509"/>
          <w:tblHeader/>
          <w:jc w:val="center"/>
        </w:trPr>
        <w:tc>
          <w:tcPr>
            <w:tcW w:w="1726" w:type="dxa"/>
            <w:vMerge w:val="restart"/>
            <w:shd w:val="clear" w:color="auto" w:fill="BDD7EE"/>
            <w:vAlign w:val="center"/>
            <w:hideMark/>
          </w:tcPr>
          <w:p w14:paraId="1887F317"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3939" w:type="dxa"/>
            <w:vMerge w:val="restart"/>
            <w:shd w:val="clear" w:color="auto" w:fill="BDD7EE"/>
            <w:vAlign w:val="center"/>
            <w:hideMark/>
          </w:tcPr>
          <w:p w14:paraId="1887F318"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1134" w:type="dxa"/>
            <w:vMerge w:val="restart"/>
            <w:shd w:val="clear" w:color="auto" w:fill="BDD7EE"/>
            <w:vAlign w:val="center"/>
            <w:hideMark/>
          </w:tcPr>
          <w:p w14:paraId="1887F319" w14:textId="7E1C4041"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Milestone/</w:t>
            </w:r>
            <w:r w:rsidR="00175C28" w:rsidRPr="00D1795B">
              <w:rPr>
                <w:rFonts w:ascii="Times New Roman" w:hAnsi="Times New Roman" w:cs="Times New Roman"/>
                <w:b/>
                <w:noProof/>
                <w:sz w:val="18"/>
                <w:szCs w:val="18"/>
              </w:rPr>
              <w:br/>
            </w:r>
            <w:r w:rsidRPr="00D1795B">
              <w:rPr>
                <w:rFonts w:ascii="Times New Roman" w:hAnsi="Times New Roman" w:cs="Times New Roman"/>
                <w:b/>
                <w:noProof/>
                <w:sz w:val="18"/>
                <w:szCs w:val="18"/>
              </w:rPr>
              <w:t>Target</w:t>
            </w:r>
          </w:p>
        </w:tc>
        <w:tc>
          <w:tcPr>
            <w:tcW w:w="3261" w:type="dxa"/>
            <w:vMerge w:val="restart"/>
            <w:shd w:val="clear" w:color="auto" w:fill="BDD7EE"/>
            <w:vAlign w:val="center"/>
            <w:hideMark/>
          </w:tcPr>
          <w:p w14:paraId="1887F31A"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Name</w:t>
            </w:r>
          </w:p>
        </w:tc>
      </w:tr>
      <w:tr w:rsidR="00C02B59" w:rsidRPr="00D1795B" w14:paraId="1887F320" w14:textId="77777777" w:rsidTr="00175C28">
        <w:trPr>
          <w:cantSplit/>
          <w:trHeight w:val="509"/>
          <w:tblHeader/>
          <w:jc w:val="center"/>
        </w:trPr>
        <w:tc>
          <w:tcPr>
            <w:tcW w:w="1726" w:type="dxa"/>
            <w:vMerge/>
            <w:vAlign w:val="center"/>
            <w:hideMark/>
          </w:tcPr>
          <w:p w14:paraId="1887F31C"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3939" w:type="dxa"/>
            <w:vMerge/>
            <w:vAlign w:val="center"/>
            <w:hideMark/>
          </w:tcPr>
          <w:p w14:paraId="1887F31D"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1134" w:type="dxa"/>
            <w:vMerge/>
            <w:vAlign w:val="center"/>
            <w:hideMark/>
          </w:tcPr>
          <w:p w14:paraId="1887F31E" w14:textId="77777777" w:rsidR="00C02B59" w:rsidRPr="00D1795B" w:rsidRDefault="00C02B59" w:rsidP="00C02B59">
            <w:pPr>
              <w:spacing w:after="0"/>
              <w:jc w:val="center"/>
              <w:rPr>
                <w:rFonts w:ascii="Times New Roman" w:eastAsia="Times New Roman" w:hAnsi="Times New Roman" w:cs="Times New Roman"/>
                <w:b/>
                <w:noProof/>
                <w:sz w:val="18"/>
                <w:szCs w:val="18"/>
                <w:lang w:eastAsia="en-GB"/>
              </w:rPr>
            </w:pPr>
          </w:p>
        </w:tc>
        <w:tc>
          <w:tcPr>
            <w:tcW w:w="3261" w:type="dxa"/>
            <w:vMerge/>
            <w:vAlign w:val="center"/>
            <w:hideMark/>
          </w:tcPr>
          <w:p w14:paraId="1887F31F" w14:textId="77777777" w:rsidR="00C02B59" w:rsidRPr="00D1795B" w:rsidRDefault="00C02B59" w:rsidP="00C02B59">
            <w:pPr>
              <w:spacing w:after="0"/>
              <w:jc w:val="both"/>
              <w:rPr>
                <w:rFonts w:ascii="Times New Roman" w:eastAsia="Times New Roman" w:hAnsi="Times New Roman" w:cs="Times New Roman"/>
                <w:b/>
                <w:noProof/>
                <w:sz w:val="18"/>
                <w:szCs w:val="18"/>
                <w:lang w:eastAsia="en-GB"/>
              </w:rPr>
            </w:pPr>
          </w:p>
        </w:tc>
      </w:tr>
      <w:tr w:rsidR="00C02B59" w:rsidRPr="00D1795B" w14:paraId="1887F326" w14:textId="77777777" w:rsidTr="00175C28">
        <w:trPr>
          <w:cantSplit/>
          <w:trHeight w:val="302"/>
          <w:jc w:val="center"/>
        </w:trPr>
        <w:tc>
          <w:tcPr>
            <w:tcW w:w="1726" w:type="dxa"/>
            <w:shd w:val="clear" w:color="auto" w:fill="C6EFCE"/>
            <w:noWrap/>
          </w:tcPr>
          <w:p w14:paraId="1887F32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2b</w:t>
            </w:r>
          </w:p>
        </w:tc>
        <w:tc>
          <w:tcPr>
            <w:tcW w:w="3939" w:type="dxa"/>
            <w:shd w:val="clear" w:color="auto" w:fill="C6EFCE"/>
            <w:noWrap/>
          </w:tcPr>
          <w:p w14:paraId="1887F322"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C1.1R1</w:t>
            </w:r>
          </w:p>
          <w:p w14:paraId="1887F323"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National Centre for Clinical Evidence and Quality Improvement</w:t>
            </w:r>
          </w:p>
        </w:tc>
        <w:tc>
          <w:tcPr>
            <w:tcW w:w="1134" w:type="dxa"/>
            <w:shd w:val="clear" w:color="auto" w:fill="C6EFCE"/>
            <w:noWrap/>
          </w:tcPr>
          <w:p w14:paraId="1887F324"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261" w:type="dxa"/>
            <w:shd w:val="clear" w:color="auto" w:fill="C6EFCE"/>
            <w:noWrap/>
          </w:tcPr>
          <w:p w14:paraId="1887F325" w14:textId="34AEAC16" w:rsidR="00C02B59" w:rsidRPr="00D1795B" w:rsidRDefault="00EE45A1"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Platform</w:t>
            </w:r>
            <w:r w:rsidR="00C02B59" w:rsidRPr="00D1795B">
              <w:rPr>
                <w:rFonts w:ascii="Times New Roman" w:eastAsia="Times New Roman" w:hAnsi="Times New Roman" w:cs="Times New Roman"/>
                <w:noProof/>
                <w:color w:val="000000" w:themeColor="text1"/>
                <w:sz w:val="18"/>
                <w:szCs w:val="18"/>
              </w:rPr>
              <w:t xml:space="preserve"> for clinical protocols</w:t>
            </w:r>
            <w:r w:rsidR="00DC7286" w:rsidRPr="00D1795B">
              <w:rPr>
                <w:rFonts w:ascii="Times New Roman" w:eastAsia="Times New Roman" w:hAnsi="Times New Roman" w:cs="Times New Roman"/>
                <w:noProof/>
                <w:color w:val="000000" w:themeColor="text1"/>
                <w:sz w:val="18"/>
                <w:szCs w:val="18"/>
              </w:rPr>
              <w:t>, guidelines or pathways</w:t>
            </w:r>
          </w:p>
        </w:tc>
      </w:tr>
      <w:tr w:rsidR="00C02B59" w:rsidRPr="00D1795B" w14:paraId="1887F32C" w14:textId="77777777" w:rsidTr="00175C28">
        <w:trPr>
          <w:cantSplit/>
          <w:trHeight w:val="302"/>
          <w:jc w:val="center"/>
        </w:trPr>
        <w:tc>
          <w:tcPr>
            <w:tcW w:w="1726" w:type="dxa"/>
            <w:shd w:val="clear" w:color="auto" w:fill="C6EFCE"/>
            <w:noWrap/>
          </w:tcPr>
          <w:p w14:paraId="1887F327"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4</w:t>
            </w:r>
          </w:p>
        </w:tc>
        <w:tc>
          <w:tcPr>
            <w:tcW w:w="3939" w:type="dxa"/>
            <w:shd w:val="clear" w:color="auto" w:fill="C6EFCE"/>
            <w:noWrap/>
          </w:tcPr>
          <w:p w14:paraId="1887F328"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C1.1R2</w:t>
            </w:r>
          </w:p>
          <w:p w14:paraId="1887F329" w14:textId="77777777" w:rsidR="00C02B59" w:rsidRPr="00D1795B" w:rsidRDefault="00C02B59" w:rsidP="00C02B59">
            <w:pPr>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Electronic platform for the surveillance of Nosocomial Antibiotic Consumption and Healthcare- Associated Infections</w:t>
            </w:r>
          </w:p>
        </w:tc>
        <w:tc>
          <w:tcPr>
            <w:tcW w:w="1134" w:type="dxa"/>
            <w:shd w:val="clear" w:color="auto" w:fill="C6EFCE"/>
            <w:noWrap/>
          </w:tcPr>
          <w:p w14:paraId="1887F32A"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3261" w:type="dxa"/>
            <w:shd w:val="clear" w:color="auto" w:fill="C6EFCE"/>
            <w:noWrap/>
          </w:tcPr>
          <w:p w14:paraId="1887F32B"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Electronic platform </w:t>
            </w:r>
          </w:p>
        </w:tc>
      </w:tr>
      <w:tr w:rsidR="00C02B59" w:rsidRPr="00D1795B" w14:paraId="1887F332" w14:textId="77777777" w:rsidTr="00175C28">
        <w:trPr>
          <w:cantSplit/>
          <w:trHeight w:val="302"/>
          <w:jc w:val="center"/>
        </w:trPr>
        <w:tc>
          <w:tcPr>
            <w:tcW w:w="1726" w:type="dxa"/>
            <w:shd w:val="clear" w:color="auto" w:fill="C6EFCE"/>
            <w:noWrap/>
          </w:tcPr>
          <w:p w14:paraId="1887F32D"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10</w:t>
            </w:r>
          </w:p>
        </w:tc>
        <w:tc>
          <w:tcPr>
            <w:tcW w:w="3939" w:type="dxa"/>
            <w:shd w:val="clear" w:color="auto" w:fill="C6EFCE"/>
            <w:noWrap/>
          </w:tcPr>
          <w:p w14:paraId="1887F32E"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C1.1I3</w:t>
            </w:r>
          </w:p>
          <w:p w14:paraId="1887F32F"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Support for the purchase of medical equipment in private hospitals</w:t>
            </w:r>
          </w:p>
        </w:tc>
        <w:tc>
          <w:tcPr>
            <w:tcW w:w="1134" w:type="dxa"/>
            <w:shd w:val="clear" w:color="auto" w:fill="C6EFCE"/>
            <w:noWrap/>
          </w:tcPr>
          <w:p w14:paraId="1887F330"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31"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Private hospitals purchased medical equipment with funding from the financial support scheme</w:t>
            </w:r>
          </w:p>
        </w:tc>
      </w:tr>
      <w:tr w:rsidR="00C02B59" w:rsidRPr="00D1795B" w14:paraId="1887F338" w14:textId="77777777" w:rsidTr="00175C28">
        <w:trPr>
          <w:cantSplit/>
          <w:trHeight w:val="302"/>
          <w:jc w:val="center"/>
        </w:trPr>
        <w:tc>
          <w:tcPr>
            <w:tcW w:w="1726" w:type="dxa"/>
            <w:shd w:val="clear" w:color="auto" w:fill="C6EFCE"/>
            <w:noWrap/>
          </w:tcPr>
          <w:p w14:paraId="1887F333"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15</w:t>
            </w:r>
          </w:p>
        </w:tc>
        <w:tc>
          <w:tcPr>
            <w:tcW w:w="3939" w:type="dxa"/>
            <w:shd w:val="clear" w:color="auto" w:fill="C6EFCE"/>
            <w:noWrap/>
          </w:tcPr>
          <w:p w14:paraId="1887F334"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C1.1I7</w:t>
            </w:r>
          </w:p>
          <w:p w14:paraId="1887F335"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 Public warning system for emergency operations </w:t>
            </w:r>
          </w:p>
        </w:tc>
        <w:tc>
          <w:tcPr>
            <w:tcW w:w="1134" w:type="dxa"/>
            <w:shd w:val="clear" w:color="auto" w:fill="C6EFCE"/>
            <w:noWrap/>
          </w:tcPr>
          <w:p w14:paraId="1887F336"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261" w:type="dxa"/>
            <w:shd w:val="clear" w:color="auto" w:fill="C6EFCE"/>
            <w:noWrap/>
          </w:tcPr>
          <w:p w14:paraId="1887F337" w14:textId="77777777" w:rsidR="00C02B59" w:rsidRPr="00D1795B" w:rsidRDefault="00C02B59" w:rsidP="00C02B59">
            <w:pPr>
              <w:spacing w:after="0"/>
              <w:jc w:val="both"/>
              <w:rPr>
                <w:rFonts w:ascii="Times New Roman" w:eastAsia="Times New Roman" w:hAnsi="Times New Roman" w:cs="Times New Roman"/>
                <w:noProof/>
                <w:color w:val="000000" w:themeColor="text1"/>
                <w:sz w:val="18"/>
                <w:szCs w:val="18"/>
              </w:rPr>
            </w:pPr>
            <w:r w:rsidRPr="00D1795B">
              <w:rPr>
                <w:rFonts w:ascii="Times New Roman" w:eastAsia="Times New Roman" w:hAnsi="Times New Roman" w:cs="Times New Roman"/>
                <w:noProof/>
                <w:color w:val="000000" w:themeColor="text1"/>
                <w:sz w:val="18"/>
                <w:szCs w:val="18"/>
              </w:rPr>
              <w:t>Public warning system gone live ready for pilot operation</w:t>
            </w:r>
          </w:p>
        </w:tc>
      </w:tr>
      <w:tr w:rsidR="00C02B59" w:rsidRPr="00D1795B" w14:paraId="1887F33E" w14:textId="77777777" w:rsidTr="00175C28">
        <w:trPr>
          <w:cantSplit/>
          <w:trHeight w:val="302"/>
          <w:jc w:val="center"/>
        </w:trPr>
        <w:tc>
          <w:tcPr>
            <w:tcW w:w="1726" w:type="dxa"/>
            <w:shd w:val="clear" w:color="auto" w:fill="C6EFCE"/>
            <w:noWrap/>
          </w:tcPr>
          <w:p w14:paraId="1887F339"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26</w:t>
            </w:r>
          </w:p>
        </w:tc>
        <w:tc>
          <w:tcPr>
            <w:tcW w:w="3939" w:type="dxa"/>
            <w:shd w:val="clear" w:color="auto" w:fill="C6EFCE"/>
            <w:noWrap/>
          </w:tcPr>
          <w:p w14:paraId="1887F33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C2.1I1</w:t>
            </w:r>
          </w:p>
          <w:p w14:paraId="1887F33B"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 Energy saving investments in SMEs, and non-profit organisations</w:t>
            </w:r>
          </w:p>
        </w:tc>
        <w:tc>
          <w:tcPr>
            <w:tcW w:w="1134" w:type="dxa"/>
            <w:shd w:val="clear" w:color="auto" w:fill="C6EFCE"/>
            <w:noWrap/>
          </w:tcPr>
          <w:p w14:paraId="1887F33C"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3D"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Energy saving projects in buildings</w:t>
            </w:r>
            <w:r w:rsidRPr="00D1795B">
              <w:rPr>
                <w:rFonts w:ascii="Times New Roman" w:hAnsi="Times New Roman" w:cs="Times New Roman"/>
                <w:noProof/>
                <w:sz w:val="18"/>
                <w:szCs w:val="18"/>
              </w:rPr>
              <w:t xml:space="preserve"> </w:t>
            </w:r>
          </w:p>
        </w:tc>
      </w:tr>
      <w:tr w:rsidR="00C02B59" w:rsidRPr="00D1795B" w14:paraId="1887F344" w14:textId="77777777" w:rsidTr="00175C28">
        <w:trPr>
          <w:cantSplit/>
          <w:trHeight w:val="302"/>
          <w:jc w:val="center"/>
        </w:trPr>
        <w:tc>
          <w:tcPr>
            <w:tcW w:w="1726" w:type="dxa"/>
            <w:shd w:val="clear" w:color="auto" w:fill="C6EFCE"/>
            <w:noWrap/>
          </w:tcPr>
          <w:p w14:paraId="1887F33F"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37</w:t>
            </w:r>
          </w:p>
        </w:tc>
        <w:tc>
          <w:tcPr>
            <w:tcW w:w="3939" w:type="dxa"/>
            <w:shd w:val="clear" w:color="auto" w:fill="C6EFCE"/>
            <w:noWrap/>
          </w:tcPr>
          <w:p w14:paraId="1887F34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C2.1I5</w:t>
            </w:r>
          </w:p>
          <w:p w14:paraId="1887F341"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Energy Efficiency investment in public buildings</w:t>
            </w:r>
          </w:p>
        </w:tc>
        <w:tc>
          <w:tcPr>
            <w:tcW w:w="1134" w:type="dxa"/>
            <w:shd w:val="clear" w:color="auto" w:fill="C6EFCE"/>
            <w:noWrap/>
          </w:tcPr>
          <w:p w14:paraId="1887F342"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43"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Installation of photovoltaic systems in Fire Service Properties</w:t>
            </w:r>
          </w:p>
        </w:tc>
      </w:tr>
      <w:tr w:rsidR="00C02B59" w:rsidRPr="00D1795B" w14:paraId="1887F34A" w14:textId="77777777" w:rsidTr="00175C28">
        <w:trPr>
          <w:cantSplit/>
          <w:trHeight w:val="302"/>
          <w:jc w:val="center"/>
        </w:trPr>
        <w:tc>
          <w:tcPr>
            <w:tcW w:w="1726" w:type="dxa"/>
            <w:shd w:val="clear" w:color="auto" w:fill="C6EFCE"/>
            <w:noWrap/>
          </w:tcPr>
          <w:p w14:paraId="1887F34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44</w:t>
            </w:r>
          </w:p>
        </w:tc>
        <w:tc>
          <w:tcPr>
            <w:tcW w:w="3939" w:type="dxa"/>
            <w:shd w:val="clear" w:color="auto" w:fill="C6EFCE"/>
            <w:noWrap/>
          </w:tcPr>
          <w:p w14:paraId="1887F34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C2.1I8</w:t>
            </w:r>
          </w:p>
          <w:p w14:paraId="1887F347"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Monitoring and reduction of GHG emissions in agriculture</w:t>
            </w:r>
          </w:p>
        </w:tc>
        <w:tc>
          <w:tcPr>
            <w:tcW w:w="1134" w:type="dxa"/>
            <w:shd w:val="clear" w:color="auto" w:fill="C6EFCE"/>
            <w:noWrap/>
          </w:tcPr>
          <w:p w14:paraId="1887F34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49"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Reduction of GHG emissions from agriculture</w:t>
            </w:r>
          </w:p>
        </w:tc>
      </w:tr>
      <w:tr w:rsidR="00C02B59" w:rsidRPr="00D1795B" w14:paraId="1887F351" w14:textId="77777777" w:rsidTr="00175C28">
        <w:trPr>
          <w:cantSplit/>
          <w:trHeight w:val="302"/>
          <w:jc w:val="center"/>
        </w:trPr>
        <w:tc>
          <w:tcPr>
            <w:tcW w:w="1726" w:type="dxa"/>
            <w:shd w:val="clear" w:color="auto" w:fill="C6EFCE"/>
            <w:noWrap/>
          </w:tcPr>
          <w:p w14:paraId="1887F34B"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48a</w:t>
            </w:r>
          </w:p>
        </w:tc>
        <w:tc>
          <w:tcPr>
            <w:tcW w:w="3939" w:type="dxa"/>
            <w:shd w:val="clear" w:color="auto" w:fill="C6EFCE"/>
            <w:noWrap/>
          </w:tcPr>
          <w:p w14:paraId="1887F34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C2.1I10</w:t>
            </w:r>
          </w:p>
          <w:p w14:paraId="1887F34D"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Market Management System (MMS) to facilitate the opening of the electricity market to competition</w:t>
            </w:r>
          </w:p>
          <w:p w14:paraId="1887F34E" w14:textId="77777777" w:rsidR="00C02B59" w:rsidRPr="00D1795B" w:rsidRDefault="00C02B59" w:rsidP="00C02B59">
            <w:pPr>
              <w:spacing w:after="0" w:line="240" w:lineRule="auto"/>
              <w:rPr>
                <w:rFonts w:ascii="Times New Roman" w:hAnsi="Times New Roman" w:cs="Times New Roman"/>
                <w:noProof/>
                <w:sz w:val="18"/>
                <w:szCs w:val="18"/>
              </w:rPr>
            </w:pPr>
          </w:p>
        </w:tc>
        <w:tc>
          <w:tcPr>
            <w:tcW w:w="1134" w:type="dxa"/>
            <w:shd w:val="clear" w:color="auto" w:fill="C6EFCE"/>
            <w:noWrap/>
          </w:tcPr>
          <w:p w14:paraId="1887F34F"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3261" w:type="dxa"/>
            <w:shd w:val="clear" w:color="auto" w:fill="C6EFCE"/>
            <w:noWrap/>
          </w:tcPr>
          <w:p w14:paraId="1887F350"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First financial transactions of the MMS</w:t>
            </w:r>
          </w:p>
        </w:tc>
      </w:tr>
      <w:tr w:rsidR="00C02B59" w:rsidRPr="00D1795B" w14:paraId="1887F357" w14:textId="77777777" w:rsidTr="00175C28">
        <w:trPr>
          <w:cantSplit/>
          <w:trHeight w:val="302"/>
          <w:jc w:val="center"/>
        </w:trPr>
        <w:tc>
          <w:tcPr>
            <w:tcW w:w="1726" w:type="dxa"/>
            <w:shd w:val="clear" w:color="auto" w:fill="C6EFCE"/>
            <w:noWrap/>
          </w:tcPr>
          <w:p w14:paraId="1887F352"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53</w:t>
            </w:r>
          </w:p>
        </w:tc>
        <w:tc>
          <w:tcPr>
            <w:tcW w:w="3939" w:type="dxa"/>
            <w:shd w:val="clear" w:color="auto" w:fill="C6EFCE"/>
            <w:noWrap/>
          </w:tcPr>
          <w:p w14:paraId="1887F353"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C2.2R1</w:t>
            </w:r>
          </w:p>
          <w:p w14:paraId="1887F354"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 Installation of an Intelligent Transport System using Digital Twin technologies</w:t>
            </w:r>
          </w:p>
        </w:tc>
        <w:tc>
          <w:tcPr>
            <w:tcW w:w="1134" w:type="dxa"/>
            <w:shd w:val="clear" w:color="auto" w:fill="C6EFCE"/>
            <w:noWrap/>
          </w:tcPr>
          <w:p w14:paraId="1887F35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56"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Installation and connection to the National Access Point of a total of 300 sensors</w:t>
            </w:r>
          </w:p>
        </w:tc>
      </w:tr>
      <w:tr w:rsidR="00C02B59" w:rsidRPr="00D1795B" w14:paraId="1887F35D" w14:textId="77777777" w:rsidTr="00175C28">
        <w:trPr>
          <w:cantSplit/>
          <w:trHeight w:val="302"/>
          <w:jc w:val="center"/>
        </w:trPr>
        <w:tc>
          <w:tcPr>
            <w:tcW w:w="1726" w:type="dxa"/>
            <w:shd w:val="clear" w:color="auto" w:fill="C6EFCE"/>
            <w:noWrap/>
          </w:tcPr>
          <w:p w14:paraId="1887F35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70</w:t>
            </w:r>
          </w:p>
        </w:tc>
        <w:tc>
          <w:tcPr>
            <w:tcW w:w="3939" w:type="dxa"/>
            <w:shd w:val="clear" w:color="auto" w:fill="C6EFCE"/>
            <w:noWrap/>
          </w:tcPr>
          <w:p w14:paraId="1887F359"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C2.3I2 </w:t>
            </w:r>
          </w:p>
          <w:p w14:paraId="1887F35A"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Water Treatment Plants</w:t>
            </w:r>
          </w:p>
        </w:tc>
        <w:tc>
          <w:tcPr>
            <w:tcW w:w="1134" w:type="dxa"/>
            <w:shd w:val="clear" w:color="auto" w:fill="C6EFCE"/>
            <w:noWrap/>
          </w:tcPr>
          <w:p w14:paraId="1887F35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261" w:type="dxa"/>
            <w:shd w:val="clear" w:color="auto" w:fill="C6EFCE"/>
            <w:noWrap/>
          </w:tcPr>
          <w:p w14:paraId="1887F35C"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Projects in Water Treatments Plants</w:t>
            </w:r>
          </w:p>
        </w:tc>
      </w:tr>
      <w:tr w:rsidR="00C02B59" w:rsidRPr="00D1795B" w14:paraId="1887F364" w14:textId="77777777" w:rsidTr="00175C28">
        <w:trPr>
          <w:cantSplit/>
          <w:trHeight w:val="302"/>
          <w:jc w:val="center"/>
        </w:trPr>
        <w:tc>
          <w:tcPr>
            <w:tcW w:w="1726" w:type="dxa"/>
            <w:shd w:val="clear" w:color="auto" w:fill="C6EFCE"/>
            <w:noWrap/>
          </w:tcPr>
          <w:p w14:paraId="1887F35E"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79</w:t>
            </w:r>
          </w:p>
        </w:tc>
        <w:tc>
          <w:tcPr>
            <w:tcW w:w="3939" w:type="dxa"/>
            <w:shd w:val="clear" w:color="auto" w:fill="C6EFCE"/>
            <w:noWrap/>
          </w:tcPr>
          <w:p w14:paraId="1887F35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C2.3I5</w:t>
            </w:r>
          </w:p>
          <w:p w14:paraId="1887F360"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Anti-flood and water collection measures</w:t>
            </w:r>
          </w:p>
        </w:tc>
        <w:tc>
          <w:tcPr>
            <w:tcW w:w="1134" w:type="dxa"/>
            <w:shd w:val="clear" w:color="auto" w:fill="C6EFCE"/>
            <w:noWrap/>
          </w:tcPr>
          <w:p w14:paraId="1887F36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261" w:type="dxa"/>
            <w:shd w:val="clear" w:color="auto" w:fill="C6EFCE"/>
            <w:noWrap/>
          </w:tcPr>
          <w:p w14:paraId="1887F362" w14:textId="77777777" w:rsidR="00C02B59" w:rsidRPr="00D1795B" w:rsidRDefault="00C02B59" w:rsidP="00C02B59">
            <w:pPr>
              <w:spacing w:after="0" w:line="240" w:lineRule="auto"/>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Landscaping of flood channel(s) in Livadia</w:t>
            </w:r>
          </w:p>
          <w:p w14:paraId="1887F363" w14:textId="77777777" w:rsidR="00C02B59" w:rsidRPr="00D1795B" w:rsidRDefault="00C02B59" w:rsidP="00C02B59">
            <w:pPr>
              <w:spacing w:after="0"/>
              <w:jc w:val="both"/>
              <w:rPr>
                <w:rFonts w:ascii="Times New Roman" w:hAnsi="Times New Roman" w:cs="Times New Roman"/>
                <w:noProof/>
                <w:sz w:val="18"/>
                <w:szCs w:val="18"/>
              </w:rPr>
            </w:pPr>
          </w:p>
        </w:tc>
      </w:tr>
      <w:tr w:rsidR="00C02B59" w:rsidRPr="00D1795B" w14:paraId="1887F36B" w14:textId="77777777" w:rsidTr="00175C28">
        <w:trPr>
          <w:cantSplit/>
          <w:trHeight w:val="302"/>
          <w:jc w:val="center"/>
        </w:trPr>
        <w:tc>
          <w:tcPr>
            <w:tcW w:w="1726" w:type="dxa"/>
            <w:shd w:val="clear" w:color="auto" w:fill="C6EFCE"/>
            <w:noWrap/>
          </w:tcPr>
          <w:p w14:paraId="1887F365"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108</w:t>
            </w:r>
          </w:p>
        </w:tc>
        <w:tc>
          <w:tcPr>
            <w:tcW w:w="3939" w:type="dxa"/>
            <w:shd w:val="clear" w:color="auto" w:fill="C6EFCE"/>
            <w:noWrap/>
          </w:tcPr>
          <w:p w14:paraId="1887F36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C3.1I10</w:t>
            </w:r>
          </w:p>
          <w:p w14:paraId="1887F367"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Enrichment of tourism </w:t>
            </w:r>
          </w:p>
        </w:tc>
        <w:tc>
          <w:tcPr>
            <w:tcW w:w="1134" w:type="dxa"/>
            <w:shd w:val="clear" w:color="auto" w:fill="C6EFCE"/>
            <w:noWrap/>
          </w:tcPr>
          <w:p w14:paraId="1887F36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69" w14:textId="77777777" w:rsidR="00C02B59" w:rsidRPr="00D1795B" w:rsidRDefault="00C02B59" w:rsidP="00C02B59">
            <w:pPr>
              <w:spacing w:after="0" w:line="240" w:lineRule="auto"/>
              <w:jc w:val="both"/>
              <w:rPr>
                <w:rFonts w:ascii="Times New Roman" w:eastAsia="Times New Roman" w:hAnsi="Times New Roman" w:cs="Times New Roman"/>
                <w:noProof/>
                <w:sz w:val="18"/>
                <w:szCs w:val="18"/>
              </w:rPr>
            </w:pPr>
          </w:p>
          <w:p w14:paraId="1887F36A" w14:textId="77777777" w:rsidR="00C02B59" w:rsidRPr="00D1795B" w:rsidRDefault="00C02B59" w:rsidP="00C02B59">
            <w:pPr>
              <w:spacing w:after="0" w:line="240" w:lineRule="auto"/>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sz w:val="18"/>
                <w:szCs w:val="18"/>
              </w:rPr>
              <w:t>Investments, including but not limited to construction works, equipment, information and communication services, and advisory services</w:t>
            </w:r>
          </w:p>
        </w:tc>
      </w:tr>
      <w:tr w:rsidR="00C02B59" w:rsidRPr="00D1795B" w14:paraId="1887F371" w14:textId="77777777" w:rsidTr="00175C28">
        <w:trPr>
          <w:cantSplit/>
          <w:trHeight w:val="302"/>
          <w:jc w:val="center"/>
        </w:trPr>
        <w:tc>
          <w:tcPr>
            <w:tcW w:w="1726" w:type="dxa"/>
            <w:shd w:val="clear" w:color="auto" w:fill="C6EFCE"/>
            <w:noWrap/>
          </w:tcPr>
          <w:p w14:paraId="1887F36C"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115</w:t>
            </w:r>
          </w:p>
        </w:tc>
        <w:tc>
          <w:tcPr>
            <w:tcW w:w="3939" w:type="dxa"/>
            <w:shd w:val="clear" w:color="auto" w:fill="C6EFCE"/>
            <w:noWrap/>
          </w:tcPr>
          <w:p w14:paraId="1887F36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C3.1I12</w:t>
            </w:r>
          </w:p>
          <w:p w14:paraId="1887F36E"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Waste management towards circular economy </w:t>
            </w:r>
          </w:p>
        </w:tc>
        <w:tc>
          <w:tcPr>
            <w:tcW w:w="1134" w:type="dxa"/>
            <w:shd w:val="clear" w:color="auto" w:fill="C6EFCE"/>
            <w:noWrap/>
          </w:tcPr>
          <w:p w14:paraId="1887F36F"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70"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Installation of green kiosks </w:t>
            </w:r>
          </w:p>
        </w:tc>
      </w:tr>
      <w:tr w:rsidR="00C02B59" w:rsidRPr="00D1795B" w14:paraId="1887F377" w14:textId="77777777" w:rsidTr="00175C28">
        <w:trPr>
          <w:cantSplit/>
          <w:trHeight w:val="302"/>
          <w:jc w:val="center"/>
        </w:trPr>
        <w:tc>
          <w:tcPr>
            <w:tcW w:w="1726" w:type="dxa"/>
            <w:shd w:val="clear" w:color="auto" w:fill="C6EFCE"/>
            <w:noWrap/>
          </w:tcPr>
          <w:p w14:paraId="1887F372"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126</w:t>
            </w:r>
          </w:p>
        </w:tc>
        <w:tc>
          <w:tcPr>
            <w:tcW w:w="3939" w:type="dxa"/>
            <w:shd w:val="clear" w:color="auto" w:fill="C6EFCE"/>
            <w:noWrap/>
          </w:tcPr>
          <w:p w14:paraId="1887F373"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C3.2I1</w:t>
            </w:r>
          </w:p>
          <w:p w14:paraId="1887F374"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Set up a central Knowledge Transfer Office (KTO)</w:t>
            </w:r>
          </w:p>
        </w:tc>
        <w:tc>
          <w:tcPr>
            <w:tcW w:w="1134" w:type="dxa"/>
            <w:shd w:val="clear" w:color="auto" w:fill="C6EFCE"/>
            <w:noWrap/>
          </w:tcPr>
          <w:p w14:paraId="1887F37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76"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Progress report on the provision of knowledge transfer support services</w:t>
            </w:r>
          </w:p>
        </w:tc>
      </w:tr>
      <w:tr w:rsidR="00C02B59" w:rsidRPr="00D1795B" w14:paraId="1887F37D" w14:textId="77777777" w:rsidTr="00175C28">
        <w:trPr>
          <w:cantSplit/>
          <w:trHeight w:val="302"/>
          <w:jc w:val="center"/>
        </w:trPr>
        <w:tc>
          <w:tcPr>
            <w:tcW w:w="1726" w:type="dxa"/>
            <w:shd w:val="clear" w:color="auto" w:fill="C6EFCE"/>
            <w:noWrap/>
          </w:tcPr>
          <w:p w14:paraId="1887F37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137</w:t>
            </w:r>
          </w:p>
        </w:tc>
        <w:tc>
          <w:tcPr>
            <w:tcW w:w="3939" w:type="dxa"/>
            <w:shd w:val="clear" w:color="auto" w:fill="C6EFCE"/>
            <w:noWrap/>
          </w:tcPr>
          <w:p w14:paraId="1887F37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C3.3R2</w:t>
            </w:r>
          </w:p>
          <w:p w14:paraId="1887F37A"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 Supporting Fast-Track Business Activation Mechanism</w:t>
            </w:r>
          </w:p>
        </w:tc>
        <w:tc>
          <w:tcPr>
            <w:tcW w:w="1134" w:type="dxa"/>
            <w:shd w:val="clear" w:color="auto" w:fill="C6EFCE"/>
            <w:noWrap/>
          </w:tcPr>
          <w:p w14:paraId="1887F37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7C"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color w:val="000000" w:themeColor="text1"/>
                <w:sz w:val="18"/>
                <w:szCs w:val="18"/>
              </w:rPr>
              <w:t xml:space="preserve"> Investment a</w:t>
            </w:r>
            <w:r w:rsidRPr="00D1795B">
              <w:rPr>
                <w:rFonts w:ascii="Times New Roman" w:eastAsia="Times New Roman" w:hAnsi="Times New Roman" w:cs="Times New Roman"/>
                <w:noProof/>
                <w:color w:val="000000" w:themeColor="text1"/>
                <w:sz w:val="18"/>
                <w:szCs w:val="18"/>
              </w:rPr>
              <w:t>pplication assessment through the platform</w:t>
            </w:r>
          </w:p>
        </w:tc>
      </w:tr>
      <w:tr w:rsidR="00C02B59" w:rsidRPr="00D1795B" w14:paraId="1887F383" w14:textId="77777777" w:rsidTr="00175C28">
        <w:trPr>
          <w:cantSplit/>
          <w:trHeight w:val="302"/>
          <w:jc w:val="center"/>
        </w:trPr>
        <w:tc>
          <w:tcPr>
            <w:tcW w:w="1726" w:type="dxa"/>
            <w:shd w:val="clear" w:color="auto" w:fill="C6EFCE"/>
            <w:noWrap/>
          </w:tcPr>
          <w:p w14:paraId="1887F37E"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 141</w:t>
            </w:r>
          </w:p>
        </w:tc>
        <w:tc>
          <w:tcPr>
            <w:tcW w:w="3939" w:type="dxa"/>
            <w:shd w:val="clear" w:color="auto" w:fill="C6EFCE"/>
            <w:noWrap/>
          </w:tcPr>
          <w:p w14:paraId="1887F37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C3.3R4</w:t>
            </w:r>
          </w:p>
          <w:p w14:paraId="1887F380"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National Promotional Agency</w:t>
            </w:r>
          </w:p>
        </w:tc>
        <w:tc>
          <w:tcPr>
            <w:tcW w:w="1134" w:type="dxa"/>
            <w:shd w:val="clear" w:color="auto" w:fill="C6EFCE"/>
            <w:noWrap/>
          </w:tcPr>
          <w:p w14:paraId="1887F38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261" w:type="dxa"/>
            <w:shd w:val="clear" w:color="auto" w:fill="C6EFCE"/>
            <w:noWrap/>
          </w:tcPr>
          <w:p w14:paraId="1887F382"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 Cyprus National Promotional Agency</w:t>
            </w:r>
          </w:p>
        </w:tc>
      </w:tr>
      <w:tr w:rsidR="00C02B59" w:rsidRPr="00D1795B" w14:paraId="1887F38A" w14:textId="77777777" w:rsidTr="00175C28">
        <w:trPr>
          <w:cantSplit/>
          <w:trHeight w:val="302"/>
          <w:jc w:val="center"/>
        </w:trPr>
        <w:tc>
          <w:tcPr>
            <w:tcW w:w="1726" w:type="dxa"/>
            <w:shd w:val="clear" w:color="auto" w:fill="C6EFCE"/>
            <w:noWrap/>
          </w:tcPr>
          <w:p w14:paraId="1887F384"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157</w:t>
            </w:r>
          </w:p>
        </w:tc>
        <w:tc>
          <w:tcPr>
            <w:tcW w:w="3939" w:type="dxa"/>
            <w:shd w:val="clear" w:color="auto" w:fill="C6EFCE"/>
            <w:noWrap/>
          </w:tcPr>
          <w:p w14:paraId="1887F385"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C3.4R1</w:t>
            </w:r>
          </w:p>
          <w:p w14:paraId="1887F386"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 Support the functioning of public administration</w:t>
            </w:r>
          </w:p>
          <w:p w14:paraId="1887F387" w14:textId="77777777" w:rsidR="00C02B59" w:rsidRPr="00D1795B" w:rsidRDefault="00C02B59" w:rsidP="00C02B59">
            <w:pPr>
              <w:spacing w:after="0" w:line="240" w:lineRule="auto"/>
              <w:rPr>
                <w:rFonts w:ascii="Times New Roman" w:hAnsi="Times New Roman" w:cs="Times New Roman"/>
                <w:noProof/>
                <w:sz w:val="18"/>
                <w:szCs w:val="18"/>
              </w:rPr>
            </w:pPr>
          </w:p>
        </w:tc>
        <w:tc>
          <w:tcPr>
            <w:tcW w:w="1134" w:type="dxa"/>
            <w:shd w:val="clear" w:color="auto" w:fill="C6EFCE"/>
            <w:noWrap/>
          </w:tcPr>
          <w:p w14:paraId="1887F38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261" w:type="dxa"/>
            <w:shd w:val="clear" w:color="auto" w:fill="C6EFCE"/>
            <w:noWrap/>
          </w:tcPr>
          <w:p w14:paraId="1887F389"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Guidelines and manuals, legal act(s) and trainings on management of human resources in the public administration</w:t>
            </w:r>
          </w:p>
        </w:tc>
      </w:tr>
      <w:tr w:rsidR="00C02B59" w:rsidRPr="00D1795B" w14:paraId="1887F390" w14:textId="77777777" w:rsidTr="00175C28">
        <w:trPr>
          <w:cantSplit/>
          <w:trHeight w:val="302"/>
          <w:jc w:val="center"/>
        </w:trPr>
        <w:tc>
          <w:tcPr>
            <w:tcW w:w="1726" w:type="dxa"/>
            <w:shd w:val="clear" w:color="auto" w:fill="C6EFCE"/>
            <w:noWrap/>
          </w:tcPr>
          <w:p w14:paraId="1887F38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162</w:t>
            </w:r>
          </w:p>
        </w:tc>
        <w:tc>
          <w:tcPr>
            <w:tcW w:w="3939" w:type="dxa"/>
            <w:shd w:val="clear" w:color="auto" w:fill="C6EFCE"/>
            <w:noWrap/>
          </w:tcPr>
          <w:p w14:paraId="1887F38C"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C3.4R4</w:t>
            </w:r>
          </w:p>
          <w:p w14:paraId="1887F38D"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Digitalisation of public procurement</w:t>
            </w:r>
          </w:p>
        </w:tc>
        <w:tc>
          <w:tcPr>
            <w:tcW w:w="1134" w:type="dxa"/>
            <w:shd w:val="clear" w:color="auto" w:fill="C6EFCE"/>
            <w:noWrap/>
          </w:tcPr>
          <w:p w14:paraId="1887F38E"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261" w:type="dxa"/>
            <w:shd w:val="clear" w:color="auto" w:fill="C6EFCE"/>
            <w:noWrap/>
          </w:tcPr>
          <w:p w14:paraId="1887F38F"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E-procurement system</w:t>
            </w:r>
            <w:r w:rsidRPr="00D1795B">
              <w:rPr>
                <w:rFonts w:ascii="Times New Roman" w:hAnsi="Times New Roman" w:cs="Times New Roman"/>
                <w:noProof/>
                <w:sz w:val="18"/>
                <w:szCs w:val="18"/>
              </w:rPr>
              <w:t xml:space="preserve"> </w:t>
            </w:r>
          </w:p>
        </w:tc>
      </w:tr>
      <w:tr w:rsidR="00C02B59" w:rsidRPr="00D1795B" w14:paraId="1887F396" w14:textId="77777777" w:rsidTr="00175C28">
        <w:trPr>
          <w:cantSplit/>
          <w:trHeight w:val="302"/>
          <w:jc w:val="center"/>
        </w:trPr>
        <w:tc>
          <w:tcPr>
            <w:tcW w:w="1726" w:type="dxa"/>
            <w:shd w:val="clear" w:color="auto" w:fill="C6EFCE"/>
            <w:noWrap/>
          </w:tcPr>
          <w:p w14:paraId="1887F39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168</w:t>
            </w:r>
          </w:p>
        </w:tc>
        <w:tc>
          <w:tcPr>
            <w:tcW w:w="3939" w:type="dxa"/>
            <w:shd w:val="clear" w:color="auto" w:fill="C6EFCE"/>
            <w:noWrap/>
          </w:tcPr>
          <w:p w14:paraId="1887F392"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C3.4I3</w:t>
            </w:r>
          </w:p>
          <w:p w14:paraId="1887F393"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Economic Policy Modelling Hub </w:t>
            </w:r>
          </w:p>
        </w:tc>
        <w:tc>
          <w:tcPr>
            <w:tcW w:w="1134" w:type="dxa"/>
            <w:shd w:val="clear" w:color="auto" w:fill="C6EFCE"/>
            <w:noWrap/>
          </w:tcPr>
          <w:p w14:paraId="1887F394"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95" w14:textId="4DDD0DE5"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Report </w:t>
            </w:r>
            <w:r w:rsidR="004A5F2A" w:rsidRPr="00D1795B">
              <w:rPr>
                <w:rFonts w:ascii="Times New Roman" w:hAnsi="Times New Roman" w:cs="Times New Roman"/>
                <w:noProof/>
                <w:sz w:val="18"/>
                <w:szCs w:val="18"/>
              </w:rPr>
              <w:t>on the Project “Economic Policy Modelling Hub”</w:t>
            </w:r>
            <w:r w:rsidR="00931F7D" w:rsidRPr="00D1795B">
              <w:rPr>
                <w:rFonts w:ascii="Times New Roman" w:hAnsi="Times New Roman" w:cs="Times New Roman"/>
                <w:noProof/>
                <w:sz w:val="18"/>
                <w:szCs w:val="18"/>
              </w:rPr>
              <w:t xml:space="preserve"> </w:t>
            </w:r>
          </w:p>
        </w:tc>
      </w:tr>
      <w:tr w:rsidR="00C02B59" w:rsidRPr="00D1795B" w14:paraId="1887F39C" w14:textId="77777777" w:rsidTr="00175C28">
        <w:trPr>
          <w:cantSplit/>
          <w:trHeight w:val="302"/>
          <w:jc w:val="center"/>
        </w:trPr>
        <w:tc>
          <w:tcPr>
            <w:tcW w:w="1726" w:type="dxa"/>
            <w:shd w:val="clear" w:color="auto" w:fill="C6EFCE"/>
            <w:noWrap/>
          </w:tcPr>
          <w:p w14:paraId="1887F397"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172</w:t>
            </w:r>
          </w:p>
        </w:tc>
        <w:tc>
          <w:tcPr>
            <w:tcW w:w="3939" w:type="dxa"/>
            <w:shd w:val="clear" w:color="auto" w:fill="C6EFCE"/>
            <w:noWrap/>
          </w:tcPr>
          <w:p w14:paraId="1887F398"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C3.4R7</w:t>
            </w:r>
          </w:p>
          <w:p w14:paraId="1887F399"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Urban land consolidation </w:t>
            </w:r>
          </w:p>
        </w:tc>
        <w:tc>
          <w:tcPr>
            <w:tcW w:w="1134" w:type="dxa"/>
            <w:shd w:val="clear" w:color="auto" w:fill="C6EFCE"/>
            <w:noWrap/>
          </w:tcPr>
          <w:p w14:paraId="1887F39A"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9B"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Number of plans for urban land planning </w:t>
            </w:r>
          </w:p>
        </w:tc>
      </w:tr>
      <w:tr w:rsidR="00C02B59" w:rsidRPr="00D1795B" w14:paraId="1887F3A2" w14:textId="77777777" w:rsidTr="00175C28">
        <w:trPr>
          <w:cantSplit/>
          <w:trHeight w:val="302"/>
          <w:jc w:val="center"/>
        </w:trPr>
        <w:tc>
          <w:tcPr>
            <w:tcW w:w="1726" w:type="dxa"/>
            <w:shd w:val="clear" w:color="auto" w:fill="C6EFCE"/>
            <w:noWrap/>
          </w:tcPr>
          <w:p w14:paraId="1887F39D"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185</w:t>
            </w:r>
          </w:p>
        </w:tc>
        <w:tc>
          <w:tcPr>
            <w:tcW w:w="3939" w:type="dxa"/>
            <w:shd w:val="clear" w:color="auto" w:fill="C6EFCE"/>
            <w:noWrap/>
          </w:tcPr>
          <w:p w14:paraId="1887F39E"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C3.4I7</w:t>
            </w:r>
          </w:p>
          <w:p w14:paraId="1887F39F"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Training of judges</w:t>
            </w:r>
          </w:p>
        </w:tc>
        <w:tc>
          <w:tcPr>
            <w:tcW w:w="1134" w:type="dxa"/>
            <w:shd w:val="clear" w:color="auto" w:fill="C6EFCE"/>
            <w:noWrap/>
          </w:tcPr>
          <w:p w14:paraId="1887F3A0"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261" w:type="dxa"/>
            <w:shd w:val="clear" w:color="auto" w:fill="C6EFCE"/>
            <w:noWrap/>
          </w:tcPr>
          <w:p w14:paraId="1887F3A1"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Training of judges </w:t>
            </w:r>
          </w:p>
        </w:tc>
      </w:tr>
      <w:tr w:rsidR="00C02B59" w:rsidRPr="00D1795B" w14:paraId="1887F3A7" w14:textId="77777777" w:rsidTr="00175C28">
        <w:trPr>
          <w:cantSplit/>
          <w:trHeight w:val="302"/>
          <w:jc w:val="center"/>
        </w:trPr>
        <w:tc>
          <w:tcPr>
            <w:tcW w:w="1726" w:type="dxa"/>
            <w:shd w:val="clear" w:color="auto" w:fill="C6EFCE"/>
            <w:noWrap/>
          </w:tcPr>
          <w:p w14:paraId="1887F3A3"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213</w:t>
            </w:r>
          </w:p>
        </w:tc>
        <w:tc>
          <w:tcPr>
            <w:tcW w:w="3939" w:type="dxa"/>
            <w:shd w:val="clear" w:color="auto" w:fill="C6EFCE"/>
            <w:noWrap/>
          </w:tcPr>
          <w:p w14:paraId="1887F3A4"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C3.5I2 </w:t>
            </w:r>
            <w:r w:rsidRPr="00D1795B">
              <w:rPr>
                <w:rFonts w:ascii="Times New Roman" w:hAnsi="Times New Roman" w:cs="Times New Roman"/>
                <w:noProof/>
                <w:sz w:val="18"/>
                <w:szCs w:val="18"/>
              </w:rPr>
              <w:br/>
              <w:t xml:space="preserve">Modernisation of Customs and Electronic Payment System </w:t>
            </w:r>
          </w:p>
        </w:tc>
        <w:tc>
          <w:tcPr>
            <w:tcW w:w="1134" w:type="dxa"/>
            <w:shd w:val="clear" w:color="auto" w:fill="C6EFCE"/>
            <w:noWrap/>
          </w:tcPr>
          <w:p w14:paraId="1887F3A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A6"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Information systems or functionalities</w:t>
            </w:r>
          </w:p>
        </w:tc>
      </w:tr>
      <w:tr w:rsidR="00C02B59" w:rsidRPr="00D1795B" w14:paraId="1887F3AE" w14:textId="77777777" w:rsidTr="00175C28">
        <w:trPr>
          <w:cantSplit/>
          <w:trHeight w:val="302"/>
          <w:jc w:val="center"/>
        </w:trPr>
        <w:tc>
          <w:tcPr>
            <w:tcW w:w="1726" w:type="dxa"/>
            <w:shd w:val="clear" w:color="auto" w:fill="C6EFCE"/>
            <w:noWrap/>
          </w:tcPr>
          <w:p w14:paraId="1887F3A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219</w:t>
            </w:r>
          </w:p>
        </w:tc>
        <w:tc>
          <w:tcPr>
            <w:tcW w:w="3939" w:type="dxa"/>
            <w:shd w:val="clear" w:color="auto" w:fill="C6EFCE"/>
            <w:noWrap/>
          </w:tcPr>
          <w:p w14:paraId="1887F3A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C4.1I1</w:t>
            </w:r>
          </w:p>
          <w:p w14:paraId="1887F3AA"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Expansion of Very High Capacity Networks in underserved areas</w:t>
            </w:r>
          </w:p>
        </w:tc>
        <w:tc>
          <w:tcPr>
            <w:tcW w:w="1134" w:type="dxa"/>
            <w:shd w:val="clear" w:color="auto" w:fill="C6EFCE"/>
            <w:noWrap/>
          </w:tcPr>
          <w:p w14:paraId="1887F3A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261" w:type="dxa"/>
            <w:shd w:val="clear" w:color="auto" w:fill="C6EFCE"/>
            <w:noWrap/>
          </w:tcPr>
          <w:p w14:paraId="1887F3AC" w14:textId="77777777" w:rsidR="00C02B59" w:rsidRPr="00D1795B" w:rsidRDefault="00C02B59" w:rsidP="00C02B59">
            <w:pPr>
              <w:spacing w:after="0" w:line="240" w:lineRule="auto"/>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Very high capacity networks are accessible in areas of no interest to private investors</w:t>
            </w:r>
          </w:p>
          <w:p w14:paraId="1887F3AD" w14:textId="77777777" w:rsidR="00C02B59" w:rsidRPr="00D1795B" w:rsidRDefault="00C02B59" w:rsidP="00C02B59">
            <w:pPr>
              <w:spacing w:after="0"/>
              <w:jc w:val="both"/>
              <w:rPr>
                <w:rFonts w:ascii="Times New Roman" w:hAnsi="Times New Roman" w:cs="Times New Roman"/>
                <w:noProof/>
                <w:sz w:val="18"/>
                <w:szCs w:val="18"/>
              </w:rPr>
            </w:pPr>
          </w:p>
        </w:tc>
      </w:tr>
      <w:tr w:rsidR="00C02B59" w:rsidRPr="00D1795B" w14:paraId="1887F3B4" w14:textId="77777777" w:rsidTr="00175C28">
        <w:trPr>
          <w:cantSplit/>
          <w:trHeight w:val="302"/>
          <w:jc w:val="center"/>
        </w:trPr>
        <w:tc>
          <w:tcPr>
            <w:tcW w:w="1726" w:type="dxa"/>
            <w:shd w:val="clear" w:color="auto" w:fill="C6EFCE"/>
            <w:noWrap/>
          </w:tcPr>
          <w:p w14:paraId="1887F3AF"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sidDel="00797D12">
              <w:rPr>
                <w:rFonts w:ascii="Times New Roman" w:hAnsi="Times New Roman" w:cs="Times New Roman"/>
                <w:noProof/>
                <w:sz w:val="18"/>
                <w:szCs w:val="18"/>
              </w:rPr>
              <w:t>228</w:t>
            </w:r>
          </w:p>
        </w:tc>
        <w:tc>
          <w:tcPr>
            <w:tcW w:w="3939" w:type="dxa"/>
            <w:shd w:val="clear" w:color="auto" w:fill="C6EFCE"/>
            <w:noWrap/>
          </w:tcPr>
          <w:p w14:paraId="1887F3B0" w14:textId="77777777" w:rsidR="00C02B59" w:rsidRPr="00D1795B" w:rsidDel="00797D12" w:rsidRDefault="00C02B59" w:rsidP="00C02B59">
            <w:pPr>
              <w:spacing w:after="0" w:line="240" w:lineRule="auto"/>
              <w:rPr>
                <w:rFonts w:ascii="Times New Roman" w:eastAsia="Times New Roman" w:hAnsi="Times New Roman" w:cs="Times New Roman"/>
                <w:noProof/>
                <w:sz w:val="18"/>
                <w:szCs w:val="18"/>
              </w:rPr>
            </w:pPr>
            <w:r w:rsidRPr="00D1795B" w:rsidDel="00797D12">
              <w:rPr>
                <w:rFonts w:ascii="Times New Roman" w:hAnsi="Times New Roman" w:cs="Times New Roman"/>
                <w:noProof/>
                <w:sz w:val="18"/>
                <w:szCs w:val="18"/>
              </w:rPr>
              <w:t>C4.2R2</w:t>
            </w:r>
          </w:p>
          <w:p w14:paraId="1887F3B1"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New cloud policy with regard to government IT systems and services and infrastructure set-up</w:t>
            </w:r>
          </w:p>
        </w:tc>
        <w:tc>
          <w:tcPr>
            <w:tcW w:w="1134" w:type="dxa"/>
            <w:shd w:val="clear" w:color="auto" w:fill="C6EFCE"/>
            <w:noWrap/>
          </w:tcPr>
          <w:p w14:paraId="1887F3B2"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261" w:type="dxa"/>
            <w:shd w:val="clear" w:color="auto" w:fill="C6EFCE"/>
            <w:noWrap/>
          </w:tcPr>
          <w:p w14:paraId="1887F3B3"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Adoption of a national cloud policy by the Council of Ministers</w:t>
            </w:r>
          </w:p>
        </w:tc>
      </w:tr>
      <w:tr w:rsidR="00C02B59" w:rsidRPr="00D1795B" w14:paraId="1887F3BA" w14:textId="77777777" w:rsidTr="00175C28">
        <w:trPr>
          <w:cantSplit/>
          <w:trHeight w:val="302"/>
          <w:jc w:val="center"/>
        </w:trPr>
        <w:tc>
          <w:tcPr>
            <w:tcW w:w="1726" w:type="dxa"/>
            <w:shd w:val="clear" w:color="auto" w:fill="C6EFCE"/>
            <w:noWrap/>
          </w:tcPr>
          <w:p w14:paraId="1887F3B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230</w:t>
            </w:r>
          </w:p>
        </w:tc>
        <w:tc>
          <w:tcPr>
            <w:tcW w:w="3939" w:type="dxa"/>
            <w:shd w:val="clear" w:color="auto" w:fill="C6EFCE"/>
            <w:noWrap/>
          </w:tcPr>
          <w:p w14:paraId="1887F3B6"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C4.2R3</w:t>
            </w:r>
          </w:p>
          <w:p w14:paraId="1887F3B7"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Police Procedures digitalisation (Digipol)</w:t>
            </w:r>
          </w:p>
        </w:tc>
        <w:tc>
          <w:tcPr>
            <w:tcW w:w="1134" w:type="dxa"/>
            <w:shd w:val="clear" w:color="auto" w:fill="C6EFCE"/>
            <w:noWrap/>
          </w:tcPr>
          <w:p w14:paraId="1887F3B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261" w:type="dxa"/>
            <w:shd w:val="clear" w:color="auto" w:fill="C6EFCE"/>
            <w:noWrap/>
          </w:tcPr>
          <w:p w14:paraId="1887F3B9" w14:textId="77777777" w:rsidR="00C02B59" w:rsidRPr="00D1795B" w:rsidRDefault="00C02B59" w:rsidP="00C02B59">
            <w:pPr>
              <w:spacing w:after="0"/>
              <w:jc w:val="both"/>
              <w:rPr>
                <w:rFonts w:ascii="Times New Roman" w:eastAsia="Times New Roman" w:hAnsi="Times New Roman" w:cs="Times New Roman"/>
                <w:noProof/>
                <w:color w:val="000000" w:themeColor="text1"/>
                <w:sz w:val="18"/>
                <w:szCs w:val="18"/>
              </w:rPr>
            </w:pPr>
            <w:r w:rsidRPr="00D1795B">
              <w:rPr>
                <w:rFonts w:ascii="Times New Roman" w:eastAsia="Times New Roman" w:hAnsi="Times New Roman" w:cs="Times New Roman"/>
                <w:noProof/>
                <w:color w:val="000000" w:themeColor="text1"/>
                <w:sz w:val="18"/>
                <w:szCs w:val="18"/>
              </w:rPr>
              <w:t xml:space="preserve">Digipol accessible </w:t>
            </w:r>
          </w:p>
        </w:tc>
      </w:tr>
      <w:tr w:rsidR="00C02B59" w:rsidRPr="00D1795B" w14:paraId="1887F3BF" w14:textId="77777777" w:rsidTr="00175C28">
        <w:trPr>
          <w:cantSplit/>
          <w:trHeight w:val="302"/>
          <w:jc w:val="center"/>
        </w:trPr>
        <w:tc>
          <w:tcPr>
            <w:tcW w:w="1726" w:type="dxa"/>
            <w:shd w:val="clear" w:color="auto" w:fill="C6EFCE"/>
            <w:noWrap/>
          </w:tcPr>
          <w:p w14:paraId="1887F3B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235</w:t>
            </w:r>
          </w:p>
        </w:tc>
        <w:tc>
          <w:tcPr>
            <w:tcW w:w="3939" w:type="dxa"/>
            <w:shd w:val="clear" w:color="auto" w:fill="C6EFCE"/>
            <w:noWrap/>
          </w:tcPr>
          <w:p w14:paraId="1887F3B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 C4.2I1 </w:t>
            </w:r>
            <w:r w:rsidRPr="00D1795B">
              <w:rPr>
                <w:rFonts w:ascii="Times New Roman" w:eastAsia="Times New Roman" w:hAnsi="Times New Roman" w:cs="Times New Roman"/>
                <w:noProof/>
                <w:color w:val="000000" w:themeColor="text1"/>
                <w:sz w:val="18"/>
                <w:szCs w:val="18"/>
              </w:rPr>
              <w:t>Digitalisation of Central Government Ministries or departments</w:t>
            </w:r>
          </w:p>
        </w:tc>
        <w:tc>
          <w:tcPr>
            <w:tcW w:w="1134" w:type="dxa"/>
            <w:shd w:val="clear" w:color="auto" w:fill="C6EFCE"/>
            <w:noWrap/>
          </w:tcPr>
          <w:p w14:paraId="1887F3BD" w14:textId="77777777" w:rsidR="00C02B59" w:rsidRPr="00D1795B" w:rsidRDefault="00C02B59" w:rsidP="00C02B59">
            <w:pPr>
              <w:spacing w:after="0" w:line="240" w:lineRule="auto"/>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BE"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Delivery of digital systems of five central government ministries or departments</w:t>
            </w:r>
          </w:p>
        </w:tc>
      </w:tr>
      <w:tr w:rsidR="00C02B59" w:rsidRPr="00D1795B" w14:paraId="1887F3C5" w14:textId="77777777" w:rsidTr="00175C28">
        <w:trPr>
          <w:cantSplit/>
          <w:trHeight w:val="302"/>
          <w:jc w:val="center"/>
        </w:trPr>
        <w:tc>
          <w:tcPr>
            <w:tcW w:w="1726" w:type="dxa"/>
            <w:shd w:val="clear" w:color="auto" w:fill="C6EFCE"/>
            <w:noWrap/>
          </w:tcPr>
          <w:p w14:paraId="1887F3C0"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238</w:t>
            </w:r>
          </w:p>
        </w:tc>
        <w:tc>
          <w:tcPr>
            <w:tcW w:w="3939" w:type="dxa"/>
            <w:shd w:val="clear" w:color="auto" w:fill="C6EFCE"/>
            <w:noWrap/>
          </w:tcPr>
          <w:p w14:paraId="1887F3C1"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C4.2I2</w:t>
            </w:r>
          </w:p>
          <w:p w14:paraId="1887F3C2"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Digitalisation of the Cyprus Ports Authority</w:t>
            </w:r>
          </w:p>
        </w:tc>
        <w:tc>
          <w:tcPr>
            <w:tcW w:w="1134" w:type="dxa"/>
            <w:shd w:val="clear" w:color="auto" w:fill="C6EFCE"/>
            <w:noWrap/>
          </w:tcPr>
          <w:p w14:paraId="1887F3C3"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C4"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IT infrastructure of Cyprus Ports Authority</w:t>
            </w:r>
          </w:p>
        </w:tc>
      </w:tr>
      <w:tr w:rsidR="00C02B59" w:rsidRPr="00D1795B" w14:paraId="1887F3CC" w14:textId="77777777" w:rsidTr="00175C28">
        <w:trPr>
          <w:cantSplit/>
          <w:trHeight w:val="302"/>
          <w:jc w:val="center"/>
        </w:trPr>
        <w:tc>
          <w:tcPr>
            <w:tcW w:w="1726" w:type="dxa"/>
            <w:shd w:val="clear" w:color="auto" w:fill="C6EFCE"/>
            <w:noWrap/>
          </w:tcPr>
          <w:p w14:paraId="1887F3C6"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250</w:t>
            </w:r>
          </w:p>
        </w:tc>
        <w:tc>
          <w:tcPr>
            <w:tcW w:w="3939" w:type="dxa"/>
            <w:shd w:val="clear" w:color="auto" w:fill="C6EFCE"/>
            <w:noWrap/>
          </w:tcPr>
          <w:p w14:paraId="1887F3C7"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C5.1R5</w:t>
            </w:r>
          </w:p>
          <w:p w14:paraId="1887F3C8"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 E-skills Action Plan – Delivery of specific actions</w:t>
            </w:r>
          </w:p>
          <w:p w14:paraId="1887F3C9" w14:textId="77777777" w:rsidR="00C02B59" w:rsidRPr="00D1795B" w:rsidRDefault="00C02B59" w:rsidP="00C02B59">
            <w:pPr>
              <w:spacing w:after="0" w:line="240" w:lineRule="auto"/>
              <w:rPr>
                <w:rFonts w:ascii="Times New Roman" w:hAnsi="Times New Roman" w:cs="Times New Roman"/>
                <w:noProof/>
                <w:sz w:val="18"/>
                <w:szCs w:val="18"/>
              </w:rPr>
            </w:pPr>
          </w:p>
        </w:tc>
        <w:tc>
          <w:tcPr>
            <w:tcW w:w="1134" w:type="dxa"/>
            <w:shd w:val="clear" w:color="auto" w:fill="C6EFCE"/>
            <w:noWrap/>
          </w:tcPr>
          <w:p w14:paraId="1887F3CA"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261" w:type="dxa"/>
            <w:shd w:val="clear" w:color="auto" w:fill="C6EFCE"/>
            <w:noWrap/>
          </w:tcPr>
          <w:p w14:paraId="1887F3CB"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Measures related to the e-Skills Action Plan </w:t>
            </w:r>
          </w:p>
        </w:tc>
      </w:tr>
      <w:tr w:rsidR="00C02B59" w:rsidRPr="00D1795B" w14:paraId="1887F3D2" w14:textId="77777777" w:rsidTr="00175C28">
        <w:trPr>
          <w:cantSplit/>
          <w:trHeight w:val="302"/>
          <w:jc w:val="center"/>
        </w:trPr>
        <w:tc>
          <w:tcPr>
            <w:tcW w:w="1726" w:type="dxa"/>
            <w:shd w:val="clear" w:color="auto" w:fill="C6EFCE"/>
            <w:noWrap/>
          </w:tcPr>
          <w:p w14:paraId="1887F3CD"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254</w:t>
            </w:r>
          </w:p>
        </w:tc>
        <w:tc>
          <w:tcPr>
            <w:tcW w:w="3939" w:type="dxa"/>
            <w:shd w:val="clear" w:color="auto" w:fill="C6EFCE"/>
            <w:noWrap/>
          </w:tcPr>
          <w:p w14:paraId="1887F3CE"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C5.1I2</w:t>
            </w:r>
          </w:p>
          <w:p w14:paraId="1887F3CF"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Skilling, Reskilling and Upskilling </w:t>
            </w:r>
          </w:p>
        </w:tc>
        <w:tc>
          <w:tcPr>
            <w:tcW w:w="1134" w:type="dxa"/>
            <w:shd w:val="clear" w:color="auto" w:fill="C6EFCE"/>
            <w:noWrap/>
          </w:tcPr>
          <w:p w14:paraId="1887F3D0"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D1"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Trainings in programmes for digital, green, blue and entrepreneurial skills</w:t>
            </w:r>
          </w:p>
        </w:tc>
      </w:tr>
      <w:tr w:rsidR="00C02B59" w:rsidRPr="00D1795B" w14:paraId="1887F3D8" w14:textId="77777777" w:rsidTr="00175C28">
        <w:trPr>
          <w:cantSplit/>
          <w:trHeight w:val="302"/>
          <w:jc w:val="center"/>
        </w:trPr>
        <w:tc>
          <w:tcPr>
            <w:tcW w:w="1726" w:type="dxa"/>
            <w:shd w:val="clear" w:color="auto" w:fill="C6EFCE"/>
            <w:noWrap/>
          </w:tcPr>
          <w:p w14:paraId="1887F3D3"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256</w:t>
            </w:r>
          </w:p>
        </w:tc>
        <w:tc>
          <w:tcPr>
            <w:tcW w:w="3939" w:type="dxa"/>
            <w:shd w:val="clear" w:color="auto" w:fill="C6EFCE"/>
            <w:noWrap/>
          </w:tcPr>
          <w:p w14:paraId="1887F3D4" w14:textId="77777777" w:rsidR="00C02B59" w:rsidRPr="00D1795B" w:rsidRDefault="00C02B59" w:rsidP="00C02B59">
            <w:pPr>
              <w:keepNext/>
              <w:keepLines/>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C5.2R2</w:t>
            </w:r>
          </w:p>
          <w:p w14:paraId="1887F3D5"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Flexible Work Arrangements in the Form of Telework</w:t>
            </w:r>
          </w:p>
        </w:tc>
        <w:tc>
          <w:tcPr>
            <w:tcW w:w="1134" w:type="dxa"/>
            <w:shd w:val="clear" w:color="auto" w:fill="C6EFCE"/>
            <w:noWrap/>
          </w:tcPr>
          <w:p w14:paraId="1887F3D6"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D7"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 Grants disbursed to employers for hiring at least 300 persons</w:t>
            </w:r>
          </w:p>
        </w:tc>
      </w:tr>
      <w:tr w:rsidR="00C02B59" w:rsidRPr="00D1795B" w14:paraId="1887F3DE" w14:textId="77777777" w:rsidTr="00175C28">
        <w:trPr>
          <w:cantSplit/>
          <w:trHeight w:val="302"/>
          <w:jc w:val="center"/>
        </w:trPr>
        <w:tc>
          <w:tcPr>
            <w:tcW w:w="1726" w:type="dxa"/>
            <w:shd w:val="clear" w:color="auto" w:fill="C6EFCE"/>
            <w:noWrap/>
          </w:tcPr>
          <w:p w14:paraId="1887F3D9"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259</w:t>
            </w:r>
          </w:p>
        </w:tc>
        <w:tc>
          <w:tcPr>
            <w:tcW w:w="3939" w:type="dxa"/>
            <w:shd w:val="clear" w:color="auto" w:fill="C6EFCE"/>
            <w:noWrap/>
          </w:tcPr>
          <w:p w14:paraId="1887F3DA"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C5.2I1</w:t>
            </w:r>
          </w:p>
          <w:p w14:paraId="1887F3DB"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Supporting the Department of Labour and Public Employment Services and reinforcing support for young people </w:t>
            </w:r>
          </w:p>
        </w:tc>
        <w:tc>
          <w:tcPr>
            <w:tcW w:w="1134" w:type="dxa"/>
            <w:shd w:val="clear" w:color="auto" w:fill="C6EFCE"/>
            <w:noWrap/>
          </w:tcPr>
          <w:p w14:paraId="1887F3DC"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DD" w14:textId="1A8C3146"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 Grants disbursed to employers for hiring at least 450 young people not in employment or in education or training (NEETs)</w:t>
            </w:r>
            <w:r w:rsidR="00D1795B">
              <w:rPr>
                <w:rFonts w:ascii="Times New Roman" w:eastAsia="Times New Roman" w:hAnsi="Times New Roman" w:cs="Times New Roman"/>
                <w:noProof/>
                <w:color w:val="000000" w:themeColor="text1"/>
                <w:sz w:val="18"/>
                <w:szCs w:val="18"/>
              </w:rPr>
              <w:t xml:space="preserve"> </w:t>
            </w:r>
          </w:p>
        </w:tc>
      </w:tr>
      <w:tr w:rsidR="00C02B59" w:rsidRPr="00D1795B" w14:paraId="1887F3E4" w14:textId="77777777" w:rsidTr="00175C28">
        <w:trPr>
          <w:cantSplit/>
          <w:trHeight w:val="302"/>
          <w:jc w:val="center"/>
        </w:trPr>
        <w:tc>
          <w:tcPr>
            <w:tcW w:w="1726" w:type="dxa"/>
            <w:shd w:val="clear" w:color="auto" w:fill="C6EFCE"/>
            <w:noWrap/>
          </w:tcPr>
          <w:p w14:paraId="1887F3DF"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269</w:t>
            </w:r>
          </w:p>
        </w:tc>
        <w:tc>
          <w:tcPr>
            <w:tcW w:w="3939" w:type="dxa"/>
            <w:shd w:val="clear" w:color="auto" w:fill="C6EFCE"/>
            <w:noWrap/>
          </w:tcPr>
          <w:p w14:paraId="1887F3E0"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C5.2I5</w:t>
            </w:r>
          </w:p>
          <w:p w14:paraId="1887F3E1" w14:textId="77777777" w:rsidR="00C02B59" w:rsidRPr="00D1795B" w:rsidRDefault="00C02B59" w:rsidP="00C02B59">
            <w:pPr>
              <w:spacing w:after="0" w:line="240" w:lineRule="auto"/>
              <w:rPr>
                <w:rFonts w:ascii="Times New Roman" w:eastAsia="Times New Roman" w:hAnsi="Times New Roman" w:cs="Times New Roman"/>
                <w:noProof/>
                <w:color w:val="000000" w:themeColor="text1"/>
                <w:sz w:val="18"/>
                <w:szCs w:val="18"/>
              </w:rPr>
            </w:pPr>
            <w:r w:rsidRPr="00D1795B">
              <w:rPr>
                <w:rFonts w:ascii="Times New Roman" w:hAnsi="Times New Roman" w:cs="Times New Roman"/>
                <w:noProof/>
                <w:sz w:val="18"/>
                <w:szCs w:val="18"/>
              </w:rPr>
              <w:t>Construction of Two Model Special Education Schools</w:t>
            </w:r>
          </w:p>
        </w:tc>
        <w:tc>
          <w:tcPr>
            <w:tcW w:w="1134" w:type="dxa"/>
            <w:shd w:val="clear" w:color="auto" w:fill="C6EFCE"/>
            <w:noWrap/>
          </w:tcPr>
          <w:p w14:paraId="1887F3E2"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261" w:type="dxa"/>
            <w:shd w:val="clear" w:color="auto" w:fill="C6EFCE"/>
            <w:noWrap/>
          </w:tcPr>
          <w:p w14:paraId="1887F3E3"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Construction of two Special Education Schools</w:t>
            </w:r>
          </w:p>
        </w:tc>
      </w:tr>
      <w:tr w:rsidR="00C02B59" w:rsidRPr="00D1795B" w14:paraId="1887F3E9" w14:textId="77777777" w:rsidTr="00175C28">
        <w:trPr>
          <w:cantSplit/>
          <w:trHeight w:val="302"/>
          <w:jc w:val="center"/>
        </w:trPr>
        <w:tc>
          <w:tcPr>
            <w:tcW w:w="1726" w:type="dxa"/>
            <w:shd w:val="clear" w:color="auto" w:fill="C6EFCE"/>
            <w:noWrap/>
            <w:vAlign w:val="bottom"/>
          </w:tcPr>
          <w:p w14:paraId="1887F3E5"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272</w:t>
            </w:r>
          </w:p>
        </w:tc>
        <w:tc>
          <w:tcPr>
            <w:tcW w:w="3939" w:type="dxa"/>
            <w:shd w:val="clear" w:color="auto" w:fill="C6EFCE"/>
            <w:noWrap/>
            <w:vAlign w:val="bottom"/>
          </w:tcPr>
          <w:p w14:paraId="1887F3E6" w14:textId="77777777" w:rsidR="00C02B59" w:rsidRPr="00D1795B" w:rsidRDefault="00C02B59" w:rsidP="00C02B59">
            <w:pPr>
              <w:spacing w:after="0"/>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C6.1R1 </w:t>
            </w:r>
            <w:r w:rsidRPr="00D1795B">
              <w:rPr>
                <w:rFonts w:ascii="Times New Roman" w:eastAsia="Times New Roman" w:hAnsi="Times New Roman" w:cs="Times New Roman"/>
                <w:noProof/>
                <w:color w:val="000000" w:themeColor="text1"/>
                <w:sz w:val="18"/>
                <w:szCs w:val="18"/>
              </w:rPr>
              <w:t>Regulating and facilitating the participation of citizens in the electricity market</w:t>
            </w:r>
          </w:p>
        </w:tc>
        <w:tc>
          <w:tcPr>
            <w:tcW w:w="1134" w:type="dxa"/>
            <w:shd w:val="clear" w:color="auto" w:fill="C6EFCE"/>
            <w:noWrap/>
            <w:vAlign w:val="center"/>
          </w:tcPr>
          <w:p w14:paraId="1887F3E7"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Milestone</w:t>
            </w:r>
          </w:p>
        </w:tc>
        <w:tc>
          <w:tcPr>
            <w:tcW w:w="3261" w:type="dxa"/>
            <w:shd w:val="clear" w:color="auto" w:fill="C6EFCE"/>
            <w:noWrap/>
            <w:vAlign w:val="center"/>
          </w:tcPr>
          <w:p w14:paraId="1887F3E8"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Single contact point for the participation of citizens in the electricity market</w:t>
            </w:r>
          </w:p>
        </w:tc>
      </w:tr>
      <w:tr w:rsidR="00C02B59" w:rsidRPr="00D1795B" w14:paraId="1887F3EE" w14:textId="77777777" w:rsidTr="00175C28">
        <w:trPr>
          <w:cantSplit/>
          <w:trHeight w:val="302"/>
          <w:jc w:val="center"/>
        </w:trPr>
        <w:tc>
          <w:tcPr>
            <w:tcW w:w="1726" w:type="dxa"/>
            <w:shd w:val="clear" w:color="auto" w:fill="C6EFCE"/>
            <w:noWrap/>
            <w:vAlign w:val="bottom"/>
          </w:tcPr>
          <w:p w14:paraId="1887F3EA"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273</w:t>
            </w:r>
          </w:p>
        </w:tc>
        <w:tc>
          <w:tcPr>
            <w:tcW w:w="3939" w:type="dxa"/>
            <w:shd w:val="clear" w:color="auto" w:fill="C6EFCE"/>
            <w:noWrap/>
            <w:vAlign w:val="bottom"/>
          </w:tcPr>
          <w:p w14:paraId="1887F3EB" w14:textId="77777777" w:rsidR="00C02B59" w:rsidRPr="00D1795B" w:rsidRDefault="00C02B59" w:rsidP="00C02B59">
            <w:pPr>
              <w:spacing w:after="0"/>
              <w:rPr>
                <w:rFonts w:ascii="Times New Roman" w:hAnsi="Times New Roman" w:cs="Times New Roman"/>
                <w:noProof/>
                <w:sz w:val="18"/>
                <w:szCs w:val="18"/>
              </w:rPr>
            </w:pPr>
            <w:r w:rsidRPr="00D1795B">
              <w:rPr>
                <w:rFonts w:ascii="Times New Roman" w:hAnsi="Times New Roman" w:cs="Times New Roman"/>
                <w:noProof/>
                <w:sz w:val="18"/>
                <w:szCs w:val="18"/>
              </w:rPr>
              <w:t>C6.1R2</w:t>
            </w:r>
            <w:r w:rsidRPr="00D1795B">
              <w:rPr>
                <w:rFonts w:ascii="Times New Roman" w:eastAsia="Times New Roman" w:hAnsi="Times New Roman" w:cs="Times New Roman"/>
                <w:noProof/>
                <w:color w:val="000000" w:themeColor="text1"/>
                <w:sz w:val="18"/>
                <w:szCs w:val="18"/>
              </w:rPr>
              <w:t xml:space="preserve"> Establishment of the regulatory framework for the connection of EV charging points </w:t>
            </w:r>
          </w:p>
        </w:tc>
        <w:tc>
          <w:tcPr>
            <w:tcW w:w="1134" w:type="dxa"/>
            <w:shd w:val="clear" w:color="auto" w:fill="C6EFCE"/>
            <w:noWrap/>
            <w:vAlign w:val="center"/>
          </w:tcPr>
          <w:p w14:paraId="1887F3EC"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Milestone</w:t>
            </w:r>
          </w:p>
        </w:tc>
        <w:tc>
          <w:tcPr>
            <w:tcW w:w="3261" w:type="dxa"/>
            <w:shd w:val="clear" w:color="auto" w:fill="C6EFCE"/>
            <w:noWrap/>
            <w:vAlign w:val="center"/>
          </w:tcPr>
          <w:p w14:paraId="1887F3ED"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Entry into force of Regulatory Decision/s on the connection of EV charging points</w:t>
            </w:r>
          </w:p>
        </w:tc>
      </w:tr>
      <w:tr w:rsidR="00C02B59" w:rsidRPr="00D1795B" w14:paraId="1887F3F4" w14:textId="77777777" w:rsidTr="00175C28">
        <w:trPr>
          <w:cantSplit/>
          <w:trHeight w:val="302"/>
          <w:jc w:val="center"/>
        </w:trPr>
        <w:tc>
          <w:tcPr>
            <w:tcW w:w="1726" w:type="dxa"/>
            <w:shd w:val="clear" w:color="auto" w:fill="C6EFCE"/>
            <w:noWrap/>
          </w:tcPr>
          <w:p w14:paraId="1887F3EF" w14:textId="77777777" w:rsidR="00C02B59" w:rsidRPr="00D1795B" w:rsidRDefault="00C02B59" w:rsidP="00C02B59">
            <w:pPr>
              <w:spacing w:after="0"/>
              <w:jc w:val="center"/>
              <w:rPr>
                <w:rFonts w:ascii="Times New Roman" w:eastAsia="Times New Roman" w:hAnsi="Times New Roman" w:cs="Times New Roman"/>
                <w:noProof/>
                <w:color w:val="006100"/>
                <w:sz w:val="18"/>
                <w:szCs w:val="18"/>
                <w:lang w:eastAsia="en-GB"/>
              </w:rPr>
            </w:pPr>
            <w:r w:rsidRPr="00D1795B">
              <w:rPr>
                <w:rFonts w:ascii="Times New Roman" w:hAnsi="Times New Roman" w:cs="Times New Roman"/>
                <w:noProof/>
                <w:sz w:val="18"/>
                <w:szCs w:val="18"/>
              </w:rPr>
              <w:t>154</w:t>
            </w:r>
          </w:p>
        </w:tc>
        <w:tc>
          <w:tcPr>
            <w:tcW w:w="3939" w:type="dxa"/>
            <w:shd w:val="clear" w:color="auto" w:fill="C6EFCE"/>
            <w:noWrap/>
          </w:tcPr>
          <w:p w14:paraId="1887F3F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C3.3I1</w:t>
            </w:r>
          </w:p>
          <w:p w14:paraId="1887F3F1" w14:textId="77777777" w:rsidR="00C02B59" w:rsidRPr="00D1795B" w:rsidRDefault="00C02B59" w:rsidP="00C02B59">
            <w:pPr>
              <w:spacing w:after="0"/>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Information system for the Department of Registrar of Companies and Intellectual Property</w:t>
            </w:r>
          </w:p>
        </w:tc>
        <w:tc>
          <w:tcPr>
            <w:tcW w:w="1134" w:type="dxa"/>
            <w:shd w:val="clear" w:color="auto" w:fill="C6EFCE"/>
            <w:noWrap/>
          </w:tcPr>
          <w:p w14:paraId="1887F3F2" w14:textId="77777777" w:rsidR="00C02B59" w:rsidRPr="00D1795B" w:rsidRDefault="00C02B59" w:rsidP="00C02B59">
            <w:pPr>
              <w:spacing w:after="0"/>
              <w:jc w:val="center"/>
              <w:rPr>
                <w:rFonts w:ascii="Times New Roman" w:hAnsi="Times New Roman" w:cs="Times New Roman"/>
                <w:noProof/>
                <w:color w:val="006100"/>
                <w:sz w:val="18"/>
                <w:szCs w:val="18"/>
              </w:rPr>
            </w:pPr>
            <w:r w:rsidRPr="00D1795B">
              <w:rPr>
                <w:rFonts w:ascii="Times New Roman" w:hAnsi="Times New Roman" w:cs="Times New Roman"/>
                <w:noProof/>
                <w:sz w:val="18"/>
                <w:szCs w:val="18"/>
              </w:rPr>
              <w:t>Target</w:t>
            </w:r>
          </w:p>
        </w:tc>
        <w:tc>
          <w:tcPr>
            <w:tcW w:w="3261" w:type="dxa"/>
            <w:shd w:val="clear" w:color="auto" w:fill="C6EFCE"/>
            <w:noWrap/>
          </w:tcPr>
          <w:p w14:paraId="1887F3F3" w14:textId="77777777" w:rsidR="00C02B59" w:rsidRPr="00D1795B" w:rsidRDefault="00C02B59" w:rsidP="00C02B59">
            <w:pPr>
              <w:spacing w:after="0"/>
              <w:jc w:val="both"/>
              <w:rPr>
                <w:rFonts w:ascii="Times New Roman" w:hAnsi="Times New Roman" w:cs="Times New Roman"/>
                <w:noProof/>
                <w:color w:val="006100"/>
                <w:sz w:val="18"/>
                <w:szCs w:val="18"/>
              </w:rPr>
            </w:pPr>
            <w:r w:rsidRPr="00D1795B">
              <w:rPr>
                <w:rFonts w:ascii="Times New Roman" w:hAnsi="Times New Roman" w:cs="Times New Roman"/>
                <w:noProof/>
                <w:sz w:val="18"/>
                <w:szCs w:val="18"/>
              </w:rPr>
              <w:t xml:space="preserve">Training courses </w:t>
            </w:r>
          </w:p>
        </w:tc>
      </w:tr>
      <w:tr w:rsidR="00C02B59" w:rsidRPr="00D1795B" w14:paraId="1887F3FA" w14:textId="77777777" w:rsidTr="00175C28">
        <w:trPr>
          <w:cantSplit/>
          <w:trHeight w:val="302"/>
          <w:jc w:val="center"/>
        </w:trPr>
        <w:tc>
          <w:tcPr>
            <w:tcW w:w="1726" w:type="dxa"/>
            <w:shd w:val="clear" w:color="auto" w:fill="C6EFCE"/>
            <w:noWrap/>
          </w:tcPr>
          <w:p w14:paraId="1887F3F5" w14:textId="77777777" w:rsidR="00C02B59" w:rsidRPr="00D1795B" w:rsidRDefault="00C02B59" w:rsidP="00C02B59">
            <w:pPr>
              <w:spacing w:after="0"/>
              <w:jc w:val="center"/>
              <w:rPr>
                <w:rFonts w:ascii="Times New Roman" w:eastAsia="Times New Roman" w:hAnsi="Times New Roman" w:cs="Times New Roman"/>
                <w:noProof/>
                <w:color w:val="006100"/>
                <w:sz w:val="18"/>
                <w:szCs w:val="18"/>
                <w:lang w:eastAsia="en-GB"/>
              </w:rPr>
            </w:pPr>
            <w:r w:rsidRPr="00D1795B">
              <w:rPr>
                <w:rFonts w:ascii="Times New Roman" w:hAnsi="Times New Roman" w:cs="Times New Roman"/>
                <w:noProof/>
                <w:sz w:val="18"/>
                <w:szCs w:val="18"/>
              </w:rPr>
              <w:t>104c</w:t>
            </w:r>
          </w:p>
        </w:tc>
        <w:tc>
          <w:tcPr>
            <w:tcW w:w="3939" w:type="dxa"/>
            <w:shd w:val="clear" w:color="auto" w:fill="C6EFCE"/>
            <w:noWrap/>
            <w:vAlign w:val="bottom"/>
          </w:tcPr>
          <w:p w14:paraId="1887F3F6" w14:textId="77777777" w:rsidR="00C02B59" w:rsidRPr="00D1795B" w:rsidRDefault="00C02B59" w:rsidP="00C02B59">
            <w:pPr>
              <w:spacing w:after="0" w:line="240" w:lineRule="auto"/>
              <w:rPr>
                <w:rFonts w:ascii="Times New Roman" w:eastAsia="Calibri" w:hAnsi="Times New Roman" w:cs="Times New Roman"/>
                <w:noProof/>
                <w:sz w:val="18"/>
                <w:szCs w:val="18"/>
              </w:rPr>
            </w:pPr>
            <w:r w:rsidRPr="00D1795B">
              <w:rPr>
                <w:rFonts w:ascii="Times New Roman" w:eastAsia="Calibri" w:hAnsi="Times New Roman" w:cs="Times New Roman"/>
                <w:noProof/>
                <w:sz w:val="18"/>
                <w:szCs w:val="18"/>
              </w:rPr>
              <w:t>C3.1I8</w:t>
            </w:r>
          </w:p>
          <w:p w14:paraId="1887F3F7" w14:textId="77777777" w:rsidR="00C02B59" w:rsidRPr="00D1795B" w:rsidRDefault="00C02B59" w:rsidP="00C02B59">
            <w:pPr>
              <w:spacing w:after="0"/>
              <w:rPr>
                <w:rFonts w:ascii="Times New Roman" w:eastAsia="Times New Roman" w:hAnsi="Times New Roman" w:cs="Times New Roman"/>
                <w:noProof/>
                <w:color w:val="006100"/>
                <w:sz w:val="18"/>
                <w:szCs w:val="18"/>
                <w:lang w:eastAsia="en-GB"/>
              </w:rPr>
            </w:pPr>
            <w:r w:rsidRPr="00D1795B">
              <w:rPr>
                <w:rFonts w:ascii="Times New Roman" w:eastAsia="Times New Roman" w:hAnsi="Times New Roman" w:cs="Times New Roman"/>
                <w:noProof/>
                <w:color w:val="000000" w:themeColor="text1"/>
                <w:sz w:val="18"/>
                <w:szCs w:val="18"/>
              </w:rPr>
              <w:t>Added value of tourism</w:t>
            </w:r>
            <w:r w:rsidRPr="00D1795B">
              <w:rPr>
                <w:rFonts w:ascii="Times New Roman" w:eastAsia="Times New Roman" w:hAnsi="Times New Roman" w:cs="Times New Roman"/>
                <w:noProof/>
                <w:sz w:val="18"/>
                <w:szCs w:val="18"/>
              </w:rPr>
              <w:t xml:space="preserve"> </w:t>
            </w:r>
          </w:p>
        </w:tc>
        <w:tc>
          <w:tcPr>
            <w:tcW w:w="1134" w:type="dxa"/>
            <w:shd w:val="clear" w:color="auto" w:fill="C6EFCE"/>
            <w:noWrap/>
          </w:tcPr>
          <w:p w14:paraId="1887F3F8" w14:textId="77777777" w:rsidR="00C02B59" w:rsidRPr="00D1795B" w:rsidRDefault="00C02B59" w:rsidP="00C02B59">
            <w:pPr>
              <w:spacing w:after="0"/>
              <w:jc w:val="center"/>
              <w:rPr>
                <w:rFonts w:ascii="Times New Roman" w:hAnsi="Times New Roman" w:cs="Times New Roman"/>
                <w:noProof/>
                <w:color w:val="006100"/>
                <w:sz w:val="18"/>
                <w:szCs w:val="18"/>
              </w:rPr>
            </w:pPr>
            <w:r w:rsidRPr="00D1795B">
              <w:rPr>
                <w:rFonts w:ascii="Times New Roman" w:eastAsia="Calibri" w:hAnsi="Times New Roman" w:cs="Times New Roman"/>
                <w:noProof/>
                <w:sz w:val="18"/>
                <w:szCs w:val="18"/>
              </w:rPr>
              <w:t>Milestone</w:t>
            </w:r>
          </w:p>
        </w:tc>
        <w:tc>
          <w:tcPr>
            <w:tcW w:w="3261" w:type="dxa"/>
            <w:shd w:val="clear" w:color="auto" w:fill="C6EFCE"/>
            <w:noWrap/>
          </w:tcPr>
          <w:p w14:paraId="1887F3F9" w14:textId="77777777" w:rsidR="00C02B59" w:rsidRPr="00D1795B" w:rsidRDefault="00C02B59" w:rsidP="00C02B59">
            <w:pPr>
              <w:spacing w:after="0"/>
              <w:jc w:val="both"/>
              <w:rPr>
                <w:rFonts w:ascii="Times New Roman" w:hAnsi="Times New Roman" w:cs="Times New Roman"/>
                <w:noProof/>
                <w:color w:val="006100"/>
                <w:sz w:val="18"/>
                <w:szCs w:val="18"/>
              </w:rPr>
            </w:pPr>
            <w:r w:rsidRPr="00D1795B">
              <w:rPr>
                <w:rFonts w:ascii="Times New Roman" w:eastAsia="Calibri" w:hAnsi="Times New Roman" w:cs="Times New Roman"/>
                <w:noProof/>
                <w:sz w:val="18"/>
                <w:szCs w:val="18"/>
              </w:rPr>
              <w:t>Renovation works and equipment for Filoxenia Conference Centre</w:t>
            </w:r>
          </w:p>
        </w:tc>
      </w:tr>
      <w:tr w:rsidR="00C02B59" w:rsidRPr="00D1795B" w14:paraId="1887F401" w14:textId="77777777" w:rsidTr="00175C28">
        <w:trPr>
          <w:cantSplit/>
          <w:trHeight w:val="302"/>
          <w:jc w:val="center"/>
        </w:trPr>
        <w:tc>
          <w:tcPr>
            <w:tcW w:w="1726" w:type="dxa"/>
            <w:shd w:val="clear" w:color="auto" w:fill="C6EFCE"/>
            <w:noWrap/>
            <w:vAlign w:val="bottom"/>
          </w:tcPr>
          <w:p w14:paraId="1887F3FB" w14:textId="77777777" w:rsidR="00C02B59" w:rsidRPr="00D1795B" w:rsidRDefault="00C02B59" w:rsidP="00C02B59">
            <w:pPr>
              <w:spacing w:after="0"/>
              <w:jc w:val="center"/>
              <w:rPr>
                <w:rFonts w:ascii="Times New Roman" w:eastAsia="Times New Roman" w:hAnsi="Times New Roman" w:cs="Times New Roman"/>
                <w:noProof/>
                <w:sz w:val="18"/>
                <w:szCs w:val="18"/>
                <w:lang w:eastAsia="en-GB"/>
              </w:rPr>
            </w:pPr>
            <w:r w:rsidRPr="00D1795B">
              <w:rPr>
                <w:rFonts w:ascii="Times New Roman" w:eastAsia="Times New Roman" w:hAnsi="Times New Roman" w:cs="Times New Roman"/>
                <w:noProof/>
                <w:sz w:val="18"/>
                <w:szCs w:val="18"/>
                <w:lang w:eastAsia="en-GB"/>
              </w:rPr>
              <w:t>191a</w:t>
            </w:r>
          </w:p>
        </w:tc>
        <w:tc>
          <w:tcPr>
            <w:tcW w:w="3939" w:type="dxa"/>
            <w:shd w:val="clear" w:color="auto" w:fill="C6EFCE"/>
            <w:noWrap/>
            <w:vAlign w:val="bottom"/>
          </w:tcPr>
          <w:p w14:paraId="1887F3FC" w14:textId="77777777" w:rsidR="00C02B59" w:rsidRPr="00D1795B" w:rsidRDefault="00C02B59" w:rsidP="00C02B59">
            <w:pPr>
              <w:spacing w:after="0"/>
              <w:rPr>
                <w:rFonts w:ascii="Times New Roman" w:eastAsia="Times New Roman" w:hAnsi="Times New Roman" w:cs="Times New Roman"/>
                <w:noProof/>
                <w:sz w:val="18"/>
                <w:szCs w:val="18"/>
                <w:lang w:eastAsia="en-GB"/>
              </w:rPr>
            </w:pPr>
            <w:r w:rsidRPr="00D1795B">
              <w:rPr>
                <w:rFonts w:ascii="Times New Roman" w:eastAsia="Times New Roman" w:hAnsi="Times New Roman" w:cs="Times New Roman"/>
                <w:noProof/>
                <w:sz w:val="18"/>
                <w:szCs w:val="18"/>
                <w:lang w:eastAsia="en-GB"/>
              </w:rPr>
              <w:t>C3.5R11</w:t>
            </w:r>
          </w:p>
          <w:p w14:paraId="1887F3FD" w14:textId="77777777" w:rsidR="00C02B59" w:rsidRPr="00D1795B" w:rsidRDefault="00C02B59" w:rsidP="00C02B59">
            <w:pPr>
              <w:spacing w:after="0" w:line="240" w:lineRule="auto"/>
              <w:rPr>
                <w:rFonts w:ascii="Times New Roman" w:eastAsia="Times New Roman" w:hAnsi="Times New Roman" w:cs="Times New Roman"/>
                <w:noProof/>
                <w:sz w:val="18"/>
                <w:szCs w:val="18"/>
                <w:lang w:eastAsia="en-IE"/>
              </w:rPr>
            </w:pPr>
            <w:r w:rsidRPr="00D1795B">
              <w:rPr>
                <w:rFonts w:ascii="Times New Roman" w:eastAsia="Times New Roman" w:hAnsi="Times New Roman" w:cs="Times New Roman"/>
                <w:noProof/>
                <w:sz w:val="18"/>
                <w:szCs w:val="18"/>
              </w:rPr>
              <w:t xml:space="preserve">Legal framework for a National Sanctions Implementation Unit </w:t>
            </w:r>
          </w:p>
          <w:p w14:paraId="1887F3FE" w14:textId="77777777" w:rsidR="00C02B59" w:rsidRPr="00D1795B" w:rsidRDefault="00C02B59" w:rsidP="00C02B59">
            <w:pPr>
              <w:spacing w:after="0"/>
              <w:rPr>
                <w:rFonts w:ascii="Times New Roman" w:eastAsia="Times New Roman" w:hAnsi="Times New Roman" w:cs="Times New Roman"/>
                <w:noProof/>
                <w:sz w:val="18"/>
                <w:szCs w:val="18"/>
                <w:lang w:eastAsia="en-GB"/>
              </w:rPr>
            </w:pPr>
          </w:p>
        </w:tc>
        <w:tc>
          <w:tcPr>
            <w:tcW w:w="1134" w:type="dxa"/>
            <w:shd w:val="clear" w:color="auto" w:fill="C6EFCE"/>
            <w:noWrap/>
            <w:vAlign w:val="bottom"/>
          </w:tcPr>
          <w:p w14:paraId="1887F3FF"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3261" w:type="dxa"/>
            <w:shd w:val="clear" w:color="auto" w:fill="C6EFCE"/>
            <w:noWrap/>
            <w:vAlign w:val="bottom"/>
          </w:tcPr>
          <w:p w14:paraId="1887F400" w14:textId="77777777" w:rsidR="00C02B59" w:rsidRPr="00D1795B" w:rsidRDefault="00C02B59" w:rsidP="00C02B59">
            <w:pPr>
              <w:spacing w:after="0" w:line="240" w:lineRule="auto"/>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Legal framework for a National Sanctions Implementation Unit </w:t>
            </w:r>
          </w:p>
        </w:tc>
      </w:tr>
      <w:tr w:rsidR="00C02B59" w:rsidRPr="00D1795B" w14:paraId="1887F406" w14:textId="77777777" w:rsidTr="00175C28">
        <w:trPr>
          <w:cantSplit/>
          <w:trHeight w:val="302"/>
          <w:jc w:val="center"/>
        </w:trPr>
        <w:tc>
          <w:tcPr>
            <w:tcW w:w="1726" w:type="dxa"/>
            <w:shd w:val="clear" w:color="auto" w:fill="C6EFCE"/>
            <w:noWrap/>
            <w:vAlign w:val="bottom"/>
          </w:tcPr>
          <w:p w14:paraId="1887F402" w14:textId="77777777" w:rsidR="00C02B59" w:rsidRPr="00D1795B" w:rsidRDefault="00C02B59" w:rsidP="00C02B59">
            <w:pPr>
              <w:spacing w:after="0"/>
              <w:jc w:val="center"/>
              <w:rPr>
                <w:rFonts w:ascii="Times New Roman" w:eastAsia="Times New Roman" w:hAnsi="Times New Roman" w:cs="Times New Roman"/>
                <w:noProof/>
                <w:color w:val="006100"/>
                <w:sz w:val="18"/>
                <w:szCs w:val="18"/>
                <w:lang w:eastAsia="en-GB"/>
              </w:rPr>
            </w:pPr>
          </w:p>
        </w:tc>
        <w:tc>
          <w:tcPr>
            <w:tcW w:w="3939" w:type="dxa"/>
            <w:shd w:val="clear" w:color="auto" w:fill="C6EFCE"/>
            <w:noWrap/>
            <w:vAlign w:val="bottom"/>
          </w:tcPr>
          <w:p w14:paraId="1887F403" w14:textId="77777777" w:rsidR="00C02B59" w:rsidRPr="00D1795B" w:rsidRDefault="00C02B59" w:rsidP="00C02B59">
            <w:pPr>
              <w:spacing w:after="0"/>
              <w:rPr>
                <w:rFonts w:ascii="Times New Roman" w:eastAsia="Times New Roman" w:hAnsi="Times New Roman" w:cs="Times New Roman"/>
                <w:noProof/>
                <w:color w:val="006100"/>
                <w:sz w:val="18"/>
                <w:szCs w:val="18"/>
                <w:lang w:eastAsia="en-GB"/>
              </w:rPr>
            </w:pPr>
          </w:p>
        </w:tc>
        <w:tc>
          <w:tcPr>
            <w:tcW w:w="1134" w:type="dxa"/>
            <w:shd w:val="clear" w:color="auto" w:fill="C6EFCE"/>
            <w:noWrap/>
            <w:vAlign w:val="bottom"/>
            <w:hideMark/>
          </w:tcPr>
          <w:p w14:paraId="1887F404"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color w:val="006100"/>
                <w:sz w:val="18"/>
                <w:szCs w:val="18"/>
              </w:rPr>
              <w:t>Instalment Amount</w:t>
            </w:r>
          </w:p>
        </w:tc>
        <w:tc>
          <w:tcPr>
            <w:tcW w:w="3261" w:type="dxa"/>
            <w:shd w:val="clear" w:color="auto" w:fill="C6EFCE"/>
            <w:noWrap/>
            <w:vAlign w:val="bottom"/>
            <w:hideMark/>
          </w:tcPr>
          <w:p w14:paraId="1887F405" w14:textId="77777777" w:rsidR="00C02B59" w:rsidRPr="00D1795B" w:rsidRDefault="00C02B59" w:rsidP="00C02B59">
            <w:pPr>
              <w:spacing w:after="0"/>
              <w:rPr>
                <w:rFonts w:ascii="Times New Roman" w:eastAsia="Times New Roman" w:hAnsi="Times New Roman" w:cs="Times New Roman"/>
                <w:noProof/>
                <w:color w:val="006100"/>
                <w:sz w:val="18"/>
                <w:szCs w:val="18"/>
              </w:rPr>
            </w:pPr>
            <w:r w:rsidRPr="00D1795B">
              <w:rPr>
                <w:rFonts w:ascii="Times New Roman" w:hAnsi="Times New Roman" w:cs="Times New Roman"/>
                <w:noProof/>
                <w:color w:val="006100"/>
                <w:sz w:val="18"/>
                <w:szCs w:val="18"/>
              </w:rPr>
              <w:t>EUR 125 604 020</w:t>
            </w:r>
          </w:p>
        </w:tc>
      </w:tr>
    </w:tbl>
    <w:p w14:paraId="1887F407" w14:textId="77777777" w:rsidR="00C02B59" w:rsidRPr="00D1795B" w:rsidRDefault="00C02B59" w:rsidP="00C02B59">
      <w:pPr>
        <w:rPr>
          <w:noProof/>
        </w:rPr>
        <w:sectPr w:rsidR="00C02B59" w:rsidRPr="00D1795B" w:rsidSect="00C02B59">
          <w:headerReference w:type="even" r:id="rId215"/>
          <w:headerReference w:type="default" r:id="rId216"/>
          <w:footerReference w:type="even" r:id="rId217"/>
          <w:footerReference w:type="default" r:id="rId218"/>
          <w:headerReference w:type="first" r:id="rId219"/>
          <w:footerReference w:type="first" r:id="rId220"/>
          <w:pgSz w:w="11907" w:h="16839"/>
          <w:pgMar w:top="1134" w:right="1134" w:bottom="1134" w:left="1134" w:header="567" w:footer="567" w:gutter="0"/>
          <w:cols w:space="720"/>
          <w:docGrid w:linePitch="360"/>
        </w:sectPr>
      </w:pPr>
    </w:p>
    <w:p w14:paraId="1887F408" w14:textId="77777777" w:rsidR="00C02B59" w:rsidRPr="00D1795B" w:rsidRDefault="00C02B59" w:rsidP="00C02B59">
      <w:pPr>
        <w:pStyle w:val="NumPar2"/>
        <w:tabs>
          <w:tab w:val="num" w:pos="850"/>
        </w:tabs>
        <w:ind w:left="850" w:hanging="850"/>
        <w:rPr>
          <w:noProof/>
          <w:lang w:val="en-GB"/>
        </w:rPr>
      </w:pPr>
      <w:r w:rsidRPr="00D1795B">
        <w:rPr>
          <w:noProof/>
          <w:lang w:val="en-GB"/>
        </w:rPr>
        <w:t xml:space="preserve">Ninth Instalment (non-repayable support): </w:t>
      </w: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3324"/>
        <w:gridCol w:w="1607"/>
        <w:gridCol w:w="3525"/>
      </w:tblGrid>
      <w:tr w:rsidR="00C02B59" w:rsidRPr="00D1795B" w14:paraId="1887F40D" w14:textId="77777777" w:rsidTr="00C02B59">
        <w:trPr>
          <w:cantSplit/>
          <w:trHeight w:val="509"/>
          <w:tblHeader/>
          <w:jc w:val="center"/>
        </w:trPr>
        <w:tc>
          <w:tcPr>
            <w:tcW w:w="1177" w:type="dxa"/>
            <w:vMerge w:val="restart"/>
            <w:shd w:val="clear" w:color="auto" w:fill="BDD7EE"/>
            <w:vAlign w:val="center"/>
            <w:hideMark/>
          </w:tcPr>
          <w:p w14:paraId="1887F409"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Sequential Number</w:t>
            </w:r>
          </w:p>
        </w:tc>
        <w:tc>
          <w:tcPr>
            <w:tcW w:w="3301" w:type="dxa"/>
            <w:vMerge w:val="restart"/>
            <w:shd w:val="clear" w:color="auto" w:fill="BDD7EE"/>
            <w:vAlign w:val="center"/>
            <w:hideMark/>
          </w:tcPr>
          <w:p w14:paraId="1887F40A"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Related Measure (Reform or Investment)</w:t>
            </w:r>
          </w:p>
        </w:tc>
        <w:tc>
          <w:tcPr>
            <w:tcW w:w="1613" w:type="dxa"/>
            <w:vMerge w:val="restart"/>
            <w:shd w:val="clear" w:color="auto" w:fill="BDD7EE"/>
            <w:vAlign w:val="center"/>
            <w:hideMark/>
          </w:tcPr>
          <w:p w14:paraId="1887F40B"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Milestone/Target</w:t>
            </w:r>
          </w:p>
        </w:tc>
        <w:tc>
          <w:tcPr>
            <w:tcW w:w="3538" w:type="dxa"/>
            <w:vMerge w:val="restart"/>
            <w:shd w:val="clear" w:color="auto" w:fill="BDD7EE"/>
            <w:vAlign w:val="center"/>
            <w:hideMark/>
          </w:tcPr>
          <w:p w14:paraId="1887F40C" w14:textId="77777777" w:rsidR="00C02B59" w:rsidRPr="00D1795B" w:rsidRDefault="00C02B59" w:rsidP="00C02B59">
            <w:pPr>
              <w:spacing w:after="0"/>
              <w:jc w:val="center"/>
              <w:rPr>
                <w:rFonts w:ascii="Times New Roman" w:eastAsia="Times New Roman" w:hAnsi="Times New Roman" w:cs="Times New Roman"/>
                <w:b/>
                <w:noProof/>
                <w:sz w:val="18"/>
                <w:szCs w:val="18"/>
              </w:rPr>
            </w:pPr>
            <w:r w:rsidRPr="00D1795B">
              <w:rPr>
                <w:rFonts w:ascii="Times New Roman" w:hAnsi="Times New Roman" w:cs="Times New Roman"/>
                <w:b/>
                <w:noProof/>
                <w:sz w:val="18"/>
                <w:szCs w:val="18"/>
              </w:rPr>
              <w:t>Name</w:t>
            </w:r>
          </w:p>
        </w:tc>
      </w:tr>
      <w:tr w:rsidR="00C02B59" w:rsidRPr="00D1795B" w14:paraId="1887F412" w14:textId="77777777" w:rsidTr="00C02B59">
        <w:trPr>
          <w:cantSplit/>
          <w:trHeight w:val="509"/>
          <w:tblHeader/>
          <w:jc w:val="center"/>
        </w:trPr>
        <w:tc>
          <w:tcPr>
            <w:tcW w:w="1177" w:type="dxa"/>
            <w:vMerge/>
            <w:vAlign w:val="center"/>
            <w:hideMark/>
          </w:tcPr>
          <w:p w14:paraId="1887F40E"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3301" w:type="dxa"/>
            <w:vMerge/>
            <w:vAlign w:val="center"/>
            <w:hideMark/>
          </w:tcPr>
          <w:p w14:paraId="1887F40F" w14:textId="77777777" w:rsidR="00C02B59" w:rsidRPr="00D1795B" w:rsidRDefault="00C02B59" w:rsidP="00C02B59">
            <w:pPr>
              <w:spacing w:after="0"/>
              <w:rPr>
                <w:rFonts w:ascii="Times New Roman" w:eastAsia="Times New Roman" w:hAnsi="Times New Roman" w:cs="Times New Roman"/>
                <w:b/>
                <w:noProof/>
                <w:sz w:val="18"/>
                <w:szCs w:val="18"/>
                <w:lang w:eastAsia="en-GB"/>
              </w:rPr>
            </w:pPr>
          </w:p>
        </w:tc>
        <w:tc>
          <w:tcPr>
            <w:tcW w:w="1613" w:type="dxa"/>
            <w:vMerge/>
            <w:vAlign w:val="center"/>
            <w:hideMark/>
          </w:tcPr>
          <w:p w14:paraId="1887F410" w14:textId="77777777" w:rsidR="00C02B59" w:rsidRPr="00D1795B" w:rsidRDefault="00C02B59" w:rsidP="00C02B59">
            <w:pPr>
              <w:spacing w:after="0"/>
              <w:jc w:val="center"/>
              <w:rPr>
                <w:rFonts w:ascii="Times New Roman" w:eastAsia="Times New Roman" w:hAnsi="Times New Roman" w:cs="Times New Roman"/>
                <w:b/>
                <w:noProof/>
                <w:sz w:val="18"/>
                <w:szCs w:val="18"/>
                <w:lang w:eastAsia="en-GB"/>
              </w:rPr>
            </w:pPr>
          </w:p>
        </w:tc>
        <w:tc>
          <w:tcPr>
            <w:tcW w:w="3538" w:type="dxa"/>
            <w:vMerge/>
            <w:vAlign w:val="center"/>
            <w:hideMark/>
          </w:tcPr>
          <w:p w14:paraId="1887F411" w14:textId="77777777" w:rsidR="00C02B59" w:rsidRPr="00D1795B" w:rsidRDefault="00C02B59" w:rsidP="00C02B59">
            <w:pPr>
              <w:spacing w:after="0"/>
              <w:jc w:val="both"/>
              <w:rPr>
                <w:rFonts w:ascii="Times New Roman" w:eastAsia="Times New Roman" w:hAnsi="Times New Roman" w:cs="Times New Roman"/>
                <w:b/>
                <w:noProof/>
                <w:sz w:val="18"/>
                <w:szCs w:val="18"/>
                <w:lang w:eastAsia="en-GB"/>
              </w:rPr>
            </w:pPr>
          </w:p>
        </w:tc>
      </w:tr>
      <w:tr w:rsidR="00C02B59" w:rsidRPr="00D1795B" w14:paraId="1887F418" w14:textId="77777777" w:rsidTr="00C02B59">
        <w:trPr>
          <w:cantSplit/>
          <w:trHeight w:val="302"/>
          <w:jc w:val="center"/>
        </w:trPr>
        <w:tc>
          <w:tcPr>
            <w:tcW w:w="1177" w:type="dxa"/>
            <w:shd w:val="clear" w:color="auto" w:fill="C6EFCE"/>
            <w:noWrap/>
          </w:tcPr>
          <w:p w14:paraId="1887F413"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12</w:t>
            </w:r>
          </w:p>
        </w:tc>
        <w:tc>
          <w:tcPr>
            <w:tcW w:w="3301" w:type="dxa"/>
            <w:shd w:val="clear" w:color="auto" w:fill="C6EFCE"/>
            <w:noWrap/>
          </w:tcPr>
          <w:p w14:paraId="1887F414"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C1.1I4</w:t>
            </w:r>
          </w:p>
          <w:p w14:paraId="1887F41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Accreditation of health institutions</w:t>
            </w:r>
            <w:r w:rsidRPr="00D1795B">
              <w:rPr>
                <w:rFonts w:ascii="Times New Roman" w:hAnsi="Times New Roman" w:cs="Times New Roman"/>
                <w:noProof/>
                <w:sz w:val="18"/>
                <w:szCs w:val="18"/>
              </w:rPr>
              <w:t xml:space="preserve"> </w:t>
            </w:r>
          </w:p>
        </w:tc>
        <w:tc>
          <w:tcPr>
            <w:tcW w:w="1613" w:type="dxa"/>
            <w:shd w:val="clear" w:color="auto" w:fill="C6EFCE"/>
            <w:noWrap/>
          </w:tcPr>
          <w:p w14:paraId="1887F416"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17"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Health institutions have received financial support for their accreditation</w:t>
            </w:r>
          </w:p>
        </w:tc>
      </w:tr>
      <w:tr w:rsidR="00C02B59" w:rsidRPr="00D1795B" w14:paraId="1887F41E" w14:textId="77777777" w:rsidTr="00C02B59">
        <w:trPr>
          <w:cantSplit/>
          <w:trHeight w:val="302"/>
          <w:jc w:val="center"/>
        </w:trPr>
        <w:tc>
          <w:tcPr>
            <w:tcW w:w="1177" w:type="dxa"/>
            <w:shd w:val="clear" w:color="auto" w:fill="C6EFCE"/>
            <w:noWrap/>
          </w:tcPr>
          <w:p w14:paraId="1887F419"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19</w:t>
            </w:r>
          </w:p>
        </w:tc>
        <w:tc>
          <w:tcPr>
            <w:tcW w:w="3301" w:type="dxa"/>
            <w:shd w:val="clear" w:color="auto" w:fill="C6EFCE"/>
            <w:noWrap/>
          </w:tcPr>
          <w:p w14:paraId="1887F41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C2.1R1</w:t>
            </w:r>
          </w:p>
          <w:p w14:paraId="1887F41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Green Taxation </w:t>
            </w:r>
          </w:p>
        </w:tc>
        <w:tc>
          <w:tcPr>
            <w:tcW w:w="1613" w:type="dxa"/>
            <w:shd w:val="clear" w:color="auto" w:fill="C6EFCE"/>
            <w:noWrap/>
          </w:tcPr>
          <w:p w14:paraId="1887F41C"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3538" w:type="dxa"/>
            <w:shd w:val="clear" w:color="auto" w:fill="C6EFCE"/>
            <w:noWrap/>
          </w:tcPr>
          <w:p w14:paraId="1887F41D" w14:textId="77777777" w:rsidR="00C02B59" w:rsidRPr="00D1795B" w:rsidRDefault="00C02B59" w:rsidP="00C02B59">
            <w:pPr>
              <w:spacing w:after="0"/>
              <w:jc w:val="both"/>
              <w:rPr>
                <w:rFonts w:ascii="Times New Roman" w:eastAsia="Times New Roman" w:hAnsi="Times New Roman" w:cs="Times New Roman"/>
                <w:noProof/>
                <w:color w:val="000000" w:themeColor="text1"/>
                <w:sz w:val="18"/>
                <w:szCs w:val="18"/>
              </w:rPr>
            </w:pPr>
            <w:r w:rsidRPr="00D1795B">
              <w:rPr>
                <w:rFonts w:ascii="Times New Roman" w:hAnsi="Times New Roman" w:cs="Times New Roman"/>
                <w:noProof/>
                <w:sz w:val="18"/>
                <w:szCs w:val="18"/>
              </w:rPr>
              <w:t>Entry into force of legal acts introducing a carbon tax on transport fuels, an increase of existing water fees, a charge on the landfill of municipal waste, and tax incentives for enterprises and individuals.</w:t>
            </w:r>
          </w:p>
        </w:tc>
      </w:tr>
      <w:tr w:rsidR="00C02B59" w:rsidRPr="00D1795B" w14:paraId="1887F424" w14:textId="77777777" w:rsidTr="00C02B59">
        <w:trPr>
          <w:cantSplit/>
          <w:trHeight w:val="302"/>
          <w:jc w:val="center"/>
        </w:trPr>
        <w:tc>
          <w:tcPr>
            <w:tcW w:w="1177" w:type="dxa"/>
            <w:shd w:val="clear" w:color="auto" w:fill="C6EFCE"/>
            <w:noWrap/>
          </w:tcPr>
          <w:p w14:paraId="1887F41F" w14:textId="77777777" w:rsidR="00C02B59" w:rsidRPr="00D1795B" w:rsidDel="5562373A"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32c</w:t>
            </w:r>
          </w:p>
        </w:tc>
        <w:tc>
          <w:tcPr>
            <w:tcW w:w="3301" w:type="dxa"/>
            <w:shd w:val="clear" w:color="auto" w:fill="C6EFCE"/>
            <w:noWrap/>
          </w:tcPr>
          <w:p w14:paraId="1887F42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C2.1I3</w:t>
            </w:r>
          </w:p>
          <w:p w14:paraId="1887F421" w14:textId="77777777" w:rsidR="00C02B59" w:rsidRPr="00D1795B" w:rsidDel="5562373A"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Facilitating the transition of local communities towards climate investments</w:t>
            </w:r>
          </w:p>
        </w:tc>
        <w:tc>
          <w:tcPr>
            <w:tcW w:w="1613" w:type="dxa"/>
            <w:shd w:val="clear" w:color="auto" w:fill="C6EFCE"/>
            <w:noWrap/>
          </w:tcPr>
          <w:p w14:paraId="1887F422" w14:textId="77777777" w:rsidR="00C02B59" w:rsidRPr="00D1795B" w:rsidDel="5562373A"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23" w14:textId="77777777" w:rsidR="00C02B59" w:rsidRPr="00D1795B" w:rsidDel="5562373A"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Grant scheme to support sustainable climate adaptation investments</w:t>
            </w:r>
          </w:p>
        </w:tc>
      </w:tr>
      <w:tr w:rsidR="00C02B59" w:rsidRPr="00D1795B" w14:paraId="1887F42A" w14:textId="77777777" w:rsidTr="00C02B59">
        <w:trPr>
          <w:cantSplit/>
          <w:trHeight w:val="302"/>
          <w:jc w:val="center"/>
        </w:trPr>
        <w:tc>
          <w:tcPr>
            <w:tcW w:w="1177" w:type="dxa"/>
            <w:shd w:val="clear" w:color="auto" w:fill="C6EFCE"/>
            <w:noWrap/>
          </w:tcPr>
          <w:p w14:paraId="1887F425"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42</w:t>
            </w:r>
          </w:p>
        </w:tc>
        <w:tc>
          <w:tcPr>
            <w:tcW w:w="3301" w:type="dxa"/>
            <w:shd w:val="clear" w:color="auto" w:fill="C6EFCE"/>
            <w:noWrap/>
          </w:tcPr>
          <w:p w14:paraId="1887F42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C2.1I7</w:t>
            </w:r>
          </w:p>
          <w:p w14:paraId="1887F42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Mass installation by the Distribution System Operator (DSO) of Smart Metering Infrastructure (Advanced Metering Infrastructure)</w:t>
            </w:r>
          </w:p>
        </w:tc>
        <w:tc>
          <w:tcPr>
            <w:tcW w:w="1613" w:type="dxa"/>
            <w:shd w:val="clear" w:color="auto" w:fill="C6EFCE"/>
            <w:noWrap/>
          </w:tcPr>
          <w:p w14:paraId="1887F428"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29"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 Acceptance and installation of smart meters</w:t>
            </w:r>
          </w:p>
        </w:tc>
      </w:tr>
      <w:tr w:rsidR="00C02B59" w:rsidRPr="00D1795B" w14:paraId="1887F430" w14:textId="77777777" w:rsidTr="00C02B59">
        <w:trPr>
          <w:cantSplit/>
          <w:trHeight w:val="302"/>
          <w:jc w:val="center"/>
        </w:trPr>
        <w:tc>
          <w:tcPr>
            <w:tcW w:w="1177" w:type="dxa"/>
            <w:shd w:val="clear" w:color="auto" w:fill="C6EFCE"/>
            <w:noWrap/>
          </w:tcPr>
          <w:p w14:paraId="1887F42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47</w:t>
            </w:r>
          </w:p>
        </w:tc>
        <w:tc>
          <w:tcPr>
            <w:tcW w:w="3301" w:type="dxa"/>
            <w:shd w:val="clear" w:color="auto" w:fill="C6EFCE"/>
            <w:noWrap/>
          </w:tcPr>
          <w:p w14:paraId="1887F42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C2.1I9</w:t>
            </w:r>
          </w:p>
          <w:p w14:paraId="1887F42D"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Fire protection</w:t>
            </w:r>
          </w:p>
        </w:tc>
        <w:tc>
          <w:tcPr>
            <w:tcW w:w="1613" w:type="dxa"/>
            <w:shd w:val="clear" w:color="auto" w:fill="C6EFCE"/>
            <w:noWrap/>
          </w:tcPr>
          <w:p w14:paraId="1887F42E"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38" w:type="dxa"/>
            <w:shd w:val="clear" w:color="auto" w:fill="C6EFCE"/>
            <w:noWrap/>
          </w:tcPr>
          <w:p w14:paraId="1887F42F"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Acceptance of firefighting aircraft vehicles and equipment</w:t>
            </w:r>
          </w:p>
        </w:tc>
      </w:tr>
      <w:tr w:rsidR="00C02B59" w:rsidRPr="00D1795B" w14:paraId="1887F436" w14:textId="77777777" w:rsidTr="00C02B59">
        <w:trPr>
          <w:cantSplit/>
          <w:trHeight w:val="302"/>
          <w:jc w:val="center"/>
        </w:trPr>
        <w:tc>
          <w:tcPr>
            <w:tcW w:w="1177" w:type="dxa"/>
            <w:shd w:val="clear" w:color="auto" w:fill="C6EFCE"/>
            <w:noWrap/>
          </w:tcPr>
          <w:p w14:paraId="1887F43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61</w:t>
            </w:r>
          </w:p>
        </w:tc>
        <w:tc>
          <w:tcPr>
            <w:tcW w:w="3301" w:type="dxa"/>
            <w:shd w:val="clear" w:color="auto" w:fill="C6EFCE"/>
            <w:noWrap/>
          </w:tcPr>
          <w:p w14:paraId="1887F432"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C2.2I2</w:t>
            </w:r>
          </w:p>
          <w:p w14:paraId="1887F433"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Creation of electro-mobility infrastructure</w:t>
            </w:r>
          </w:p>
        </w:tc>
        <w:tc>
          <w:tcPr>
            <w:tcW w:w="1613" w:type="dxa"/>
            <w:shd w:val="clear" w:color="auto" w:fill="C6EFCE"/>
            <w:noWrap/>
          </w:tcPr>
          <w:p w14:paraId="1887F434"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35" w14:textId="77777777" w:rsidR="00C02B59" w:rsidRPr="00D1795B" w:rsidRDefault="00C02B59" w:rsidP="00C02B59">
            <w:pPr>
              <w:spacing w:after="0" w:line="240" w:lineRule="auto"/>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 xml:space="preserve">Installation or delivery of charging points </w:t>
            </w:r>
          </w:p>
        </w:tc>
      </w:tr>
      <w:tr w:rsidR="00C02B59" w:rsidRPr="00D1795B" w14:paraId="1887F43C" w14:textId="77777777" w:rsidTr="00C02B59">
        <w:trPr>
          <w:cantSplit/>
          <w:trHeight w:val="302"/>
          <w:jc w:val="center"/>
        </w:trPr>
        <w:tc>
          <w:tcPr>
            <w:tcW w:w="1177" w:type="dxa"/>
            <w:shd w:val="clear" w:color="auto" w:fill="C6EFCE"/>
            <w:noWrap/>
          </w:tcPr>
          <w:p w14:paraId="1887F437"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63a</w:t>
            </w:r>
          </w:p>
        </w:tc>
        <w:tc>
          <w:tcPr>
            <w:tcW w:w="3301" w:type="dxa"/>
            <w:shd w:val="clear" w:color="auto" w:fill="C6EFCE"/>
            <w:noWrap/>
          </w:tcPr>
          <w:p w14:paraId="1887F438"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C2.2I3</w:t>
            </w:r>
          </w:p>
          <w:p w14:paraId="1887F439"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Advance the use of Electric Vehicles (EVs)</w:t>
            </w:r>
          </w:p>
        </w:tc>
        <w:tc>
          <w:tcPr>
            <w:tcW w:w="1613" w:type="dxa"/>
            <w:shd w:val="clear" w:color="auto" w:fill="C6EFCE"/>
            <w:noWrap/>
          </w:tcPr>
          <w:p w14:paraId="1887F43A"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3B" w14:textId="77777777" w:rsidR="00C02B59" w:rsidRPr="00D1795B" w:rsidRDefault="00C02B59" w:rsidP="00C02B59">
            <w:pPr>
              <w:spacing w:after="0" w:line="240" w:lineRule="auto"/>
              <w:jc w:val="both"/>
              <w:rPr>
                <w:rFonts w:ascii="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Purchase and registration of electric vehicles and electric bicycles</w:t>
            </w:r>
          </w:p>
        </w:tc>
      </w:tr>
      <w:tr w:rsidR="00C02B59" w:rsidRPr="00D1795B" w14:paraId="1887F442" w14:textId="77777777" w:rsidTr="00C02B59">
        <w:trPr>
          <w:cantSplit/>
          <w:trHeight w:val="302"/>
          <w:jc w:val="center"/>
        </w:trPr>
        <w:tc>
          <w:tcPr>
            <w:tcW w:w="1177" w:type="dxa"/>
            <w:shd w:val="clear" w:color="auto" w:fill="C6EFCE"/>
            <w:noWrap/>
          </w:tcPr>
          <w:p w14:paraId="1887F43D"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65</w:t>
            </w:r>
          </w:p>
        </w:tc>
        <w:tc>
          <w:tcPr>
            <w:tcW w:w="3301" w:type="dxa"/>
            <w:shd w:val="clear" w:color="auto" w:fill="C6EFCE"/>
            <w:noWrap/>
          </w:tcPr>
          <w:p w14:paraId="1887F43E"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C2.2I3</w:t>
            </w:r>
          </w:p>
          <w:p w14:paraId="1887F43F"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Advance the use of Electric Vehicles (EVs)</w:t>
            </w:r>
          </w:p>
        </w:tc>
        <w:tc>
          <w:tcPr>
            <w:tcW w:w="1613" w:type="dxa"/>
            <w:shd w:val="clear" w:color="auto" w:fill="C6EFCE"/>
            <w:noWrap/>
          </w:tcPr>
          <w:p w14:paraId="1887F440"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41"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eastAsia="Times New Roman" w:hAnsi="Times New Roman" w:cs="Times New Roman"/>
                <w:noProof/>
                <w:color w:val="000000" w:themeColor="text1"/>
                <w:sz w:val="18"/>
                <w:szCs w:val="18"/>
              </w:rPr>
              <w:t>Scrapping of high emission vehicles</w:t>
            </w:r>
          </w:p>
        </w:tc>
      </w:tr>
      <w:tr w:rsidR="00C02B59" w:rsidRPr="00D1795B" w14:paraId="1887F448" w14:textId="77777777" w:rsidTr="00C02B59">
        <w:trPr>
          <w:cantSplit/>
          <w:trHeight w:val="302"/>
          <w:jc w:val="center"/>
        </w:trPr>
        <w:tc>
          <w:tcPr>
            <w:tcW w:w="1177" w:type="dxa"/>
            <w:shd w:val="clear" w:color="auto" w:fill="C6EFCE"/>
            <w:noWrap/>
          </w:tcPr>
          <w:p w14:paraId="1887F443"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76b</w:t>
            </w:r>
          </w:p>
        </w:tc>
        <w:tc>
          <w:tcPr>
            <w:tcW w:w="3301" w:type="dxa"/>
            <w:shd w:val="clear" w:color="auto" w:fill="C6EFCE"/>
            <w:noWrap/>
          </w:tcPr>
          <w:p w14:paraId="1887F44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C2.3I4</w:t>
            </w:r>
          </w:p>
          <w:p w14:paraId="1887F44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Smart Water and Sewerage Networks Management</w:t>
            </w:r>
          </w:p>
        </w:tc>
        <w:tc>
          <w:tcPr>
            <w:tcW w:w="1613" w:type="dxa"/>
            <w:shd w:val="clear" w:color="auto" w:fill="C6EFCE"/>
            <w:noWrap/>
          </w:tcPr>
          <w:p w14:paraId="1887F446"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38" w:type="dxa"/>
            <w:shd w:val="clear" w:color="auto" w:fill="C6EFCE"/>
            <w:noWrap/>
          </w:tcPr>
          <w:p w14:paraId="1887F447"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Projects in Larnaca and Limassol</w:t>
            </w:r>
          </w:p>
        </w:tc>
      </w:tr>
      <w:tr w:rsidR="00C02B59" w:rsidRPr="00D1795B" w14:paraId="1887F44E" w14:textId="77777777" w:rsidTr="00C02B59">
        <w:trPr>
          <w:cantSplit/>
          <w:trHeight w:val="302"/>
          <w:jc w:val="center"/>
        </w:trPr>
        <w:tc>
          <w:tcPr>
            <w:tcW w:w="1177" w:type="dxa"/>
            <w:shd w:val="clear" w:color="auto" w:fill="C6EFCE"/>
            <w:noWrap/>
          </w:tcPr>
          <w:p w14:paraId="1887F449"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90</w:t>
            </w:r>
          </w:p>
        </w:tc>
        <w:tc>
          <w:tcPr>
            <w:tcW w:w="3301" w:type="dxa"/>
            <w:shd w:val="clear" w:color="auto" w:fill="C6EFCE"/>
            <w:noWrap/>
          </w:tcPr>
          <w:p w14:paraId="1887F44A"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C3.1R3</w:t>
            </w:r>
          </w:p>
          <w:p w14:paraId="1887F44B"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Genetic improvement of the Cyprus sheep and goat population</w:t>
            </w:r>
          </w:p>
        </w:tc>
        <w:tc>
          <w:tcPr>
            <w:tcW w:w="1613" w:type="dxa"/>
            <w:shd w:val="clear" w:color="auto" w:fill="C6EFCE"/>
            <w:noWrap/>
          </w:tcPr>
          <w:p w14:paraId="1887F44C"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38" w:type="dxa"/>
            <w:shd w:val="clear" w:color="auto" w:fill="C6EFCE"/>
            <w:noWrap/>
          </w:tcPr>
          <w:p w14:paraId="1887F44D"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Genomic identification registered in ARI database.</w:t>
            </w:r>
          </w:p>
        </w:tc>
      </w:tr>
      <w:tr w:rsidR="00C02B59" w:rsidRPr="00D1795B" w14:paraId="1887F454" w14:textId="77777777" w:rsidTr="00C02B59">
        <w:trPr>
          <w:cantSplit/>
          <w:trHeight w:val="302"/>
          <w:jc w:val="center"/>
        </w:trPr>
        <w:tc>
          <w:tcPr>
            <w:tcW w:w="1177" w:type="dxa"/>
            <w:shd w:val="clear" w:color="auto" w:fill="C6EFCE"/>
            <w:noWrap/>
          </w:tcPr>
          <w:p w14:paraId="1887F44F"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99</w:t>
            </w:r>
          </w:p>
        </w:tc>
        <w:tc>
          <w:tcPr>
            <w:tcW w:w="3301" w:type="dxa"/>
            <w:shd w:val="clear" w:color="auto" w:fill="C6EFCE"/>
            <w:noWrap/>
          </w:tcPr>
          <w:p w14:paraId="1887F450"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C3.1I6</w:t>
            </w:r>
          </w:p>
          <w:p w14:paraId="1887F45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Scheme for supporting the production of enterprises in agricultural sector</w:t>
            </w:r>
          </w:p>
        </w:tc>
        <w:tc>
          <w:tcPr>
            <w:tcW w:w="1613" w:type="dxa"/>
            <w:shd w:val="clear" w:color="auto" w:fill="C6EFCE"/>
            <w:noWrap/>
          </w:tcPr>
          <w:p w14:paraId="1887F452"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53"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Grant agreements signed with enterprises in the agricultural sector</w:t>
            </w:r>
          </w:p>
        </w:tc>
      </w:tr>
      <w:tr w:rsidR="00C02B59" w:rsidRPr="00D1795B" w14:paraId="1887F45A" w14:textId="77777777" w:rsidTr="00C02B59">
        <w:trPr>
          <w:cantSplit/>
          <w:trHeight w:val="302"/>
          <w:jc w:val="center"/>
        </w:trPr>
        <w:tc>
          <w:tcPr>
            <w:tcW w:w="1177" w:type="dxa"/>
            <w:shd w:val="clear" w:color="auto" w:fill="C6EFCE"/>
            <w:noWrap/>
          </w:tcPr>
          <w:p w14:paraId="1887F45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102a</w:t>
            </w:r>
          </w:p>
        </w:tc>
        <w:tc>
          <w:tcPr>
            <w:tcW w:w="3301" w:type="dxa"/>
            <w:shd w:val="clear" w:color="auto" w:fill="C6EFCE"/>
            <w:noWrap/>
          </w:tcPr>
          <w:p w14:paraId="1887F45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C3.1I7</w:t>
            </w:r>
          </w:p>
          <w:p w14:paraId="1887F45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Scheme for the competitiveness and/or the energy efficiency of large enterprises in Cyprus </w:t>
            </w:r>
          </w:p>
        </w:tc>
        <w:tc>
          <w:tcPr>
            <w:tcW w:w="1613" w:type="dxa"/>
            <w:shd w:val="clear" w:color="auto" w:fill="C6EFCE"/>
            <w:noWrap/>
          </w:tcPr>
          <w:p w14:paraId="1887F45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59"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Grant agreements signed with enterprises</w:t>
            </w:r>
          </w:p>
        </w:tc>
      </w:tr>
      <w:tr w:rsidR="00C02B59" w:rsidRPr="00D1795B" w14:paraId="1887F460" w14:textId="77777777" w:rsidTr="00C02B59">
        <w:trPr>
          <w:cantSplit/>
          <w:trHeight w:val="302"/>
          <w:jc w:val="center"/>
        </w:trPr>
        <w:tc>
          <w:tcPr>
            <w:tcW w:w="1177" w:type="dxa"/>
            <w:shd w:val="clear" w:color="auto" w:fill="C6EFCE"/>
            <w:noWrap/>
          </w:tcPr>
          <w:p w14:paraId="1887F45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104</w:t>
            </w:r>
          </w:p>
        </w:tc>
        <w:tc>
          <w:tcPr>
            <w:tcW w:w="3301" w:type="dxa"/>
            <w:shd w:val="clear" w:color="auto" w:fill="C6EFCE"/>
            <w:noWrap/>
          </w:tcPr>
          <w:p w14:paraId="1887F45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C3.1I8</w:t>
            </w:r>
          </w:p>
          <w:p w14:paraId="1887F45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Added value of tourism</w:t>
            </w:r>
          </w:p>
        </w:tc>
        <w:tc>
          <w:tcPr>
            <w:tcW w:w="1613" w:type="dxa"/>
            <w:shd w:val="clear" w:color="auto" w:fill="C6EFCE"/>
            <w:noWrap/>
          </w:tcPr>
          <w:p w14:paraId="1887F45E"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5F"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Grant to hotels or other tourism establishments</w:t>
            </w:r>
          </w:p>
        </w:tc>
      </w:tr>
      <w:tr w:rsidR="00C02B59" w:rsidRPr="00D1795B" w14:paraId="1887F466" w14:textId="77777777" w:rsidTr="00C02B59">
        <w:trPr>
          <w:cantSplit/>
          <w:trHeight w:val="302"/>
          <w:jc w:val="center"/>
        </w:trPr>
        <w:tc>
          <w:tcPr>
            <w:tcW w:w="1177" w:type="dxa"/>
            <w:shd w:val="clear" w:color="auto" w:fill="C6EFCE"/>
            <w:noWrap/>
          </w:tcPr>
          <w:p w14:paraId="1887F46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106</w:t>
            </w:r>
          </w:p>
        </w:tc>
        <w:tc>
          <w:tcPr>
            <w:tcW w:w="3301" w:type="dxa"/>
            <w:shd w:val="clear" w:color="auto" w:fill="C6EFCE"/>
            <w:noWrap/>
          </w:tcPr>
          <w:p w14:paraId="1887F462"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C3.1I9</w:t>
            </w:r>
          </w:p>
          <w:p w14:paraId="1887F46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Circular economy in hotel establishments</w:t>
            </w:r>
          </w:p>
        </w:tc>
        <w:tc>
          <w:tcPr>
            <w:tcW w:w="1613" w:type="dxa"/>
            <w:shd w:val="clear" w:color="auto" w:fill="C6EFCE"/>
            <w:noWrap/>
          </w:tcPr>
          <w:p w14:paraId="1887F464"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65"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Certified circular hotels</w:t>
            </w:r>
          </w:p>
        </w:tc>
      </w:tr>
      <w:tr w:rsidR="00C02B59" w:rsidRPr="00D1795B" w14:paraId="1887F46C" w14:textId="77777777" w:rsidTr="00C02B59">
        <w:trPr>
          <w:cantSplit/>
          <w:trHeight w:val="302"/>
          <w:jc w:val="center"/>
        </w:trPr>
        <w:tc>
          <w:tcPr>
            <w:tcW w:w="1177" w:type="dxa"/>
            <w:shd w:val="clear" w:color="auto" w:fill="C6EFCE"/>
            <w:noWrap/>
          </w:tcPr>
          <w:p w14:paraId="1887F467"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110</w:t>
            </w:r>
          </w:p>
        </w:tc>
        <w:tc>
          <w:tcPr>
            <w:tcW w:w="3301" w:type="dxa"/>
            <w:shd w:val="clear" w:color="auto" w:fill="C6EFCE"/>
            <w:noWrap/>
          </w:tcPr>
          <w:p w14:paraId="1887F468"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C3.1R4</w:t>
            </w:r>
          </w:p>
          <w:p w14:paraId="1887F46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Circular economy</w:t>
            </w:r>
          </w:p>
        </w:tc>
        <w:tc>
          <w:tcPr>
            <w:tcW w:w="1613" w:type="dxa"/>
            <w:shd w:val="clear" w:color="auto" w:fill="C6EFCE"/>
            <w:noWrap/>
          </w:tcPr>
          <w:p w14:paraId="1887F46A"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6B"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Signed grant agreement with companies which are moving into a circular operating model</w:t>
            </w:r>
          </w:p>
        </w:tc>
      </w:tr>
      <w:tr w:rsidR="00C02B59" w:rsidRPr="00D1795B" w14:paraId="1887F472" w14:textId="77777777" w:rsidTr="00C02B59">
        <w:trPr>
          <w:cantSplit/>
          <w:trHeight w:val="302"/>
          <w:jc w:val="center"/>
        </w:trPr>
        <w:tc>
          <w:tcPr>
            <w:tcW w:w="1177" w:type="dxa"/>
            <w:shd w:val="clear" w:color="auto" w:fill="C6EFCE"/>
            <w:noWrap/>
          </w:tcPr>
          <w:p w14:paraId="1887F46D"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121</w:t>
            </w:r>
          </w:p>
        </w:tc>
        <w:tc>
          <w:tcPr>
            <w:tcW w:w="3301" w:type="dxa"/>
            <w:shd w:val="clear" w:color="auto" w:fill="C6EFCE"/>
            <w:noWrap/>
          </w:tcPr>
          <w:p w14:paraId="1887F46E" w14:textId="77777777" w:rsidR="00C02B59" w:rsidRPr="00D1795B" w:rsidRDefault="00C02B59" w:rsidP="00C02B59">
            <w:pPr>
              <w:spacing w:after="0"/>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C3.2R1</w:t>
            </w:r>
          </w:p>
          <w:p w14:paraId="1887F46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National Research and Innovation Policy </w:t>
            </w:r>
          </w:p>
        </w:tc>
        <w:tc>
          <w:tcPr>
            <w:tcW w:w="1613" w:type="dxa"/>
            <w:shd w:val="clear" w:color="auto" w:fill="C6EFCE"/>
            <w:noWrap/>
          </w:tcPr>
          <w:p w14:paraId="1887F470"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Milestone</w:t>
            </w:r>
          </w:p>
        </w:tc>
        <w:tc>
          <w:tcPr>
            <w:tcW w:w="3538" w:type="dxa"/>
            <w:shd w:val="clear" w:color="auto" w:fill="C6EFCE"/>
            <w:noWrap/>
          </w:tcPr>
          <w:p w14:paraId="1887F471"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Performance-based funding mechanism; open access policy framework for publicly funded research and technological infrastructure; framework for monitoring and coordinating the participation in ESFRI Landmarks</w:t>
            </w:r>
          </w:p>
        </w:tc>
      </w:tr>
      <w:tr w:rsidR="00C02B59" w:rsidRPr="00D1795B" w14:paraId="1887F478" w14:textId="77777777" w:rsidTr="00C02B59">
        <w:trPr>
          <w:cantSplit/>
          <w:trHeight w:val="302"/>
          <w:jc w:val="center"/>
        </w:trPr>
        <w:tc>
          <w:tcPr>
            <w:tcW w:w="1177" w:type="dxa"/>
            <w:shd w:val="clear" w:color="auto" w:fill="C6EFCE"/>
            <w:noWrap/>
          </w:tcPr>
          <w:p w14:paraId="1887F473"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129</w:t>
            </w:r>
          </w:p>
        </w:tc>
        <w:tc>
          <w:tcPr>
            <w:tcW w:w="3301" w:type="dxa"/>
            <w:shd w:val="clear" w:color="auto" w:fill="C6EFCE"/>
            <w:noWrap/>
          </w:tcPr>
          <w:p w14:paraId="1887F474"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C3.2I2</w:t>
            </w:r>
          </w:p>
          <w:p w14:paraId="1887F475"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Innovation funding programmes</w:t>
            </w:r>
          </w:p>
        </w:tc>
        <w:tc>
          <w:tcPr>
            <w:tcW w:w="1613" w:type="dxa"/>
            <w:shd w:val="clear" w:color="auto" w:fill="C6EFCE"/>
            <w:noWrap/>
          </w:tcPr>
          <w:p w14:paraId="1887F476"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77"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Projects on R&amp;I activities</w:t>
            </w:r>
          </w:p>
        </w:tc>
      </w:tr>
      <w:tr w:rsidR="00C02B59" w:rsidRPr="00D1795B" w14:paraId="1887F47E" w14:textId="77777777" w:rsidTr="00C02B59">
        <w:trPr>
          <w:cantSplit/>
          <w:trHeight w:val="302"/>
          <w:jc w:val="center"/>
        </w:trPr>
        <w:tc>
          <w:tcPr>
            <w:tcW w:w="1177" w:type="dxa"/>
            <w:shd w:val="clear" w:color="auto" w:fill="C6EFCE"/>
            <w:noWrap/>
          </w:tcPr>
          <w:p w14:paraId="1887F479"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131a</w:t>
            </w:r>
          </w:p>
        </w:tc>
        <w:tc>
          <w:tcPr>
            <w:tcW w:w="3301" w:type="dxa"/>
            <w:shd w:val="clear" w:color="auto" w:fill="C6EFCE"/>
            <w:noWrap/>
          </w:tcPr>
          <w:p w14:paraId="1887F47A"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C3.2I3</w:t>
            </w:r>
          </w:p>
          <w:p w14:paraId="1887F47B"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R&amp;I funding program on green transition</w:t>
            </w:r>
          </w:p>
        </w:tc>
        <w:tc>
          <w:tcPr>
            <w:tcW w:w="1613" w:type="dxa"/>
            <w:shd w:val="clear" w:color="auto" w:fill="C6EFCE"/>
            <w:noWrap/>
          </w:tcPr>
          <w:p w14:paraId="1887F47C"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7D"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Projects on green transition R&amp;I activities</w:t>
            </w:r>
          </w:p>
        </w:tc>
      </w:tr>
      <w:tr w:rsidR="00C02B59" w:rsidRPr="00D1795B" w14:paraId="1887F484" w14:textId="77777777" w:rsidTr="00C02B59">
        <w:trPr>
          <w:cantSplit/>
          <w:trHeight w:val="302"/>
          <w:jc w:val="center"/>
        </w:trPr>
        <w:tc>
          <w:tcPr>
            <w:tcW w:w="1177" w:type="dxa"/>
            <w:shd w:val="clear" w:color="auto" w:fill="C6EFCE"/>
            <w:noWrap/>
          </w:tcPr>
          <w:p w14:paraId="1887F47F"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133</w:t>
            </w:r>
          </w:p>
        </w:tc>
        <w:tc>
          <w:tcPr>
            <w:tcW w:w="3301" w:type="dxa"/>
            <w:shd w:val="clear" w:color="auto" w:fill="C6EFCE"/>
            <w:noWrap/>
          </w:tcPr>
          <w:p w14:paraId="1887F480"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C3.2I4</w:t>
            </w:r>
          </w:p>
          <w:p w14:paraId="1887F48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Funding schemes for R&amp;D activities on dual-use technologies and classified laboratories </w:t>
            </w:r>
          </w:p>
        </w:tc>
        <w:tc>
          <w:tcPr>
            <w:tcW w:w="1613" w:type="dxa"/>
            <w:shd w:val="clear" w:color="auto" w:fill="C6EFCE"/>
            <w:noWrap/>
          </w:tcPr>
          <w:p w14:paraId="1887F482"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83"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At least 16 facility security clearance certificates issued.</w:t>
            </w:r>
          </w:p>
        </w:tc>
      </w:tr>
      <w:tr w:rsidR="00C02B59" w:rsidRPr="00D1795B" w14:paraId="1887F48A" w14:textId="77777777" w:rsidTr="00C02B59">
        <w:trPr>
          <w:cantSplit/>
          <w:trHeight w:val="302"/>
          <w:jc w:val="center"/>
        </w:trPr>
        <w:tc>
          <w:tcPr>
            <w:tcW w:w="1177" w:type="dxa"/>
            <w:shd w:val="clear" w:color="auto" w:fill="C6EFCE"/>
            <w:noWrap/>
          </w:tcPr>
          <w:p w14:paraId="1887F48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148</w:t>
            </w:r>
          </w:p>
        </w:tc>
        <w:tc>
          <w:tcPr>
            <w:tcW w:w="3301" w:type="dxa"/>
            <w:shd w:val="clear" w:color="auto" w:fill="C6EFCE"/>
            <w:noWrap/>
          </w:tcPr>
          <w:p w14:paraId="1887F486"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C3.3I4</w:t>
            </w:r>
          </w:p>
          <w:p w14:paraId="1887F48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Scheme for the digital upgrade of enterprises </w:t>
            </w:r>
          </w:p>
        </w:tc>
        <w:tc>
          <w:tcPr>
            <w:tcW w:w="1613" w:type="dxa"/>
            <w:shd w:val="clear" w:color="auto" w:fill="C6EFCE"/>
            <w:noWrap/>
          </w:tcPr>
          <w:p w14:paraId="1887F48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89"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Grant agreements signed </w:t>
            </w:r>
          </w:p>
        </w:tc>
      </w:tr>
      <w:tr w:rsidR="00C02B59" w:rsidRPr="00D1795B" w14:paraId="1887F490" w14:textId="77777777" w:rsidTr="00C02B59">
        <w:trPr>
          <w:cantSplit/>
          <w:trHeight w:val="302"/>
          <w:jc w:val="center"/>
        </w:trPr>
        <w:tc>
          <w:tcPr>
            <w:tcW w:w="1177" w:type="dxa"/>
            <w:shd w:val="clear" w:color="auto" w:fill="C6EFCE"/>
            <w:noWrap/>
          </w:tcPr>
          <w:p w14:paraId="1887F48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152</w:t>
            </w:r>
          </w:p>
        </w:tc>
        <w:tc>
          <w:tcPr>
            <w:tcW w:w="3301" w:type="dxa"/>
            <w:shd w:val="clear" w:color="auto" w:fill="C6EFCE"/>
            <w:noWrap/>
          </w:tcPr>
          <w:p w14:paraId="1887F48C"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C3.3I6</w:t>
            </w:r>
          </w:p>
          <w:p w14:paraId="1887F48D"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State funded equity fund </w:t>
            </w:r>
          </w:p>
        </w:tc>
        <w:tc>
          <w:tcPr>
            <w:tcW w:w="1613" w:type="dxa"/>
            <w:shd w:val="clear" w:color="auto" w:fill="C6EFCE"/>
            <w:noWrap/>
          </w:tcPr>
          <w:p w14:paraId="1887F48E"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8F"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Investees supported through the Fund</w:t>
            </w:r>
          </w:p>
        </w:tc>
      </w:tr>
      <w:tr w:rsidR="00C02B59" w:rsidRPr="00D1795B" w14:paraId="1887F496" w14:textId="77777777" w:rsidTr="00C02B59">
        <w:trPr>
          <w:cantSplit/>
          <w:trHeight w:val="302"/>
          <w:jc w:val="center"/>
        </w:trPr>
        <w:tc>
          <w:tcPr>
            <w:tcW w:w="1177" w:type="dxa"/>
            <w:shd w:val="clear" w:color="auto" w:fill="C6EFCE"/>
            <w:noWrap/>
          </w:tcPr>
          <w:p w14:paraId="1887F49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176</w:t>
            </w:r>
          </w:p>
        </w:tc>
        <w:tc>
          <w:tcPr>
            <w:tcW w:w="3301" w:type="dxa"/>
            <w:shd w:val="clear" w:color="auto" w:fill="C6EFCE"/>
            <w:noWrap/>
          </w:tcPr>
          <w:p w14:paraId="1887F492"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C3.4I5</w:t>
            </w:r>
          </w:p>
          <w:p w14:paraId="1887F49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Smart cities </w:t>
            </w:r>
          </w:p>
        </w:tc>
        <w:tc>
          <w:tcPr>
            <w:tcW w:w="1613" w:type="dxa"/>
            <w:shd w:val="clear" w:color="auto" w:fill="C6EFCE"/>
            <w:noWrap/>
          </w:tcPr>
          <w:p w14:paraId="1887F494"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95"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Mobile applications and smart sensors</w:t>
            </w:r>
          </w:p>
        </w:tc>
      </w:tr>
      <w:tr w:rsidR="00C02B59" w:rsidRPr="00D1795B" w14:paraId="1887F49C" w14:textId="77777777" w:rsidTr="00C02B59">
        <w:trPr>
          <w:cantSplit/>
          <w:trHeight w:val="302"/>
          <w:jc w:val="center"/>
        </w:trPr>
        <w:tc>
          <w:tcPr>
            <w:tcW w:w="1177" w:type="dxa"/>
            <w:shd w:val="clear" w:color="auto" w:fill="C6EFCE"/>
            <w:noWrap/>
          </w:tcPr>
          <w:p w14:paraId="1887F497"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178</w:t>
            </w:r>
          </w:p>
        </w:tc>
        <w:tc>
          <w:tcPr>
            <w:tcW w:w="3301" w:type="dxa"/>
            <w:shd w:val="clear" w:color="auto" w:fill="C6EFCE"/>
            <w:noWrap/>
          </w:tcPr>
          <w:p w14:paraId="1887F498"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C3.4I6a</w:t>
            </w:r>
          </w:p>
          <w:p w14:paraId="1887F49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Regeneration and Revitalisation of Nicosia Inner City </w:t>
            </w:r>
          </w:p>
        </w:tc>
        <w:tc>
          <w:tcPr>
            <w:tcW w:w="1613" w:type="dxa"/>
            <w:shd w:val="clear" w:color="auto" w:fill="C6EFCE"/>
            <w:noWrap/>
          </w:tcPr>
          <w:p w14:paraId="1887F49A"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9B"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Renovation of rooms in Nicosia </w:t>
            </w:r>
          </w:p>
        </w:tc>
      </w:tr>
      <w:tr w:rsidR="00C02B59" w:rsidRPr="00D1795B" w14:paraId="1887F4A2" w14:textId="77777777" w:rsidTr="00C02B59">
        <w:trPr>
          <w:cantSplit/>
          <w:trHeight w:val="302"/>
          <w:jc w:val="center"/>
        </w:trPr>
        <w:tc>
          <w:tcPr>
            <w:tcW w:w="1177" w:type="dxa"/>
            <w:shd w:val="clear" w:color="auto" w:fill="C6EFCE"/>
            <w:noWrap/>
          </w:tcPr>
          <w:p w14:paraId="1887F49D"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183</w:t>
            </w:r>
          </w:p>
        </w:tc>
        <w:tc>
          <w:tcPr>
            <w:tcW w:w="3301" w:type="dxa"/>
            <w:shd w:val="clear" w:color="auto" w:fill="C6EFCE"/>
            <w:noWrap/>
          </w:tcPr>
          <w:p w14:paraId="1887F49E"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C3.4R9</w:t>
            </w:r>
          </w:p>
          <w:p w14:paraId="1887F49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 transformation of courts</w:t>
            </w:r>
          </w:p>
        </w:tc>
        <w:tc>
          <w:tcPr>
            <w:tcW w:w="1613" w:type="dxa"/>
            <w:shd w:val="clear" w:color="auto" w:fill="C6EFCE"/>
            <w:noWrap/>
          </w:tcPr>
          <w:p w14:paraId="1887F4A0"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3538" w:type="dxa"/>
            <w:shd w:val="clear" w:color="auto" w:fill="C6EFCE"/>
            <w:noWrap/>
          </w:tcPr>
          <w:p w14:paraId="1887F4A1"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i-justice system</w:t>
            </w:r>
          </w:p>
        </w:tc>
      </w:tr>
      <w:tr w:rsidR="00C02B59" w:rsidRPr="00D1795B" w14:paraId="1887F4A7" w14:textId="77777777" w:rsidTr="00C02B59">
        <w:trPr>
          <w:cantSplit/>
          <w:trHeight w:val="302"/>
          <w:jc w:val="center"/>
        </w:trPr>
        <w:tc>
          <w:tcPr>
            <w:tcW w:w="1177" w:type="dxa"/>
            <w:shd w:val="clear" w:color="auto" w:fill="C6EFCE"/>
            <w:noWrap/>
          </w:tcPr>
          <w:p w14:paraId="1887F4A3"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208</w:t>
            </w:r>
          </w:p>
        </w:tc>
        <w:tc>
          <w:tcPr>
            <w:tcW w:w="3301" w:type="dxa"/>
            <w:shd w:val="clear" w:color="auto" w:fill="C6EFCE"/>
            <w:noWrap/>
          </w:tcPr>
          <w:p w14:paraId="1887F4A4"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C3.5R9 Digitalising tax collection </w:t>
            </w:r>
          </w:p>
        </w:tc>
        <w:tc>
          <w:tcPr>
            <w:tcW w:w="1613" w:type="dxa"/>
            <w:shd w:val="clear" w:color="auto" w:fill="C6EFCE"/>
            <w:noWrap/>
          </w:tcPr>
          <w:p w14:paraId="1887F4A5"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3538" w:type="dxa"/>
            <w:shd w:val="clear" w:color="auto" w:fill="C6EFCE"/>
            <w:noWrap/>
          </w:tcPr>
          <w:p w14:paraId="1887F4A6"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Direct tax administration services of the Tax department within the ITAS</w:t>
            </w:r>
          </w:p>
        </w:tc>
      </w:tr>
      <w:tr w:rsidR="00C02B59" w:rsidRPr="00D1795B" w14:paraId="1887F4AC" w14:textId="77777777" w:rsidTr="00C02B59">
        <w:trPr>
          <w:cantSplit/>
          <w:trHeight w:val="302"/>
          <w:jc w:val="center"/>
        </w:trPr>
        <w:tc>
          <w:tcPr>
            <w:tcW w:w="1177" w:type="dxa"/>
            <w:shd w:val="clear" w:color="auto" w:fill="C6EFCE"/>
            <w:noWrap/>
          </w:tcPr>
          <w:p w14:paraId="1887F4A8"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211</w:t>
            </w:r>
          </w:p>
        </w:tc>
        <w:tc>
          <w:tcPr>
            <w:tcW w:w="3301" w:type="dxa"/>
            <w:shd w:val="clear" w:color="auto" w:fill="C6EFCE"/>
            <w:noWrap/>
          </w:tcPr>
          <w:p w14:paraId="1887F4A9"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 xml:space="preserve">C3.5R10 </w:t>
            </w:r>
            <w:r w:rsidRPr="00D1795B">
              <w:rPr>
                <w:rFonts w:ascii="Times New Roman" w:hAnsi="Times New Roman" w:cs="Times New Roman"/>
                <w:noProof/>
                <w:sz w:val="18"/>
                <w:szCs w:val="18"/>
              </w:rPr>
              <w:br/>
              <w:t>Addressing Aggressive Tax Planning</w:t>
            </w:r>
          </w:p>
        </w:tc>
        <w:tc>
          <w:tcPr>
            <w:tcW w:w="1613" w:type="dxa"/>
            <w:shd w:val="clear" w:color="auto" w:fill="C6EFCE"/>
            <w:noWrap/>
          </w:tcPr>
          <w:p w14:paraId="1887F4AA"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Milestone</w:t>
            </w:r>
          </w:p>
        </w:tc>
        <w:tc>
          <w:tcPr>
            <w:tcW w:w="3538" w:type="dxa"/>
            <w:shd w:val="clear" w:color="auto" w:fill="C6EFCE"/>
            <w:noWrap/>
          </w:tcPr>
          <w:p w14:paraId="1887F4AB"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Entry into force of legal act(s) addressing aggressive tax planning</w:t>
            </w:r>
          </w:p>
        </w:tc>
      </w:tr>
      <w:tr w:rsidR="00C02B59" w:rsidRPr="00D1795B" w14:paraId="1887F4B2" w14:textId="77777777" w:rsidTr="00C02B59">
        <w:trPr>
          <w:cantSplit/>
          <w:trHeight w:val="302"/>
          <w:jc w:val="center"/>
        </w:trPr>
        <w:tc>
          <w:tcPr>
            <w:tcW w:w="1177" w:type="dxa"/>
            <w:shd w:val="clear" w:color="auto" w:fill="C6EFCE"/>
            <w:noWrap/>
          </w:tcPr>
          <w:p w14:paraId="1887F4AD"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226</w:t>
            </w:r>
          </w:p>
        </w:tc>
        <w:tc>
          <w:tcPr>
            <w:tcW w:w="3301" w:type="dxa"/>
            <w:shd w:val="clear" w:color="auto" w:fill="C6EFCE"/>
            <w:noWrap/>
          </w:tcPr>
          <w:p w14:paraId="1887F4AE"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C4.2R1</w:t>
            </w:r>
          </w:p>
          <w:p w14:paraId="1887F4AF"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Digital Services Factory </w:t>
            </w:r>
          </w:p>
        </w:tc>
        <w:tc>
          <w:tcPr>
            <w:tcW w:w="1613" w:type="dxa"/>
            <w:shd w:val="clear" w:color="auto" w:fill="C6EFCE"/>
            <w:noWrap/>
          </w:tcPr>
          <w:p w14:paraId="1887F4B0"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B1"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At least 70 services through the Digital Services Factory</w:t>
            </w:r>
          </w:p>
        </w:tc>
      </w:tr>
      <w:tr w:rsidR="00C02B59" w:rsidRPr="00D1795B" w14:paraId="1887F4B8" w14:textId="77777777" w:rsidTr="00C02B59">
        <w:trPr>
          <w:cantSplit/>
          <w:trHeight w:val="302"/>
          <w:jc w:val="center"/>
        </w:trPr>
        <w:tc>
          <w:tcPr>
            <w:tcW w:w="1177" w:type="dxa"/>
            <w:shd w:val="clear" w:color="auto" w:fill="C6EFCE"/>
            <w:noWrap/>
          </w:tcPr>
          <w:p w14:paraId="1887F4B3"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239b</w:t>
            </w:r>
          </w:p>
        </w:tc>
        <w:tc>
          <w:tcPr>
            <w:tcW w:w="3301" w:type="dxa"/>
            <w:shd w:val="clear" w:color="auto" w:fill="C6EFCE"/>
            <w:noWrap/>
          </w:tcPr>
          <w:p w14:paraId="1887F4B4"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C5.1R1</w:t>
            </w:r>
          </w:p>
          <w:p w14:paraId="1887F4B5"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Addressing skills mismatch between education and labour market (Secondary and Higher Education)</w:t>
            </w:r>
          </w:p>
        </w:tc>
        <w:tc>
          <w:tcPr>
            <w:tcW w:w="1613" w:type="dxa"/>
            <w:shd w:val="clear" w:color="auto" w:fill="C6EFCE"/>
            <w:noWrap/>
          </w:tcPr>
          <w:p w14:paraId="1887F4B6"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B7"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In-job shadowing programme </w:t>
            </w:r>
          </w:p>
        </w:tc>
      </w:tr>
      <w:tr w:rsidR="00C02B59" w:rsidRPr="00D1795B" w14:paraId="1887F4BE" w14:textId="77777777" w:rsidTr="00C02B59">
        <w:trPr>
          <w:cantSplit/>
          <w:trHeight w:val="302"/>
          <w:jc w:val="center"/>
        </w:trPr>
        <w:tc>
          <w:tcPr>
            <w:tcW w:w="1177" w:type="dxa"/>
            <w:shd w:val="clear" w:color="auto" w:fill="C6EFCE"/>
            <w:noWrap/>
          </w:tcPr>
          <w:p w14:paraId="1887F4B9"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239c</w:t>
            </w:r>
          </w:p>
        </w:tc>
        <w:tc>
          <w:tcPr>
            <w:tcW w:w="3301" w:type="dxa"/>
            <w:shd w:val="clear" w:color="auto" w:fill="C6EFCE"/>
            <w:noWrap/>
          </w:tcPr>
          <w:p w14:paraId="1887F4BA"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C5.1R1</w:t>
            </w:r>
          </w:p>
          <w:p w14:paraId="1887F4BB"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Addressing skills mismatch between education and labour market (Secondary and Higher Education)</w:t>
            </w:r>
          </w:p>
        </w:tc>
        <w:tc>
          <w:tcPr>
            <w:tcW w:w="1613" w:type="dxa"/>
            <w:shd w:val="clear" w:color="auto" w:fill="C6EFCE"/>
            <w:noWrap/>
          </w:tcPr>
          <w:p w14:paraId="1887F4BC"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BD" w14:textId="346AF15E"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Laboratories equipped </w:t>
            </w:r>
          </w:p>
        </w:tc>
      </w:tr>
      <w:tr w:rsidR="00C02B59" w:rsidRPr="00D1795B" w14:paraId="1887F4C4" w14:textId="77777777" w:rsidTr="00C02B59">
        <w:trPr>
          <w:cantSplit/>
          <w:trHeight w:val="302"/>
          <w:jc w:val="center"/>
        </w:trPr>
        <w:tc>
          <w:tcPr>
            <w:tcW w:w="1177" w:type="dxa"/>
            <w:shd w:val="clear" w:color="auto" w:fill="C6EFCE"/>
            <w:noWrap/>
          </w:tcPr>
          <w:p w14:paraId="1887F4BF"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244</w:t>
            </w:r>
          </w:p>
        </w:tc>
        <w:tc>
          <w:tcPr>
            <w:tcW w:w="3301" w:type="dxa"/>
            <w:shd w:val="clear" w:color="auto" w:fill="C6EFCE"/>
            <w:noWrap/>
          </w:tcPr>
          <w:p w14:paraId="1887F4C0" w14:textId="77777777" w:rsidR="00C02B59" w:rsidRPr="00D1795B" w:rsidRDefault="00C02B59" w:rsidP="00C02B59">
            <w:pPr>
              <w:spacing w:after="0"/>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C5.1R3</w:t>
            </w:r>
          </w:p>
          <w:p w14:paraId="1887F4C1"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Gradual extension of free compulsory pre-primary education from the age of four</w:t>
            </w:r>
          </w:p>
        </w:tc>
        <w:tc>
          <w:tcPr>
            <w:tcW w:w="1613" w:type="dxa"/>
            <w:shd w:val="clear" w:color="auto" w:fill="C6EFCE"/>
            <w:noWrap/>
          </w:tcPr>
          <w:p w14:paraId="1887F4C2"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C3"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 xml:space="preserve">Children aged between 4 years and 4 years and 8 months enrolled in public, communal and private kindergartens </w:t>
            </w:r>
          </w:p>
        </w:tc>
      </w:tr>
      <w:tr w:rsidR="00C02B59" w:rsidRPr="00D1795B" w14:paraId="1887F4CA" w14:textId="77777777" w:rsidTr="00C02B59">
        <w:trPr>
          <w:cantSplit/>
          <w:trHeight w:val="1364"/>
          <w:jc w:val="center"/>
        </w:trPr>
        <w:tc>
          <w:tcPr>
            <w:tcW w:w="1177" w:type="dxa"/>
            <w:shd w:val="clear" w:color="auto" w:fill="C6EFCE"/>
            <w:noWrap/>
            <w:vAlign w:val="center"/>
          </w:tcPr>
          <w:p w14:paraId="1887F4C5"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245</w:t>
            </w:r>
          </w:p>
        </w:tc>
        <w:tc>
          <w:tcPr>
            <w:tcW w:w="3301" w:type="dxa"/>
            <w:shd w:val="clear" w:color="auto" w:fill="C6EFCE"/>
            <w:noWrap/>
          </w:tcPr>
          <w:p w14:paraId="1887F4C6"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C5.1R3</w:t>
            </w:r>
          </w:p>
          <w:p w14:paraId="1887F4C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Gradual extension of free compulsory pre-primary education from the age of four</w:t>
            </w:r>
          </w:p>
        </w:tc>
        <w:tc>
          <w:tcPr>
            <w:tcW w:w="1613" w:type="dxa"/>
            <w:shd w:val="clear" w:color="auto" w:fill="C6EFCE"/>
            <w:noWrap/>
          </w:tcPr>
          <w:p w14:paraId="1887F4C8"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C9"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Style w:val="ui-provider"/>
                <w:rFonts w:ascii="Times New Roman" w:hAnsi="Times New Roman" w:cs="Times New Roman"/>
                <w:noProof/>
                <w:sz w:val="18"/>
                <w:szCs w:val="18"/>
              </w:rPr>
              <w:t>New places in new or extended public kindergartens</w:t>
            </w:r>
          </w:p>
        </w:tc>
      </w:tr>
      <w:tr w:rsidR="00C02B59" w:rsidRPr="00D1795B" w14:paraId="1887F4D0" w14:textId="77777777" w:rsidTr="00C02B59">
        <w:trPr>
          <w:cantSplit/>
          <w:trHeight w:val="302"/>
          <w:jc w:val="center"/>
        </w:trPr>
        <w:tc>
          <w:tcPr>
            <w:tcW w:w="1177" w:type="dxa"/>
            <w:shd w:val="clear" w:color="auto" w:fill="C6EFCE"/>
            <w:noWrap/>
          </w:tcPr>
          <w:p w14:paraId="1887F4C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246b</w:t>
            </w:r>
          </w:p>
        </w:tc>
        <w:tc>
          <w:tcPr>
            <w:tcW w:w="3301" w:type="dxa"/>
            <w:shd w:val="clear" w:color="auto" w:fill="C6EFCE"/>
            <w:noWrap/>
          </w:tcPr>
          <w:p w14:paraId="1887F4CC"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C5.1R4</w:t>
            </w:r>
          </w:p>
          <w:p w14:paraId="1887F4CD"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Digital transformation of school units with the aim of enhancing digital skills and skills related to STEM education</w:t>
            </w:r>
          </w:p>
        </w:tc>
        <w:tc>
          <w:tcPr>
            <w:tcW w:w="1613" w:type="dxa"/>
            <w:shd w:val="clear" w:color="auto" w:fill="C6EFCE"/>
            <w:noWrap/>
          </w:tcPr>
          <w:p w14:paraId="1887F4CE"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CF" w14:textId="77777777" w:rsidR="00C02B59" w:rsidRPr="00D1795B" w:rsidRDefault="00C02B59" w:rsidP="00C02B59">
            <w:pPr>
              <w:spacing w:after="0"/>
              <w:jc w:val="both"/>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Support scheme for the digital equipment for pupils</w:t>
            </w:r>
          </w:p>
        </w:tc>
      </w:tr>
      <w:tr w:rsidR="00C02B59" w:rsidRPr="00D1795B" w14:paraId="1887F4D6" w14:textId="77777777" w:rsidTr="00C02B59">
        <w:trPr>
          <w:cantSplit/>
          <w:trHeight w:val="302"/>
          <w:jc w:val="center"/>
        </w:trPr>
        <w:tc>
          <w:tcPr>
            <w:tcW w:w="1177" w:type="dxa"/>
            <w:shd w:val="clear" w:color="auto" w:fill="C6EFCE"/>
            <w:noWrap/>
          </w:tcPr>
          <w:p w14:paraId="1887F4D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263</w:t>
            </w:r>
          </w:p>
        </w:tc>
        <w:tc>
          <w:tcPr>
            <w:tcW w:w="3301" w:type="dxa"/>
            <w:shd w:val="clear" w:color="auto" w:fill="C6EFCE"/>
            <w:noWrap/>
          </w:tcPr>
          <w:p w14:paraId="1887F4D2"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C5.2I2</w:t>
            </w:r>
          </w:p>
          <w:p w14:paraId="1887F4D3"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Establishment of multifunctional centres and childcare centres</w:t>
            </w:r>
          </w:p>
        </w:tc>
        <w:tc>
          <w:tcPr>
            <w:tcW w:w="1613" w:type="dxa"/>
            <w:shd w:val="clear" w:color="auto" w:fill="C6EFCE"/>
            <w:noWrap/>
          </w:tcPr>
          <w:p w14:paraId="1887F4D4"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D5"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Grant disbursed to at least 9 local authorities/ Non-Governmental Organisations for Multifunctional Centres or Childcare Centres</w:t>
            </w:r>
          </w:p>
        </w:tc>
      </w:tr>
      <w:tr w:rsidR="00C02B59" w:rsidRPr="00D1795B" w14:paraId="1887F4DB" w14:textId="77777777" w:rsidTr="00C02B59">
        <w:trPr>
          <w:cantSplit/>
          <w:trHeight w:val="302"/>
          <w:jc w:val="center"/>
        </w:trPr>
        <w:tc>
          <w:tcPr>
            <w:tcW w:w="1177" w:type="dxa"/>
            <w:shd w:val="clear" w:color="auto" w:fill="C6EFCE"/>
            <w:noWrap/>
            <w:vAlign w:val="bottom"/>
          </w:tcPr>
          <w:p w14:paraId="1887F4D7"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29b</w:t>
            </w:r>
          </w:p>
        </w:tc>
        <w:tc>
          <w:tcPr>
            <w:tcW w:w="3301" w:type="dxa"/>
            <w:shd w:val="clear" w:color="auto" w:fill="C6EFCE"/>
            <w:noWrap/>
            <w:vAlign w:val="center"/>
          </w:tcPr>
          <w:p w14:paraId="1887F4D8" w14:textId="77777777" w:rsidR="00C02B59" w:rsidRPr="00D1795B" w:rsidRDefault="00C02B59" w:rsidP="00C02B59">
            <w:pPr>
              <w:spacing w:after="0"/>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 xml:space="preserve">C6.1I1 Scaled-up measure: Promoting renewables and individual energy efficiency measures in dwellings </w:t>
            </w:r>
          </w:p>
        </w:tc>
        <w:tc>
          <w:tcPr>
            <w:tcW w:w="1613" w:type="dxa"/>
            <w:shd w:val="clear" w:color="auto" w:fill="C6EFCE"/>
            <w:noWrap/>
            <w:vAlign w:val="center"/>
          </w:tcPr>
          <w:p w14:paraId="1887F4D9"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Target</w:t>
            </w:r>
          </w:p>
        </w:tc>
        <w:tc>
          <w:tcPr>
            <w:tcW w:w="3538" w:type="dxa"/>
            <w:shd w:val="clear" w:color="auto" w:fill="C6EFCE"/>
            <w:noWrap/>
            <w:vAlign w:val="center"/>
          </w:tcPr>
          <w:p w14:paraId="1887F4DA" w14:textId="77777777" w:rsidR="00C02B59" w:rsidRPr="00D1795B" w:rsidRDefault="00C02B59" w:rsidP="00C02B59">
            <w:pPr>
              <w:spacing w:after="0"/>
              <w:jc w:val="both"/>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Energy efficiency measures in dwellings and tackling energy poverty</w:t>
            </w:r>
          </w:p>
        </w:tc>
      </w:tr>
      <w:tr w:rsidR="00C02B59" w:rsidRPr="00D1795B" w14:paraId="1887F4E0" w14:textId="77777777" w:rsidTr="00C02B59">
        <w:trPr>
          <w:cantSplit/>
          <w:trHeight w:val="302"/>
          <w:jc w:val="center"/>
        </w:trPr>
        <w:tc>
          <w:tcPr>
            <w:tcW w:w="1177" w:type="dxa"/>
            <w:shd w:val="clear" w:color="auto" w:fill="C6EFCE"/>
            <w:noWrap/>
            <w:vAlign w:val="bottom"/>
          </w:tcPr>
          <w:p w14:paraId="1887F4DC"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275</w:t>
            </w:r>
          </w:p>
        </w:tc>
        <w:tc>
          <w:tcPr>
            <w:tcW w:w="3301" w:type="dxa"/>
            <w:shd w:val="clear" w:color="auto" w:fill="C6EFCE"/>
            <w:noWrap/>
            <w:vAlign w:val="bottom"/>
          </w:tcPr>
          <w:p w14:paraId="1887F4DD" w14:textId="77777777" w:rsidR="00C02B59" w:rsidRPr="00D1795B" w:rsidRDefault="00C02B59" w:rsidP="00C02B59">
            <w:pPr>
              <w:spacing w:after="0"/>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C6.1I3 Promoting energy renovations of dwellings</w:t>
            </w:r>
          </w:p>
        </w:tc>
        <w:tc>
          <w:tcPr>
            <w:tcW w:w="1613" w:type="dxa"/>
            <w:shd w:val="clear" w:color="auto" w:fill="C6EFCE"/>
            <w:noWrap/>
            <w:vAlign w:val="center"/>
          </w:tcPr>
          <w:p w14:paraId="1887F4DE"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Target</w:t>
            </w:r>
          </w:p>
        </w:tc>
        <w:tc>
          <w:tcPr>
            <w:tcW w:w="3538" w:type="dxa"/>
            <w:shd w:val="clear" w:color="auto" w:fill="C6EFCE"/>
            <w:noWrap/>
            <w:vAlign w:val="center"/>
          </w:tcPr>
          <w:p w14:paraId="1887F4DF" w14:textId="77777777" w:rsidR="00C02B59" w:rsidRPr="00D1795B" w:rsidRDefault="00C02B59" w:rsidP="00C02B59">
            <w:pPr>
              <w:spacing w:after="0"/>
              <w:jc w:val="both"/>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Improving energy performance of dwellings</w:t>
            </w:r>
          </w:p>
        </w:tc>
      </w:tr>
      <w:tr w:rsidR="00C02B59" w:rsidRPr="00D1795B" w14:paraId="1887F4E5" w14:textId="77777777" w:rsidTr="00C02B59">
        <w:trPr>
          <w:cantSplit/>
          <w:trHeight w:val="302"/>
          <w:jc w:val="center"/>
        </w:trPr>
        <w:tc>
          <w:tcPr>
            <w:tcW w:w="1177" w:type="dxa"/>
            <w:shd w:val="clear" w:color="auto" w:fill="C6EFCE"/>
            <w:noWrap/>
            <w:vAlign w:val="bottom"/>
          </w:tcPr>
          <w:p w14:paraId="1887F4E1"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102b</w:t>
            </w:r>
          </w:p>
        </w:tc>
        <w:tc>
          <w:tcPr>
            <w:tcW w:w="3301" w:type="dxa"/>
            <w:shd w:val="clear" w:color="auto" w:fill="C6EFCE"/>
            <w:noWrap/>
            <w:vAlign w:val="bottom"/>
          </w:tcPr>
          <w:p w14:paraId="1887F4E2" w14:textId="77777777" w:rsidR="00C02B59" w:rsidRPr="00D1795B" w:rsidRDefault="00C02B59" w:rsidP="00C02B59">
            <w:pPr>
              <w:spacing w:after="0"/>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C6.1I5 Scaled-up measure: Scheme for the enhancement of the competitiveness and the energy efficiency of large enterprises in Cyprus</w:t>
            </w:r>
          </w:p>
        </w:tc>
        <w:tc>
          <w:tcPr>
            <w:tcW w:w="1613" w:type="dxa"/>
            <w:shd w:val="clear" w:color="auto" w:fill="C6EFCE"/>
            <w:noWrap/>
            <w:vAlign w:val="center"/>
          </w:tcPr>
          <w:p w14:paraId="1887F4E3"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Target</w:t>
            </w:r>
          </w:p>
        </w:tc>
        <w:tc>
          <w:tcPr>
            <w:tcW w:w="3538" w:type="dxa"/>
            <w:shd w:val="clear" w:color="auto" w:fill="C6EFCE"/>
            <w:noWrap/>
            <w:vAlign w:val="center"/>
          </w:tcPr>
          <w:p w14:paraId="1887F4E4" w14:textId="77777777" w:rsidR="00C02B59" w:rsidRPr="00D1795B" w:rsidRDefault="00C02B59" w:rsidP="00C02B59">
            <w:pPr>
              <w:spacing w:after="0"/>
              <w:jc w:val="both"/>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Signature of grants with 12 enterprises</w:t>
            </w:r>
          </w:p>
        </w:tc>
      </w:tr>
      <w:tr w:rsidR="00C02B59" w:rsidRPr="00D1795B" w14:paraId="1887F4EA" w14:textId="77777777" w:rsidTr="00C02B59">
        <w:trPr>
          <w:cantSplit/>
          <w:trHeight w:val="302"/>
          <w:jc w:val="center"/>
        </w:trPr>
        <w:tc>
          <w:tcPr>
            <w:tcW w:w="1177" w:type="dxa"/>
            <w:shd w:val="clear" w:color="auto" w:fill="C6EFCE"/>
            <w:noWrap/>
            <w:vAlign w:val="bottom"/>
          </w:tcPr>
          <w:p w14:paraId="1887F4E6"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131b</w:t>
            </w:r>
          </w:p>
        </w:tc>
        <w:tc>
          <w:tcPr>
            <w:tcW w:w="3301" w:type="dxa"/>
            <w:shd w:val="clear" w:color="auto" w:fill="C6EFCE"/>
            <w:noWrap/>
            <w:vAlign w:val="bottom"/>
          </w:tcPr>
          <w:p w14:paraId="1887F4E7" w14:textId="77777777" w:rsidR="00C02B59" w:rsidRPr="00D1795B" w:rsidRDefault="00C02B59" w:rsidP="00C02B59">
            <w:pPr>
              <w:spacing w:after="0"/>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C6.1I6 Scaled-up measure: Thematic research and innovation funding program on green transition</w:t>
            </w:r>
          </w:p>
        </w:tc>
        <w:tc>
          <w:tcPr>
            <w:tcW w:w="1613" w:type="dxa"/>
            <w:shd w:val="clear" w:color="auto" w:fill="C6EFCE"/>
            <w:noWrap/>
            <w:vAlign w:val="center"/>
          </w:tcPr>
          <w:p w14:paraId="1887F4E8"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Target</w:t>
            </w:r>
          </w:p>
        </w:tc>
        <w:tc>
          <w:tcPr>
            <w:tcW w:w="3538" w:type="dxa"/>
            <w:shd w:val="clear" w:color="auto" w:fill="C6EFCE"/>
            <w:noWrap/>
            <w:vAlign w:val="center"/>
          </w:tcPr>
          <w:p w14:paraId="1887F4E9" w14:textId="77777777" w:rsidR="00C02B59" w:rsidRPr="00D1795B" w:rsidRDefault="00C02B59" w:rsidP="00C02B59">
            <w:pPr>
              <w:spacing w:after="0"/>
              <w:jc w:val="both"/>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Projects on green transition R&amp;I activities</w:t>
            </w:r>
          </w:p>
        </w:tc>
      </w:tr>
      <w:tr w:rsidR="00C02B59" w:rsidRPr="00D1795B" w14:paraId="1887F4EF" w14:textId="77777777" w:rsidTr="00C02B59">
        <w:trPr>
          <w:cantSplit/>
          <w:trHeight w:val="302"/>
          <w:jc w:val="center"/>
        </w:trPr>
        <w:tc>
          <w:tcPr>
            <w:tcW w:w="1177" w:type="dxa"/>
            <w:shd w:val="clear" w:color="auto" w:fill="C6EFCE"/>
            <w:noWrap/>
            <w:vAlign w:val="bottom"/>
          </w:tcPr>
          <w:p w14:paraId="1887F4EB" w14:textId="77777777" w:rsidR="00C02B59" w:rsidRPr="00D1795B" w:rsidRDefault="00C02B59" w:rsidP="00C02B59">
            <w:pPr>
              <w:spacing w:after="0"/>
              <w:jc w:val="center"/>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277</w:t>
            </w:r>
          </w:p>
        </w:tc>
        <w:tc>
          <w:tcPr>
            <w:tcW w:w="3301" w:type="dxa"/>
            <w:shd w:val="clear" w:color="auto" w:fill="C6EFCE"/>
            <w:noWrap/>
            <w:vAlign w:val="center"/>
          </w:tcPr>
          <w:p w14:paraId="1887F4EC" w14:textId="77777777" w:rsidR="00C02B59" w:rsidRPr="00D1795B" w:rsidRDefault="00C02B59" w:rsidP="00C02B59">
            <w:pPr>
              <w:spacing w:after="0"/>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C6.1I7 Thematic research in enterprises for energy production, storage, transmission and distribution solutions</w:t>
            </w:r>
          </w:p>
        </w:tc>
        <w:tc>
          <w:tcPr>
            <w:tcW w:w="1613" w:type="dxa"/>
            <w:shd w:val="clear" w:color="auto" w:fill="C6EFCE"/>
            <w:noWrap/>
            <w:vAlign w:val="center"/>
          </w:tcPr>
          <w:p w14:paraId="1887F4ED"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Target</w:t>
            </w:r>
          </w:p>
        </w:tc>
        <w:tc>
          <w:tcPr>
            <w:tcW w:w="3538" w:type="dxa"/>
            <w:shd w:val="clear" w:color="auto" w:fill="C6EFCE"/>
            <w:noWrap/>
            <w:vAlign w:val="center"/>
          </w:tcPr>
          <w:p w14:paraId="1887F4EE" w14:textId="77777777" w:rsidR="00C02B59" w:rsidRPr="00D1795B" w:rsidRDefault="00C02B59" w:rsidP="00C02B59">
            <w:pPr>
              <w:spacing w:after="0"/>
              <w:jc w:val="both"/>
              <w:rPr>
                <w:rFonts w:ascii="Times New Roman" w:eastAsia="Times New Roman" w:hAnsi="Times New Roman" w:cs="Times New Roman"/>
                <w:noProof/>
                <w:color w:val="006100"/>
                <w:sz w:val="18"/>
                <w:szCs w:val="18"/>
              </w:rPr>
            </w:pPr>
            <w:r w:rsidRPr="00D1795B">
              <w:rPr>
                <w:rFonts w:ascii="Times New Roman" w:hAnsi="Times New Roman" w:cs="Times New Roman"/>
                <w:noProof/>
                <w:sz w:val="18"/>
                <w:szCs w:val="18"/>
              </w:rPr>
              <w:t>Projects on energy production, storage, transmission and distribution solutions R&amp;I activities</w:t>
            </w:r>
          </w:p>
        </w:tc>
      </w:tr>
      <w:tr w:rsidR="00C02B59" w:rsidRPr="00D1795B" w14:paraId="1887F4F5" w14:textId="77777777" w:rsidTr="00C02B59">
        <w:trPr>
          <w:cantSplit/>
          <w:trHeight w:val="302"/>
          <w:jc w:val="center"/>
        </w:trPr>
        <w:tc>
          <w:tcPr>
            <w:tcW w:w="1177" w:type="dxa"/>
            <w:shd w:val="clear" w:color="auto" w:fill="C6EFCE"/>
            <w:noWrap/>
          </w:tcPr>
          <w:p w14:paraId="1887F4F0"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81</w:t>
            </w:r>
          </w:p>
        </w:tc>
        <w:tc>
          <w:tcPr>
            <w:tcW w:w="3301" w:type="dxa"/>
            <w:shd w:val="clear" w:color="auto" w:fill="C6EFCE"/>
            <w:noWrap/>
          </w:tcPr>
          <w:p w14:paraId="1887F4F1"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C2.3I6</w:t>
            </w:r>
          </w:p>
          <w:p w14:paraId="1887F4F2" w14:textId="77777777" w:rsidR="00C02B59" w:rsidRPr="00D1795B" w:rsidRDefault="00C02B59" w:rsidP="00C02B59">
            <w:pPr>
              <w:spacing w:after="0"/>
              <w:rPr>
                <w:rFonts w:ascii="Times New Roman" w:hAnsi="Times New Roman" w:cs="Times New Roman"/>
                <w:noProof/>
                <w:sz w:val="18"/>
                <w:szCs w:val="18"/>
              </w:rPr>
            </w:pPr>
            <w:r w:rsidRPr="00D1795B">
              <w:rPr>
                <w:rFonts w:ascii="Times New Roman" w:hAnsi="Times New Roman" w:cs="Times New Roman"/>
                <w:noProof/>
                <w:sz w:val="18"/>
                <w:szCs w:val="18"/>
              </w:rPr>
              <w:t>Water security projects</w:t>
            </w:r>
          </w:p>
        </w:tc>
        <w:tc>
          <w:tcPr>
            <w:tcW w:w="1613" w:type="dxa"/>
            <w:shd w:val="clear" w:color="auto" w:fill="C6EFCE"/>
            <w:noWrap/>
          </w:tcPr>
          <w:p w14:paraId="1887F4F3"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F4"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 xml:space="preserve">Water reservoir(s) and water treatment plant </w:t>
            </w:r>
          </w:p>
        </w:tc>
      </w:tr>
      <w:tr w:rsidR="00C02B59" w:rsidRPr="00D1795B" w14:paraId="1887F4FB" w14:textId="77777777" w:rsidTr="00C02B59">
        <w:trPr>
          <w:cantSplit/>
          <w:trHeight w:val="302"/>
          <w:jc w:val="center"/>
        </w:trPr>
        <w:tc>
          <w:tcPr>
            <w:tcW w:w="1177" w:type="dxa"/>
            <w:shd w:val="clear" w:color="auto" w:fill="C6EFCE"/>
            <w:noWrap/>
          </w:tcPr>
          <w:p w14:paraId="1887F4F6" w14:textId="77777777" w:rsidR="00C02B59" w:rsidRPr="00D1795B" w:rsidRDefault="00C02B59" w:rsidP="00C02B59">
            <w:pPr>
              <w:spacing w:after="0"/>
              <w:jc w:val="center"/>
              <w:rPr>
                <w:rFonts w:ascii="Times New Roman" w:eastAsia="Times New Roman" w:hAnsi="Times New Roman" w:cs="Times New Roman"/>
                <w:noProof/>
                <w:sz w:val="18"/>
                <w:szCs w:val="18"/>
                <w:lang w:eastAsia="en-GB"/>
              </w:rPr>
            </w:pPr>
            <w:r w:rsidRPr="00D1795B">
              <w:rPr>
                <w:rFonts w:ascii="Times New Roman" w:hAnsi="Times New Roman" w:cs="Times New Roman"/>
                <w:noProof/>
                <w:sz w:val="18"/>
                <w:szCs w:val="18"/>
              </w:rPr>
              <w:t>77b</w:t>
            </w:r>
          </w:p>
        </w:tc>
        <w:tc>
          <w:tcPr>
            <w:tcW w:w="3301" w:type="dxa"/>
            <w:shd w:val="clear" w:color="auto" w:fill="C6EFCE"/>
            <w:noWrap/>
          </w:tcPr>
          <w:p w14:paraId="1887F4F7" w14:textId="77777777" w:rsidR="00C02B59" w:rsidRPr="00D1795B" w:rsidRDefault="00C02B59" w:rsidP="00C02B59">
            <w:pPr>
              <w:spacing w:after="0" w:line="240" w:lineRule="auto"/>
              <w:rPr>
                <w:rFonts w:ascii="Times New Roman" w:hAnsi="Times New Roman" w:cs="Times New Roman"/>
                <w:noProof/>
                <w:sz w:val="18"/>
                <w:szCs w:val="18"/>
              </w:rPr>
            </w:pPr>
            <w:r w:rsidRPr="00D1795B">
              <w:rPr>
                <w:rFonts w:ascii="Times New Roman" w:hAnsi="Times New Roman" w:cs="Times New Roman"/>
                <w:noProof/>
                <w:sz w:val="18"/>
                <w:szCs w:val="18"/>
              </w:rPr>
              <w:t>C2.3I5</w:t>
            </w:r>
          </w:p>
          <w:p w14:paraId="1887F4F8" w14:textId="77777777" w:rsidR="00C02B59" w:rsidRPr="00D1795B" w:rsidRDefault="00C02B59" w:rsidP="00C02B59">
            <w:pPr>
              <w:spacing w:after="0"/>
              <w:rPr>
                <w:rFonts w:ascii="Times New Roman" w:eastAsia="Times New Roman" w:hAnsi="Times New Roman" w:cs="Times New Roman"/>
                <w:noProof/>
                <w:color w:val="006100"/>
                <w:sz w:val="18"/>
                <w:szCs w:val="18"/>
                <w:lang w:eastAsia="en-GB"/>
              </w:rPr>
            </w:pPr>
            <w:r w:rsidRPr="00D1795B">
              <w:rPr>
                <w:rFonts w:ascii="Times New Roman" w:hAnsi="Times New Roman" w:cs="Times New Roman"/>
                <w:noProof/>
                <w:sz w:val="18"/>
                <w:szCs w:val="18"/>
              </w:rPr>
              <w:t>Anti-flood and water collection measures</w:t>
            </w:r>
          </w:p>
        </w:tc>
        <w:tc>
          <w:tcPr>
            <w:tcW w:w="1613" w:type="dxa"/>
            <w:shd w:val="clear" w:color="auto" w:fill="C6EFCE"/>
            <w:noWrap/>
          </w:tcPr>
          <w:p w14:paraId="1887F4F9" w14:textId="77777777" w:rsidR="00C02B59" w:rsidRPr="00D1795B" w:rsidRDefault="00C02B59" w:rsidP="00C02B59">
            <w:pPr>
              <w:spacing w:after="0"/>
              <w:jc w:val="center"/>
              <w:rPr>
                <w:rFonts w:ascii="Times New Roman" w:hAnsi="Times New Roman" w:cs="Times New Roman"/>
                <w:noProof/>
                <w:color w:val="006100"/>
                <w:sz w:val="18"/>
                <w:szCs w:val="18"/>
              </w:rPr>
            </w:pPr>
            <w:r w:rsidRPr="00D1795B">
              <w:rPr>
                <w:rFonts w:ascii="Times New Roman" w:hAnsi="Times New Roman" w:cs="Times New Roman"/>
                <w:noProof/>
                <w:sz w:val="18"/>
                <w:szCs w:val="18"/>
              </w:rPr>
              <w:t>Milestone</w:t>
            </w:r>
          </w:p>
        </w:tc>
        <w:tc>
          <w:tcPr>
            <w:tcW w:w="3538" w:type="dxa"/>
            <w:shd w:val="clear" w:color="auto" w:fill="C6EFCE"/>
            <w:noWrap/>
          </w:tcPr>
          <w:p w14:paraId="1887F4FA" w14:textId="77777777" w:rsidR="00C02B59" w:rsidRPr="00D1795B" w:rsidRDefault="00C02B59" w:rsidP="00C02B59">
            <w:pPr>
              <w:spacing w:after="0"/>
              <w:jc w:val="both"/>
              <w:rPr>
                <w:rFonts w:ascii="Times New Roman" w:hAnsi="Times New Roman" w:cs="Times New Roman"/>
                <w:noProof/>
                <w:color w:val="006100"/>
                <w:sz w:val="18"/>
                <w:szCs w:val="18"/>
              </w:rPr>
            </w:pPr>
            <w:r w:rsidRPr="00D1795B">
              <w:rPr>
                <w:rFonts w:ascii="Times New Roman" w:hAnsi="Times New Roman" w:cs="Times New Roman"/>
                <w:noProof/>
                <w:sz w:val="18"/>
                <w:szCs w:val="18"/>
              </w:rPr>
              <w:t>Anti-flood work(s) or reconstruction or constructions of streets and pavements in Nicosia and Limmasol</w:t>
            </w:r>
          </w:p>
        </w:tc>
      </w:tr>
      <w:tr w:rsidR="00C02B59" w:rsidRPr="00D1795B" w14:paraId="1887F500" w14:textId="77777777" w:rsidTr="00C02B59">
        <w:trPr>
          <w:cantSplit/>
          <w:trHeight w:val="302"/>
          <w:jc w:val="center"/>
        </w:trPr>
        <w:tc>
          <w:tcPr>
            <w:tcW w:w="1177" w:type="dxa"/>
            <w:shd w:val="clear" w:color="auto" w:fill="C6EFCE"/>
            <w:noWrap/>
          </w:tcPr>
          <w:p w14:paraId="1887F4FC" w14:textId="77777777" w:rsidR="00C02B59" w:rsidRPr="00D1795B" w:rsidRDefault="00C02B59" w:rsidP="00C02B59">
            <w:pPr>
              <w:spacing w:after="0"/>
              <w:jc w:val="center"/>
              <w:rPr>
                <w:rFonts w:ascii="Times New Roman" w:eastAsia="Times New Roman" w:hAnsi="Times New Roman" w:cs="Times New Roman"/>
                <w:noProof/>
                <w:sz w:val="18"/>
                <w:szCs w:val="18"/>
                <w:lang w:eastAsia="en-GB"/>
              </w:rPr>
            </w:pPr>
            <w:r w:rsidRPr="00D1795B">
              <w:rPr>
                <w:rFonts w:ascii="Times New Roman" w:hAnsi="Times New Roman" w:cs="Times New Roman"/>
                <w:noProof/>
                <w:sz w:val="18"/>
                <w:szCs w:val="18"/>
              </w:rPr>
              <w:t>18</w:t>
            </w:r>
          </w:p>
        </w:tc>
        <w:tc>
          <w:tcPr>
            <w:tcW w:w="3301" w:type="dxa"/>
            <w:shd w:val="clear" w:color="auto" w:fill="C6EFCE"/>
            <w:noWrap/>
          </w:tcPr>
          <w:p w14:paraId="1887F4FD" w14:textId="77777777" w:rsidR="00C02B59" w:rsidRPr="00D1795B" w:rsidRDefault="00C02B59" w:rsidP="00C02B59">
            <w:pPr>
              <w:spacing w:after="0"/>
              <w:rPr>
                <w:rFonts w:ascii="Times New Roman" w:eastAsia="Times New Roman" w:hAnsi="Times New Roman" w:cs="Times New Roman"/>
                <w:noProof/>
                <w:color w:val="006100"/>
                <w:sz w:val="18"/>
                <w:szCs w:val="18"/>
                <w:lang w:eastAsia="en-GB"/>
              </w:rPr>
            </w:pPr>
            <w:r w:rsidRPr="00D1795B">
              <w:rPr>
                <w:rFonts w:ascii="Times New Roman" w:hAnsi="Times New Roman" w:cs="Times New Roman"/>
                <w:noProof/>
                <w:sz w:val="18"/>
                <w:szCs w:val="18"/>
              </w:rPr>
              <w:t xml:space="preserve">C1.1I5 </w:t>
            </w:r>
            <w:r w:rsidRPr="00D1795B">
              <w:rPr>
                <w:rFonts w:ascii="Times New Roman" w:hAnsi="Times New Roman" w:cs="Times New Roman"/>
                <w:noProof/>
                <w:sz w:val="18"/>
                <w:szCs w:val="18"/>
              </w:rPr>
              <w:br/>
              <w:t>Construction works and new equipment in Cyprus State Hospitals</w:t>
            </w:r>
          </w:p>
        </w:tc>
        <w:tc>
          <w:tcPr>
            <w:tcW w:w="1613" w:type="dxa"/>
            <w:shd w:val="clear" w:color="auto" w:fill="C6EFCE"/>
            <w:noWrap/>
          </w:tcPr>
          <w:p w14:paraId="1887F4FE" w14:textId="77777777" w:rsidR="00C02B59" w:rsidRPr="00D1795B" w:rsidRDefault="00C02B59" w:rsidP="00C02B59">
            <w:pPr>
              <w:spacing w:after="0"/>
              <w:jc w:val="center"/>
              <w:rPr>
                <w:rFonts w:ascii="Times New Roman" w:hAnsi="Times New Roman" w:cs="Times New Roman"/>
                <w:noProof/>
                <w:color w:val="006100"/>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4FF" w14:textId="77777777" w:rsidR="00C02B59" w:rsidRPr="00D1795B" w:rsidRDefault="00C02B59" w:rsidP="00C02B59">
            <w:pPr>
              <w:spacing w:after="0"/>
              <w:jc w:val="both"/>
              <w:rPr>
                <w:rFonts w:ascii="Times New Roman" w:hAnsi="Times New Roman" w:cs="Times New Roman"/>
                <w:noProof/>
                <w:color w:val="006100"/>
                <w:sz w:val="18"/>
                <w:szCs w:val="18"/>
              </w:rPr>
            </w:pPr>
            <w:r w:rsidRPr="00D1795B">
              <w:rPr>
                <w:rFonts w:ascii="Times New Roman" w:hAnsi="Times New Roman" w:cs="Times New Roman"/>
                <w:noProof/>
                <w:sz w:val="18"/>
                <w:szCs w:val="18"/>
              </w:rPr>
              <w:t>Construction works or purchase of equipment in Cyprus State hospitals </w:t>
            </w:r>
          </w:p>
        </w:tc>
      </w:tr>
      <w:tr w:rsidR="00C02B59" w:rsidRPr="00D1795B" w14:paraId="1887F506" w14:textId="77777777" w:rsidTr="00C02B59">
        <w:trPr>
          <w:cantSplit/>
          <w:trHeight w:val="302"/>
          <w:jc w:val="center"/>
        </w:trPr>
        <w:tc>
          <w:tcPr>
            <w:tcW w:w="1177" w:type="dxa"/>
            <w:shd w:val="clear" w:color="auto" w:fill="C6EFCE"/>
            <w:noWrap/>
          </w:tcPr>
          <w:p w14:paraId="1887F501"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264</w:t>
            </w:r>
          </w:p>
        </w:tc>
        <w:tc>
          <w:tcPr>
            <w:tcW w:w="3301" w:type="dxa"/>
            <w:shd w:val="clear" w:color="auto" w:fill="C6EFCE"/>
            <w:noWrap/>
          </w:tcPr>
          <w:p w14:paraId="1887F502"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C5.2I3</w:t>
            </w:r>
          </w:p>
          <w:p w14:paraId="1887F503" w14:textId="77777777" w:rsidR="00C02B59" w:rsidRPr="00D1795B" w:rsidRDefault="00C02B59" w:rsidP="00C02B59">
            <w:pPr>
              <w:spacing w:after="0"/>
              <w:rPr>
                <w:rFonts w:ascii="Times New Roman" w:hAnsi="Times New Roman" w:cs="Times New Roman"/>
                <w:noProof/>
                <w:sz w:val="18"/>
                <w:szCs w:val="18"/>
              </w:rPr>
            </w:pPr>
            <w:r w:rsidRPr="00D1795B">
              <w:rPr>
                <w:rFonts w:ascii="Times New Roman" w:hAnsi="Times New Roman" w:cs="Times New Roman"/>
                <w:noProof/>
                <w:sz w:val="18"/>
                <w:szCs w:val="18"/>
              </w:rPr>
              <w:t>Establishment of Home structures for people in need of long term care (LTC) </w:t>
            </w:r>
          </w:p>
        </w:tc>
        <w:tc>
          <w:tcPr>
            <w:tcW w:w="1613" w:type="dxa"/>
            <w:shd w:val="clear" w:color="auto" w:fill="C6EFCE"/>
            <w:noWrap/>
          </w:tcPr>
          <w:p w14:paraId="1887F504" w14:textId="77777777" w:rsidR="00C02B59" w:rsidRPr="00D1795B" w:rsidRDefault="00C02B59" w:rsidP="00C02B59">
            <w:pPr>
              <w:spacing w:after="0"/>
              <w:jc w:val="center"/>
              <w:rPr>
                <w:rFonts w:ascii="Times New Roman" w:hAnsi="Times New Roman" w:cs="Times New Roman"/>
                <w:noProof/>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505" w14:textId="77777777" w:rsidR="00C02B59" w:rsidRPr="00D1795B" w:rsidRDefault="00C02B59" w:rsidP="00C02B59">
            <w:pPr>
              <w:spacing w:after="0"/>
              <w:jc w:val="both"/>
              <w:rPr>
                <w:rFonts w:ascii="Times New Roman" w:hAnsi="Times New Roman" w:cs="Times New Roman"/>
                <w:noProof/>
                <w:sz w:val="18"/>
                <w:szCs w:val="18"/>
              </w:rPr>
            </w:pPr>
            <w:r w:rsidRPr="00D1795B">
              <w:rPr>
                <w:rFonts w:ascii="Times New Roman" w:hAnsi="Times New Roman" w:cs="Times New Roman"/>
                <w:noProof/>
                <w:sz w:val="18"/>
                <w:szCs w:val="18"/>
              </w:rPr>
              <w:t>Home structures for people in need of long-term care</w:t>
            </w:r>
          </w:p>
        </w:tc>
      </w:tr>
      <w:tr w:rsidR="00C02B59" w:rsidRPr="00D1795B" w14:paraId="1887F50B" w14:textId="77777777" w:rsidTr="00C02B59">
        <w:trPr>
          <w:cantSplit/>
          <w:trHeight w:val="302"/>
          <w:jc w:val="center"/>
        </w:trPr>
        <w:tc>
          <w:tcPr>
            <w:tcW w:w="1177" w:type="dxa"/>
            <w:shd w:val="clear" w:color="auto" w:fill="C6EFCE"/>
            <w:noWrap/>
          </w:tcPr>
          <w:p w14:paraId="1887F507" w14:textId="77777777" w:rsidR="00C02B59" w:rsidRPr="00D1795B" w:rsidRDefault="00C02B59" w:rsidP="00C02B59">
            <w:pPr>
              <w:spacing w:after="0"/>
              <w:jc w:val="center"/>
              <w:rPr>
                <w:rFonts w:ascii="Times New Roman" w:eastAsia="Times New Roman" w:hAnsi="Times New Roman" w:cs="Times New Roman"/>
                <w:noProof/>
                <w:sz w:val="18"/>
                <w:szCs w:val="18"/>
                <w:lang w:eastAsia="en-GB"/>
              </w:rPr>
            </w:pPr>
            <w:r w:rsidRPr="00D1795B">
              <w:rPr>
                <w:rFonts w:ascii="Times New Roman" w:hAnsi="Times New Roman" w:cs="Times New Roman"/>
                <w:noProof/>
                <w:sz w:val="18"/>
                <w:szCs w:val="18"/>
              </w:rPr>
              <w:t>204</w:t>
            </w:r>
          </w:p>
        </w:tc>
        <w:tc>
          <w:tcPr>
            <w:tcW w:w="3301" w:type="dxa"/>
            <w:shd w:val="clear" w:color="auto" w:fill="C6EFCE"/>
            <w:noWrap/>
          </w:tcPr>
          <w:p w14:paraId="1887F508" w14:textId="77777777" w:rsidR="00C02B59" w:rsidRPr="00D1795B" w:rsidRDefault="00C02B59" w:rsidP="00C02B59">
            <w:pPr>
              <w:spacing w:after="0"/>
              <w:rPr>
                <w:rFonts w:ascii="Times New Roman" w:eastAsia="Times New Roman" w:hAnsi="Times New Roman" w:cs="Times New Roman"/>
                <w:noProof/>
                <w:color w:val="006100"/>
                <w:sz w:val="18"/>
                <w:szCs w:val="18"/>
                <w:lang w:eastAsia="en-GB"/>
              </w:rPr>
            </w:pPr>
            <w:r w:rsidRPr="00D1795B">
              <w:rPr>
                <w:rFonts w:ascii="Times New Roman" w:hAnsi="Times New Roman" w:cs="Times New Roman"/>
                <w:noProof/>
                <w:sz w:val="18"/>
                <w:szCs w:val="18"/>
              </w:rPr>
              <w:t xml:space="preserve">C3.5R8 </w:t>
            </w:r>
            <w:r w:rsidRPr="00D1795B">
              <w:rPr>
                <w:rFonts w:ascii="Times New Roman" w:hAnsi="Times New Roman" w:cs="Times New Roman"/>
                <w:noProof/>
                <w:sz w:val="18"/>
                <w:szCs w:val="18"/>
              </w:rPr>
              <w:br/>
              <w:t>Enhancing supervision of Insurance and Pension Funds</w:t>
            </w:r>
          </w:p>
        </w:tc>
        <w:tc>
          <w:tcPr>
            <w:tcW w:w="1613" w:type="dxa"/>
            <w:shd w:val="clear" w:color="auto" w:fill="C6EFCE"/>
            <w:noWrap/>
          </w:tcPr>
          <w:p w14:paraId="1887F509" w14:textId="77777777" w:rsidR="00C02B59" w:rsidRPr="00D1795B" w:rsidRDefault="00C02B59" w:rsidP="00C02B59">
            <w:pPr>
              <w:spacing w:after="0"/>
              <w:jc w:val="center"/>
              <w:rPr>
                <w:rFonts w:ascii="Times New Roman" w:hAnsi="Times New Roman" w:cs="Times New Roman"/>
                <w:noProof/>
                <w:color w:val="006100"/>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50A" w14:textId="77777777" w:rsidR="00C02B59" w:rsidRPr="00D1795B" w:rsidRDefault="00C02B59" w:rsidP="00C02B59">
            <w:pPr>
              <w:spacing w:after="0"/>
              <w:jc w:val="both"/>
              <w:rPr>
                <w:rFonts w:ascii="Times New Roman" w:hAnsi="Times New Roman" w:cs="Times New Roman"/>
                <w:noProof/>
                <w:color w:val="006100"/>
                <w:sz w:val="18"/>
                <w:szCs w:val="18"/>
              </w:rPr>
            </w:pPr>
            <w:r w:rsidRPr="00D1795B">
              <w:rPr>
                <w:rFonts w:ascii="Times New Roman" w:hAnsi="Times New Roman" w:cs="Times New Roman"/>
                <w:noProof/>
                <w:sz w:val="18"/>
                <w:szCs w:val="18"/>
              </w:rPr>
              <w:t>Employment of additional permanent employees of the Registrar of Occupational Retirement Benefits Fund (RORBF) and the Insurance Companies Control Service (ICCS)</w:t>
            </w:r>
          </w:p>
        </w:tc>
      </w:tr>
      <w:tr w:rsidR="00C02B59" w:rsidRPr="00D1795B" w14:paraId="1887F511" w14:textId="77777777" w:rsidTr="00C02B59">
        <w:trPr>
          <w:cantSplit/>
          <w:trHeight w:val="302"/>
          <w:jc w:val="center"/>
        </w:trPr>
        <w:tc>
          <w:tcPr>
            <w:tcW w:w="1177" w:type="dxa"/>
            <w:shd w:val="clear" w:color="auto" w:fill="C6EFCE"/>
            <w:noWrap/>
          </w:tcPr>
          <w:p w14:paraId="1887F50C" w14:textId="77777777" w:rsidR="00C02B59" w:rsidRPr="00D1795B" w:rsidRDefault="00C02B59" w:rsidP="00C02B59">
            <w:pPr>
              <w:spacing w:after="0"/>
              <w:jc w:val="center"/>
              <w:rPr>
                <w:rFonts w:ascii="Times New Roman" w:eastAsia="Times New Roman" w:hAnsi="Times New Roman" w:cs="Times New Roman"/>
                <w:noProof/>
                <w:color w:val="000000" w:themeColor="text1"/>
                <w:sz w:val="18"/>
                <w:szCs w:val="18"/>
                <w:lang w:eastAsia="en-GB"/>
              </w:rPr>
            </w:pPr>
            <w:r w:rsidRPr="00D1795B">
              <w:rPr>
                <w:rFonts w:ascii="Times New Roman" w:eastAsia="Times New Roman" w:hAnsi="Times New Roman" w:cs="Times New Roman"/>
                <w:noProof/>
                <w:color w:val="000000" w:themeColor="text1"/>
                <w:sz w:val="18"/>
                <w:szCs w:val="18"/>
                <w:lang w:eastAsia="en-GB"/>
              </w:rPr>
              <w:t>138a</w:t>
            </w:r>
          </w:p>
        </w:tc>
        <w:tc>
          <w:tcPr>
            <w:tcW w:w="3301" w:type="dxa"/>
            <w:shd w:val="clear" w:color="auto" w:fill="C6EFCE"/>
            <w:noWrap/>
          </w:tcPr>
          <w:p w14:paraId="1887F50D" w14:textId="77777777" w:rsidR="00C02B59" w:rsidRPr="00D1795B" w:rsidRDefault="00C02B59" w:rsidP="00C02B59">
            <w:pPr>
              <w:spacing w:after="0"/>
              <w:rPr>
                <w:rFonts w:ascii="Times New Roman" w:eastAsia="Times New Roman" w:hAnsi="Times New Roman" w:cs="Times New Roman"/>
                <w:noProof/>
                <w:color w:val="000000" w:themeColor="text1"/>
                <w:sz w:val="18"/>
                <w:szCs w:val="18"/>
                <w:lang w:eastAsia="en-GB"/>
              </w:rPr>
            </w:pPr>
            <w:r w:rsidRPr="00D1795B">
              <w:rPr>
                <w:rFonts w:ascii="Times New Roman" w:eastAsia="Times New Roman" w:hAnsi="Times New Roman" w:cs="Times New Roman"/>
                <w:noProof/>
                <w:color w:val="000000" w:themeColor="text1"/>
                <w:sz w:val="18"/>
                <w:szCs w:val="18"/>
                <w:lang w:eastAsia="en-GB"/>
              </w:rPr>
              <w:t>C3.3R7</w:t>
            </w:r>
          </w:p>
          <w:p w14:paraId="1887F50E" w14:textId="77777777" w:rsidR="00C02B59" w:rsidRPr="00D1795B" w:rsidRDefault="00C02B59" w:rsidP="00C02B59">
            <w:pPr>
              <w:spacing w:after="0"/>
              <w:rPr>
                <w:rFonts w:ascii="Times New Roman" w:eastAsia="Times New Roman" w:hAnsi="Times New Roman" w:cs="Times New Roman"/>
                <w:noProof/>
                <w:color w:val="000000" w:themeColor="text1"/>
                <w:sz w:val="18"/>
                <w:szCs w:val="18"/>
                <w:lang w:eastAsia="en-GB"/>
              </w:rPr>
            </w:pPr>
            <w:r w:rsidRPr="00D1795B">
              <w:rPr>
                <w:rFonts w:ascii="Times New Roman" w:eastAsia="Times New Roman" w:hAnsi="Times New Roman" w:cs="Times New Roman"/>
                <w:noProof/>
                <w:color w:val="000000" w:themeColor="text1"/>
                <w:sz w:val="18"/>
                <w:szCs w:val="18"/>
                <w:lang w:eastAsia="en-GB"/>
              </w:rPr>
              <w:t>Screening of Foreign Direct Investment</w:t>
            </w:r>
          </w:p>
        </w:tc>
        <w:tc>
          <w:tcPr>
            <w:tcW w:w="1613" w:type="dxa"/>
            <w:shd w:val="clear" w:color="auto" w:fill="C6EFCE"/>
            <w:noWrap/>
          </w:tcPr>
          <w:p w14:paraId="1887F50F" w14:textId="77777777" w:rsidR="00C02B59" w:rsidRPr="00D1795B" w:rsidRDefault="00C02B59" w:rsidP="00C02B59">
            <w:pPr>
              <w:spacing w:after="0"/>
              <w:jc w:val="center"/>
              <w:rPr>
                <w:rFonts w:ascii="Times New Roman" w:hAnsi="Times New Roman" w:cs="Times New Roman"/>
                <w:noProof/>
                <w:color w:val="000000" w:themeColor="text1"/>
                <w:sz w:val="18"/>
                <w:szCs w:val="18"/>
              </w:rPr>
            </w:pPr>
            <w:r w:rsidRPr="00D1795B">
              <w:rPr>
                <w:rFonts w:ascii="Times New Roman" w:hAnsi="Times New Roman" w:cs="Times New Roman"/>
                <w:noProof/>
                <w:color w:val="000000" w:themeColor="text1"/>
                <w:sz w:val="18"/>
                <w:szCs w:val="18"/>
              </w:rPr>
              <w:t>Milestone</w:t>
            </w:r>
          </w:p>
        </w:tc>
        <w:tc>
          <w:tcPr>
            <w:tcW w:w="3538" w:type="dxa"/>
            <w:shd w:val="clear" w:color="auto" w:fill="C6EFCE"/>
            <w:noWrap/>
          </w:tcPr>
          <w:p w14:paraId="1887F510" w14:textId="77777777" w:rsidR="00C02B59" w:rsidRPr="00D1795B" w:rsidRDefault="00C02B59" w:rsidP="00C02B59">
            <w:pPr>
              <w:spacing w:after="0"/>
              <w:jc w:val="both"/>
              <w:rPr>
                <w:rFonts w:ascii="Times New Roman" w:hAnsi="Times New Roman" w:cs="Times New Roman"/>
                <w:noProof/>
                <w:color w:val="000000" w:themeColor="text1"/>
                <w:sz w:val="18"/>
                <w:szCs w:val="18"/>
              </w:rPr>
            </w:pPr>
            <w:r w:rsidRPr="00D1795B">
              <w:rPr>
                <w:rFonts w:ascii="Times New Roman" w:eastAsia="Times New Roman" w:hAnsi="Times New Roman" w:cs="Times New Roman"/>
                <w:noProof/>
                <w:color w:val="000000" w:themeColor="text1"/>
                <w:sz w:val="18"/>
                <w:szCs w:val="18"/>
                <w:lang w:eastAsia="en-GB"/>
              </w:rPr>
              <w:t>Entry into force of the legal act(s) on foreign Direct Investment screening</w:t>
            </w:r>
          </w:p>
        </w:tc>
      </w:tr>
      <w:tr w:rsidR="00C02B59" w:rsidRPr="00D1795B" w14:paraId="1887F517" w14:textId="77777777" w:rsidTr="00C02B59">
        <w:trPr>
          <w:cantSplit/>
          <w:trHeight w:val="302"/>
          <w:jc w:val="center"/>
        </w:trPr>
        <w:tc>
          <w:tcPr>
            <w:tcW w:w="1177" w:type="dxa"/>
            <w:shd w:val="clear" w:color="auto" w:fill="C6EFCE"/>
            <w:noWrap/>
          </w:tcPr>
          <w:p w14:paraId="1887F512" w14:textId="77777777" w:rsidR="00C02B59" w:rsidRPr="00D1795B" w:rsidRDefault="00C02B59" w:rsidP="00C02B59">
            <w:pPr>
              <w:spacing w:after="0"/>
              <w:jc w:val="center"/>
              <w:rPr>
                <w:rFonts w:ascii="Times New Roman" w:eastAsia="Times New Roman" w:hAnsi="Times New Roman" w:cs="Times New Roman"/>
                <w:noProof/>
                <w:color w:val="000000" w:themeColor="text1"/>
                <w:sz w:val="18"/>
                <w:szCs w:val="18"/>
                <w:lang w:eastAsia="en-GB"/>
              </w:rPr>
            </w:pPr>
            <w:r w:rsidRPr="00D1795B">
              <w:rPr>
                <w:rFonts w:ascii="Times New Roman" w:eastAsia="Times New Roman" w:hAnsi="Times New Roman" w:cs="Times New Roman"/>
                <w:noProof/>
                <w:color w:val="000000" w:themeColor="text1"/>
                <w:sz w:val="18"/>
                <w:szCs w:val="18"/>
                <w:lang w:eastAsia="en-GB"/>
              </w:rPr>
              <w:t>28b</w:t>
            </w:r>
          </w:p>
        </w:tc>
        <w:tc>
          <w:tcPr>
            <w:tcW w:w="3301" w:type="dxa"/>
            <w:shd w:val="clear" w:color="auto" w:fill="C6EFCE"/>
            <w:noWrap/>
          </w:tcPr>
          <w:p w14:paraId="1887F513" w14:textId="77777777" w:rsidR="00C02B59" w:rsidRPr="00D1795B" w:rsidRDefault="00C02B59" w:rsidP="00C02B59">
            <w:pPr>
              <w:spacing w:after="0"/>
              <w:rPr>
                <w:rFonts w:ascii="Times New Roman" w:eastAsia="Times New Roman" w:hAnsi="Times New Roman" w:cs="Times New Roman"/>
                <w:noProof/>
                <w:color w:val="000000" w:themeColor="text1"/>
                <w:sz w:val="18"/>
                <w:szCs w:val="18"/>
                <w:lang w:eastAsia="en-GB"/>
              </w:rPr>
            </w:pPr>
            <w:r w:rsidRPr="00D1795B">
              <w:rPr>
                <w:rFonts w:ascii="Times New Roman" w:eastAsia="Times New Roman" w:hAnsi="Times New Roman" w:cs="Times New Roman"/>
                <w:noProof/>
                <w:color w:val="000000" w:themeColor="text1"/>
                <w:sz w:val="18"/>
                <w:szCs w:val="18"/>
                <w:lang w:eastAsia="en-GB"/>
              </w:rPr>
              <w:t>C2.1I2</w:t>
            </w:r>
          </w:p>
          <w:p w14:paraId="1887F514" w14:textId="77777777" w:rsidR="00C02B59" w:rsidRPr="00D1795B" w:rsidRDefault="00C02B59" w:rsidP="00C02B59">
            <w:pPr>
              <w:spacing w:after="0"/>
              <w:rPr>
                <w:rFonts w:ascii="Times New Roman" w:eastAsia="Times New Roman" w:hAnsi="Times New Roman" w:cs="Times New Roman"/>
                <w:noProof/>
                <w:color w:val="000000" w:themeColor="text1"/>
                <w:sz w:val="18"/>
                <w:szCs w:val="18"/>
                <w:lang w:eastAsia="en-GB"/>
              </w:rPr>
            </w:pPr>
            <w:r w:rsidRPr="00D1795B">
              <w:rPr>
                <w:rFonts w:ascii="Times New Roman" w:eastAsia="Times New Roman" w:hAnsi="Times New Roman" w:cs="Times New Roman"/>
                <w:noProof/>
                <w:color w:val="000000" w:themeColor="text1"/>
                <w:sz w:val="18"/>
                <w:szCs w:val="18"/>
                <w:lang w:eastAsia="en-GB"/>
              </w:rPr>
              <w:t>Renewables and individual energy efficiency measures in dwellings and tackling energy poverty in households with vulnerable electricity consumers</w:t>
            </w:r>
          </w:p>
        </w:tc>
        <w:tc>
          <w:tcPr>
            <w:tcW w:w="1613" w:type="dxa"/>
            <w:shd w:val="clear" w:color="auto" w:fill="C6EFCE"/>
            <w:noWrap/>
          </w:tcPr>
          <w:p w14:paraId="1887F515" w14:textId="77777777" w:rsidR="00C02B59" w:rsidRPr="00D1795B" w:rsidRDefault="00C02B59" w:rsidP="00C02B59">
            <w:pPr>
              <w:spacing w:after="0"/>
              <w:jc w:val="center"/>
              <w:rPr>
                <w:rFonts w:ascii="Times New Roman" w:hAnsi="Times New Roman" w:cs="Times New Roman"/>
                <w:noProof/>
                <w:color w:val="000000" w:themeColor="text1"/>
                <w:sz w:val="18"/>
                <w:szCs w:val="18"/>
              </w:rPr>
            </w:pPr>
            <w:r w:rsidRPr="00D1795B">
              <w:rPr>
                <w:rFonts w:ascii="Times New Roman" w:hAnsi="Times New Roman" w:cs="Times New Roman"/>
                <w:noProof/>
                <w:color w:val="000000" w:themeColor="text1"/>
                <w:sz w:val="18"/>
                <w:szCs w:val="18"/>
              </w:rPr>
              <w:t>Target</w:t>
            </w:r>
          </w:p>
        </w:tc>
        <w:tc>
          <w:tcPr>
            <w:tcW w:w="3538" w:type="dxa"/>
            <w:shd w:val="clear" w:color="auto" w:fill="C6EFCE"/>
            <w:noWrap/>
          </w:tcPr>
          <w:p w14:paraId="1887F516" w14:textId="77777777" w:rsidR="00C02B59" w:rsidRPr="00D1795B" w:rsidRDefault="00C02B59" w:rsidP="00C02B59">
            <w:pPr>
              <w:spacing w:after="0"/>
              <w:jc w:val="both"/>
              <w:rPr>
                <w:rFonts w:ascii="Times New Roman" w:hAnsi="Times New Roman" w:cs="Times New Roman"/>
                <w:noProof/>
                <w:color w:val="000000" w:themeColor="text1"/>
                <w:sz w:val="18"/>
                <w:szCs w:val="18"/>
              </w:rPr>
            </w:pPr>
            <w:r w:rsidRPr="00D1795B">
              <w:rPr>
                <w:rFonts w:ascii="Times New Roman" w:hAnsi="Times New Roman" w:cs="Times New Roman"/>
                <w:noProof/>
                <w:color w:val="000000" w:themeColor="text1"/>
                <w:sz w:val="18"/>
                <w:szCs w:val="18"/>
              </w:rPr>
              <w:t>Energy efficiency measures in dwellings</w:t>
            </w:r>
          </w:p>
        </w:tc>
      </w:tr>
      <w:tr w:rsidR="00C02B59" w:rsidRPr="00D1795B" w14:paraId="1887F51C" w14:textId="77777777" w:rsidTr="00C02B59">
        <w:trPr>
          <w:cantSplit/>
          <w:trHeight w:val="302"/>
          <w:jc w:val="center"/>
        </w:trPr>
        <w:tc>
          <w:tcPr>
            <w:tcW w:w="1177" w:type="dxa"/>
            <w:shd w:val="clear" w:color="auto" w:fill="C6EFCE"/>
            <w:noWrap/>
          </w:tcPr>
          <w:p w14:paraId="1887F518" w14:textId="77777777" w:rsidR="00C02B59" w:rsidRPr="00D1795B" w:rsidRDefault="00C02B59" w:rsidP="00C02B59">
            <w:pPr>
              <w:spacing w:after="0"/>
              <w:jc w:val="center"/>
              <w:rPr>
                <w:rFonts w:ascii="Times New Roman" w:eastAsia="Times New Roman" w:hAnsi="Times New Roman" w:cs="Times New Roman"/>
                <w:noProof/>
                <w:sz w:val="18"/>
                <w:szCs w:val="18"/>
                <w:lang w:eastAsia="en-GB"/>
              </w:rPr>
            </w:pPr>
            <w:r w:rsidRPr="00D1795B">
              <w:rPr>
                <w:rFonts w:ascii="Times New Roman" w:hAnsi="Times New Roman" w:cs="Times New Roman"/>
                <w:noProof/>
                <w:sz w:val="18"/>
                <w:szCs w:val="18"/>
              </w:rPr>
              <w:t>116b</w:t>
            </w:r>
          </w:p>
        </w:tc>
        <w:tc>
          <w:tcPr>
            <w:tcW w:w="3301" w:type="dxa"/>
            <w:shd w:val="clear" w:color="auto" w:fill="C6EFCE"/>
            <w:noWrap/>
          </w:tcPr>
          <w:p w14:paraId="1887F519" w14:textId="77777777" w:rsidR="00C02B59" w:rsidRPr="00D1795B" w:rsidRDefault="00C02B59" w:rsidP="00C02B59">
            <w:pPr>
              <w:spacing w:after="0"/>
              <w:rPr>
                <w:rFonts w:ascii="Times New Roman" w:eastAsia="Times New Roman" w:hAnsi="Times New Roman" w:cs="Times New Roman"/>
                <w:noProof/>
                <w:color w:val="006100"/>
                <w:sz w:val="18"/>
                <w:szCs w:val="18"/>
                <w:lang w:eastAsia="en-GB"/>
              </w:rPr>
            </w:pPr>
            <w:r w:rsidRPr="00D1795B">
              <w:rPr>
                <w:rFonts w:ascii="Times New Roman" w:hAnsi="Times New Roman" w:cs="Times New Roman"/>
                <w:noProof/>
                <w:sz w:val="18"/>
                <w:szCs w:val="18"/>
              </w:rPr>
              <w:t xml:space="preserve">C3.1I11 Extension of the Cyprus Green Points Network </w:t>
            </w:r>
          </w:p>
        </w:tc>
        <w:tc>
          <w:tcPr>
            <w:tcW w:w="1613" w:type="dxa"/>
            <w:shd w:val="clear" w:color="auto" w:fill="C6EFCE"/>
            <w:noWrap/>
          </w:tcPr>
          <w:p w14:paraId="1887F51A" w14:textId="77777777" w:rsidR="00C02B59" w:rsidRPr="00D1795B" w:rsidRDefault="00C02B59" w:rsidP="00C02B59">
            <w:pPr>
              <w:spacing w:after="0"/>
              <w:jc w:val="center"/>
              <w:rPr>
                <w:rFonts w:ascii="Times New Roman" w:hAnsi="Times New Roman" w:cs="Times New Roman"/>
                <w:noProof/>
                <w:color w:val="006100"/>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51B" w14:textId="05BA8190" w:rsidR="00C02B59" w:rsidRPr="00D1795B" w:rsidRDefault="4C57D90D" w:rsidP="00C02B59">
            <w:pPr>
              <w:spacing w:after="0"/>
              <w:jc w:val="both"/>
              <w:rPr>
                <w:rFonts w:ascii="Times New Roman" w:hAnsi="Times New Roman" w:cs="Times New Roman"/>
                <w:noProof/>
                <w:color w:val="006100"/>
                <w:sz w:val="18"/>
                <w:szCs w:val="18"/>
              </w:rPr>
            </w:pPr>
            <w:r w:rsidRPr="00D1795B">
              <w:rPr>
                <w:rFonts w:ascii="Times New Roman" w:hAnsi="Times New Roman" w:cs="Times New Roman"/>
                <w:noProof/>
                <w:sz w:val="18"/>
                <w:szCs w:val="18"/>
              </w:rPr>
              <w:t>Construction</w:t>
            </w:r>
            <w:r w:rsidR="00C02B59" w:rsidRPr="00D1795B">
              <w:rPr>
                <w:rFonts w:ascii="Times New Roman" w:hAnsi="Times New Roman" w:cs="Times New Roman"/>
                <w:noProof/>
                <w:sz w:val="18"/>
                <w:szCs w:val="18"/>
              </w:rPr>
              <w:t xml:space="preserve"> </w:t>
            </w:r>
            <w:r w:rsidR="00DC7286" w:rsidRPr="00D1795B">
              <w:rPr>
                <w:rFonts w:ascii="Times New Roman" w:hAnsi="Times New Roman" w:cs="Times New Roman"/>
                <w:noProof/>
                <w:sz w:val="18"/>
                <w:szCs w:val="18"/>
              </w:rPr>
              <w:t xml:space="preserve">or extension </w:t>
            </w:r>
            <w:r w:rsidR="00C02B59" w:rsidRPr="00D1795B">
              <w:rPr>
                <w:rFonts w:ascii="Times New Roman" w:hAnsi="Times New Roman" w:cs="Times New Roman"/>
                <w:noProof/>
                <w:sz w:val="18"/>
                <w:szCs w:val="18"/>
              </w:rPr>
              <w:t>of six Green Points</w:t>
            </w:r>
          </w:p>
        </w:tc>
      </w:tr>
      <w:tr w:rsidR="00C02B59" w:rsidRPr="00D1795B" w14:paraId="1887F522" w14:textId="77777777" w:rsidTr="00C02B59">
        <w:trPr>
          <w:cantSplit/>
          <w:trHeight w:val="302"/>
          <w:jc w:val="center"/>
        </w:trPr>
        <w:tc>
          <w:tcPr>
            <w:tcW w:w="1177" w:type="dxa"/>
            <w:shd w:val="clear" w:color="auto" w:fill="C6EFCE"/>
            <w:noWrap/>
          </w:tcPr>
          <w:p w14:paraId="1887F51D" w14:textId="77777777" w:rsidR="00C02B59" w:rsidRPr="00D1795B" w:rsidRDefault="00C02B59" w:rsidP="00C02B59">
            <w:pPr>
              <w:spacing w:after="0"/>
              <w:jc w:val="center"/>
              <w:rPr>
                <w:rFonts w:ascii="Times New Roman" w:eastAsia="Times New Roman" w:hAnsi="Times New Roman" w:cs="Times New Roman"/>
                <w:noProof/>
                <w:sz w:val="18"/>
                <w:szCs w:val="18"/>
                <w:lang w:eastAsia="en-GB"/>
              </w:rPr>
            </w:pPr>
            <w:r w:rsidRPr="00D1795B">
              <w:rPr>
                <w:rFonts w:ascii="Times New Roman" w:hAnsi="Times New Roman" w:cs="Times New Roman"/>
                <w:noProof/>
                <w:sz w:val="18"/>
                <w:szCs w:val="18"/>
              </w:rPr>
              <w:t>271</w:t>
            </w:r>
          </w:p>
        </w:tc>
        <w:tc>
          <w:tcPr>
            <w:tcW w:w="3301" w:type="dxa"/>
            <w:shd w:val="clear" w:color="auto" w:fill="C6EFCE"/>
            <w:noWrap/>
          </w:tcPr>
          <w:p w14:paraId="1887F51E"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C5.2R1</w:t>
            </w:r>
          </w:p>
          <w:p w14:paraId="1887F51F" w14:textId="486D064B" w:rsidR="00C02B59" w:rsidRPr="00D1795B" w:rsidRDefault="00C02B59" w:rsidP="00C02B59">
            <w:pPr>
              <w:spacing w:after="0"/>
              <w:rPr>
                <w:rFonts w:ascii="Times New Roman" w:eastAsia="Times New Roman" w:hAnsi="Times New Roman" w:cs="Times New Roman"/>
                <w:noProof/>
                <w:color w:val="006100"/>
                <w:sz w:val="18"/>
                <w:szCs w:val="18"/>
                <w:lang w:eastAsia="en-GB"/>
              </w:rPr>
            </w:pPr>
            <w:r w:rsidRPr="00D1795B">
              <w:rPr>
                <w:rFonts w:ascii="Times New Roman" w:hAnsi="Times New Roman" w:cs="Times New Roman"/>
                <w:noProof/>
                <w:sz w:val="18"/>
                <w:szCs w:val="18"/>
              </w:rPr>
              <w:t>Reform of the Social Insurance System and Restructuring of the Social Insurance Services</w:t>
            </w:r>
            <w:r w:rsidR="00D1795B">
              <w:rPr>
                <w:rFonts w:ascii="Times New Roman" w:hAnsi="Times New Roman" w:cs="Times New Roman"/>
                <w:noProof/>
                <w:sz w:val="18"/>
                <w:szCs w:val="18"/>
              </w:rPr>
              <w:t xml:space="preserve"> </w:t>
            </w:r>
          </w:p>
        </w:tc>
        <w:tc>
          <w:tcPr>
            <w:tcW w:w="1613" w:type="dxa"/>
            <w:shd w:val="clear" w:color="auto" w:fill="C6EFCE"/>
            <w:noWrap/>
          </w:tcPr>
          <w:p w14:paraId="1887F520" w14:textId="77777777" w:rsidR="00C02B59" w:rsidRPr="00D1795B" w:rsidRDefault="00C02B59" w:rsidP="00C02B59">
            <w:pPr>
              <w:spacing w:after="0"/>
              <w:jc w:val="center"/>
              <w:rPr>
                <w:rFonts w:ascii="Times New Roman" w:hAnsi="Times New Roman" w:cs="Times New Roman"/>
                <w:noProof/>
                <w:color w:val="006100"/>
                <w:sz w:val="18"/>
                <w:szCs w:val="18"/>
              </w:rPr>
            </w:pPr>
            <w:r w:rsidRPr="00D1795B">
              <w:rPr>
                <w:rFonts w:ascii="Times New Roman" w:hAnsi="Times New Roman" w:cs="Times New Roman"/>
                <w:noProof/>
                <w:sz w:val="18"/>
                <w:szCs w:val="18"/>
              </w:rPr>
              <w:t>Milestone</w:t>
            </w:r>
          </w:p>
        </w:tc>
        <w:tc>
          <w:tcPr>
            <w:tcW w:w="3538" w:type="dxa"/>
            <w:shd w:val="clear" w:color="auto" w:fill="C6EFCE"/>
            <w:noWrap/>
          </w:tcPr>
          <w:p w14:paraId="1887F521" w14:textId="77777777" w:rsidR="00C02B59" w:rsidRPr="00D1795B" w:rsidRDefault="00C02B59" w:rsidP="00C02B59">
            <w:pPr>
              <w:spacing w:after="0"/>
              <w:jc w:val="both"/>
              <w:rPr>
                <w:rFonts w:ascii="Times New Roman" w:hAnsi="Times New Roman" w:cs="Times New Roman"/>
                <w:noProof/>
                <w:color w:val="006100"/>
                <w:sz w:val="18"/>
                <w:szCs w:val="18"/>
              </w:rPr>
            </w:pPr>
            <w:r w:rsidRPr="00D1795B">
              <w:rPr>
                <w:rFonts w:ascii="Times New Roman" w:hAnsi="Times New Roman" w:cs="Times New Roman"/>
                <w:noProof/>
                <w:sz w:val="18"/>
                <w:szCs w:val="18"/>
              </w:rPr>
              <w:t>Integrated Social Insurance Information System.</w:t>
            </w:r>
          </w:p>
        </w:tc>
      </w:tr>
      <w:tr w:rsidR="00C02B59" w:rsidRPr="00D1795B" w14:paraId="1887F528" w14:textId="77777777" w:rsidTr="00C02B59">
        <w:trPr>
          <w:cantSplit/>
          <w:trHeight w:val="302"/>
          <w:jc w:val="center"/>
        </w:trPr>
        <w:tc>
          <w:tcPr>
            <w:tcW w:w="1177" w:type="dxa"/>
            <w:shd w:val="clear" w:color="auto" w:fill="C6EFCE"/>
            <w:noWrap/>
          </w:tcPr>
          <w:p w14:paraId="1887F523" w14:textId="77777777" w:rsidR="00C02B59" w:rsidRPr="00D1795B" w:rsidRDefault="00C02B59" w:rsidP="00C02B59">
            <w:pPr>
              <w:spacing w:after="0"/>
              <w:jc w:val="center"/>
              <w:rPr>
                <w:rFonts w:ascii="Times New Roman" w:eastAsia="Times New Roman" w:hAnsi="Times New Roman" w:cs="Times New Roman"/>
                <w:noProof/>
                <w:sz w:val="18"/>
                <w:szCs w:val="18"/>
                <w:lang w:eastAsia="en-GB"/>
              </w:rPr>
            </w:pPr>
            <w:r w:rsidRPr="00D1795B">
              <w:rPr>
                <w:rFonts w:ascii="Times New Roman" w:hAnsi="Times New Roman" w:cs="Times New Roman"/>
                <w:noProof/>
                <w:sz w:val="18"/>
                <w:szCs w:val="18"/>
              </w:rPr>
              <w:t>58</w:t>
            </w:r>
          </w:p>
        </w:tc>
        <w:tc>
          <w:tcPr>
            <w:tcW w:w="3301" w:type="dxa"/>
            <w:shd w:val="clear" w:color="auto" w:fill="C6EFCE"/>
            <w:noWrap/>
          </w:tcPr>
          <w:p w14:paraId="1887F524" w14:textId="77777777" w:rsidR="00C02B59" w:rsidRPr="00D1795B" w:rsidRDefault="00C02B59" w:rsidP="00C02B59">
            <w:pPr>
              <w:spacing w:after="0" w:line="240" w:lineRule="auto"/>
              <w:rPr>
                <w:rFonts w:ascii="Times New Roman" w:eastAsia="Times New Roman" w:hAnsi="Times New Roman" w:cs="Times New Roman"/>
                <w:noProof/>
                <w:sz w:val="18"/>
                <w:szCs w:val="18"/>
              </w:rPr>
            </w:pPr>
            <w:r w:rsidRPr="00D1795B">
              <w:rPr>
                <w:rFonts w:ascii="Times New Roman" w:hAnsi="Times New Roman" w:cs="Times New Roman"/>
                <w:noProof/>
                <w:sz w:val="18"/>
                <w:szCs w:val="18"/>
              </w:rPr>
              <w:t>C2.2I1</w:t>
            </w:r>
          </w:p>
          <w:p w14:paraId="1887F525" w14:textId="77777777" w:rsidR="00C02B59" w:rsidRPr="00D1795B" w:rsidRDefault="00C02B59" w:rsidP="00C02B59">
            <w:pPr>
              <w:spacing w:after="0"/>
              <w:rPr>
                <w:rFonts w:ascii="Times New Roman" w:eastAsia="Times New Roman" w:hAnsi="Times New Roman" w:cs="Times New Roman"/>
                <w:noProof/>
                <w:color w:val="006100"/>
                <w:sz w:val="18"/>
                <w:szCs w:val="18"/>
                <w:lang w:eastAsia="en-GB"/>
              </w:rPr>
            </w:pPr>
            <w:r w:rsidRPr="00D1795B">
              <w:rPr>
                <w:rFonts w:ascii="Times New Roman" w:hAnsi="Times New Roman" w:cs="Times New Roman"/>
                <w:noProof/>
                <w:sz w:val="18"/>
                <w:szCs w:val="18"/>
              </w:rPr>
              <w:t>Sustainable Urban Mobility Projects (SUMP) and accessibility enhancing measures</w:t>
            </w:r>
          </w:p>
        </w:tc>
        <w:tc>
          <w:tcPr>
            <w:tcW w:w="1613" w:type="dxa"/>
            <w:shd w:val="clear" w:color="auto" w:fill="C6EFCE"/>
            <w:noWrap/>
          </w:tcPr>
          <w:p w14:paraId="1887F526" w14:textId="77777777" w:rsidR="00C02B59" w:rsidRPr="00D1795B" w:rsidRDefault="00C02B59" w:rsidP="00C02B59">
            <w:pPr>
              <w:spacing w:after="0"/>
              <w:jc w:val="center"/>
              <w:rPr>
                <w:rFonts w:ascii="Times New Roman" w:hAnsi="Times New Roman" w:cs="Times New Roman"/>
                <w:noProof/>
                <w:color w:val="006100"/>
                <w:sz w:val="18"/>
                <w:szCs w:val="18"/>
              </w:rPr>
            </w:pPr>
            <w:r w:rsidRPr="00D1795B">
              <w:rPr>
                <w:rFonts w:ascii="Times New Roman" w:hAnsi="Times New Roman" w:cs="Times New Roman"/>
                <w:noProof/>
                <w:sz w:val="18"/>
                <w:szCs w:val="18"/>
              </w:rPr>
              <w:t>Target</w:t>
            </w:r>
          </w:p>
        </w:tc>
        <w:tc>
          <w:tcPr>
            <w:tcW w:w="3538" w:type="dxa"/>
            <w:shd w:val="clear" w:color="auto" w:fill="C6EFCE"/>
            <w:noWrap/>
          </w:tcPr>
          <w:p w14:paraId="1887F527" w14:textId="77777777" w:rsidR="00C02B59" w:rsidRPr="00D1795B" w:rsidRDefault="00C02B59" w:rsidP="00C02B59">
            <w:pPr>
              <w:spacing w:after="0"/>
              <w:jc w:val="both"/>
              <w:rPr>
                <w:rFonts w:ascii="Times New Roman" w:hAnsi="Times New Roman" w:cs="Times New Roman"/>
                <w:noProof/>
                <w:color w:val="006100"/>
                <w:sz w:val="18"/>
                <w:szCs w:val="18"/>
              </w:rPr>
            </w:pPr>
            <w:r w:rsidRPr="00D1795B">
              <w:rPr>
                <w:rFonts w:ascii="Times New Roman" w:hAnsi="Times New Roman" w:cs="Times New Roman"/>
                <w:noProof/>
                <w:sz w:val="18"/>
                <w:szCs w:val="18"/>
              </w:rPr>
              <w:t>Construction work for at least 35 km of sustainable transport routes</w:t>
            </w:r>
          </w:p>
        </w:tc>
      </w:tr>
      <w:tr w:rsidR="00C02B59" w:rsidRPr="00D1795B" w14:paraId="1887F52E" w14:textId="77777777" w:rsidTr="00C02B59">
        <w:trPr>
          <w:cantSplit/>
          <w:trHeight w:val="302"/>
          <w:jc w:val="center"/>
        </w:trPr>
        <w:tc>
          <w:tcPr>
            <w:tcW w:w="1177" w:type="dxa"/>
            <w:shd w:val="clear" w:color="auto" w:fill="C6EFCE"/>
            <w:noWrap/>
            <w:vAlign w:val="bottom"/>
          </w:tcPr>
          <w:p w14:paraId="1887F529" w14:textId="77777777" w:rsidR="00C02B59" w:rsidRPr="00D1795B" w:rsidRDefault="00C02B59" w:rsidP="00C02B59">
            <w:pPr>
              <w:spacing w:after="0"/>
              <w:jc w:val="center"/>
              <w:rPr>
                <w:rFonts w:ascii="Times New Roman" w:eastAsia="Times New Roman" w:hAnsi="Times New Roman" w:cs="Times New Roman"/>
                <w:noProof/>
                <w:sz w:val="18"/>
                <w:szCs w:val="18"/>
                <w:lang w:eastAsia="en-GB"/>
              </w:rPr>
            </w:pPr>
          </w:p>
        </w:tc>
        <w:tc>
          <w:tcPr>
            <w:tcW w:w="3301" w:type="dxa"/>
            <w:shd w:val="clear" w:color="auto" w:fill="C6EFCE"/>
            <w:noWrap/>
            <w:vAlign w:val="bottom"/>
          </w:tcPr>
          <w:p w14:paraId="1887F52A" w14:textId="77777777" w:rsidR="00C02B59" w:rsidRPr="00D1795B" w:rsidRDefault="00C02B59" w:rsidP="00C02B59">
            <w:pPr>
              <w:spacing w:after="0"/>
              <w:rPr>
                <w:rFonts w:ascii="Times New Roman" w:eastAsia="Times New Roman" w:hAnsi="Times New Roman" w:cs="Times New Roman"/>
                <w:noProof/>
                <w:color w:val="006100"/>
                <w:sz w:val="18"/>
                <w:szCs w:val="18"/>
                <w:lang w:eastAsia="en-GB"/>
              </w:rPr>
            </w:pPr>
          </w:p>
        </w:tc>
        <w:tc>
          <w:tcPr>
            <w:tcW w:w="1613" w:type="dxa"/>
            <w:shd w:val="clear" w:color="auto" w:fill="C6EFCE"/>
            <w:noWrap/>
            <w:vAlign w:val="bottom"/>
            <w:hideMark/>
          </w:tcPr>
          <w:p w14:paraId="1887F52B"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r w:rsidRPr="00D1795B">
              <w:rPr>
                <w:rFonts w:ascii="Times New Roman" w:hAnsi="Times New Roman" w:cs="Times New Roman"/>
                <w:noProof/>
                <w:color w:val="006100"/>
                <w:sz w:val="18"/>
                <w:szCs w:val="18"/>
              </w:rPr>
              <w:t>Instalment Amount</w:t>
            </w:r>
          </w:p>
        </w:tc>
        <w:tc>
          <w:tcPr>
            <w:tcW w:w="3538" w:type="dxa"/>
            <w:shd w:val="clear" w:color="auto" w:fill="C6EFCE"/>
            <w:noWrap/>
            <w:vAlign w:val="bottom"/>
            <w:hideMark/>
          </w:tcPr>
          <w:p w14:paraId="1887F52C" w14:textId="77777777" w:rsidR="00C02B59" w:rsidRPr="00D1795B" w:rsidRDefault="00C02B59" w:rsidP="00C02B59">
            <w:pPr>
              <w:spacing w:after="0"/>
              <w:rPr>
                <w:rFonts w:ascii="Times New Roman" w:hAnsi="Times New Roman" w:cs="Times New Roman"/>
                <w:noProof/>
                <w:color w:val="006100"/>
                <w:sz w:val="18"/>
                <w:szCs w:val="18"/>
              </w:rPr>
            </w:pPr>
            <w:r w:rsidRPr="00D1795B">
              <w:rPr>
                <w:rFonts w:ascii="Times New Roman" w:hAnsi="Times New Roman" w:cs="Times New Roman"/>
                <w:noProof/>
                <w:color w:val="006100"/>
                <w:sz w:val="18"/>
                <w:szCs w:val="18"/>
              </w:rPr>
              <w:t>EUR 265 772 568</w:t>
            </w:r>
          </w:p>
          <w:p w14:paraId="1887F52D" w14:textId="77777777" w:rsidR="00C02B59" w:rsidRPr="00D1795B" w:rsidRDefault="00C02B59" w:rsidP="00C02B59">
            <w:pPr>
              <w:spacing w:after="0"/>
              <w:jc w:val="center"/>
              <w:rPr>
                <w:rFonts w:ascii="Times New Roman" w:eastAsia="Times New Roman" w:hAnsi="Times New Roman" w:cs="Times New Roman"/>
                <w:noProof/>
                <w:color w:val="006100"/>
                <w:sz w:val="18"/>
                <w:szCs w:val="18"/>
              </w:rPr>
            </w:pPr>
          </w:p>
        </w:tc>
      </w:tr>
    </w:tbl>
    <w:p w14:paraId="1887F52F" w14:textId="77777777" w:rsidR="00C02B59" w:rsidRPr="00D1795B" w:rsidRDefault="00C02B59" w:rsidP="00C02B59">
      <w:pPr>
        <w:pStyle w:val="Text1"/>
        <w:ind w:left="0"/>
        <w:rPr>
          <w:noProof/>
          <w:lang w:val="en-GB"/>
        </w:rPr>
        <w:sectPr w:rsidR="00C02B59" w:rsidRPr="00D1795B" w:rsidSect="00C02B59">
          <w:headerReference w:type="even" r:id="rId221"/>
          <w:headerReference w:type="default" r:id="rId222"/>
          <w:footerReference w:type="even" r:id="rId223"/>
          <w:footerReference w:type="default" r:id="rId224"/>
          <w:headerReference w:type="first" r:id="rId225"/>
          <w:footerReference w:type="first" r:id="rId226"/>
          <w:pgSz w:w="11907" w:h="16839"/>
          <w:pgMar w:top="1134" w:right="1134" w:bottom="1134" w:left="1134" w:header="567" w:footer="567" w:gutter="0"/>
          <w:cols w:space="720"/>
          <w:docGrid w:linePitch="360"/>
        </w:sectPr>
      </w:pPr>
    </w:p>
    <w:p w14:paraId="1887F530" w14:textId="77777777" w:rsidR="00C02B59" w:rsidRPr="00D1795B" w:rsidRDefault="00C02B59" w:rsidP="00C02B59">
      <w:pPr>
        <w:keepNext/>
        <w:spacing w:before="360" w:after="240" w:line="240" w:lineRule="auto"/>
        <w:jc w:val="both"/>
        <w:outlineLvl w:val="0"/>
        <w:rPr>
          <w:rFonts w:ascii="Times New Roman" w:hAnsi="Times New Roman" w:cs="Times New Roman"/>
          <w:b/>
          <w:bCs/>
          <w:smallCaps/>
          <w:noProof/>
        </w:rPr>
      </w:pPr>
      <w:r w:rsidRPr="00D1795B">
        <w:rPr>
          <w:rFonts w:ascii="Times New Roman" w:hAnsi="Times New Roman"/>
          <w:b/>
          <w:bCs/>
          <w:smallCaps/>
          <w:noProof/>
        </w:rPr>
        <w:t xml:space="preserve">SECTION 3: ADDITIONAL ARRANGEMENTS </w:t>
      </w:r>
    </w:p>
    <w:p w14:paraId="1887F531" w14:textId="77777777" w:rsidR="00C02B59" w:rsidRPr="00D1795B" w:rsidRDefault="00C02B59" w:rsidP="00C02B59">
      <w:pPr>
        <w:pStyle w:val="NumPar1"/>
        <w:numPr>
          <w:ilvl w:val="0"/>
          <w:numId w:val="34"/>
        </w:numPr>
        <w:rPr>
          <w:b/>
          <w:bCs/>
          <w:noProof/>
          <w:lang w:val="en-GB"/>
        </w:rPr>
      </w:pPr>
      <w:r w:rsidRPr="00D1795B">
        <w:rPr>
          <w:b/>
          <w:noProof/>
          <w:lang w:val="en-GB"/>
        </w:rPr>
        <w:t>Arrangements for monitoring and implementation of the recovery and resilience plan</w:t>
      </w:r>
    </w:p>
    <w:p w14:paraId="1887F532" w14:textId="77777777" w:rsidR="00C02B59" w:rsidRPr="00D1795B" w:rsidRDefault="00C02B59" w:rsidP="00C02B59">
      <w:pPr>
        <w:pStyle w:val="Text1"/>
        <w:ind w:left="851"/>
        <w:rPr>
          <w:noProof/>
          <w:lang w:val="en-GB"/>
        </w:rPr>
      </w:pPr>
      <w:r w:rsidRPr="00D1795B">
        <w:rPr>
          <w:noProof/>
          <w:lang w:val="en-GB"/>
        </w:rPr>
        <w:t xml:space="preserve">The monitoring and implementation of the recovery and resilience plan of Cyprus has been set out in the Council of Ministers decision of 14 May 2021, which approved the plan. They shall take place in accordance with the following arrangements: </w:t>
      </w:r>
    </w:p>
    <w:p w14:paraId="1887F533" w14:textId="77777777" w:rsidR="00C02B59" w:rsidRPr="00D1795B" w:rsidRDefault="00C02B59" w:rsidP="00C02B59">
      <w:pPr>
        <w:pStyle w:val="Text1"/>
        <w:numPr>
          <w:ilvl w:val="0"/>
          <w:numId w:val="35"/>
        </w:numPr>
        <w:ind w:left="1208" w:hanging="357"/>
        <w:rPr>
          <w:noProof/>
          <w:lang w:val="en-GB"/>
        </w:rPr>
      </w:pPr>
      <w:bookmarkStart w:id="12" w:name="_Ref74300103"/>
      <w:r w:rsidRPr="00D1795B">
        <w:rPr>
          <w:noProof/>
          <w:lang w:val="en-GB"/>
        </w:rPr>
        <w:t>The Monitoring Committee, chaired by the Director General of the Directorate General Growth, Ministry of Finance and attended by the Directors-General of Ministries and Deputy Ministries involved in the plan, shall be responsible for centrally monitoring progress in implementation, resolving issues and responding to risks at the highest technical level. It shall convene at least before each submission to the Commission of requests for payment and progress reports provided for under Regulation (EU) 2021/241. It may rely on reporting and other support from the Coordinating Authority.</w:t>
      </w:r>
    </w:p>
    <w:p w14:paraId="1887F534" w14:textId="77777777" w:rsidR="00C02B59" w:rsidRPr="00D1795B" w:rsidRDefault="00C02B59" w:rsidP="00C02B59">
      <w:pPr>
        <w:pStyle w:val="Text1"/>
        <w:numPr>
          <w:ilvl w:val="0"/>
          <w:numId w:val="35"/>
        </w:numPr>
        <w:ind w:left="1208" w:hanging="357"/>
        <w:rPr>
          <w:noProof/>
          <w:lang w:val="en-GB"/>
        </w:rPr>
      </w:pPr>
      <w:r w:rsidRPr="00D1795B">
        <w:rPr>
          <w:noProof/>
          <w:lang w:val="en-GB"/>
        </w:rPr>
        <w:t xml:space="preserve">The Coordinating Authority, which is the Directorate for Recovery and Resilience of the Directorate General Growth, shall be responsible for the monitoring and implementation of the recovery and resilience plan at operational level. Specifically, the Coordinating Authority is responsible for monitoring, verifying and certifying the achievement of the milestones and targets of measures of the plan and ensuring the timely submission of all information described in Article 22(2), point (d) of Regulation (EU) 2021/241. In performing its monitoring functions, the Coordinating Authority is assisted by two specialised Monitoring Bodies designated for specific measures of the plan. </w:t>
      </w:r>
    </w:p>
    <w:p w14:paraId="1887F535" w14:textId="77777777" w:rsidR="00C02B59" w:rsidRPr="00D1795B" w:rsidRDefault="00C02B59" w:rsidP="00C02B59">
      <w:pPr>
        <w:pStyle w:val="Text1"/>
        <w:numPr>
          <w:ilvl w:val="0"/>
          <w:numId w:val="35"/>
        </w:numPr>
        <w:ind w:left="1208" w:hanging="357"/>
        <w:rPr>
          <w:noProof/>
          <w:lang w:val="en-GB"/>
        </w:rPr>
      </w:pPr>
      <w:r w:rsidRPr="00D1795B">
        <w:rPr>
          <w:noProof/>
          <w:lang w:val="en-GB"/>
        </w:rPr>
        <w:t xml:space="preserve">The National Control and Audit Coordinator for the implementation of the plan, which is the Verifications and Certification Directorate of the Treasury of the Republic of Cyprus, shall be responsible for supporting the Coordinating Authority in overseeing controls by all stakeholders, including Implementing Bodies, in accordance with the management and control system of the plan and the national and EU legislation. In that respect, it shall also monitor the status of the findings of ex post audits, acting as the intermediate body between the Coordinating Authority and the Internal Audit Service of the Republic of Cyprus and the Audit Office of the Republic of Cyprus (together, “the audit bodies”). The National Control and Audit Coordinator shall not be involved in the planning and execution of the audits, which is within the sole responsibility of the audit bodies. It shall manage and process all information described in Article 22(2), point (d) of Regulation (EU) 2021/241, collected by the Implementing Bodies. In this respect, it has the responsibility to oversee the treatment of serious irregularities, meaning fraud, corruption and conflicts of interests, and ensure that double funding is avoided through controls of the information submitted by the Implementing Bodies. </w:t>
      </w:r>
    </w:p>
    <w:p w14:paraId="1887F536" w14:textId="77777777" w:rsidR="00C02B59" w:rsidRPr="00D1795B" w:rsidRDefault="00C02B59" w:rsidP="00C02B59">
      <w:pPr>
        <w:pStyle w:val="Text1"/>
        <w:numPr>
          <w:ilvl w:val="0"/>
          <w:numId w:val="35"/>
        </w:numPr>
        <w:ind w:left="1208" w:hanging="357"/>
        <w:rPr>
          <w:noProof/>
          <w:lang w:val="en-GB"/>
        </w:rPr>
      </w:pPr>
      <w:r w:rsidRPr="00D1795B">
        <w:rPr>
          <w:noProof/>
          <w:lang w:val="en-GB"/>
        </w:rPr>
        <w:t>The Implementing Bodies shall have the first line responsibility to prevent, detect, report and correct conflicts of interest, corruption and fraud, and avoid double funding. To that end, they shall undertake first level controls and verifications of the physical and financial aspect of the measures under their responsibility and regularly update the Coordinating Authority and the specialised Monitoring Bodies, where relevant, regarding progress in achieving the milestones and targets of the measures under their responsibility and by providing all the necessary supporting documentation.</w:t>
      </w:r>
    </w:p>
    <w:bookmarkEnd w:id="12"/>
    <w:p w14:paraId="1887F537" w14:textId="77777777" w:rsidR="00C02B59" w:rsidRPr="00D1795B" w:rsidRDefault="00C02B59" w:rsidP="00C02B59">
      <w:pPr>
        <w:pStyle w:val="Text1"/>
        <w:numPr>
          <w:ilvl w:val="0"/>
          <w:numId w:val="35"/>
        </w:numPr>
        <w:ind w:left="1208" w:hanging="357"/>
        <w:rPr>
          <w:noProof/>
          <w:lang w:val="en-GB"/>
        </w:rPr>
      </w:pPr>
      <w:r w:rsidRPr="00D1795B">
        <w:rPr>
          <w:noProof/>
          <w:lang w:val="en-GB"/>
        </w:rPr>
        <w:t xml:space="preserve">The Internal Audit Service of the Republic of Cyprus is responsible for conducting ex post internal audits in any central government body including the audit of the achievement of milestones and targets of the plan, through an appropriate sampling method. The Audit Office of the Republic of Cyprus is responsible for conducting financial, performance and compliance ex post (and in some cases real time) external audits for projects implemented under the national budget through an appropriate sampling method which complies with the </w:t>
      </w:r>
      <w:r w:rsidRPr="00D1795B">
        <w:rPr>
          <w:noProof/>
          <w:color w:val="000000" w:themeColor="text1"/>
          <w:lang w:val="en-GB"/>
        </w:rPr>
        <w:t xml:space="preserve">International Organisation of Supreme Audit Institutions (INTOSAI) </w:t>
      </w:r>
      <w:r w:rsidRPr="00D1795B">
        <w:rPr>
          <w:noProof/>
          <w:lang w:val="en-GB"/>
        </w:rPr>
        <w:t xml:space="preserve">standards. It shall be ensured that the selected sample necessarily includes a sufficient number of measures implemented through the recovery and resilience plan. </w:t>
      </w:r>
    </w:p>
    <w:p w14:paraId="1887F538" w14:textId="77777777" w:rsidR="00C02B59" w:rsidRPr="00D1795B" w:rsidRDefault="00C02B59" w:rsidP="00C02B59">
      <w:pPr>
        <w:pStyle w:val="Text1"/>
        <w:numPr>
          <w:ilvl w:val="0"/>
          <w:numId w:val="35"/>
        </w:numPr>
        <w:ind w:left="1208" w:hanging="357"/>
        <w:rPr>
          <w:noProof/>
          <w:lang w:val="en-GB"/>
        </w:rPr>
      </w:pPr>
      <w:r w:rsidRPr="00D1795B">
        <w:rPr>
          <w:noProof/>
          <w:lang w:val="en-GB"/>
        </w:rPr>
        <w:t xml:space="preserve">The Coordinating Authority shall be the body drawing up the requests for payment to the European Commission. The Coordinating Authority shall be supported by the National Control and Audit Coordinator in retrieving the results of audit procedures undertaken by the audit bodies (including the Internal Audit Service and the Audit Office), as well as all cases of serious irregularities, including cases of fraud or suspicion of fraud, corruption and conflicts of interest, that shall feed into the summary of audits, which shall accompany payment applications. </w:t>
      </w:r>
    </w:p>
    <w:p w14:paraId="1887F539" w14:textId="77777777" w:rsidR="00C02B59" w:rsidRPr="00D1795B" w:rsidRDefault="00C02B59" w:rsidP="00C02B59">
      <w:pPr>
        <w:pStyle w:val="Text1"/>
        <w:ind w:left="970"/>
        <w:rPr>
          <w:noProof/>
          <w:lang w:val="en-GB"/>
        </w:rPr>
      </w:pPr>
    </w:p>
    <w:p w14:paraId="1887F53A" w14:textId="77777777" w:rsidR="00C02B59" w:rsidRPr="00D1795B" w:rsidRDefault="00C02B59" w:rsidP="00C02B59">
      <w:pPr>
        <w:pStyle w:val="NumPar1"/>
        <w:tabs>
          <w:tab w:val="num" w:pos="850"/>
        </w:tabs>
        <w:ind w:left="850" w:hanging="850"/>
        <w:rPr>
          <w:b/>
          <w:bCs/>
          <w:noProof/>
          <w:lang w:val="en-GB"/>
        </w:rPr>
      </w:pPr>
      <w:r w:rsidRPr="00D1795B">
        <w:rPr>
          <w:b/>
          <w:noProof/>
          <w:lang w:val="en-GB"/>
        </w:rPr>
        <w:t>Arrangements for providing full access by the Commission to the underlying data</w:t>
      </w:r>
    </w:p>
    <w:p w14:paraId="1887F53B" w14:textId="77777777" w:rsidR="00C02B59" w:rsidRPr="00D1795B" w:rsidRDefault="00C02B59" w:rsidP="00C02B59">
      <w:pPr>
        <w:pStyle w:val="Text1"/>
        <w:ind w:left="851"/>
        <w:rPr>
          <w:noProof/>
          <w:lang w:val="en-GB"/>
        </w:rPr>
      </w:pPr>
      <w:r w:rsidRPr="00D1795B">
        <w:rPr>
          <w:noProof/>
          <w:lang w:val="en-GB"/>
        </w:rPr>
        <w:t>A dedicated Monitoring Information System (MIS) shall be used by the Directorate for Recovery and Resilience of the Directorate General Growth for the implementation of the plan. Its core functionalities, or a contingent repository system with the required functionalities, shall be in place as attested by an audit report by 31 March 2022. In terms of required functionalities, a repository system shall record and store the relevant data related to the implementation of the recovery and resilience plan, in particular on the achievement of milestones and targets, data on final recipients, contractors, subcontractors and beneficial owners in line with Article 22(2), point (d), sections (i) to (iii) of Regulation (EU) 2021/241, by the first payment request.</w:t>
      </w:r>
    </w:p>
    <w:p w14:paraId="1887F53C" w14:textId="77777777" w:rsidR="00C02B59" w:rsidRPr="00D1795B" w:rsidRDefault="00C02B59" w:rsidP="00C02B59">
      <w:pPr>
        <w:pStyle w:val="Text1"/>
        <w:ind w:left="851"/>
        <w:rPr>
          <w:noProof/>
          <w:lang w:val="en-GB"/>
        </w:rPr>
      </w:pPr>
      <w:r w:rsidRPr="00D1795B">
        <w:rPr>
          <w:noProof/>
          <w:lang w:val="en-GB"/>
        </w:rPr>
        <w:t>In accordance with Article 24(2) of Regulation (EU) 2021/241, upon completion of the relevant agreed milestones and targets in Section 1 of this Annex, Cyprus shall submit to the Commission a duly justified request for payment of the financial contribution and of the loan. Cyprus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p w14:paraId="1887F53D" w14:textId="77777777" w:rsidR="00C02B59" w:rsidRPr="000F72B9" w:rsidRDefault="00C02B59" w:rsidP="00C02B59">
      <w:pPr>
        <w:rPr>
          <w:noProof/>
        </w:rPr>
      </w:pPr>
    </w:p>
    <w:sectPr w:rsidR="00C02B59" w:rsidRPr="000F72B9" w:rsidSect="00C02B59">
      <w:headerReference w:type="even" r:id="rId227"/>
      <w:headerReference w:type="default" r:id="rId228"/>
      <w:footerReference w:type="even" r:id="rId229"/>
      <w:footerReference w:type="default" r:id="rId230"/>
      <w:headerReference w:type="first" r:id="rId231"/>
      <w:footerReference w:type="first" r:id="rId232"/>
      <w:pgSz w:w="12240" w:h="15840"/>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42E2F" w14:textId="77777777" w:rsidR="002A3D64" w:rsidRPr="00D1795B" w:rsidRDefault="002A3D64" w:rsidP="00A43C50">
      <w:r w:rsidRPr="00D1795B">
        <w:separator/>
      </w:r>
    </w:p>
  </w:endnote>
  <w:endnote w:type="continuationSeparator" w:id="0">
    <w:p w14:paraId="37051E32" w14:textId="77777777" w:rsidR="002A3D64" w:rsidRPr="00D1795B" w:rsidRDefault="002A3D64" w:rsidP="00A43C50">
      <w:r w:rsidRPr="00D179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0CA08" w14:textId="46F9D254" w:rsidR="00DB72F8" w:rsidRPr="00DB72F8" w:rsidRDefault="00DB72F8" w:rsidP="00DB72F8">
    <w:pPr>
      <w:pStyle w:val="FooterCoverPage"/>
      <w:rPr>
        <w:rFonts w:ascii="Arial" w:hAnsi="Arial" w:cs="Arial" w:hint="eastAsia"/>
        <w:b/>
        <w:sz w:val="48"/>
      </w:rPr>
    </w:pPr>
    <w:r w:rsidRPr="00DB72F8">
      <w:rPr>
        <w:rFonts w:ascii="Arial" w:hAnsi="Arial" w:cs="Arial"/>
        <w:b/>
        <w:sz w:val="48"/>
      </w:rPr>
      <w:t>EN</w:t>
    </w:r>
    <w:r w:rsidRPr="00DB72F8">
      <w:rPr>
        <w:rFonts w:ascii="Arial" w:hAnsi="Arial" w:cs="Arial"/>
        <w:b/>
        <w:sz w:val="48"/>
      </w:rPr>
      <w:tab/>
    </w:r>
    <w:r w:rsidRPr="00DB72F8">
      <w:rPr>
        <w:rFonts w:ascii="Arial" w:hAnsi="Arial" w:cs="Arial"/>
        <w:b/>
        <w:sz w:val="48"/>
      </w:rPr>
      <w:tab/>
    </w:r>
    <w:r w:rsidRPr="00DB72F8">
      <w:tab/>
    </w:r>
    <w:r w:rsidRPr="00DB72F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B0279" w14:textId="4A544E45" w:rsidR="00DB72F8" w:rsidRPr="00DB72F8" w:rsidRDefault="00DB72F8" w:rsidP="00DB72F8">
    <w:pPr>
      <w:pStyle w:val="FooterCoverPage"/>
      <w:rPr>
        <w:rFonts w:ascii="Arial" w:hAnsi="Arial" w:cs="Arial" w:hint="eastAsia"/>
        <w:b/>
        <w:sz w:val="48"/>
      </w:rPr>
    </w:pPr>
    <w:r w:rsidRPr="00DB72F8">
      <w:rPr>
        <w:rFonts w:ascii="Arial" w:hAnsi="Arial" w:cs="Arial"/>
        <w:b/>
        <w:sz w:val="48"/>
      </w:rPr>
      <w:t>EN</w:t>
    </w:r>
    <w:r w:rsidRPr="00DB72F8">
      <w:rPr>
        <w:rFonts w:ascii="Arial" w:hAnsi="Arial" w:cs="Arial"/>
        <w:b/>
        <w:sz w:val="48"/>
      </w:rPr>
      <w:tab/>
    </w:r>
    <w:r w:rsidRPr="00DB72F8">
      <w:rPr>
        <w:rFonts w:ascii="Arial" w:hAnsi="Arial" w:cs="Arial"/>
        <w:b/>
        <w:sz w:val="48"/>
      </w:rPr>
      <w:tab/>
    </w:r>
    <w:r w:rsidRPr="00DB72F8">
      <w:tab/>
    </w:r>
    <w:r w:rsidRPr="00DB72F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6C18E" w14:textId="77777777" w:rsidR="00DB72F8" w:rsidRPr="00DB72F8" w:rsidRDefault="00DB72F8" w:rsidP="00DB72F8">
    <w:pPr>
      <w:pStyle w:val="FooterCoverPage"/>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69331" w14:textId="77777777" w:rsidR="00A56E01" w:rsidRPr="00D1795B" w:rsidRDefault="00A56E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4178805"/>
      <w:docPartObj>
        <w:docPartGallery w:val="Page Numbers (Bottom of Page)"/>
        <w:docPartUnique/>
      </w:docPartObj>
    </w:sdtPr>
    <w:sdtEndPr>
      <w:rPr>
        <w:rFonts w:ascii="Times New Roman" w:hAnsi="Times New Roman" w:cs="Times New Roman"/>
      </w:rPr>
    </w:sdtEndPr>
    <w:sdtContent>
      <w:p w14:paraId="21B2E48C" w14:textId="3008298E" w:rsidR="00F6716A" w:rsidRPr="00D1795B" w:rsidRDefault="00F6716A">
        <w:pPr>
          <w:pStyle w:val="Footer"/>
          <w:jc w:val="center"/>
          <w:rPr>
            <w:rFonts w:ascii="Times New Roman" w:hAnsi="Times New Roman" w:cs="Times New Roman"/>
          </w:rPr>
        </w:pPr>
        <w:r w:rsidRPr="00D1795B">
          <w:rPr>
            <w:rFonts w:ascii="Times New Roman" w:hAnsi="Times New Roman" w:cs="Times New Roman"/>
          </w:rPr>
          <w:fldChar w:fldCharType="begin"/>
        </w:r>
        <w:r w:rsidRPr="00D1795B">
          <w:rPr>
            <w:rFonts w:ascii="Times New Roman" w:hAnsi="Times New Roman" w:cs="Times New Roman"/>
          </w:rPr>
          <w:instrText xml:space="preserve"> PAGE   \* MERGEFORMAT </w:instrText>
        </w:r>
        <w:r w:rsidRPr="00D1795B">
          <w:rPr>
            <w:rFonts w:ascii="Times New Roman" w:hAnsi="Times New Roman" w:cs="Times New Roman"/>
          </w:rPr>
          <w:fldChar w:fldCharType="separate"/>
        </w:r>
        <w:r w:rsidR="00DB72F8">
          <w:rPr>
            <w:rFonts w:ascii="Times New Roman" w:hAnsi="Times New Roman" w:cs="Times New Roman"/>
            <w:noProof/>
          </w:rPr>
          <w:t>3</w:t>
        </w:r>
        <w:r w:rsidRPr="00D1795B">
          <w:rPr>
            <w:rFonts w:ascii="Times New Roman" w:hAnsi="Times New Roman" w:cs="Times New Roman"/>
          </w:rPr>
          <w:fldChar w:fldCharType="end"/>
        </w:r>
      </w:p>
    </w:sdtContent>
  </w:sdt>
  <w:p w14:paraId="497B99FC" w14:textId="77777777" w:rsidR="00A56E01" w:rsidRPr="00D1795B" w:rsidRDefault="00A56E01">
    <w:pPr>
      <w:pStyle w:val="FooterCouncil"/>
      <w:rPr>
        <w:lang w:val="en-GB"/>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3CA03" w14:textId="77777777" w:rsidR="00A56E01" w:rsidRPr="00D1795B" w:rsidRDefault="00A56E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82" w14:textId="77777777" w:rsidR="00C02B59" w:rsidRPr="00D1795B" w:rsidRDefault="00C02B5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7596218"/>
      <w:docPartObj>
        <w:docPartGallery w:val="Page Numbers (Bottom of Page)"/>
        <w:docPartUnique/>
      </w:docPartObj>
    </w:sdtPr>
    <w:sdtEndPr>
      <w:rPr>
        <w:rFonts w:ascii="Times New Roman" w:hAnsi="Times New Roman" w:cs="Times New Roman"/>
      </w:rPr>
    </w:sdtEndPr>
    <w:sdtContent>
      <w:p w14:paraId="16D054E8" w14:textId="050FF84E" w:rsidR="00F6716A" w:rsidRPr="002053F8" w:rsidRDefault="00F6716A">
        <w:pPr>
          <w:pStyle w:val="Footer"/>
          <w:jc w:val="center"/>
          <w:rPr>
            <w:rFonts w:ascii="Times New Roman" w:hAnsi="Times New Roman" w:cs="Times New Roman"/>
          </w:rPr>
        </w:pPr>
        <w:r w:rsidRPr="002053F8">
          <w:rPr>
            <w:rFonts w:ascii="Times New Roman" w:hAnsi="Times New Roman" w:cs="Times New Roman"/>
          </w:rPr>
          <w:fldChar w:fldCharType="begin"/>
        </w:r>
        <w:r w:rsidRPr="002053F8">
          <w:rPr>
            <w:rFonts w:ascii="Times New Roman" w:hAnsi="Times New Roman" w:cs="Times New Roman"/>
          </w:rPr>
          <w:instrText xml:space="preserve"> PAGE   \* MERGEFORMAT </w:instrText>
        </w:r>
        <w:r w:rsidRPr="002053F8">
          <w:rPr>
            <w:rFonts w:ascii="Times New Roman" w:hAnsi="Times New Roman" w:cs="Times New Roman"/>
          </w:rPr>
          <w:fldChar w:fldCharType="separate"/>
        </w:r>
        <w:r w:rsidR="00DB72F8">
          <w:rPr>
            <w:rFonts w:ascii="Times New Roman" w:hAnsi="Times New Roman" w:cs="Times New Roman"/>
            <w:noProof/>
          </w:rPr>
          <w:t>4</w:t>
        </w:r>
        <w:r w:rsidRPr="002053F8">
          <w:rPr>
            <w:rFonts w:ascii="Times New Roman" w:hAnsi="Times New Roman" w:cs="Times New Roman"/>
          </w:rPr>
          <w:fldChar w:fldCharType="end"/>
        </w:r>
      </w:p>
    </w:sdtContent>
  </w:sdt>
  <w:p w14:paraId="1887F58F" w14:textId="77777777" w:rsidR="00ED3CB2" w:rsidRPr="00D1795B" w:rsidRDefault="00ED3CB2">
    <w:pPr>
      <w:pStyle w:val="FooterCouncil"/>
      <w:rPr>
        <w:lang w:val="en-GB"/>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91" w14:textId="77777777" w:rsidR="00C02B59" w:rsidRPr="00D1795B" w:rsidRDefault="00C02B5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94" w14:textId="77777777" w:rsidR="00C02B59" w:rsidRPr="00D1795B" w:rsidRDefault="00C02B5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910491010"/>
      <w:docPartObj>
        <w:docPartGallery w:val="Page Numbers (Bottom of Page)"/>
        <w:docPartUnique/>
      </w:docPartObj>
    </w:sdtPr>
    <w:sdtEndPr/>
    <w:sdtContent>
      <w:p w14:paraId="2A6E5C61" w14:textId="706DA214" w:rsidR="00F6716A" w:rsidRPr="002053F8" w:rsidRDefault="00F6716A">
        <w:pPr>
          <w:pStyle w:val="Footer"/>
          <w:jc w:val="center"/>
          <w:rPr>
            <w:rFonts w:ascii="Times New Roman" w:hAnsi="Times New Roman" w:cs="Times New Roman"/>
          </w:rPr>
        </w:pPr>
        <w:r w:rsidRPr="002053F8">
          <w:rPr>
            <w:rFonts w:ascii="Times New Roman" w:hAnsi="Times New Roman" w:cs="Times New Roman"/>
          </w:rPr>
          <w:fldChar w:fldCharType="begin"/>
        </w:r>
        <w:r w:rsidRPr="002053F8">
          <w:rPr>
            <w:rFonts w:ascii="Times New Roman" w:hAnsi="Times New Roman" w:cs="Times New Roman"/>
          </w:rPr>
          <w:instrText xml:space="preserve"> PAGE   \* MERGEFORMAT </w:instrText>
        </w:r>
        <w:r w:rsidRPr="002053F8">
          <w:rPr>
            <w:rFonts w:ascii="Times New Roman" w:hAnsi="Times New Roman" w:cs="Times New Roman"/>
          </w:rPr>
          <w:fldChar w:fldCharType="separate"/>
        </w:r>
        <w:r w:rsidRPr="002053F8">
          <w:rPr>
            <w:rFonts w:ascii="Times New Roman" w:hAnsi="Times New Roman" w:cs="Times New Roman"/>
          </w:rPr>
          <w:t>2</w:t>
        </w:r>
        <w:r w:rsidRPr="002053F8">
          <w:rPr>
            <w:rFonts w:ascii="Times New Roman" w:hAnsi="Times New Roman" w:cs="Times New Roman"/>
          </w:rPr>
          <w:fldChar w:fldCharType="end"/>
        </w:r>
      </w:p>
    </w:sdtContent>
  </w:sdt>
  <w:p w14:paraId="1887F5A1" w14:textId="77777777" w:rsidR="00ED3CB2" w:rsidRPr="00D1795B" w:rsidRDefault="00ED3CB2">
    <w:pPr>
      <w:pStyle w:val="FooterCouncil"/>
      <w:rPr>
        <w:lang w:val="en-GB"/>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A3" w14:textId="77777777" w:rsidR="00C02B59" w:rsidRPr="00D1795B" w:rsidRDefault="00C02B5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A6" w14:textId="77777777" w:rsidR="00C02B59" w:rsidRPr="00D1795B" w:rsidRDefault="00C02B5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3675078"/>
      <w:docPartObj>
        <w:docPartGallery w:val="Page Numbers (Bottom of Page)"/>
        <w:docPartUnique/>
      </w:docPartObj>
    </w:sdtPr>
    <w:sdtEndPr>
      <w:rPr>
        <w:rFonts w:ascii="Times New Roman" w:hAnsi="Times New Roman" w:cs="Times New Roman"/>
      </w:rPr>
    </w:sdtEndPr>
    <w:sdtContent>
      <w:p w14:paraId="3FEFB2E1" w14:textId="4B992F47" w:rsidR="00F6716A" w:rsidRPr="002053F8" w:rsidRDefault="00F6716A">
        <w:pPr>
          <w:pStyle w:val="Footer"/>
          <w:jc w:val="center"/>
          <w:rPr>
            <w:rFonts w:ascii="Times New Roman" w:hAnsi="Times New Roman" w:cs="Times New Roman"/>
          </w:rPr>
        </w:pPr>
        <w:r w:rsidRPr="002053F8">
          <w:rPr>
            <w:rFonts w:ascii="Times New Roman" w:hAnsi="Times New Roman" w:cs="Times New Roman"/>
          </w:rPr>
          <w:fldChar w:fldCharType="begin"/>
        </w:r>
        <w:r w:rsidRPr="002053F8">
          <w:rPr>
            <w:rFonts w:ascii="Times New Roman" w:hAnsi="Times New Roman" w:cs="Times New Roman"/>
          </w:rPr>
          <w:instrText xml:space="preserve"> PAGE   \* MERGEFORMAT </w:instrText>
        </w:r>
        <w:r w:rsidRPr="002053F8">
          <w:rPr>
            <w:rFonts w:ascii="Times New Roman" w:hAnsi="Times New Roman" w:cs="Times New Roman"/>
          </w:rPr>
          <w:fldChar w:fldCharType="separate"/>
        </w:r>
        <w:r w:rsidRPr="002053F8">
          <w:rPr>
            <w:rFonts w:ascii="Times New Roman" w:hAnsi="Times New Roman" w:cs="Times New Roman"/>
          </w:rPr>
          <w:t>2</w:t>
        </w:r>
        <w:r w:rsidRPr="002053F8">
          <w:rPr>
            <w:rFonts w:ascii="Times New Roman" w:hAnsi="Times New Roman" w:cs="Times New Roman"/>
          </w:rPr>
          <w:fldChar w:fldCharType="end"/>
        </w:r>
      </w:p>
    </w:sdtContent>
  </w:sdt>
  <w:p w14:paraId="1887F5B3" w14:textId="77777777" w:rsidR="00ED3CB2" w:rsidRPr="00D1795B" w:rsidRDefault="00ED3CB2">
    <w:pPr>
      <w:pStyle w:val="FooterCouncil"/>
      <w:rPr>
        <w:lang w:val="en-GB"/>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B5" w14:textId="77777777" w:rsidR="00C02B59" w:rsidRPr="00D1795B" w:rsidRDefault="00C02B5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B8" w14:textId="77777777" w:rsidR="00C02B59" w:rsidRPr="00D1795B" w:rsidRDefault="00C02B5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6205175"/>
      <w:docPartObj>
        <w:docPartGallery w:val="Page Numbers (Bottom of Page)"/>
        <w:docPartUnique/>
      </w:docPartObj>
    </w:sdtPr>
    <w:sdtEndPr>
      <w:rPr>
        <w:rFonts w:ascii="Times New Roman" w:hAnsi="Times New Roman" w:cs="Times New Roman"/>
      </w:rPr>
    </w:sdtEndPr>
    <w:sdtContent>
      <w:p w14:paraId="4F006292" w14:textId="5A77BC21" w:rsidR="00F6716A" w:rsidRPr="00C72339" w:rsidRDefault="00F6716A">
        <w:pPr>
          <w:pStyle w:val="Footer"/>
          <w:jc w:val="center"/>
          <w:rPr>
            <w:rFonts w:ascii="Times New Roman" w:hAnsi="Times New Roman" w:cs="Times New Roman"/>
          </w:rPr>
        </w:pPr>
        <w:r w:rsidRPr="00C72339">
          <w:rPr>
            <w:rFonts w:ascii="Times New Roman" w:hAnsi="Times New Roman" w:cs="Times New Roman"/>
          </w:rPr>
          <w:fldChar w:fldCharType="begin"/>
        </w:r>
        <w:r w:rsidRPr="00C72339">
          <w:rPr>
            <w:rFonts w:ascii="Times New Roman" w:hAnsi="Times New Roman" w:cs="Times New Roman"/>
          </w:rPr>
          <w:instrText xml:space="preserve"> PAGE   \* MERGEFORMAT </w:instrText>
        </w:r>
        <w:r w:rsidRPr="00C72339">
          <w:rPr>
            <w:rFonts w:ascii="Times New Roman" w:hAnsi="Times New Roman" w:cs="Times New Roman"/>
          </w:rPr>
          <w:fldChar w:fldCharType="separate"/>
        </w:r>
        <w:r w:rsidRPr="00C72339">
          <w:rPr>
            <w:rFonts w:ascii="Times New Roman" w:hAnsi="Times New Roman" w:cs="Times New Roman"/>
          </w:rPr>
          <w:t>2</w:t>
        </w:r>
        <w:r w:rsidRPr="00C72339">
          <w:rPr>
            <w:rFonts w:ascii="Times New Roman" w:hAnsi="Times New Roman" w:cs="Times New Roman"/>
          </w:rPr>
          <w:fldChar w:fldCharType="end"/>
        </w:r>
      </w:p>
    </w:sdtContent>
  </w:sdt>
  <w:p w14:paraId="1887F5C5" w14:textId="77777777" w:rsidR="00ED3CB2" w:rsidRPr="00D1795B" w:rsidRDefault="00ED3CB2">
    <w:pPr>
      <w:pStyle w:val="FooterCouncil"/>
      <w:rPr>
        <w:lang w:val="en-GB"/>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C7" w14:textId="77777777" w:rsidR="00C02B59" w:rsidRPr="00D1795B" w:rsidRDefault="00C02B5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CA" w14:textId="77777777" w:rsidR="00C02B59" w:rsidRPr="00D1795B" w:rsidRDefault="00C02B5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1305701"/>
      <w:docPartObj>
        <w:docPartGallery w:val="Page Numbers (Bottom of Page)"/>
        <w:docPartUnique/>
      </w:docPartObj>
    </w:sdtPr>
    <w:sdtEndPr>
      <w:rPr>
        <w:rFonts w:ascii="Times New Roman" w:hAnsi="Times New Roman" w:cs="Times New Roman"/>
      </w:rPr>
    </w:sdtEndPr>
    <w:sdtContent>
      <w:p w14:paraId="5343B67E" w14:textId="2BD1B6DB" w:rsidR="00F6716A" w:rsidRPr="002053F8" w:rsidRDefault="00F6716A">
        <w:pPr>
          <w:pStyle w:val="Footer"/>
          <w:jc w:val="center"/>
          <w:rPr>
            <w:rFonts w:ascii="Times New Roman" w:hAnsi="Times New Roman" w:cs="Times New Roman"/>
          </w:rPr>
        </w:pPr>
        <w:r w:rsidRPr="002053F8">
          <w:rPr>
            <w:rFonts w:ascii="Times New Roman" w:hAnsi="Times New Roman" w:cs="Times New Roman"/>
          </w:rPr>
          <w:fldChar w:fldCharType="begin"/>
        </w:r>
        <w:r w:rsidRPr="002053F8">
          <w:rPr>
            <w:rFonts w:ascii="Times New Roman" w:hAnsi="Times New Roman" w:cs="Times New Roman"/>
          </w:rPr>
          <w:instrText xml:space="preserve"> PAGE   \* MERGEFORMAT </w:instrText>
        </w:r>
        <w:r w:rsidRPr="002053F8">
          <w:rPr>
            <w:rFonts w:ascii="Times New Roman" w:hAnsi="Times New Roman" w:cs="Times New Roman"/>
          </w:rPr>
          <w:fldChar w:fldCharType="separate"/>
        </w:r>
        <w:r w:rsidRPr="002053F8">
          <w:rPr>
            <w:rFonts w:ascii="Times New Roman" w:hAnsi="Times New Roman" w:cs="Times New Roman"/>
          </w:rPr>
          <w:t>2</w:t>
        </w:r>
        <w:r w:rsidRPr="002053F8">
          <w:rPr>
            <w:rFonts w:ascii="Times New Roman" w:hAnsi="Times New Roman" w:cs="Times New Roman"/>
          </w:rPr>
          <w:fldChar w:fldCharType="end"/>
        </w:r>
      </w:p>
    </w:sdtContent>
  </w:sdt>
  <w:p w14:paraId="1887F5D7" w14:textId="77777777" w:rsidR="00ED3CB2" w:rsidRPr="00D1795B" w:rsidRDefault="00ED3CB2">
    <w:pPr>
      <w:pStyle w:val="FooterCouncil"/>
      <w:rPr>
        <w:lang w:val="en-GB"/>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D9" w14:textId="77777777" w:rsidR="00C02B59" w:rsidRPr="00D1795B" w:rsidRDefault="00C02B5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DC" w14:textId="77777777" w:rsidR="00C02B59" w:rsidRPr="00D1795B" w:rsidRDefault="00C02B5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804819"/>
      <w:docPartObj>
        <w:docPartGallery w:val="Page Numbers (Bottom of Page)"/>
        <w:docPartUnique/>
      </w:docPartObj>
    </w:sdtPr>
    <w:sdtEndPr>
      <w:rPr>
        <w:rFonts w:ascii="Times New Roman" w:hAnsi="Times New Roman" w:cs="Times New Roman"/>
      </w:rPr>
    </w:sdtEndPr>
    <w:sdtContent>
      <w:p w14:paraId="29514D69" w14:textId="1EB792DF" w:rsidR="00F6716A" w:rsidRPr="002053F8" w:rsidRDefault="00F6716A">
        <w:pPr>
          <w:pStyle w:val="Footer"/>
          <w:jc w:val="center"/>
          <w:rPr>
            <w:rFonts w:ascii="Times New Roman" w:hAnsi="Times New Roman" w:cs="Times New Roman"/>
          </w:rPr>
        </w:pPr>
        <w:r w:rsidRPr="002053F8">
          <w:rPr>
            <w:rFonts w:ascii="Times New Roman" w:hAnsi="Times New Roman" w:cs="Times New Roman"/>
          </w:rPr>
          <w:fldChar w:fldCharType="begin"/>
        </w:r>
        <w:r w:rsidRPr="002053F8">
          <w:rPr>
            <w:rFonts w:ascii="Times New Roman" w:hAnsi="Times New Roman" w:cs="Times New Roman"/>
          </w:rPr>
          <w:instrText xml:space="preserve"> PAGE   \* MERGEFORMAT </w:instrText>
        </w:r>
        <w:r w:rsidRPr="002053F8">
          <w:rPr>
            <w:rFonts w:ascii="Times New Roman" w:hAnsi="Times New Roman" w:cs="Times New Roman"/>
          </w:rPr>
          <w:fldChar w:fldCharType="separate"/>
        </w:r>
        <w:r w:rsidRPr="002053F8">
          <w:rPr>
            <w:rFonts w:ascii="Times New Roman" w:hAnsi="Times New Roman" w:cs="Times New Roman"/>
          </w:rPr>
          <w:t>2</w:t>
        </w:r>
        <w:r w:rsidRPr="002053F8">
          <w:rPr>
            <w:rFonts w:ascii="Times New Roman" w:hAnsi="Times New Roman" w:cs="Times New Roman"/>
          </w:rPr>
          <w:fldChar w:fldCharType="end"/>
        </w:r>
      </w:p>
    </w:sdtContent>
  </w:sdt>
  <w:p w14:paraId="1887F5E9" w14:textId="77777777" w:rsidR="00ED3CB2" w:rsidRPr="00D1795B" w:rsidRDefault="00ED3CB2">
    <w:pPr>
      <w:pStyle w:val="FooterCouncil"/>
      <w:rPr>
        <w:lang w:val="en-GB"/>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EB" w14:textId="77777777" w:rsidR="00C02B59" w:rsidRPr="00D1795B" w:rsidRDefault="00C02B5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EE" w14:textId="77777777" w:rsidR="00C02B59" w:rsidRPr="00D1795B" w:rsidRDefault="00C02B5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314712"/>
      <w:docPartObj>
        <w:docPartGallery w:val="Page Numbers (Bottom of Page)"/>
        <w:docPartUnique/>
      </w:docPartObj>
    </w:sdtPr>
    <w:sdtEndPr/>
    <w:sdtContent>
      <w:p w14:paraId="7CFAE967" w14:textId="295334AA" w:rsidR="00F6716A" w:rsidRPr="00D1795B" w:rsidRDefault="00F6716A">
        <w:pPr>
          <w:pStyle w:val="Footer"/>
          <w:jc w:val="center"/>
        </w:pPr>
        <w:r w:rsidRPr="002053F8">
          <w:rPr>
            <w:rFonts w:ascii="Times New Roman" w:hAnsi="Times New Roman" w:cs="Times New Roman"/>
          </w:rPr>
          <w:fldChar w:fldCharType="begin"/>
        </w:r>
        <w:r w:rsidRPr="002053F8">
          <w:rPr>
            <w:rFonts w:ascii="Times New Roman" w:hAnsi="Times New Roman" w:cs="Times New Roman"/>
          </w:rPr>
          <w:instrText xml:space="preserve"> PAGE   \* MERGEFORMAT </w:instrText>
        </w:r>
        <w:r w:rsidRPr="002053F8">
          <w:rPr>
            <w:rFonts w:ascii="Times New Roman" w:hAnsi="Times New Roman" w:cs="Times New Roman"/>
          </w:rPr>
          <w:fldChar w:fldCharType="separate"/>
        </w:r>
        <w:r w:rsidRPr="002053F8">
          <w:rPr>
            <w:rFonts w:ascii="Times New Roman" w:hAnsi="Times New Roman" w:cs="Times New Roman"/>
          </w:rPr>
          <w:t>2</w:t>
        </w:r>
        <w:r w:rsidRPr="002053F8">
          <w:rPr>
            <w:rFonts w:ascii="Times New Roman" w:hAnsi="Times New Roman" w:cs="Times New Roman"/>
          </w:rPr>
          <w:fldChar w:fldCharType="end"/>
        </w:r>
      </w:p>
    </w:sdtContent>
  </w:sdt>
  <w:p w14:paraId="1887F5FB" w14:textId="77777777" w:rsidR="00ED3CB2" w:rsidRPr="00D1795B" w:rsidRDefault="00ED3CB2">
    <w:pPr>
      <w:pStyle w:val="FooterCouncil"/>
      <w:rPr>
        <w:lang w:val="en-GB"/>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FD" w14:textId="77777777" w:rsidR="00C02B59" w:rsidRPr="00D1795B" w:rsidRDefault="00C02B5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00" w14:textId="77777777" w:rsidR="00C02B59" w:rsidRPr="00D1795B" w:rsidRDefault="00C02B5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3601507"/>
      <w:docPartObj>
        <w:docPartGallery w:val="Page Numbers (Bottom of Page)"/>
        <w:docPartUnique/>
      </w:docPartObj>
    </w:sdtPr>
    <w:sdtEndPr>
      <w:rPr>
        <w:rFonts w:ascii="Times New Roman" w:hAnsi="Times New Roman" w:cs="Times New Roman"/>
      </w:rPr>
    </w:sdtEndPr>
    <w:sdtContent>
      <w:p w14:paraId="7637CDA9" w14:textId="10853244" w:rsidR="00F6716A" w:rsidRPr="002053F8" w:rsidRDefault="00F6716A">
        <w:pPr>
          <w:pStyle w:val="Footer"/>
          <w:jc w:val="center"/>
          <w:rPr>
            <w:rFonts w:ascii="Times New Roman" w:hAnsi="Times New Roman" w:cs="Times New Roman"/>
          </w:rPr>
        </w:pPr>
        <w:r w:rsidRPr="002053F8">
          <w:rPr>
            <w:rFonts w:ascii="Times New Roman" w:hAnsi="Times New Roman" w:cs="Times New Roman"/>
          </w:rPr>
          <w:fldChar w:fldCharType="begin"/>
        </w:r>
        <w:r w:rsidRPr="002053F8">
          <w:rPr>
            <w:rFonts w:ascii="Times New Roman" w:hAnsi="Times New Roman" w:cs="Times New Roman"/>
          </w:rPr>
          <w:instrText xml:space="preserve"> PAGE   \* MERGEFORMAT </w:instrText>
        </w:r>
        <w:r w:rsidRPr="002053F8">
          <w:rPr>
            <w:rFonts w:ascii="Times New Roman" w:hAnsi="Times New Roman" w:cs="Times New Roman"/>
          </w:rPr>
          <w:fldChar w:fldCharType="separate"/>
        </w:r>
        <w:r w:rsidRPr="002053F8">
          <w:rPr>
            <w:rFonts w:ascii="Times New Roman" w:hAnsi="Times New Roman" w:cs="Times New Roman"/>
          </w:rPr>
          <w:t>2</w:t>
        </w:r>
        <w:r w:rsidRPr="002053F8">
          <w:rPr>
            <w:rFonts w:ascii="Times New Roman" w:hAnsi="Times New Roman" w:cs="Times New Roman"/>
          </w:rPr>
          <w:fldChar w:fldCharType="end"/>
        </w:r>
      </w:p>
    </w:sdtContent>
  </w:sdt>
  <w:p w14:paraId="1887F60D" w14:textId="77777777" w:rsidR="00ED3CB2" w:rsidRPr="00D1795B" w:rsidRDefault="00ED3CB2">
    <w:pPr>
      <w:pStyle w:val="FooterCouncil"/>
      <w:rPr>
        <w:lang w:val="en-GB"/>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0F" w14:textId="77777777" w:rsidR="00C02B59" w:rsidRPr="00D1795B" w:rsidRDefault="00C02B5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12" w14:textId="77777777" w:rsidR="00C02B59" w:rsidRPr="00D1795B" w:rsidRDefault="00C02B5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8806736"/>
      <w:docPartObj>
        <w:docPartGallery w:val="Page Numbers (Bottom of Page)"/>
        <w:docPartUnique/>
      </w:docPartObj>
    </w:sdtPr>
    <w:sdtEndPr>
      <w:rPr>
        <w:rFonts w:ascii="Times New Roman" w:hAnsi="Times New Roman" w:cs="Times New Roman"/>
      </w:rPr>
    </w:sdtEndPr>
    <w:sdtContent>
      <w:p w14:paraId="10C7C11F" w14:textId="07EA2A09" w:rsidR="00F6716A" w:rsidRPr="002053F8" w:rsidRDefault="00F6716A">
        <w:pPr>
          <w:pStyle w:val="Footer"/>
          <w:jc w:val="center"/>
          <w:rPr>
            <w:rFonts w:ascii="Times New Roman" w:hAnsi="Times New Roman" w:cs="Times New Roman"/>
          </w:rPr>
        </w:pPr>
        <w:r w:rsidRPr="002053F8">
          <w:rPr>
            <w:rFonts w:ascii="Times New Roman" w:hAnsi="Times New Roman" w:cs="Times New Roman"/>
          </w:rPr>
          <w:fldChar w:fldCharType="begin"/>
        </w:r>
        <w:r w:rsidRPr="002053F8">
          <w:rPr>
            <w:rFonts w:ascii="Times New Roman" w:hAnsi="Times New Roman" w:cs="Times New Roman"/>
          </w:rPr>
          <w:instrText xml:space="preserve"> PAGE   \* MERGEFORMAT </w:instrText>
        </w:r>
        <w:r w:rsidRPr="002053F8">
          <w:rPr>
            <w:rFonts w:ascii="Times New Roman" w:hAnsi="Times New Roman" w:cs="Times New Roman"/>
          </w:rPr>
          <w:fldChar w:fldCharType="separate"/>
        </w:r>
        <w:r w:rsidRPr="002053F8">
          <w:rPr>
            <w:rFonts w:ascii="Times New Roman" w:hAnsi="Times New Roman" w:cs="Times New Roman"/>
          </w:rPr>
          <w:t>2</w:t>
        </w:r>
        <w:r w:rsidRPr="002053F8">
          <w:rPr>
            <w:rFonts w:ascii="Times New Roman" w:hAnsi="Times New Roman" w:cs="Times New Roman"/>
          </w:rPr>
          <w:fldChar w:fldCharType="end"/>
        </w:r>
      </w:p>
    </w:sdtContent>
  </w:sdt>
  <w:p w14:paraId="1887F61F" w14:textId="77777777" w:rsidR="00ED3CB2" w:rsidRPr="00D1795B" w:rsidRDefault="00ED3CB2">
    <w:pPr>
      <w:pStyle w:val="FooterCouncil"/>
      <w:rPr>
        <w:lang w:val="en-GB"/>
      </w:rP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21" w14:textId="77777777" w:rsidR="00C02B59" w:rsidRPr="00D1795B" w:rsidRDefault="00C02B5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24" w14:textId="77777777" w:rsidR="00C02B59" w:rsidRPr="00D1795B" w:rsidRDefault="00C02B5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500488"/>
      <w:docPartObj>
        <w:docPartGallery w:val="Page Numbers (Bottom of Page)"/>
        <w:docPartUnique/>
      </w:docPartObj>
    </w:sdtPr>
    <w:sdtEndPr/>
    <w:sdtContent>
      <w:p w14:paraId="08FAE6E9" w14:textId="4755BDD4" w:rsidR="00F6716A" w:rsidRPr="00D1795B" w:rsidRDefault="00F6716A">
        <w:pPr>
          <w:pStyle w:val="Footer"/>
          <w:jc w:val="center"/>
        </w:pPr>
        <w:r w:rsidRPr="002053F8">
          <w:rPr>
            <w:rFonts w:ascii="Times New Roman" w:hAnsi="Times New Roman" w:cs="Times New Roman"/>
          </w:rPr>
          <w:fldChar w:fldCharType="begin"/>
        </w:r>
        <w:r w:rsidRPr="002053F8">
          <w:rPr>
            <w:rFonts w:ascii="Times New Roman" w:hAnsi="Times New Roman" w:cs="Times New Roman"/>
          </w:rPr>
          <w:instrText xml:space="preserve"> PAGE   \* MERGEFORMAT </w:instrText>
        </w:r>
        <w:r w:rsidRPr="002053F8">
          <w:rPr>
            <w:rFonts w:ascii="Times New Roman" w:hAnsi="Times New Roman" w:cs="Times New Roman"/>
          </w:rPr>
          <w:fldChar w:fldCharType="separate"/>
        </w:r>
        <w:r w:rsidRPr="002053F8">
          <w:rPr>
            <w:rFonts w:ascii="Times New Roman" w:hAnsi="Times New Roman" w:cs="Times New Roman"/>
          </w:rPr>
          <w:t>2</w:t>
        </w:r>
        <w:r w:rsidRPr="002053F8">
          <w:rPr>
            <w:rFonts w:ascii="Times New Roman" w:hAnsi="Times New Roman" w:cs="Times New Roman"/>
          </w:rPr>
          <w:fldChar w:fldCharType="end"/>
        </w:r>
      </w:p>
    </w:sdtContent>
  </w:sdt>
  <w:p w14:paraId="1887F631" w14:textId="77777777" w:rsidR="00ED3CB2" w:rsidRPr="00D1795B" w:rsidRDefault="00ED3CB2">
    <w:pPr>
      <w:pStyle w:val="FooterCouncil"/>
      <w:rPr>
        <w:lang w:val="en-GB"/>
      </w:rP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33" w14:textId="77777777" w:rsidR="00C02B59" w:rsidRPr="00D1795B" w:rsidRDefault="00C02B5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36" w14:textId="77777777" w:rsidR="00C02B59" w:rsidRPr="00D1795B" w:rsidRDefault="00C02B5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901152"/>
      <w:docPartObj>
        <w:docPartGallery w:val="Page Numbers (Bottom of Page)"/>
        <w:docPartUnique/>
      </w:docPartObj>
    </w:sdtPr>
    <w:sdtEndPr>
      <w:rPr>
        <w:rFonts w:ascii="Times New Roman" w:hAnsi="Times New Roman" w:cs="Times New Roman"/>
      </w:rPr>
    </w:sdtEndPr>
    <w:sdtContent>
      <w:p w14:paraId="1CF11DBB" w14:textId="1D24471F" w:rsidR="00F6716A" w:rsidRPr="002053F8" w:rsidRDefault="00F6716A">
        <w:pPr>
          <w:pStyle w:val="Footer"/>
          <w:jc w:val="center"/>
          <w:rPr>
            <w:rFonts w:ascii="Times New Roman" w:hAnsi="Times New Roman" w:cs="Times New Roman"/>
          </w:rPr>
        </w:pPr>
        <w:r w:rsidRPr="002053F8">
          <w:rPr>
            <w:rFonts w:ascii="Times New Roman" w:hAnsi="Times New Roman" w:cs="Times New Roman"/>
          </w:rPr>
          <w:fldChar w:fldCharType="begin"/>
        </w:r>
        <w:r w:rsidRPr="002053F8">
          <w:rPr>
            <w:rFonts w:ascii="Times New Roman" w:hAnsi="Times New Roman" w:cs="Times New Roman"/>
          </w:rPr>
          <w:instrText xml:space="preserve"> PAGE   \* MERGEFORMAT </w:instrText>
        </w:r>
        <w:r w:rsidRPr="002053F8">
          <w:rPr>
            <w:rFonts w:ascii="Times New Roman" w:hAnsi="Times New Roman" w:cs="Times New Roman"/>
          </w:rPr>
          <w:fldChar w:fldCharType="separate"/>
        </w:r>
        <w:r w:rsidRPr="002053F8">
          <w:rPr>
            <w:rFonts w:ascii="Times New Roman" w:hAnsi="Times New Roman" w:cs="Times New Roman"/>
          </w:rPr>
          <w:t>2</w:t>
        </w:r>
        <w:r w:rsidRPr="002053F8">
          <w:rPr>
            <w:rFonts w:ascii="Times New Roman" w:hAnsi="Times New Roman" w:cs="Times New Roman"/>
          </w:rPr>
          <w:fldChar w:fldCharType="end"/>
        </w:r>
      </w:p>
    </w:sdtContent>
  </w:sdt>
  <w:p w14:paraId="1887F643" w14:textId="77777777" w:rsidR="00ED3CB2" w:rsidRPr="00D1795B" w:rsidRDefault="00ED3CB2">
    <w:pPr>
      <w:pStyle w:val="FooterCouncil"/>
      <w:rPr>
        <w:lang w:val="en-GB"/>
      </w:rP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45" w14:textId="77777777" w:rsidR="00C02B59" w:rsidRPr="00D1795B" w:rsidRDefault="00C02B5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48" w14:textId="77777777" w:rsidR="00C02B59" w:rsidRPr="00D1795B" w:rsidRDefault="00C02B5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2567497"/>
      <w:docPartObj>
        <w:docPartGallery w:val="Page Numbers (Bottom of Page)"/>
        <w:docPartUnique/>
      </w:docPartObj>
    </w:sdtPr>
    <w:sdtEndPr>
      <w:rPr>
        <w:rFonts w:ascii="Times New Roman" w:hAnsi="Times New Roman" w:cs="Times New Roman"/>
      </w:rPr>
    </w:sdtEndPr>
    <w:sdtContent>
      <w:p w14:paraId="3EC2D05D" w14:textId="5153CBAE" w:rsidR="00F6716A" w:rsidRPr="002053F8" w:rsidRDefault="00F6716A">
        <w:pPr>
          <w:pStyle w:val="Footer"/>
          <w:jc w:val="center"/>
          <w:rPr>
            <w:rFonts w:ascii="Times New Roman" w:hAnsi="Times New Roman" w:cs="Times New Roman"/>
          </w:rPr>
        </w:pPr>
        <w:r w:rsidRPr="002053F8">
          <w:rPr>
            <w:rFonts w:ascii="Times New Roman" w:hAnsi="Times New Roman" w:cs="Times New Roman"/>
          </w:rPr>
          <w:fldChar w:fldCharType="begin"/>
        </w:r>
        <w:r w:rsidRPr="002053F8">
          <w:rPr>
            <w:rFonts w:ascii="Times New Roman" w:hAnsi="Times New Roman" w:cs="Times New Roman"/>
          </w:rPr>
          <w:instrText xml:space="preserve"> PAGE   \* MERGEFORMAT </w:instrText>
        </w:r>
        <w:r w:rsidRPr="002053F8">
          <w:rPr>
            <w:rFonts w:ascii="Times New Roman" w:hAnsi="Times New Roman" w:cs="Times New Roman"/>
          </w:rPr>
          <w:fldChar w:fldCharType="separate"/>
        </w:r>
        <w:r w:rsidRPr="002053F8">
          <w:rPr>
            <w:rFonts w:ascii="Times New Roman" w:hAnsi="Times New Roman" w:cs="Times New Roman"/>
          </w:rPr>
          <w:t>2</w:t>
        </w:r>
        <w:r w:rsidRPr="002053F8">
          <w:rPr>
            <w:rFonts w:ascii="Times New Roman" w:hAnsi="Times New Roman" w:cs="Times New Roman"/>
          </w:rPr>
          <w:fldChar w:fldCharType="end"/>
        </w:r>
      </w:p>
    </w:sdtContent>
  </w:sdt>
  <w:p w14:paraId="1887F655" w14:textId="77777777" w:rsidR="00ED3CB2" w:rsidRPr="00D1795B" w:rsidRDefault="00ED3CB2">
    <w:pPr>
      <w:pStyle w:val="FooterCouncil"/>
      <w:rPr>
        <w:lang w:val="en-GB"/>
      </w:rP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57" w14:textId="77777777" w:rsidR="00C02B59" w:rsidRPr="00D1795B" w:rsidRDefault="00C02B5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5A" w14:textId="77777777" w:rsidR="00C02B59" w:rsidRPr="00D1795B" w:rsidRDefault="00C02B5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620879"/>
      <w:docPartObj>
        <w:docPartGallery w:val="Page Numbers (Bottom of Page)"/>
        <w:docPartUnique/>
      </w:docPartObj>
    </w:sdtPr>
    <w:sdtEndPr>
      <w:rPr>
        <w:rFonts w:ascii="Times New Roman" w:hAnsi="Times New Roman" w:cs="Times New Roman"/>
      </w:rPr>
    </w:sdtEndPr>
    <w:sdtContent>
      <w:p w14:paraId="12F87A2E" w14:textId="26BF553A" w:rsidR="00F6716A" w:rsidRPr="002E3454" w:rsidRDefault="00F6716A">
        <w:pPr>
          <w:pStyle w:val="Footer"/>
          <w:jc w:val="center"/>
          <w:rPr>
            <w:rFonts w:ascii="Times New Roman" w:hAnsi="Times New Roman" w:cs="Times New Roman"/>
          </w:rPr>
        </w:pPr>
        <w:r w:rsidRPr="002E3454">
          <w:rPr>
            <w:rFonts w:ascii="Times New Roman" w:hAnsi="Times New Roman" w:cs="Times New Roman"/>
          </w:rPr>
          <w:fldChar w:fldCharType="begin"/>
        </w:r>
        <w:r w:rsidRPr="002E3454">
          <w:rPr>
            <w:rFonts w:ascii="Times New Roman" w:hAnsi="Times New Roman" w:cs="Times New Roman"/>
          </w:rPr>
          <w:instrText xml:space="preserve"> PAGE   \* MERGEFORMAT </w:instrText>
        </w:r>
        <w:r w:rsidRPr="002E3454">
          <w:rPr>
            <w:rFonts w:ascii="Times New Roman" w:hAnsi="Times New Roman" w:cs="Times New Roman"/>
          </w:rPr>
          <w:fldChar w:fldCharType="separate"/>
        </w:r>
        <w:r w:rsidRPr="002E3454">
          <w:rPr>
            <w:rFonts w:ascii="Times New Roman" w:hAnsi="Times New Roman" w:cs="Times New Roman"/>
          </w:rPr>
          <w:t>2</w:t>
        </w:r>
        <w:r w:rsidRPr="002E3454">
          <w:rPr>
            <w:rFonts w:ascii="Times New Roman" w:hAnsi="Times New Roman" w:cs="Times New Roman"/>
          </w:rPr>
          <w:fldChar w:fldCharType="end"/>
        </w:r>
      </w:p>
    </w:sdtContent>
  </w:sdt>
  <w:p w14:paraId="1887F667" w14:textId="77777777" w:rsidR="00ED3CB2" w:rsidRPr="00D1795B" w:rsidRDefault="00ED3CB2">
    <w:pPr>
      <w:pStyle w:val="FooterCouncil"/>
      <w:rPr>
        <w:lang w:val="en-GB"/>
      </w:rP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69" w14:textId="77777777" w:rsidR="00C02B59" w:rsidRPr="00D1795B" w:rsidRDefault="00C02B5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6C" w14:textId="77777777" w:rsidR="00C02B59" w:rsidRPr="00D1795B" w:rsidRDefault="00C02B5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092307"/>
      <w:docPartObj>
        <w:docPartGallery w:val="Page Numbers (Bottom of Page)"/>
        <w:docPartUnique/>
      </w:docPartObj>
    </w:sdtPr>
    <w:sdtEndPr>
      <w:rPr>
        <w:rFonts w:ascii="Times New Roman" w:hAnsi="Times New Roman" w:cs="Times New Roman"/>
      </w:rPr>
    </w:sdtEndPr>
    <w:sdtContent>
      <w:p w14:paraId="3CD8593C" w14:textId="495F0B27" w:rsidR="00F6716A" w:rsidRPr="002E3454" w:rsidRDefault="00F6716A">
        <w:pPr>
          <w:pStyle w:val="Footer"/>
          <w:jc w:val="center"/>
          <w:rPr>
            <w:rFonts w:ascii="Times New Roman" w:hAnsi="Times New Roman" w:cs="Times New Roman"/>
          </w:rPr>
        </w:pPr>
        <w:r w:rsidRPr="002E3454">
          <w:rPr>
            <w:rFonts w:ascii="Times New Roman" w:hAnsi="Times New Roman" w:cs="Times New Roman"/>
          </w:rPr>
          <w:fldChar w:fldCharType="begin"/>
        </w:r>
        <w:r w:rsidRPr="002E3454">
          <w:rPr>
            <w:rFonts w:ascii="Times New Roman" w:hAnsi="Times New Roman" w:cs="Times New Roman"/>
          </w:rPr>
          <w:instrText xml:space="preserve"> PAGE   \* MERGEFORMAT </w:instrText>
        </w:r>
        <w:r w:rsidRPr="002E3454">
          <w:rPr>
            <w:rFonts w:ascii="Times New Roman" w:hAnsi="Times New Roman" w:cs="Times New Roman"/>
          </w:rPr>
          <w:fldChar w:fldCharType="separate"/>
        </w:r>
        <w:r w:rsidRPr="002E3454">
          <w:rPr>
            <w:rFonts w:ascii="Times New Roman" w:hAnsi="Times New Roman" w:cs="Times New Roman"/>
          </w:rPr>
          <w:t>2</w:t>
        </w:r>
        <w:r w:rsidRPr="002E3454">
          <w:rPr>
            <w:rFonts w:ascii="Times New Roman" w:hAnsi="Times New Roman" w:cs="Times New Roman"/>
          </w:rPr>
          <w:fldChar w:fldCharType="end"/>
        </w:r>
      </w:p>
    </w:sdtContent>
  </w:sdt>
  <w:p w14:paraId="1887F679" w14:textId="77777777" w:rsidR="00ED3CB2" w:rsidRPr="00D1795B" w:rsidRDefault="00ED3CB2">
    <w:pPr>
      <w:pStyle w:val="FooterCouncil"/>
      <w:rPr>
        <w:lang w:val="en-GB"/>
      </w:rP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7B" w14:textId="77777777" w:rsidR="00C02B59" w:rsidRPr="00D1795B" w:rsidRDefault="00C02B5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7E" w14:textId="77777777" w:rsidR="00C02B59" w:rsidRPr="00D1795B" w:rsidRDefault="00C02B5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5255682"/>
      <w:docPartObj>
        <w:docPartGallery w:val="Page Numbers (Bottom of Page)"/>
        <w:docPartUnique/>
      </w:docPartObj>
    </w:sdtPr>
    <w:sdtEndPr/>
    <w:sdtContent>
      <w:p w14:paraId="59DBA00A" w14:textId="721AC243" w:rsidR="00F6716A" w:rsidRPr="00D1795B" w:rsidRDefault="00F6716A">
        <w:pPr>
          <w:pStyle w:val="Footer"/>
          <w:jc w:val="center"/>
        </w:pPr>
        <w:r w:rsidRPr="00B26491">
          <w:rPr>
            <w:rFonts w:ascii="Times New Roman" w:hAnsi="Times New Roman" w:cs="Times New Roman"/>
          </w:rPr>
          <w:fldChar w:fldCharType="begin"/>
        </w:r>
        <w:r w:rsidRPr="00B26491">
          <w:rPr>
            <w:rFonts w:ascii="Times New Roman" w:hAnsi="Times New Roman" w:cs="Times New Roman"/>
          </w:rPr>
          <w:instrText xml:space="preserve"> PAGE   \* MERGEFORMAT </w:instrText>
        </w:r>
        <w:r w:rsidRPr="00B26491">
          <w:rPr>
            <w:rFonts w:ascii="Times New Roman" w:hAnsi="Times New Roman" w:cs="Times New Roman"/>
          </w:rPr>
          <w:fldChar w:fldCharType="separate"/>
        </w:r>
        <w:r w:rsidRPr="00B26491">
          <w:rPr>
            <w:rFonts w:ascii="Times New Roman" w:hAnsi="Times New Roman" w:cs="Times New Roman"/>
          </w:rPr>
          <w:t>2</w:t>
        </w:r>
        <w:r w:rsidRPr="00B26491">
          <w:rPr>
            <w:rFonts w:ascii="Times New Roman" w:hAnsi="Times New Roman" w:cs="Times New Roman"/>
          </w:rPr>
          <w:fldChar w:fldCharType="end"/>
        </w:r>
      </w:p>
    </w:sdtContent>
  </w:sdt>
  <w:p w14:paraId="1887F68B" w14:textId="77777777" w:rsidR="00ED3CB2" w:rsidRPr="00D1795B" w:rsidRDefault="00ED3CB2">
    <w:pPr>
      <w:pStyle w:val="FooterCouncil"/>
      <w:rPr>
        <w:lang w:val="en-GB"/>
      </w:rP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8D" w14:textId="77777777" w:rsidR="00C02B59" w:rsidRPr="00D1795B" w:rsidRDefault="00C02B5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90" w14:textId="77777777" w:rsidR="00C02B59" w:rsidRPr="00D1795B" w:rsidRDefault="00C02B5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9513956"/>
      <w:docPartObj>
        <w:docPartGallery w:val="Page Numbers (Bottom of Page)"/>
        <w:docPartUnique/>
      </w:docPartObj>
    </w:sdtPr>
    <w:sdtEndPr>
      <w:rPr>
        <w:rFonts w:ascii="Times New Roman" w:hAnsi="Times New Roman" w:cs="Times New Roman"/>
      </w:rPr>
    </w:sdtEndPr>
    <w:sdtContent>
      <w:p w14:paraId="1052F04F" w14:textId="73EF7307" w:rsidR="00F6716A" w:rsidRPr="00B26491" w:rsidRDefault="00F6716A">
        <w:pPr>
          <w:pStyle w:val="Footer"/>
          <w:jc w:val="center"/>
          <w:rPr>
            <w:rFonts w:ascii="Times New Roman" w:hAnsi="Times New Roman" w:cs="Times New Roman"/>
          </w:rPr>
        </w:pPr>
        <w:r w:rsidRPr="00B26491">
          <w:rPr>
            <w:rFonts w:ascii="Times New Roman" w:hAnsi="Times New Roman" w:cs="Times New Roman"/>
          </w:rPr>
          <w:fldChar w:fldCharType="begin"/>
        </w:r>
        <w:r w:rsidRPr="00B26491">
          <w:rPr>
            <w:rFonts w:ascii="Times New Roman" w:hAnsi="Times New Roman" w:cs="Times New Roman"/>
          </w:rPr>
          <w:instrText xml:space="preserve"> PAGE   \* MERGEFORMAT </w:instrText>
        </w:r>
        <w:r w:rsidRPr="00B26491">
          <w:rPr>
            <w:rFonts w:ascii="Times New Roman" w:hAnsi="Times New Roman" w:cs="Times New Roman"/>
          </w:rPr>
          <w:fldChar w:fldCharType="separate"/>
        </w:r>
        <w:r w:rsidRPr="00B26491">
          <w:rPr>
            <w:rFonts w:ascii="Times New Roman" w:hAnsi="Times New Roman" w:cs="Times New Roman"/>
          </w:rPr>
          <w:t>2</w:t>
        </w:r>
        <w:r w:rsidRPr="00B26491">
          <w:rPr>
            <w:rFonts w:ascii="Times New Roman" w:hAnsi="Times New Roman" w:cs="Times New Roman"/>
          </w:rPr>
          <w:fldChar w:fldCharType="end"/>
        </w:r>
      </w:p>
    </w:sdtContent>
  </w:sdt>
  <w:p w14:paraId="1887F69D" w14:textId="77777777" w:rsidR="00ED3CB2" w:rsidRPr="00D1795B" w:rsidRDefault="00ED3CB2">
    <w:pPr>
      <w:pStyle w:val="FooterCouncil"/>
      <w:rPr>
        <w:lang w:val="en-GB"/>
      </w:rP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9F" w14:textId="77777777" w:rsidR="00C02B59" w:rsidRPr="00D1795B" w:rsidRDefault="00C02B5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A2" w14:textId="77777777" w:rsidR="00C02B59" w:rsidRPr="00D1795B" w:rsidRDefault="00C02B5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3035605"/>
      <w:docPartObj>
        <w:docPartGallery w:val="Page Numbers (Bottom of Page)"/>
        <w:docPartUnique/>
      </w:docPartObj>
    </w:sdtPr>
    <w:sdtEndPr/>
    <w:sdtContent>
      <w:p w14:paraId="46E9AAB0" w14:textId="21FAC9AF" w:rsidR="00F6716A" w:rsidRPr="00D1795B" w:rsidRDefault="00F6716A">
        <w:pPr>
          <w:pStyle w:val="Footer"/>
          <w:jc w:val="center"/>
        </w:pPr>
        <w:r w:rsidRPr="00B26491">
          <w:rPr>
            <w:rFonts w:ascii="Times New Roman" w:hAnsi="Times New Roman" w:cs="Times New Roman"/>
          </w:rPr>
          <w:fldChar w:fldCharType="begin"/>
        </w:r>
        <w:r w:rsidRPr="00B26491">
          <w:rPr>
            <w:rFonts w:ascii="Times New Roman" w:hAnsi="Times New Roman" w:cs="Times New Roman"/>
          </w:rPr>
          <w:instrText xml:space="preserve"> PAGE   \* MERGEFORMAT </w:instrText>
        </w:r>
        <w:r w:rsidRPr="00B26491">
          <w:rPr>
            <w:rFonts w:ascii="Times New Roman" w:hAnsi="Times New Roman" w:cs="Times New Roman"/>
          </w:rPr>
          <w:fldChar w:fldCharType="separate"/>
        </w:r>
        <w:r w:rsidRPr="00B26491">
          <w:rPr>
            <w:rFonts w:ascii="Times New Roman" w:hAnsi="Times New Roman" w:cs="Times New Roman"/>
          </w:rPr>
          <w:t>2</w:t>
        </w:r>
        <w:r w:rsidRPr="00B26491">
          <w:rPr>
            <w:rFonts w:ascii="Times New Roman" w:hAnsi="Times New Roman" w:cs="Times New Roman"/>
          </w:rPr>
          <w:fldChar w:fldCharType="end"/>
        </w:r>
      </w:p>
    </w:sdtContent>
  </w:sdt>
  <w:p w14:paraId="1887F6AF" w14:textId="77777777" w:rsidR="00ED3CB2" w:rsidRPr="00D1795B" w:rsidRDefault="00ED3CB2">
    <w:pPr>
      <w:pStyle w:val="FooterCouncil"/>
      <w:rPr>
        <w:lang w:val="en-GB"/>
      </w:rP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B1" w14:textId="77777777" w:rsidR="00C02B59" w:rsidRPr="00D1795B" w:rsidRDefault="00C02B5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B4" w14:textId="77777777" w:rsidR="00C02B59" w:rsidRPr="00D1795B" w:rsidRDefault="00C02B5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6023245"/>
      <w:docPartObj>
        <w:docPartGallery w:val="Page Numbers (Bottom of Page)"/>
        <w:docPartUnique/>
      </w:docPartObj>
    </w:sdtPr>
    <w:sdtEndPr>
      <w:rPr>
        <w:rFonts w:ascii="Times New Roman" w:hAnsi="Times New Roman" w:cs="Times New Roman"/>
      </w:rPr>
    </w:sdtEndPr>
    <w:sdtContent>
      <w:p w14:paraId="662EC026" w14:textId="0C1C67FC" w:rsidR="00F6716A" w:rsidRPr="00B26491" w:rsidRDefault="00F6716A">
        <w:pPr>
          <w:pStyle w:val="Footer"/>
          <w:jc w:val="center"/>
          <w:rPr>
            <w:rFonts w:ascii="Times New Roman" w:hAnsi="Times New Roman" w:cs="Times New Roman"/>
          </w:rPr>
        </w:pPr>
        <w:r w:rsidRPr="00B26491">
          <w:rPr>
            <w:rFonts w:ascii="Times New Roman" w:hAnsi="Times New Roman" w:cs="Times New Roman"/>
          </w:rPr>
          <w:fldChar w:fldCharType="begin"/>
        </w:r>
        <w:r w:rsidRPr="00B26491">
          <w:rPr>
            <w:rFonts w:ascii="Times New Roman" w:hAnsi="Times New Roman" w:cs="Times New Roman"/>
          </w:rPr>
          <w:instrText xml:space="preserve"> PAGE   \* MERGEFORMAT </w:instrText>
        </w:r>
        <w:r w:rsidRPr="00B26491">
          <w:rPr>
            <w:rFonts w:ascii="Times New Roman" w:hAnsi="Times New Roman" w:cs="Times New Roman"/>
          </w:rPr>
          <w:fldChar w:fldCharType="separate"/>
        </w:r>
        <w:r w:rsidRPr="00B26491">
          <w:rPr>
            <w:rFonts w:ascii="Times New Roman" w:hAnsi="Times New Roman" w:cs="Times New Roman"/>
          </w:rPr>
          <w:t>2</w:t>
        </w:r>
        <w:r w:rsidRPr="00B26491">
          <w:rPr>
            <w:rFonts w:ascii="Times New Roman" w:hAnsi="Times New Roman" w:cs="Times New Roman"/>
          </w:rPr>
          <w:fldChar w:fldCharType="end"/>
        </w:r>
      </w:p>
    </w:sdtContent>
  </w:sdt>
  <w:p w14:paraId="1887F6C1" w14:textId="77777777" w:rsidR="00ED3CB2" w:rsidRPr="00D1795B" w:rsidRDefault="00ED3CB2">
    <w:pPr>
      <w:pStyle w:val="FooterCouncil"/>
      <w:rPr>
        <w:lang w:val="en-GB"/>
      </w:rP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C3" w14:textId="77777777" w:rsidR="00C02B59" w:rsidRPr="00D1795B" w:rsidRDefault="00C02B5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C6" w14:textId="77777777" w:rsidR="00C02B59" w:rsidRPr="00D1795B" w:rsidRDefault="00C02B5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270471"/>
      <w:docPartObj>
        <w:docPartGallery w:val="Page Numbers (Bottom of Page)"/>
        <w:docPartUnique/>
      </w:docPartObj>
    </w:sdtPr>
    <w:sdtEndPr>
      <w:rPr>
        <w:rFonts w:ascii="Times New Roman" w:hAnsi="Times New Roman" w:cs="Times New Roman"/>
      </w:rPr>
    </w:sdtEndPr>
    <w:sdtContent>
      <w:p w14:paraId="3BB53F53" w14:textId="0ED536C5" w:rsidR="00F6716A" w:rsidRPr="00B26491" w:rsidRDefault="00F6716A">
        <w:pPr>
          <w:pStyle w:val="Footer"/>
          <w:jc w:val="center"/>
          <w:rPr>
            <w:rFonts w:ascii="Times New Roman" w:hAnsi="Times New Roman" w:cs="Times New Roman"/>
          </w:rPr>
        </w:pPr>
        <w:r w:rsidRPr="00B26491">
          <w:rPr>
            <w:rFonts w:ascii="Times New Roman" w:hAnsi="Times New Roman" w:cs="Times New Roman"/>
          </w:rPr>
          <w:fldChar w:fldCharType="begin"/>
        </w:r>
        <w:r w:rsidRPr="00B26491">
          <w:rPr>
            <w:rFonts w:ascii="Times New Roman" w:hAnsi="Times New Roman" w:cs="Times New Roman"/>
          </w:rPr>
          <w:instrText xml:space="preserve"> PAGE   \* MERGEFORMAT </w:instrText>
        </w:r>
        <w:r w:rsidRPr="00B26491">
          <w:rPr>
            <w:rFonts w:ascii="Times New Roman" w:hAnsi="Times New Roman" w:cs="Times New Roman"/>
          </w:rPr>
          <w:fldChar w:fldCharType="separate"/>
        </w:r>
        <w:r w:rsidRPr="00B26491">
          <w:rPr>
            <w:rFonts w:ascii="Times New Roman" w:hAnsi="Times New Roman" w:cs="Times New Roman"/>
          </w:rPr>
          <w:t>2</w:t>
        </w:r>
        <w:r w:rsidRPr="00B26491">
          <w:rPr>
            <w:rFonts w:ascii="Times New Roman" w:hAnsi="Times New Roman" w:cs="Times New Roman"/>
          </w:rPr>
          <w:fldChar w:fldCharType="end"/>
        </w:r>
      </w:p>
    </w:sdtContent>
  </w:sdt>
  <w:p w14:paraId="1887F6D3" w14:textId="77777777" w:rsidR="00ED3CB2" w:rsidRPr="00D1795B" w:rsidRDefault="00ED3CB2">
    <w:pPr>
      <w:pStyle w:val="FooterCouncil"/>
      <w:rPr>
        <w:lang w:val="en-GB"/>
      </w:rP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D5" w14:textId="77777777" w:rsidR="00C02B59" w:rsidRPr="00D1795B" w:rsidRDefault="00C02B5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D8" w14:textId="77777777" w:rsidR="00C02B59" w:rsidRPr="00D1795B" w:rsidRDefault="00C02B5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5026506"/>
      <w:docPartObj>
        <w:docPartGallery w:val="Page Numbers (Bottom of Page)"/>
        <w:docPartUnique/>
      </w:docPartObj>
    </w:sdtPr>
    <w:sdtEndPr>
      <w:rPr>
        <w:rFonts w:ascii="Times New Roman" w:hAnsi="Times New Roman" w:cs="Times New Roman"/>
      </w:rPr>
    </w:sdtEndPr>
    <w:sdtContent>
      <w:p w14:paraId="7AB9094F" w14:textId="28948ADD" w:rsidR="00F6716A" w:rsidRPr="00B26491" w:rsidRDefault="00F6716A">
        <w:pPr>
          <w:pStyle w:val="Footer"/>
          <w:jc w:val="center"/>
          <w:rPr>
            <w:rFonts w:ascii="Times New Roman" w:hAnsi="Times New Roman" w:cs="Times New Roman"/>
          </w:rPr>
        </w:pPr>
        <w:r w:rsidRPr="00B26491">
          <w:rPr>
            <w:rFonts w:ascii="Times New Roman" w:hAnsi="Times New Roman" w:cs="Times New Roman"/>
          </w:rPr>
          <w:fldChar w:fldCharType="begin"/>
        </w:r>
        <w:r w:rsidRPr="00B26491">
          <w:rPr>
            <w:rFonts w:ascii="Times New Roman" w:hAnsi="Times New Roman" w:cs="Times New Roman"/>
          </w:rPr>
          <w:instrText xml:space="preserve"> PAGE   \* MERGEFORMAT </w:instrText>
        </w:r>
        <w:r w:rsidRPr="00B26491">
          <w:rPr>
            <w:rFonts w:ascii="Times New Roman" w:hAnsi="Times New Roman" w:cs="Times New Roman"/>
          </w:rPr>
          <w:fldChar w:fldCharType="separate"/>
        </w:r>
        <w:r w:rsidRPr="00B26491">
          <w:rPr>
            <w:rFonts w:ascii="Times New Roman" w:hAnsi="Times New Roman" w:cs="Times New Roman"/>
          </w:rPr>
          <w:t>2</w:t>
        </w:r>
        <w:r w:rsidRPr="00B26491">
          <w:rPr>
            <w:rFonts w:ascii="Times New Roman" w:hAnsi="Times New Roman" w:cs="Times New Roman"/>
          </w:rPr>
          <w:fldChar w:fldCharType="end"/>
        </w:r>
      </w:p>
    </w:sdtContent>
  </w:sdt>
  <w:p w14:paraId="1887F6E5" w14:textId="77777777" w:rsidR="00ED3CB2" w:rsidRPr="00D1795B" w:rsidRDefault="00ED3CB2">
    <w:pPr>
      <w:pStyle w:val="FooterCouncil"/>
      <w:rPr>
        <w:lang w:val="en-GB"/>
      </w:rP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E7" w14:textId="77777777" w:rsidR="00C02B59" w:rsidRPr="00D1795B" w:rsidRDefault="00C02B5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EA" w14:textId="77777777" w:rsidR="00C02B59" w:rsidRPr="00D1795B" w:rsidRDefault="00C02B5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632363729"/>
      <w:docPartObj>
        <w:docPartGallery w:val="Page Numbers (Bottom of Page)"/>
        <w:docPartUnique/>
      </w:docPartObj>
    </w:sdtPr>
    <w:sdtEndPr/>
    <w:sdtContent>
      <w:p w14:paraId="2BB55947" w14:textId="422C181F" w:rsidR="00F6716A" w:rsidRPr="00B26491" w:rsidRDefault="00F6716A">
        <w:pPr>
          <w:pStyle w:val="Footer"/>
          <w:jc w:val="center"/>
          <w:rPr>
            <w:rFonts w:ascii="Times New Roman" w:hAnsi="Times New Roman" w:cs="Times New Roman"/>
          </w:rPr>
        </w:pPr>
        <w:r w:rsidRPr="00B26491">
          <w:rPr>
            <w:rFonts w:ascii="Times New Roman" w:hAnsi="Times New Roman" w:cs="Times New Roman"/>
          </w:rPr>
          <w:fldChar w:fldCharType="begin"/>
        </w:r>
        <w:r w:rsidRPr="00B26491">
          <w:rPr>
            <w:rFonts w:ascii="Times New Roman" w:hAnsi="Times New Roman" w:cs="Times New Roman"/>
          </w:rPr>
          <w:instrText xml:space="preserve"> PAGE   \* MERGEFORMAT </w:instrText>
        </w:r>
        <w:r w:rsidRPr="00B26491">
          <w:rPr>
            <w:rFonts w:ascii="Times New Roman" w:hAnsi="Times New Roman" w:cs="Times New Roman"/>
          </w:rPr>
          <w:fldChar w:fldCharType="separate"/>
        </w:r>
        <w:r w:rsidRPr="00B26491">
          <w:rPr>
            <w:rFonts w:ascii="Times New Roman" w:hAnsi="Times New Roman" w:cs="Times New Roman"/>
          </w:rPr>
          <w:t>2</w:t>
        </w:r>
        <w:r w:rsidRPr="00B26491">
          <w:rPr>
            <w:rFonts w:ascii="Times New Roman" w:hAnsi="Times New Roman" w:cs="Times New Roman"/>
          </w:rPr>
          <w:fldChar w:fldCharType="end"/>
        </w:r>
      </w:p>
    </w:sdtContent>
  </w:sdt>
  <w:p w14:paraId="1887F6F7" w14:textId="77777777" w:rsidR="00ED3CB2" w:rsidRPr="00D1795B" w:rsidRDefault="00ED3CB2">
    <w:pPr>
      <w:pStyle w:val="FooterCouncil"/>
      <w:rPr>
        <w:lang w:val="en-GB"/>
      </w:rP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F9" w14:textId="77777777" w:rsidR="00C02B59" w:rsidRPr="00D1795B" w:rsidRDefault="00C02B5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FC" w14:textId="77777777" w:rsidR="00C02B59" w:rsidRPr="00D1795B" w:rsidRDefault="00C02B5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1044372"/>
      <w:docPartObj>
        <w:docPartGallery w:val="Page Numbers (Bottom of Page)"/>
        <w:docPartUnique/>
      </w:docPartObj>
    </w:sdtPr>
    <w:sdtEndPr>
      <w:rPr>
        <w:rFonts w:ascii="Times New Roman" w:hAnsi="Times New Roman" w:cs="Times New Roman"/>
      </w:rPr>
    </w:sdtEndPr>
    <w:sdtContent>
      <w:p w14:paraId="2CF6BBBA" w14:textId="163C9C05" w:rsidR="00F6716A" w:rsidRPr="003B4937" w:rsidRDefault="00F6716A">
        <w:pPr>
          <w:pStyle w:val="Footer"/>
          <w:jc w:val="center"/>
          <w:rPr>
            <w:rFonts w:ascii="Times New Roman" w:hAnsi="Times New Roman" w:cs="Times New Roman"/>
          </w:rPr>
        </w:pPr>
        <w:r w:rsidRPr="003B4937">
          <w:rPr>
            <w:rFonts w:ascii="Times New Roman" w:hAnsi="Times New Roman" w:cs="Times New Roman"/>
          </w:rPr>
          <w:fldChar w:fldCharType="begin"/>
        </w:r>
        <w:r w:rsidRPr="003B4937">
          <w:rPr>
            <w:rFonts w:ascii="Times New Roman" w:hAnsi="Times New Roman" w:cs="Times New Roman"/>
          </w:rPr>
          <w:instrText xml:space="preserve"> PAGE   \* MERGEFORMAT </w:instrText>
        </w:r>
        <w:r w:rsidRPr="003B4937">
          <w:rPr>
            <w:rFonts w:ascii="Times New Roman" w:hAnsi="Times New Roman" w:cs="Times New Roman"/>
          </w:rPr>
          <w:fldChar w:fldCharType="separate"/>
        </w:r>
        <w:r w:rsidRPr="003B4937">
          <w:rPr>
            <w:rFonts w:ascii="Times New Roman" w:hAnsi="Times New Roman" w:cs="Times New Roman"/>
          </w:rPr>
          <w:t>2</w:t>
        </w:r>
        <w:r w:rsidRPr="003B4937">
          <w:rPr>
            <w:rFonts w:ascii="Times New Roman" w:hAnsi="Times New Roman" w:cs="Times New Roman"/>
          </w:rPr>
          <w:fldChar w:fldCharType="end"/>
        </w:r>
      </w:p>
    </w:sdtContent>
  </w:sdt>
  <w:p w14:paraId="1887F709" w14:textId="77777777" w:rsidR="00ED3CB2" w:rsidRPr="00D1795B" w:rsidRDefault="00ED3CB2">
    <w:pPr>
      <w:pStyle w:val="FooterCouncil"/>
      <w:rPr>
        <w:lang w:val="en-GB"/>
      </w:rP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0B" w14:textId="77777777" w:rsidR="00C02B59" w:rsidRPr="00D1795B" w:rsidRDefault="00C02B5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0E" w14:textId="77777777" w:rsidR="00C02B59" w:rsidRPr="00D1795B" w:rsidRDefault="00C02B5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2126288"/>
      <w:docPartObj>
        <w:docPartGallery w:val="Page Numbers (Bottom of Page)"/>
        <w:docPartUnique/>
      </w:docPartObj>
    </w:sdtPr>
    <w:sdtEndPr>
      <w:rPr>
        <w:rFonts w:ascii="Times New Roman" w:hAnsi="Times New Roman" w:cs="Times New Roman"/>
      </w:rPr>
    </w:sdtEndPr>
    <w:sdtContent>
      <w:p w14:paraId="1F418EB4" w14:textId="517FACD3" w:rsidR="00F6716A" w:rsidRPr="003B4937" w:rsidRDefault="00F6716A">
        <w:pPr>
          <w:pStyle w:val="Footer"/>
          <w:jc w:val="center"/>
          <w:rPr>
            <w:rFonts w:ascii="Times New Roman" w:hAnsi="Times New Roman" w:cs="Times New Roman"/>
          </w:rPr>
        </w:pPr>
        <w:r w:rsidRPr="003B4937">
          <w:rPr>
            <w:rFonts w:ascii="Times New Roman" w:hAnsi="Times New Roman" w:cs="Times New Roman"/>
          </w:rPr>
          <w:fldChar w:fldCharType="begin"/>
        </w:r>
        <w:r w:rsidRPr="003B4937">
          <w:rPr>
            <w:rFonts w:ascii="Times New Roman" w:hAnsi="Times New Roman" w:cs="Times New Roman"/>
          </w:rPr>
          <w:instrText xml:space="preserve"> PAGE   \* MERGEFORMAT </w:instrText>
        </w:r>
        <w:r w:rsidRPr="003B4937">
          <w:rPr>
            <w:rFonts w:ascii="Times New Roman" w:hAnsi="Times New Roman" w:cs="Times New Roman"/>
          </w:rPr>
          <w:fldChar w:fldCharType="separate"/>
        </w:r>
        <w:r w:rsidRPr="003B4937">
          <w:rPr>
            <w:rFonts w:ascii="Times New Roman" w:hAnsi="Times New Roman" w:cs="Times New Roman"/>
          </w:rPr>
          <w:t>2</w:t>
        </w:r>
        <w:r w:rsidRPr="003B4937">
          <w:rPr>
            <w:rFonts w:ascii="Times New Roman" w:hAnsi="Times New Roman" w:cs="Times New Roman"/>
          </w:rPr>
          <w:fldChar w:fldCharType="end"/>
        </w:r>
      </w:p>
    </w:sdtContent>
  </w:sdt>
  <w:p w14:paraId="1887F71B" w14:textId="77777777" w:rsidR="00ED3CB2" w:rsidRPr="00D1795B" w:rsidRDefault="00ED3CB2">
    <w:pPr>
      <w:pStyle w:val="FooterCouncil"/>
      <w:rPr>
        <w:lang w:val="en-GB"/>
      </w:rP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1D" w14:textId="77777777" w:rsidR="00C02B59" w:rsidRPr="00D1795B" w:rsidRDefault="00C02B59">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20" w14:textId="77777777" w:rsidR="00C02B59" w:rsidRPr="00D1795B" w:rsidRDefault="00C02B59">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893873"/>
      <w:docPartObj>
        <w:docPartGallery w:val="Page Numbers (Bottom of Page)"/>
        <w:docPartUnique/>
      </w:docPartObj>
    </w:sdtPr>
    <w:sdtEndPr>
      <w:rPr>
        <w:rFonts w:ascii="Times New Roman" w:hAnsi="Times New Roman" w:cs="Times New Roman"/>
      </w:rPr>
    </w:sdtEndPr>
    <w:sdtContent>
      <w:p w14:paraId="0F0C25D0" w14:textId="6AAE1760" w:rsidR="00F6716A" w:rsidRPr="003B4937" w:rsidRDefault="00F6716A">
        <w:pPr>
          <w:pStyle w:val="Footer"/>
          <w:jc w:val="center"/>
          <w:rPr>
            <w:rFonts w:ascii="Times New Roman" w:hAnsi="Times New Roman" w:cs="Times New Roman"/>
          </w:rPr>
        </w:pPr>
        <w:r w:rsidRPr="003B4937">
          <w:rPr>
            <w:rFonts w:ascii="Times New Roman" w:hAnsi="Times New Roman" w:cs="Times New Roman"/>
          </w:rPr>
          <w:fldChar w:fldCharType="begin"/>
        </w:r>
        <w:r w:rsidRPr="003B4937">
          <w:rPr>
            <w:rFonts w:ascii="Times New Roman" w:hAnsi="Times New Roman" w:cs="Times New Roman"/>
          </w:rPr>
          <w:instrText xml:space="preserve"> PAGE   \* MERGEFORMAT </w:instrText>
        </w:r>
        <w:r w:rsidRPr="003B4937">
          <w:rPr>
            <w:rFonts w:ascii="Times New Roman" w:hAnsi="Times New Roman" w:cs="Times New Roman"/>
          </w:rPr>
          <w:fldChar w:fldCharType="separate"/>
        </w:r>
        <w:r w:rsidRPr="003B4937">
          <w:rPr>
            <w:rFonts w:ascii="Times New Roman" w:hAnsi="Times New Roman" w:cs="Times New Roman"/>
          </w:rPr>
          <w:t>2</w:t>
        </w:r>
        <w:r w:rsidRPr="003B4937">
          <w:rPr>
            <w:rFonts w:ascii="Times New Roman" w:hAnsi="Times New Roman" w:cs="Times New Roman"/>
          </w:rPr>
          <w:fldChar w:fldCharType="end"/>
        </w:r>
      </w:p>
    </w:sdtContent>
  </w:sdt>
  <w:p w14:paraId="1887F72D" w14:textId="77777777" w:rsidR="00ED3CB2" w:rsidRPr="00D1795B" w:rsidRDefault="00ED3CB2">
    <w:pPr>
      <w:pStyle w:val="FooterCouncil"/>
      <w:rPr>
        <w:lang w:val="en-GB"/>
      </w:rP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2F" w14:textId="77777777" w:rsidR="00C02B59" w:rsidRPr="00D1795B" w:rsidRDefault="00C02B59">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32" w14:textId="77777777" w:rsidR="00C02B59" w:rsidRPr="00D1795B" w:rsidRDefault="00C02B59">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0968602"/>
      <w:docPartObj>
        <w:docPartGallery w:val="Page Numbers (Bottom of Page)"/>
        <w:docPartUnique/>
      </w:docPartObj>
    </w:sdtPr>
    <w:sdtEndPr>
      <w:rPr>
        <w:rFonts w:ascii="Times New Roman" w:hAnsi="Times New Roman" w:cs="Times New Roman"/>
      </w:rPr>
    </w:sdtEndPr>
    <w:sdtContent>
      <w:p w14:paraId="3B7A9400" w14:textId="5CB8D735" w:rsidR="00F6716A" w:rsidRPr="003B4937" w:rsidRDefault="00F6716A">
        <w:pPr>
          <w:pStyle w:val="Footer"/>
          <w:jc w:val="center"/>
          <w:rPr>
            <w:rFonts w:ascii="Times New Roman" w:hAnsi="Times New Roman" w:cs="Times New Roman"/>
          </w:rPr>
        </w:pPr>
        <w:r w:rsidRPr="003B4937">
          <w:rPr>
            <w:rFonts w:ascii="Times New Roman" w:hAnsi="Times New Roman" w:cs="Times New Roman"/>
          </w:rPr>
          <w:fldChar w:fldCharType="begin"/>
        </w:r>
        <w:r w:rsidRPr="003B4937">
          <w:rPr>
            <w:rFonts w:ascii="Times New Roman" w:hAnsi="Times New Roman" w:cs="Times New Roman"/>
          </w:rPr>
          <w:instrText xml:space="preserve"> PAGE   \* MERGEFORMAT </w:instrText>
        </w:r>
        <w:r w:rsidRPr="003B4937">
          <w:rPr>
            <w:rFonts w:ascii="Times New Roman" w:hAnsi="Times New Roman" w:cs="Times New Roman"/>
          </w:rPr>
          <w:fldChar w:fldCharType="separate"/>
        </w:r>
        <w:r w:rsidRPr="003B4937">
          <w:rPr>
            <w:rFonts w:ascii="Times New Roman" w:hAnsi="Times New Roman" w:cs="Times New Roman"/>
          </w:rPr>
          <w:t>2</w:t>
        </w:r>
        <w:r w:rsidRPr="003B4937">
          <w:rPr>
            <w:rFonts w:ascii="Times New Roman" w:hAnsi="Times New Roman" w:cs="Times New Roman"/>
          </w:rPr>
          <w:fldChar w:fldCharType="end"/>
        </w:r>
      </w:p>
    </w:sdtContent>
  </w:sdt>
  <w:p w14:paraId="1887F73F" w14:textId="77777777" w:rsidR="00ED3CB2" w:rsidRPr="00D1795B" w:rsidRDefault="00ED3CB2">
    <w:pPr>
      <w:pStyle w:val="FooterCouncil"/>
      <w:rPr>
        <w:lang w:val="en-GB"/>
      </w:rP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41" w14:textId="77777777" w:rsidR="00C02B59" w:rsidRPr="00D1795B" w:rsidRDefault="00C02B59">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44" w14:textId="77777777" w:rsidR="00C02B59" w:rsidRPr="00D1795B" w:rsidRDefault="00C02B59">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956938068"/>
      <w:docPartObj>
        <w:docPartGallery w:val="Page Numbers (Bottom of Page)"/>
        <w:docPartUnique/>
      </w:docPartObj>
    </w:sdtPr>
    <w:sdtEndPr/>
    <w:sdtContent>
      <w:p w14:paraId="57A638B0" w14:textId="3CF6086D" w:rsidR="00F6716A" w:rsidRPr="003B4937" w:rsidRDefault="00F6716A">
        <w:pPr>
          <w:pStyle w:val="Footer"/>
          <w:jc w:val="center"/>
          <w:rPr>
            <w:rFonts w:ascii="Times New Roman" w:hAnsi="Times New Roman" w:cs="Times New Roman"/>
          </w:rPr>
        </w:pPr>
        <w:r w:rsidRPr="003B4937">
          <w:rPr>
            <w:rFonts w:ascii="Times New Roman" w:hAnsi="Times New Roman" w:cs="Times New Roman"/>
          </w:rPr>
          <w:fldChar w:fldCharType="begin"/>
        </w:r>
        <w:r w:rsidRPr="003B4937">
          <w:rPr>
            <w:rFonts w:ascii="Times New Roman" w:hAnsi="Times New Roman" w:cs="Times New Roman"/>
          </w:rPr>
          <w:instrText xml:space="preserve"> PAGE   \* MERGEFORMAT </w:instrText>
        </w:r>
        <w:r w:rsidRPr="003B4937">
          <w:rPr>
            <w:rFonts w:ascii="Times New Roman" w:hAnsi="Times New Roman" w:cs="Times New Roman"/>
          </w:rPr>
          <w:fldChar w:fldCharType="separate"/>
        </w:r>
        <w:r w:rsidRPr="003B4937">
          <w:rPr>
            <w:rFonts w:ascii="Times New Roman" w:hAnsi="Times New Roman" w:cs="Times New Roman"/>
          </w:rPr>
          <w:t>2</w:t>
        </w:r>
        <w:r w:rsidRPr="003B4937">
          <w:rPr>
            <w:rFonts w:ascii="Times New Roman" w:hAnsi="Times New Roman" w:cs="Times New Roman"/>
          </w:rPr>
          <w:fldChar w:fldCharType="end"/>
        </w:r>
      </w:p>
    </w:sdtContent>
  </w:sdt>
  <w:p w14:paraId="1887F751" w14:textId="77777777" w:rsidR="00ED3CB2" w:rsidRPr="00D1795B" w:rsidRDefault="00ED3CB2">
    <w:pPr>
      <w:pStyle w:val="FooterCouncil"/>
      <w:rPr>
        <w:lang w:val="en-GB"/>
      </w:rP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53" w14:textId="77777777" w:rsidR="00C02B59" w:rsidRPr="00D1795B" w:rsidRDefault="00C02B59">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56" w14:textId="77777777" w:rsidR="00C02B59" w:rsidRPr="00D1795B" w:rsidRDefault="00C02B59">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542829320"/>
      <w:docPartObj>
        <w:docPartGallery w:val="Page Numbers (Bottom of Page)"/>
        <w:docPartUnique/>
      </w:docPartObj>
    </w:sdtPr>
    <w:sdtEndPr/>
    <w:sdtContent>
      <w:p w14:paraId="7DCC96E7" w14:textId="5E0E90B9" w:rsidR="00F6716A" w:rsidRPr="003B4937" w:rsidRDefault="00F6716A">
        <w:pPr>
          <w:pStyle w:val="Footer"/>
          <w:jc w:val="center"/>
          <w:rPr>
            <w:rFonts w:ascii="Times New Roman" w:hAnsi="Times New Roman" w:cs="Times New Roman"/>
          </w:rPr>
        </w:pPr>
        <w:r w:rsidRPr="003B4937">
          <w:rPr>
            <w:rFonts w:ascii="Times New Roman" w:hAnsi="Times New Roman" w:cs="Times New Roman"/>
          </w:rPr>
          <w:fldChar w:fldCharType="begin"/>
        </w:r>
        <w:r w:rsidRPr="003B4937">
          <w:rPr>
            <w:rFonts w:ascii="Times New Roman" w:hAnsi="Times New Roman" w:cs="Times New Roman"/>
          </w:rPr>
          <w:instrText xml:space="preserve"> PAGE   \* MERGEFORMAT </w:instrText>
        </w:r>
        <w:r w:rsidRPr="003B4937">
          <w:rPr>
            <w:rFonts w:ascii="Times New Roman" w:hAnsi="Times New Roman" w:cs="Times New Roman"/>
          </w:rPr>
          <w:fldChar w:fldCharType="separate"/>
        </w:r>
        <w:r w:rsidRPr="003B4937">
          <w:rPr>
            <w:rFonts w:ascii="Times New Roman" w:hAnsi="Times New Roman" w:cs="Times New Roman"/>
          </w:rPr>
          <w:t>2</w:t>
        </w:r>
        <w:r w:rsidRPr="003B4937">
          <w:rPr>
            <w:rFonts w:ascii="Times New Roman" w:hAnsi="Times New Roman" w:cs="Times New Roman"/>
          </w:rPr>
          <w:fldChar w:fldCharType="end"/>
        </w:r>
      </w:p>
    </w:sdtContent>
  </w:sdt>
  <w:p w14:paraId="1887F763" w14:textId="77777777" w:rsidR="00ED3CB2" w:rsidRPr="00D1795B" w:rsidRDefault="00ED3CB2">
    <w:pPr>
      <w:pStyle w:val="FooterCouncil"/>
      <w:rPr>
        <w:lang w:val="en-GB"/>
      </w:rP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65" w14:textId="77777777" w:rsidR="00C02B59" w:rsidRPr="00D1795B" w:rsidRDefault="00C02B59">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68" w14:textId="77777777" w:rsidR="00C02B59" w:rsidRPr="00D1795B" w:rsidRDefault="00C02B59">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4999061"/>
      <w:docPartObj>
        <w:docPartGallery w:val="Page Numbers (Bottom of Page)"/>
        <w:docPartUnique/>
      </w:docPartObj>
    </w:sdtPr>
    <w:sdtEndPr>
      <w:rPr>
        <w:rFonts w:ascii="Times New Roman" w:hAnsi="Times New Roman" w:cs="Times New Roman"/>
      </w:rPr>
    </w:sdtEndPr>
    <w:sdtContent>
      <w:p w14:paraId="739B93C5" w14:textId="5BDF3956" w:rsidR="00F6716A" w:rsidRPr="003B4937" w:rsidRDefault="00F6716A">
        <w:pPr>
          <w:pStyle w:val="Footer"/>
          <w:jc w:val="center"/>
          <w:rPr>
            <w:rFonts w:ascii="Times New Roman" w:hAnsi="Times New Roman" w:cs="Times New Roman"/>
          </w:rPr>
        </w:pPr>
        <w:r w:rsidRPr="003B4937">
          <w:rPr>
            <w:rFonts w:ascii="Times New Roman" w:hAnsi="Times New Roman" w:cs="Times New Roman"/>
          </w:rPr>
          <w:fldChar w:fldCharType="begin"/>
        </w:r>
        <w:r w:rsidRPr="003B4937">
          <w:rPr>
            <w:rFonts w:ascii="Times New Roman" w:hAnsi="Times New Roman" w:cs="Times New Roman"/>
          </w:rPr>
          <w:instrText xml:space="preserve"> PAGE   \* MERGEFORMAT </w:instrText>
        </w:r>
        <w:r w:rsidRPr="003B4937">
          <w:rPr>
            <w:rFonts w:ascii="Times New Roman" w:hAnsi="Times New Roman" w:cs="Times New Roman"/>
          </w:rPr>
          <w:fldChar w:fldCharType="separate"/>
        </w:r>
        <w:r w:rsidRPr="003B4937">
          <w:rPr>
            <w:rFonts w:ascii="Times New Roman" w:hAnsi="Times New Roman" w:cs="Times New Roman"/>
          </w:rPr>
          <w:t>2</w:t>
        </w:r>
        <w:r w:rsidRPr="003B4937">
          <w:rPr>
            <w:rFonts w:ascii="Times New Roman" w:hAnsi="Times New Roman" w:cs="Times New Roman"/>
          </w:rPr>
          <w:fldChar w:fldCharType="end"/>
        </w:r>
      </w:p>
    </w:sdtContent>
  </w:sdt>
  <w:p w14:paraId="1887F775" w14:textId="77777777" w:rsidR="00ED3CB2" w:rsidRPr="00D1795B" w:rsidRDefault="00ED3CB2">
    <w:pPr>
      <w:pStyle w:val="FooterCouncil"/>
      <w:rPr>
        <w:lang w:val="en-GB"/>
      </w:rP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77" w14:textId="77777777" w:rsidR="00C02B59" w:rsidRPr="00D1795B" w:rsidRDefault="00C02B59">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7A" w14:textId="77777777" w:rsidR="00C02B59" w:rsidRPr="00D1795B" w:rsidRDefault="00C02B59">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0558160"/>
      <w:docPartObj>
        <w:docPartGallery w:val="Page Numbers (Bottom of Page)"/>
        <w:docPartUnique/>
      </w:docPartObj>
    </w:sdtPr>
    <w:sdtEndPr>
      <w:rPr>
        <w:rFonts w:ascii="Times New Roman" w:hAnsi="Times New Roman" w:cs="Times New Roman"/>
      </w:rPr>
    </w:sdtEndPr>
    <w:sdtContent>
      <w:p w14:paraId="07FFBC65" w14:textId="1A02B366" w:rsidR="00F6716A" w:rsidRPr="003B4937" w:rsidRDefault="00F6716A">
        <w:pPr>
          <w:pStyle w:val="Footer"/>
          <w:jc w:val="center"/>
          <w:rPr>
            <w:rFonts w:ascii="Times New Roman" w:hAnsi="Times New Roman" w:cs="Times New Roman"/>
          </w:rPr>
        </w:pPr>
        <w:r w:rsidRPr="003B4937">
          <w:rPr>
            <w:rFonts w:ascii="Times New Roman" w:hAnsi="Times New Roman" w:cs="Times New Roman"/>
          </w:rPr>
          <w:fldChar w:fldCharType="begin"/>
        </w:r>
        <w:r w:rsidRPr="003B4937">
          <w:rPr>
            <w:rFonts w:ascii="Times New Roman" w:hAnsi="Times New Roman" w:cs="Times New Roman"/>
          </w:rPr>
          <w:instrText xml:space="preserve"> PAGE   \* MERGEFORMAT </w:instrText>
        </w:r>
        <w:r w:rsidRPr="003B4937">
          <w:rPr>
            <w:rFonts w:ascii="Times New Roman" w:hAnsi="Times New Roman" w:cs="Times New Roman"/>
          </w:rPr>
          <w:fldChar w:fldCharType="separate"/>
        </w:r>
        <w:r w:rsidRPr="003B4937">
          <w:rPr>
            <w:rFonts w:ascii="Times New Roman" w:hAnsi="Times New Roman" w:cs="Times New Roman"/>
          </w:rPr>
          <w:t>2</w:t>
        </w:r>
        <w:r w:rsidRPr="003B4937">
          <w:rPr>
            <w:rFonts w:ascii="Times New Roman" w:hAnsi="Times New Roman" w:cs="Times New Roman"/>
          </w:rPr>
          <w:fldChar w:fldCharType="end"/>
        </w:r>
      </w:p>
    </w:sdtContent>
  </w:sdt>
  <w:p w14:paraId="1887F787" w14:textId="77777777" w:rsidR="00ED3CB2" w:rsidRPr="00D1795B" w:rsidRDefault="00ED3CB2">
    <w:pPr>
      <w:pStyle w:val="FooterCouncil"/>
      <w:rPr>
        <w:lang w:val="en-GB"/>
      </w:rP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89" w14:textId="77777777" w:rsidR="00C02B59" w:rsidRPr="00D1795B" w:rsidRDefault="00C02B59">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8C" w14:textId="77777777" w:rsidR="00C02B59" w:rsidRPr="00D1795B" w:rsidRDefault="00C02B59" w:rsidP="00C02B59">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4356885"/>
      <w:docPartObj>
        <w:docPartGallery w:val="Page Numbers (Bottom of Page)"/>
        <w:docPartUnique/>
      </w:docPartObj>
    </w:sdtPr>
    <w:sdtEndPr/>
    <w:sdtContent>
      <w:p w14:paraId="63869057" w14:textId="031B5487" w:rsidR="00F6716A" w:rsidRPr="00D1795B" w:rsidRDefault="00F6716A">
        <w:pPr>
          <w:pStyle w:val="Footer"/>
          <w:jc w:val="center"/>
        </w:pPr>
        <w:r w:rsidRPr="003B4937">
          <w:rPr>
            <w:rFonts w:ascii="Times New Roman" w:hAnsi="Times New Roman" w:cs="Times New Roman"/>
          </w:rPr>
          <w:fldChar w:fldCharType="begin"/>
        </w:r>
        <w:r w:rsidRPr="003B4937">
          <w:rPr>
            <w:rFonts w:ascii="Times New Roman" w:hAnsi="Times New Roman" w:cs="Times New Roman"/>
          </w:rPr>
          <w:instrText xml:space="preserve"> PAGE   \* MERGEFORMAT </w:instrText>
        </w:r>
        <w:r w:rsidRPr="003B4937">
          <w:rPr>
            <w:rFonts w:ascii="Times New Roman" w:hAnsi="Times New Roman" w:cs="Times New Roman"/>
          </w:rPr>
          <w:fldChar w:fldCharType="separate"/>
        </w:r>
        <w:r w:rsidRPr="003B4937">
          <w:rPr>
            <w:rFonts w:ascii="Times New Roman" w:hAnsi="Times New Roman" w:cs="Times New Roman"/>
          </w:rPr>
          <w:t>2</w:t>
        </w:r>
        <w:r w:rsidRPr="003B4937">
          <w:rPr>
            <w:rFonts w:ascii="Times New Roman" w:hAnsi="Times New Roman" w:cs="Times New Roman"/>
          </w:rPr>
          <w:fldChar w:fldCharType="end"/>
        </w:r>
      </w:p>
    </w:sdtContent>
  </w:sdt>
  <w:p w14:paraId="1887F799" w14:textId="77777777" w:rsidR="00ED3CB2" w:rsidRPr="00D1795B" w:rsidRDefault="00ED3CB2">
    <w:pPr>
      <w:pStyle w:val="FooterCouncil"/>
      <w:rPr>
        <w:lang w:val="en-GB"/>
      </w:rP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B" w14:textId="77777777" w:rsidR="00C02B59" w:rsidRPr="00D1795B" w:rsidRDefault="00C02B59" w:rsidP="00C02B59">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D" w14:textId="77777777" w:rsidR="00C02B59" w:rsidRPr="00D1795B" w:rsidRDefault="00C02B59" w:rsidP="00C02B59">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659076752"/>
      <w:docPartObj>
        <w:docPartGallery w:val="Page Numbers (Bottom of Page)"/>
        <w:docPartUnique/>
      </w:docPartObj>
    </w:sdtPr>
    <w:sdtEndPr/>
    <w:sdtContent>
      <w:p w14:paraId="0524711D" w14:textId="5AC901EF" w:rsidR="00F6716A" w:rsidRPr="003B4937" w:rsidRDefault="00F6716A">
        <w:pPr>
          <w:pStyle w:val="Footer"/>
          <w:jc w:val="center"/>
          <w:rPr>
            <w:rFonts w:ascii="Times New Roman" w:hAnsi="Times New Roman" w:cs="Times New Roman"/>
          </w:rPr>
        </w:pPr>
        <w:r w:rsidRPr="003B4937">
          <w:rPr>
            <w:rFonts w:ascii="Times New Roman" w:hAnsi="Times New Roman" w:cs="Times New Roman"/>
          </w:rPr>
          <w:fldChar w:fldCharType="begin"/>
        </w:r>
        <w:r w:rsidRPr="003B4937">
          <w:rPr>
            <w:rFonts w:ascii="Times New Roman" w:hAnsi="Times New Roman" w:cs="Times New Roman"/>
          </w:rPr>
          <w:instrText xml:space="preserve"> PAGE   \* MERGEFORMAT </w:instrText>
        </w:r>
        <w:r w:rsidRPr="003B4937">
          <w:rPr>
            <w:rFonts w:ascii="Times New Roman" w:hAnsi="Times New Roman" w:cs="Times New Roman"/>
          </w:rPr>
          <w:fldChar w:fldCharType="separate"/>
        </w:r>
        <w:r w:rsidRPr="003B4937">
          <w:rPr>
            <w:rFonts w:ascii="Times New Roman" w:hAnsi="Times New Roman" w:cs="Times New Roman"/>
          </w:rPr>
          <w:t>2</w:t>
        </w:r>
        <w:r w:rsidRPr="003B4937">
          <w:rPr>
            <w:rFonts w:ascii="Times New Roman" w:hAnsi="Times New Roman" w:cs="Times New Roman"/>
          </w:rPr>
          <w:fldChar w:fldCharType="end"/>
        </w:r>
      </w:p>
    </w:sdtContent>
  </w:sdt>
  <w:p w14:paraId="6CBC9BAA" w14:textId="77777777" w:rsidR="00A56E01" w:rsidRPr="00D1795B" w:rsidRDefault="00A56E01">
    <w:pPr>
      <w:pStyle w:val="FooterCouncil"/>
      <w:rPr>
        <w:lang w:val="en-GB"/>
      </w:rP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F" w14:textId="77777777" w:rsidR="00C02B59" w:rsidRPr="00D1795B" w:rsidRDefault="00C02B59" w:rsidP="00C02B59">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1" w14:textId="77777777" w:rsidR="00C02B59" w:rsidRPr="00D1795B" w:rsidRDefault="00C02B59" w:rsidP="00C02B59">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271162"/>
      <w:docPartObj>
        <w:docPartGallery w:val="Page Numbers (Bottom of Page)"/>
        <w:docPartUnique/>
      </w:docPartObj>
    </w:sdtPr>
    <w:sdtEndPr>
      <w:rPr>
        <w:rFonts w:ascii="Times New Roman" w:hAnsi="Times New Roman" w:cs="Times New Roman"/>
      </w:rPr>
    </w:sdtEndPr>
    <w:sdtContent>
      <w:p w14:paraId="51C713F9" w14:textId="0610587B" w:rsidR="00F6716A" w:rsidRPr="00782C5A" w:rsidRDefault="00F6716A">
        <w:pPr>
          <w:pStyle w:val="Footer"/>
          <w:jc w:val="center"/>
          <w:rPr>
            <w:rFonts w:ascii="Times New Roman" w:hAnsi="Times New Roman" w:cs="Times New Roman"/>
          </w:rPr>
        </w:pPr>
        <w:r w:rsidRPr="00782C5A">
          <w:rPr>
            <w:rFonts w:ascii="Times New Roman" w:hAnsi="Times New Roman" w:cs="Times New Roman"/>
          </w:rPr>
          <w:fldChar w:fldCharType="begin"/>
        </w:r>
        <w:r w:rsidRPr="00782C5A">
          <w:rPr>
            <w:rFonts w:ascii="Times New Roman" w:hAnsi="Times New Roman" w:cs="Times New Roman"/>
          </w:rPr>
          <w:instrText xml:space="preserve"> PAGE   \* MERGEFORMAT </w:instrText>
        </w:r>
        <w:r w:rsidRPr="00782C5A">
          <w:rPr>
            <w:rFonts w:ascii="Times New Roman" w:hAnsi="Times New Roman" w:cs="Times New Roman"/>
          </w:rPr>
          <w:fldChar w:fldCharType="separate"/>
        </w:r>
        <w:r w:rsidRPr="00782C5A">
          <w:rPr>
            <w:rFonts w:ascii="Times New Roman" w:hAnsi="Times New Roman" w:cs="Times New Roman"/>
          </w:rPr>
          <w:t>2</w:t>
        </w:r>
        <w:r w:rsidRPr="00782C5A">
          <w:rPr>
            <w:rFonts w:ascii="Times New Roman" w:hAnsi="Times New Roman" w:cs="Times New Roman"/>
          </w:rPr>
          <w:fldChar w:fldCharType="end"/>
        </w:r>
      </w:p>
    </w:sdtContent>
  </w:sdt>
  <w:p w14:paraId="567FF6E4" w14:textId="77777777" w:rsidR="00A56E01" w:rsidRPr="00D1795B" w:rsidRDefault="00A56E01">
    <w:pPr>
      <w:pStyle w:val="FooterCouncil"/>
      <w:rPr>
        <w:lang w:val="en-GB"/>
      </w:rP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3" w14:textId="77777777" w:rsidR="00C02B59" w:rsidRPr="00D1795B" w:rsidRDefault="00C02B59" w:rsidP="00C02B59">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5" w14:textId="77777777" w:rsidR="00C02B59" w:rsidRPr="00D1795B" w:rsidRDefault="00C02B59" w:rsidP="00C02B59">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9616214"/>
      <w:docPartObj>
        <w:docPartGallery w:val="Page Numbers (Bottom of Page)"/>
        <w:docPartUnique/>
      </w:docPartObj>
    </w:sdtPr>
    <w:sdtEndPr>
      <w:rPr>
        <w:rFonts w:ascii="Times New Roman" w:hAnsi="Times New Roman" w:cs="Times New Roman"/>
      </w:rPr>
    </w:sdtEndPr>
    <w:sdtContent>
      <w:p w14:paraId="6CC41434" w14:textId="55C129D2" w:rsidR="00F6716A" w:rsidRPr="002053F8" w:rsidRDefault="00F6716A">
        <w:pPr>
          <w:pStyle w:val="Footer"/>
          <w:jc w:val="center"/>
          <w:rPr>
            <w:rFonts w:ascii="Times New Roman" w:hAnsi="Times New Roman" w:cs="Times New Roman"/>
          </w:rPr>
        </w:pPr>
        <w:r w:rsidRPr="002053F8">
          <w:rPr>
            <w:rFonts w:ascii="Times New Roman" w:hAnsi="Times New Roman" w:cs="Times New Roman"/>
          </w:rPr>
          <w:fldChar w:fldCharType="begin"/>
        </w:r>
        <w:r w:rsidRPr="002053F8">
          <w:rPr>
            <w:rFonts w:ascii="Times New Roman" w:hAnsi="Times New Roman" w:cs="Times New Roman"/>
          </w:rPr>
          <w:instrText xml:space="preserve"> PAGE   \* MERGEFORMAT </w:instrText>
        </w:r>
        <w:r w:rsidRPr="002053F8">
          <w:rPr>
            <w:rFonts w:ascii="Times New Roman" w:hAnsi="Times New Roman" w:cs="Times New Roman"/>
          </w:rPr>
          <w:fldChar w:fldCharType="separate"/>
        </w:r>
        <w:r w:rsidRPr="002053F8">
          <w:rPr>
            <w:rFonts w:ascii="Times New Roman" w:hAnsi="Times New Roman" w:cs="Times New Roman"/>
          </w:rPr>
          <w:t>2</w:t>
        </w:r>
        <w:r w:rsidRPr="002053F8">
          <w:rPr>
            <w:rFonts w:ascii="Times New Roman" w:hAnsi="Times New Roman" w:cs="Times New Roman"/>
          </w:rPr>
          <w:fldChar w:fldCharType="end"/>
        </w:r>
      </w:p>
    </w:sdtContent>
  </w:sdt>
  <w:p w14:paraId="5C189B4C" w14:textId="77777777" w:rsidR="00A56E01" w:rsidRPr="00D1795B" w:rsidRDefault="00A56E01">
    <w:pPr>
      <w:pStyle w:val="FooterCouncil"/>
      <w:rPr>
        <w:lang w:val="en-GB"/>
      </w:rP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7" w14:textId="77777777" w:rsidR="00C02B59" w:rsidRPr="00D1795B" w:rsidRDefault="00C02B59" w:rsidP="00C02B59">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9" w14:textId="77777777" w:rsidR="00C02B59" w:rsidRPr="00D1795B" w:rsidRDefault="00C02B59" w:rsidP="00C02B59">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121718"/>
      <w:docPartObj>
        <w:docPartGallery w:val="Page Numbers (Bottom of Page)"/>
        <w:docPartUnique/>
      </w:docPartObj>
    </w:sdtPr>
    <w:sdtEndPr>
      <w:rPr>
        <w:rFonts w:ascii="Times New Roman" w:hAnsi="Times New Roman" w:cs="Times New Roman"/>
      </w:rPr>
    </w:sdtEndPr>
    <w:sdtContent>
      <w:p w14:paraId="6E5FC6A9" w14:textId="17035126" w:rsidR="00F6716A" w:rsidRPr="002053F8" w:rsidRDefault="00F6716A">
        <w:pPr>
          <w:pStyle w:val="Footer"/>
          <w:jc w:val="center"/>
          <w:rPr>
            <w:rFonts w:ascii="Times New Roman" w:hAnsi="Times New Roman" w:cs="Times New Roman"/>
          </w:rPr>
        </w:pPr>
        <w:r w:rsidRPr="002053F8">
          <w:rPr>
            <w:rFonts w:ascii="Times New Roman" w:hAnsi="Times New Roman" w:cs="Times New Roman"/>
          </w:rPr>
          <w:fldChar w:fldCharType="begin"/>
        </w:r>
        <w:r w:rsidRPr="002053F8">
          <w:rPr>
            <w:rFonts w:ascii="Times New Roman" w:hAnsi="Times New Roman" w:cs="Times New Roman"/>
          </w:rPr>
          <w:instrText xml:space="preserve"> PAGE   \* MERGEFORMAT </w:instrText>
        </w:r>
        <w:r w:rsidRPr="002053F8">
          <w:rPr>
            <w:rFonts w:ascii="Times New Roman" w:hAnsi="Times New Roman" w:cs="Times New Roman"/>
          </w:rPr>
          <w:fldChar w:fldCharType="separate"/>
        </w:r>
        <w:r w:rsidRPr="002053F8">
          <w:rPr>
            <w:rFonts w:ascii="Times New Roman" w:hAnsi="Times New Roman" w:cs="Times New Roman"/>
          </w:rPr>
          <w:t>2</w:t>
        </w:r>
        <w:r w:rsidRPr="002053F8">
          <w:rPr>
            <w:rFonts w:ascii="Times New Roman" w:hAnsi="Times New Roman" w:cs="Times New Roman"/>
          </w:rPr>
          <w:fldChar w:fldCharType="end"/>
        </w:r>
      </w:p>
    </w:sdtContent>
  </w:sdt>
  <w:p w14:paraId="2F6599F6" w14:textId="77777777" w:rsidR="00A56E01" w:rsidRPr="00D1795B" w:rsidRDefault="00A56E01">
    <w:pPr>
      <w:pStyle w:val="FooterCouncil"/>
      <w:rPr>
        <w:lang w:val="en-GB"/>
      </w:rP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B" w14:textId="77777777" w:rsidR="00C02B59" w:rsidRPr="00D1795B" w:rsidRDefault="00C02B59" w:rsidP="00C02B59">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D" w14:textId="77777777" w:rsidR="00C02B59" w:rsidRPr="00D1795B" w:rsidRDefault="00C02B59" w:rsidP="00C02B59">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744397"/>
      <w:docPartObj>
        <w:docPartGallery w:val="Page Numbers (Bottom of Page)"/>
        <w:docPartUnique/>
      </w:docPartObj>
    </w:sdtPr>
    <w:sdtEndPr>
      <w:rPr>
        <w:rFonts w:ascii="Times New Roman" w:hAnsi="Times New Roman" w:cs="Times New Roman"/>
      </w:rPr>
    </w:sdtEndPr>
    <w:sdtContent>
      <w:p w14:paraId="2453E23F" w14:textId="4D3130CD" w:rsidR="00F6716A" w:rsidRPr="002053F8" w:rsidRDefault="00F6716A">
        <w:pPr>
          <w:pStyle w:val="Footer"/>
          <w:jc w:val="center"/>
          <w:rPr>
            <w:rFonts w:ascii="Times New Roman" w:hAnsi="Times New Roman" w:cs="Times New Roman"/>
          </w:rPr>
        </w:pPr>
        <w:r w:rsidRPr="002053F8">
          <w:rPr>
            <w:rFonts w:ascii="Times New Roman" w:hAnsi="Times New Roman" w:cs="Times New Roman"/>
          </w:rPr>
          <w:fldChar w:fldCharType="begin"/>
        </w:r>
        <w:r w:rsidRPr="002053F8">
          <w:rPr>
            <w:rFonts w:ascii="Times New Roman" w:hAnsi="Times New Roman" w:cs="Times New Roman"/>
          </w:rPr>
          <w:instrText xml:space="preserve"> PAGE   \* MERGEFORMAT </w:instrText>
        </w:r>
        <w:r w:rsidRPr="002053F8">
          <w:rPr>
            <w:rFonts w:ascii="Times New Roman" w:hAnsi="Times New Roman" w:cs="Times New Roman"/>
          </w:rPr>
          <w:fldChar w:fldCharType="separate"/>
        </w:r>
        <w:r w:rsidRPr="002053F8">
          <w:rPr>
            <w:rFonts w:ascii="Times New Roman" w:hAnsi="Times New Roman" w:cs="Times New Roman"/>
          </w:rPr>
          <w:t>2</w:t>
        </w:r>
        <w:r w:rsidRPr="002053F8">
          <w:rPr>
            <w:rFonts w:ascii="Times New Roman" w:hAnsi="Times New Roman" w:cs="Times New Roman"/>
          </w:rPr>
          <w:fldChar w:fldCharType="end"/>
        </w:r>
      </w:p>
    </w:sdtContent>
  </w:sdt>
  <w:p w14:paraId="205F4380" w14:textId="77777777" w:rsidR="00A56E01" w:rsidRPr="00D1795B" w:rsidRDefault="00A56E01">
    <w:pPr>
      <w:pStyle w:val="FooterCouncil"/>
      <w:rPr>
        <w:lang w:val="en-GB"/>
      </w:rP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F" w14:textId="77777777" w:rsidR="00C02B59" w:rsidRPr="00D1795B" w:rsidRDefault="00C02B59" w:rsidP="00C02B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D2DF65" w14:textId="77777777" w:rsidR="002A3D64" w:rsidRPr="00D1795B" w:rsidRDefault="002A3D64" w:rsidP="00C02B59">
      <w:pPr>
        <w:spacing w:after="0" w:line="240" w:lineRule="auto"/>
      </w:pPr>
      <w:r w:rsidRPr="00D1795B">
        <w:separator/>
      </w:r>
    </w:p>
  </w:footnote>
  <w:footnote w:type="continuationSeparator" w:id="0">
    <w:p w14:paraId="7D7C75CD" w14:textId="77777777" w:rsidR="002A3D64" w:rsidRPr="00D1795B" w:rsidRDefault="002A3D64" w:rsidP="00C02B59">
      <w:pPr>
        <w:spacing w:after="0" w:line="240" w:lineRule="auto"/>
      </w:pPr>
      <w:r w:rsidRPr="00D1795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AD37D" w14:textId="77777777" w:rsidR="00DB72F8" w:rsidRPr="00DB72F8" w:rsidRDefault="00DB72F8" w:rsidP="00DB72F8">
    <w:pPr>
      <w:pStyle w:val="HeaderCoverPag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F4895" w14:textId="77777777" w:rsidR="00DB72F8" w:rsidRPr="00DB72F8" w:rsidRDefault="00DB72F8" w:rsidP="00DB72F8">
    <w:pPr>
      <w:pStyle w:val="HeaderCoverPag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E326C" w14:textId="77777777" w:rsidR="00DB72F8" w:rsidRPr="00DB72F8" w:rsidRDefault="00DB72F8" w:rsidP="00DB72F8">
    <w:pPr>
      <w:pStyle w:val="HeaderCoverPage"/>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CD9A3" w14:textId="77777777" w:rsidR="00A56E01" w:rsidRPr="00D1795B" w:rsidRDefault="00A56E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0AD28" w14:textId="77777777" w:rsidR="00A56E01" w:rsidRPr="00D1795B" w:rsidRDefault="00A56E01">
    <w:r w:rsidRPr="00D1795B">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218B0" w14:textId="77777777" w:rsidR="00A56E01" w:rsidRPr="00D1795B" w:rsidRDefault="00A56E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80" w14:textId="77777777" w:rsidR="00C02B59" w:rsidRPr="00D1795B" w:rsidRDefault="00C02B5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81" w14:textId="77777777" w:rsidR="00ED3CB2" w:rsidRPr="00D1795B" w:rsidRDefault="00C02B59">
    <w:r w:rsidRPr="00D1795B">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90" w14:textId="77777777" w:rsidR="00C02B59" w:rsidRPr="00D1795B" w:rsidRDefault="00C02B5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92" w14:textId="77777777" w:rsidR="00C02B59" w:rsidRPr="00D1795B" w:rsidRDefault="00C02B5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93" w14:textId="77777777" w:rsidR="00ED3CB2" w:rsidRPr="00D1795B" w:rsidRDefault="00C02B59">
    <w:r w:rsidRPr="00D1795B">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A2" w14:textId="77777777" w:rsidR="00C02B59" w:rsidRPr="00D1795B" w:rsidRDefault="00C02B5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A4" w14:textId="77777777" w:rsidR="00C02B59" w:rsidRPr="00D1795B" w:rsidRDefault="00C02B5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A5" w14:textId="77777777" w:rsidR="00ED3CB2" w:rsidRPr="00D1795B" w:rsidRDefault="00C02B59">
    <w:r w:rsidRPr="00D1795B">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B4" w14:textId="77777777" w:rsidR="00C02B59" w:rsidRPr="00D1795B" w:rsidRDefault="00C02B5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B6" w14:textId="77777777" w:rsidR="00C02B59" w:rsidRPr="00D1795B" w:rsidRDefault="00C02B5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B7" w14:textId="77777777" w:rsidR="00ED3CB2" w:rsidRPr="00D1795B" w:rsidRDefault="00C02B59">
    <w:r w:rsidRPr="00D1795B">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C6" w14:textId="77777777" w:rsidR="00C02B59" w:rsidRPr="00D1795B" w:rsidRDefault="00C02B5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C8" w14:textId="77777777" w:rsidR="00C02B59" w:rsidRPr="00D1795B" w:rsidRDefault="00C02B5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C9" w14:textId="77777777" w:rsidR="00ED3CB2" w:rsidRPr="00D1795B" w:rsidRDefault="00C02B59">
    <w:r w:rsidRPr="00D1795B">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D8" w14:textId="77777777" w:rsidR="00C02B59" w:rsidRPr="00D1795B" w:rsidRDefault="00C02B5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DA" w14:textId="77777777" w:rsidR="00C02B59" w:rsidRPr="00D1795B" w:rsidRDefault="00C02B5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DB" w14:textId="77777777" w:rsidR="00ED3CB2" w:rsidRPr="00D1795B" w:rsidRDefault="00C02B59">
    <w:r w:rsidRPr="00D1795B">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EA" w14:textId="77777777" w:rsidR="00C02B59" w:rsidRPr="00D1795B" w:rsidRDefault="00C02B5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EC" w14:textId="77777777" w:rsidR="00C02B59" w:rsidRPr="00D1795B" w:rsidRDefault="00C02B5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ED" w14:textId="77777777" w:rsidR="00ED3CB2" w:rsidRPr="00D1795B" w:rsidRDefault="00C02B59">
    <w:r w:rsidRPr="00D1795B">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FC" w14:textId="77777777" w:rsidR="00C02B59" w:rsidRPr="00D1795B" w:rsidRDefault="00C02B5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FE" w14:textId="77777777" w:rsidR="00C02B59" w:rsidRPr="00D1795B" w:rsidRDefault="00C02B5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5FF" w14:textId="77777777" w:rsidR="00ED3CB2" w:rsidRPr="00D1795B" w:rsidRDefault="00C02B59">
    <w:r w:rsidRPr="00D1795B">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0E" w14:textId="77777777" w:rsidR="00C02B59" w:rsidRPr="00D1795B" w:rsidRDefault="00C02B5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10" w14:textId="77777777" w:rsidR="00C02B59" w:rsidRPr="00D1795B" w:rsidRDefault="00C02B5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11" w14:textId="77777777" w:rsidR="00ED3CB2" w:rsidRPr="00D1795B" w:rsidRDefault="00C02B59">
    <w:r w:rsidRPr="00D1795B">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20" w14:textId="77777777" w:rsidR="00C02B59" w:rsidRPr="00D1795B" w:rsidRDefault="00C02B5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22" w14:textId="77777777" w:rsidR="00C02B59" w:rsidRPr="00D1795B" w:rsidRDefault="00C02B5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23" w14:textId="77777777" w:rsidR="00ED3CB2" w:rsidRPr="00D1795B" w:rsidRDefault="00C02B59">
    <w:r w:rsidRPr="00D1795B">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32" w14:textId="77777777" w:rsidR="00C02B59" w:rsidRPr="00D1795B" w:rsidRDefault="00C02B5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34" w14:textId="77777777" w:rsidR="00C02B59" w:rsidRPr="00D1795B" w:rsidRDefault="00C02B5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35" w14:textId="77777777" w:rsidR="00ED3CB2" w:rsidRPr="00D1795B" w:rsidRDefault="00C02B59">
    <w:r w:rsidRPr="00D1795B">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44" w14:textId="77777777" w:rsidR="00C02B59" w:rsidRPr="00D1795B" w:rsidRDefault="00C02B5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46" w14:textId="77777777" w:rsidR="00C02B59" w:rsidRPr="00D1795B" w:rsidRDefault="00C02B5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47" w14:textId="77777777" w:rsidR="00ED3CB2" w:rsidRPr="00D1795B" w:rsidRDefault="00C02B59">
    <w:r w:rsidRPr="00D1795B">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56" w14:textId="77777777" w:rsidR="00C02B59" w:rsidRPr="00D1795B" w:rsidRDefault="00C02B5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58" w14:textId="77777777" w:rsidR="00C02B59" w:rsidRPr="00D1795B" w:rsidRDefault="00C02B5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59" w14:textId="77777777" w:rsidR="00ED3CB2" w:rsidRPr="00D1795B" w:rsidRDefault="00C02B59">
    <w:r w:rsidRPr="00D1795B">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68" w14:textId="77777777" w:rsidR="00C02B59" w:rsidRPr="00D1795B" w:rsidRDefault="00C02B5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6A" w14:textId="77777777" w:rsidR="00C02B59" w:rsidRPr="00D1795B" w:rsidRDefault="00C02B5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6B" w14:textId="77777777" w:rsidR="00ED3CB2" w:rsidRPr="00D1795B" w:rsidRDefault="00C02B59">
    <w:r w:rsidRPr="00D1795B">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7A" w14:textId="77777777" w:rsidR="00C02B59" w:rsidRPr="00D1795B" w:rsidRDefault="00C02B5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7C" w14:textId="77777777" w:rsidR="00C02B59" w:rsidRPr="00D1795B" w:rsidRDefault="00C02B5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7D" w14:textId="77777777" w:rsidR="00ED3CB2" w:rsidRPr="00D1795B" w:rsidRDefault="00C02B59">
    <w:r w:rsidRPr="00D1795B">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8C" w14:textId="77777777" w:rsidR="00C02B59" w:rsidRPr="00D1795B" w:rsidRDefault="00C02B5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8E" w14:textId="77777777" w:rsidR="00C02B59" w:rsidRPr="00D1795B" w:rsidRDefault="00C02B5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8F" w14:textId="77777777" w:rsidR="00ED3CB2" w:rsidRPr="00D1795B" w:rsidRDefault="00C02B59">
    <w:r w:rsidRPr="00D1795B">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9E" w14:textId="77777777" w:rsidR="00C02B59" w:rsidRPr="00D1795B" w:rsidRDefault="00C02B5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A0" w14:textId="77777777" w:rsidR="00C02B59" w:rsidRPr="00D1795B" w:rsidRDefault="00C02B5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A1" w14:textId="77777777" w:rsidR="00ED3CB2" w:rsidRPr="00D1795B" w:rsidRDefault="00C02B59">
    <w:r w:rsidRPr="00D1795B">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B0" w14:textId="77777777" w:rsidR="00C02B59" w:rsidRPr="00D1795B" w:rsidRDefault="00C02B5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B2" w14:textId="77777777" w:rsidR="00C02B59" w:rsidRPr="00D1795B" w:rsidRDefault="00C02B5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B3" w14:textId="77777777" w:rsidR="00ED3CB2" w:rsidRPr="00D1795B" w:rsidRDefault="00C02B59">
    <w:r w:rsidRPr="00D1795B">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C2" w14:textId="77777777" w:rsidR="00C02B59" w:rsidRPr="00D1795B" w:rsidRDefault="00C02B5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C4" w14:textId="77777777" w:rsidR="00C02B59" w:rsidRPr="00D1795B" w:rsidRDefault="00C02B5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C5" w14:textId="77777777" w:rsidR="00ED3CB2" w:rsidRPr="00D1795B" w:rsidRDefault="00C02B59">
    <w:r w:rsidRPr="00D1795B">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D4" w14:textId="77777777" w:rsidR="00C02B59" w:rsidRPr="00D1795B" w:rsidRDefault="00C02B5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D6" w14:textId="77777777" w:rsidR="00C02B59" w:rsidRPr="00D1795B" w:rsidRDefault="00C02B5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D7" w14:textId="77777777" w:rsidR="00ED3CB2" w:rsidRPr="00D1795B" w:rsidRDefault="00C02B59">
    <w:r w:rsidRPr="00D1795B">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E6" w14:textId="77777777" w:rsidR="00C02B59" w:rsidRPr="00D1795B" w:rsidRDefault="00C02B5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E8" w14:textId="77777777" w:rsidR="00C02B59" w:rsidRPr="00D1795B" w:rsidRDefault="00C02B5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E9" w14:textId="77777777" w:rsidR="00ED3CB2" w:rsidRPr="00D1795B" w:rsidRDefault="00C02B59">
    <w:r w:rsidRPr="00D1795B">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F8" w14:textId="77777777" w:rsidR="00C02B59" w:rsidRPr="00D1795B" w:rsidRDefault="00C02B5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FA" w14:textId="77777777" w:rsidR="00C02B59" w:rsidRPr="00D1795B" w:rsidRDefault="00C02B5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6FB" w14:textId="77777777" w:rsidR="00ED3CB2" w:rsidRPr="00D1795B" w:rsidRDefault="00C02B59">
    <w:r w:rsidRPr="00D1795B">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0A" w14:textId="77777777" w:rsidR="00C02B59" w:rsidRPr="00D1795B" w:rsidRDefault="00C02B5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0C" w14:textId="77777777" w:rsidR="00C02B59" w:rsidRPr="00D1795B" w:rsidRDefault="00C02B5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0D" w14:textId="77777777" w:rsidR="00ED3CB2" w:rsidRPr="00D1795B" w:rsidRDefault="00C02B59">
    <w:r w:rsidRPr="00D1795B">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1C" w14:textId="77777777" w:rsidR="00C02B59" w:rsidRPr="00D1795B" w:rsidRDefault="00C02B59">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1E" w14:textId="77777777" w:rsidR="00C02B59" w:rsidRPr="00D1795B" w:rsidRDefault="00C02B59">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1F" w14:textId="77777777" w:rsidR="00ED3CB2" w:rsidRPr="00D1795B" w:rsidRDefault="00C02B59">
    <w:r w:rsidRPr="00D1795B">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2E" w14:textId="77777777" w:rsidR="00C02B59" w:rsidRPr="00D1795B" w:rsidRDefault="00C02B59">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30" w14:textId="77777777" w:rsidR="00C02B59" w:rsidRPr="00D1795B" w:rsidRDefault="00C02B59">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31" w14:textId="77777777" w:rsidR="00ED3CB2" w:rsidRPr="00D1795B" w:rsidRDefault="00C02B59">
    <w:r w:rsidRPr="00D1795B">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40" w14:textId="77777777" w:rsidR="00C02B59" w:rsidRPr="00D1795B" w:rsidRDefault="00C02B59">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42" w14:textId="77777777" w:rsidR="00C02B59" w:rsidRPr="00D1795B" w:rsidRDefault="00C02B59">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43" w14:textId="77777777" w:rsidR="00ED3CB2" w:rsidRPr="00D1795B" w:rsidRDefault="00C02B59">
    <w:r w:rsidRPr="00D1795B">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52" w14:textId="77777777" w:rsidR="00C02B59" w:rsidRPr="00D1795B" w:rsidRDefault="00C02B59">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54" w14:textId="77777777" w:rsidR="00C02B59" w:rsidRPr="00D1795B" w:rsidRDefault="00C02B59">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55" w14:textId="77777777" w:rsidR="00ED3CB2" w:rsidRPr="00D1795B" w:rsidRDefault="00C02B59">
    <w:r w:rsidRPr="00D1795B">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64" w14:textId="77777777" w:rsidR="00C02B59" w:rsidRPr="00D1795B" w:rsidRDefault="00C02B59">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66" w14:textId="77777777" w:rsidR="00C02B59" w:rsidRPr="00D1795B" w:rsidRDefault="00C02B59">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67" w14:textId="77777777" w:rsidR="00ED3CB2" w:rsidRPr="00D1795B" w:rsidRDefault="00C02B59">
    <w:r w:rsidRPr="00D1795B">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76" w14:textId="77777777" w:rsidR="00C02B59" w:rsidRPr="00D1795B" w:rsidRDefault="00C02B59">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78" w14:textId="77777777" w:rsidR="00C02B59" w:rsidRPr="00D1795B" w:rsidRDefault="00C02B59">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79" w14:textId="77777777" w:rsidR="00ED3CB2" w:rsidRPr="00D1795B" w:rsidRDefault="00C02B59">
    <w:r w:rsidRPr="00D1795B">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88" w14:textId="77777777" w:rsidR="00C02B59" w:rsidRPr="00D1795B" w:rsidRDefault="00C02B59">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8A" w14:textId="77777777" w:rsidR="00C02B59" w:rsidRPr="00D1795B" w:rsidRDefault="00C02B59" w:rsidP="00C02B59">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8B" w14:textId="77777777" w:rsidR="00ED3CB2" w:rsidRPr="00D1795B" w:rsidRDefault="00C02B59">
    <w:r w:rsidRPr="00D1795B">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A" w14:textId="77777777" w:rsidR="00C02B59" w:rsidRPr="00D1795B" w:rsidRDefault="00C02B59" w:rsidP="00C02B59">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C" w14:textId="77777777" w:rsidR="00C02B59" w:rsidRPr="00D1795B" w:rsidRDefault="00C02B59" w:rsidP="00C02B59">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00AA4" w14:textId="77777777" w:rsidR="00A56E01" w:rsidRPr="00D1795B" w:rsidRDefault="00A56E01">
    <w:r w:rsidRPr="00D1795B">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9E" w14:textId="77777777" w:rsidR="00C02B59" w:rsidRPr="00D1795B" w:rsidRDefault="00C02B59" w:rsidP="00C02B59">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0" w14:textId="77777777" w:rsidR="00C02B59" w:rsidRPr="00D1795B" w:rsidRDefault="00C02B59" w:rsidP="00C02B59">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B9764" w14:textId="77777777" w:rsidR="00A56E01" w:rsidRPr="00D1795B" w:rsidRDefault="00A56E01">
    <w:r w:rsidRPr="00D1795B">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2" w14:textId="77777777" w:rsidR="00C02B59" w:rsidRPr="00D1795B" w:rsidRDefault="00C02B59" w:rsidP="00C02B59">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4" w14:textId="77777777" w:rsidR="00C02B59" w:rsidRPr="00D1795B" w:rsidRDefault="00C02B59" w:rsidP="00C02B59">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A3056" w14:textId="77777777" w:rsidR="00A56E01" w:rsidRPr="00D1795B" w:rsidRDefault="00A56E01">
    <w:r w:rsidRPr="00D1795B">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6" w14:textId="77777777" w:rsidR="00C02B59" w:rsidRPr="00D1795B" w:rsidRDefault="00C02B59" w:rsidP="00C02B59">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8" w14:textId="77777777" w:rsidR="00C02B59" w:rsidRPr="00D1795B" w:rsidRDefault="00C02B59" w:rsidP="00C02B59">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3D4D2" w14:textId="77777777" w:rsidR="00A56E01" w:rsidRPr="00D1795B" w:rsidRDefault="00A56E01">
    <w:r w:rsidRPr="00D1795B">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A" w14:textId="77777777" w:rsidR="00C02B59" w:rsidRPr="00D1795B" w:rsidRDefault="00C02B59" w:rsidP="00C02B59">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C" w14:textId="77777777" w:rsidR="00C02B59" w:rsidRPr="00D1795B" w:rsidRDefault="00C02B59" w:rsidP="00C02B59">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9CF35" w14:textId="77777777" w:rsidR="00A56E01" w:rsidRPr="00D1795B" w:rsidRDefault="00A56E01">
    <w:r w:rsidRPr="00D1795B">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F7AE" w14:textId="77777777" w:rsidR="00C02B59" w:rsidRPr="00D1795B" w:rsidRDefault="00C02B59" w:rsidP="00C02B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6D6568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B76FB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F6A5B4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0268B5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12BF7B"/>
    <w:multiLevelType w:val="hybridMultilevel"/>
    <w:tmpl w:val="FC5022B2"/>
    <w:lvl w:ilvl="0" w:tplc="8B3ABFC0">
      <w:start w:val="1"/>
      <w:numFmt w:val="bullet"/>
      <w:lvlText w:val="-"/>
      <w:lvlJc w:val="left"/>
      <w:pPr>
        <w:ind w:left="720" w:hanging="360"/>
      </w:pPr>
      <w:rPr>
        <w:rFonts w:ascii="Calibri" w:hAnsi="Calibri" w:hint="default"/>
      </w:rPr>
    </w:lvl>
    <w:lvl w:ilvl="1" w:tplc="CC4C29D2">
      <w:start w:val="1"/>
      <w:numFmt w:val="bullet"/>
      <w:lvlText w:val="o"/>
      <w:lvlJc w:val="left"/>
      <w:pPr>
        <w:ind w:left="1440" w:hanging="360"/>
      </w:pPr>
      <w:rPr>
        <w:rFonts w:ascii="Courier New" w:hAnsi="Courier New" w:hint="default"/>
      </w:rPr>
    </w:lvl>
    <w:lvl w:ilvl="2" w:tplc="A9103B0E">
      <w:start w:val="1"/>
      <w:numFmt w:val="bullet"/>
      <w:lvlText w:val=""/>
      <w:lvlJc w:val="left"/>
      <w:pPr>
        <w:ind w:left="2160" w:hanging="360"/>
      </w:pPr>
      <w:rPr>
        <w:rFonts w:ascii="Wingdings" w:hAnsi="Wingdings" w:hint="default"/>
      </w:rPr>
    </w:lvl>
    <w:lvl w:ilvl="3" w:tplc="02C4693C">
      <w:start w:val="1"/>
      <w:numFmt w:val="bullet"/>
      <w:lvlText w:val=""/>
      <w:lvlJc w:val="left"/>
      <w:pPr>
        <w:ind w:left="2880" w:hanging="360"/>
      </w:pPr>
      <w:rPr>
        <w:rFonts w:ascii="Symbol" w:hAnsi="Symbol" w:hint="default"/>
      </w:rPr>
    </w:lvl>
    <w:lvl w:ilvl="4" w:tplc="7EB0AD4C">
      <w:start w:val="1"/>
      <w:numFmt w:val="bullet"/>
      <w:lvlText w:val="o"/>
      <w:lvlJc w:val="left"/>
      <w:pPr>
        <w:ind w:left="3600" w:hanging="360"/>
      </w:pPr>
      <w:rPr>
        <w:rFonts w:ascii="Courier New" w:hAnsi="Courier New" w:hint="default"/>
      </w:rPr>
    </w:lvl>
    <w:lvl w:ilvl="5" w:tplc="CE08ABD4">
      <w:start w:val="1"/>
      <w:numFmt w:val="bullet"/>
      <w:lvlText w:val=""/>
      <w:lvlJc w:val="left"/>
      <w:pPr>
        <w:ind w:left="4320" w:hanging="360"/>
      </w:pPr>
      <w:rPr>
        <w:rFonts w:ascii="Wingdings" w:hAnsi="Wingdings" w:hint="default"/>
      </w:rPr>
    </w:lvl>
    <w:lvl w:ilvl="6" w:tplc="84067734">
      <w:start w:val="1"/>
      <w:numFmt w:val="bullet"/>
      <w:lvlText w:val=""/>
      <w:lvlJc w:val="left"/>
      <w:pPr>
        <w:ind w:left="5040" w:hanging="360"/>
      </w:pPr>
      <w:rPr>
        <w:rFonts w:ascii="Symbol" w:hAnsi="Symbol" w:hint="default"/>
      </w:rPr>
    </w:lvl>
    <w:lvl w:ilvl="7" w:tplc="7BAAB878">
      <w:start w:val="1"/>
      <w:numFmt w:val="bullet"/>
      <w:lvlText w:val="o"/>
      <w:lvlJc w:val="left"/>
      <w:pPr>
        <w:ind w:left="5760" w:hanging="360"/>
      </w:pPr>
      <w:rPr>
        <w:rFonts w:ascii="Courier New" w:hAnsi="Courier New" w:hint="default"/>
      </w:rPr>
    </w:lvl>
    <w:lvl w:ilvl="8" w:tplc="85381EAE">
      <w:start w:val="1"/>
      <w:numFmt w:val="bullet"/>
      <w:lvlText w:val=""/>
      <w:lvlJc w:val="left"/>
      <w:pPr>
        <w:ind w:left="6480" w:hanging="360"/>
      </w:pPr>
      <w:rPr>
        <w:rFonts w:ascii="Wingdings" w:hAnsi="Wingdings" w:hint="default"/>
      </w:rPr>
    </w:lvl>
  </w:abstractNum>
  <w:abstractNum w:abstractNumId="9" w15:restartNumberingAfterBreak="0">
    <w:nsid w:val="100E0A4F"/>
    <w:multiLevelType w:val="hybridMultilevel"/>
    <w:tmpl w:val="687CE5D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DD358C4"/>
    <w:multiLevelType w:val="hybridMultilevel"/>
    <w:tmpl w:val="3A041C74"/>
    <w:lvl w:ilvl="0" w:tplc="6058941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23E6A17"/>
    <w:multiLevelType w:val="multilevel"/>
    <w:tmpl w:val="607CCA06"/>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360"/>
        </w:tabs>
        <w:ind w:left="-360" w:hanging="360"/>
      </w:pPr>
      <w:rPr>
        <w:rFonts w:ascii="Symbol" w:hAnsi="Symbol" w:hint="default"/>
        <w:sz w:val="20"/>
      </w:rPr>
    </w:lvl>
    <w:lvl w:ilvl="3">
      <w:start w:val="1"/>
      <w:numFmt w:val="bullet"/>
      <w:lvlText w:val=""/>
      <w:lvlJc w:val="left"/>
      <w:pPr>
        <w:tabs>
          <w:tab w:val="num" w:pos="360"/>
        </w:tabs>
        <w:ind w:left="360" w:hanging="360"/>
      </w:pPr>
      <w:rPr>
        <w:rFonts w:ascii="Symbol" w:hAnsi="Symbol" w:hint="default"/>
        <w:sz w:val="20"/>
      </w:rPr>
    </w:lvl>
    <w:lvl w:ilvl="4">
      <w:start w:val="1"/>
      <w:numFmt w:val="bullet"/>
      <w:lvlText w:val=""/>
      <w:lvlJc w:val="left"/>
      <w:pPr>
        <w:tabs>
          <w:tab w:val="num" w:pos="1080"/>
        </w:tabs>
        <w:ind w:left="1080" w:hanging="360"/>
      </w:pPr>
      <w:rPr>
        <w:rFonts w:ascii="Symbol" w:hAnsi="Symbol" w:hint="default"/>
        <w:sz w:val="20"/>
      </w:rPr>
    </w:lvl>
    <w:lvl w:ilvl="5">
      <w:start w:val="1"/>
      <w:numFmt w:val="bullet"/>
      <w:lvlText w:val=""/>
      <w:lvlJc w:val="left"/>
      <w:pPr>
        <w:tabs>
          <w:tab w:val="num" w:pos="1800"/>
        </w:tabs>
        <w:ind w:left="1800" w:hanging="360"/>
      </w:pPr>
      <w:rPr>
        <w:rFonts w:ascii="Symbol" w:hAnsi="Symbol" w:hint="default"/>
        <w:sz w:val="20"/>
      </w:rPr>
    </w:lvl>
    <w:lvl w:ilvl="6">
      <w:start w:val="1"/>
      <w:numFmt w:val="bullet"/>
      <w:lvlText w:val=""/>
      <w:lvlJc w:val="left"/>
      <w:pPr>
        <w:tabs>
          <w:tab w:val="num" w:pos="2520"/>
        </w:tabs>
        <w:ind w:left="2520" w:hanging="360"/>
      </w:pPr>
      <w:rPr>
        <w:rFonts w:ascii="Symbol" w:hAnsi="Symbol" w:hint="default"/>
        <w:sz w:val="20"/>
      </w:rPr>
    </w:lvl>
    <w:lvl w:ilvl="7">
      <w:start w:val="1"/>
      <w:numFmt w:val="bullet"/>
      <w:lvlText w:val=""/>
      <w:lvlJc w:val="left"/>
      <w:pPr>
        <w:tabs>
          <w:tab w:val="num" w:pos="3240"/>
        </w:tabs>
        <w:ind w:left="3240" w:hanging="360"/>
      </w:pPr>
      <w:rPr>
        <w:rFonts w:ascii="Symbol" w:hAnsi="Symbol" w:hint="default"/>
        <w:sz w:val="20"/>
      </w:rPr>
    </w:lvl>
    <w:lvl w:ilvl="8">
      <w:start w:val="1"/>
      <w:numFmt w:val="bullet"/>
      <w:lvlText w:val=""/>
      <w:lvlJc w:val="left"/>
      <w:pPr>
        <w:tabs>
          <w:tab w:val="num" w:pos="3960"/>
        </w:tabs>
        <w:ind w:left="3960" w:hanging="360"/>
      </w:pPr>
      <w:rPr>
        <w:rFonts w:ascii="Symbol" w:hAnsi="Symbol" w:hint="default"/>
        <w:sz w:val="20"/>
      </w:rPr>
    </w:lvl>
  </w:abstractNum>
  <w:abstractNum w:abstractNumId="13" w15:restartNumberingAfterBreak="0">
    <w:nsid w:val="22E44180"/>
    <w:multiLevelType w:val="multilevel"/>
    <w:tmpl w:val="20585AC4"/>
    <w:name w:val="NumPar"/>
    <w:lvl w:ilvl="0">
      <w:start w:val="2"/>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40E37654"/>
    <w:multiLevelType w:val="hybridMultilevel"/>
    <w:tmpl w:val="A70CFD02"/>
    <w:lvl w:ilvl="0" w:tplc="CF0222F2">
      <w:start w:val="1"/>
      <w:numFmt w:val="decimal"/>
      <w:lvlText w:val="%1."/>
      <w:lvlJc w:val="left"/>
      <w:pPr>
        <w:ind w:left="360" w:hanging="360"/>
      </w:pPr>
    </w:lvl>
    <w:lvl w:ilvl="1" w:tplc="18E6A5D6">
      <w:start w:val="1"/>
      <w:numFmt w:val="lowerLetter"/>
      <w:lvlText w:val="%2."/>
      <w:lvlJc w:val="left"/>
      <w:pPr>
        <w:ind w:left="1080" w:hanging="360"/>
      </w:pPr>
    </w:lvl>
    <w:lvl w:ilvl="2" w:tplc="A790EDE6">
      <w:start w:val="1"/>
      <w:numFmt w:val="lowerRoman"/>
      <w:lvlText w:val="%3."/>
      <w:lvlJc w:val="right"/>
      <w:pPr>
        <w:ind w:left="1800" w:hanging="180"/>
      </w:pPr>
    </w:lvl>
    <w:lvl w:ilvl="3" w:tplc="2464694A">
      <w:start w:val="1"/>
      <w:numFmt w:val="decimal"/>
      <w:lvlText w:val="%4."/>
      <w:lvlJc w:val="left"/>
      <w:pPr>
        <w:ind w:left="2520" w:hanging="360"/>
      </w:pPr>
    </w:lvl>
    <w:lvl w:ilvl="4" w:tplc="CEF2A6BE">
      <w:start w:val="1"/>
      <w:numFmt w:val="lowerLetter"/>
      <w:lvlText w:val="%5."/>
      <w:lvlJc w:val="left"/>
      <w:pPr>
        <w:ind w:left="3240" w:hanging="360"/>
      </w:pPr>
    </w:lvl>
    <w:lvl w:ilvl="5" w:tplc="306AD056">
      <w:start w:val="1"/>
      <w:numFmt w:val="lowerRoman"/>
      <w:lvlText w:val="%6."/>
      <w:lvlJc w:val="right"/>
      <w:pPr>
        <w:ind w:left="3960" w:hanging="180"/>
      </w:pPr>
    </w:lvl>
    <w:lvl w:ilvl="6" w:tplc="068EDDC6">
      <w:start w:val="1"/>
      <w:numFmt w:val="decimal"/>
      <w:lvlText w:val="%7."/>
      <w:lvlJc w:val="left"/>
      <w:pPr>
        <w:ind w:left="4680" w:hanging="360"/>
      </w:pPr>
    </w:lvl>
    <w:lvl w:ilvl="7" w:tplc="B21ECF9E">
      <w:start w:val="1"/>
      <w:numFmt w:val="lowerLetter"/>
      <w:lvlText w:val="%8."/>
      <w:lvlJc w:val="left"/>
      <w:pPr>
        <w:ind w:left="5400" w:hanging="360"/>
      </w:pPr>
    </w:lvl>
    <w:lvl w:ilvl="8" w:tplc="587262BA">
      <w:start w:val="1"/>
      <w:numFmt w:val="lowerRoman"/>
      <w:lvlText w:val="%9."/>
      <w:lvlJc w:val="right"/>
      <w:pPr>
        <w:ind w:left="6120" w:hanging="180"/>
      </w:p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7F37F5E"/>
    <w:multiLevelType w:val="multilevel"/>
    <w:tmpl w:val="1D22E398"/>
    <w:lvl w:ilvl="0">
      <w:start w:val="1"/>
      <w:numFmt w:val="lowerLetter"/>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1" w15:restartNumberingAfterBreak="0">
    <w:nsid w:val="5064538E"/>
    <w:multiLevelType w:val="multilevel"/>
    <w:tmpl w:val="F12CCCB4"/>
    <w:lvl w:ilvl="0">
      <w:start w:val="2"/>
      <w:numFmt w:val="lowerLetter"/>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69A0A97"/>
    <w:multiLevelType w:val="hybridMultilevel"/>
    <w:tmpl w:val="1D2EE930"/>
    <w:lvl w:ilvl="0" w:tplc="2676C17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6B375DEB"/>
    <w:multiLevelType w:val="hybridMultilevel"/>
    <w:tmpl w:val="F2B4A4B8"/>
    <w:lvl w:ilvl="0" w:tplc="18090013">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B251742"/>
    <w:multiLevelType w:val="multilevel"/>
    <w:tmpl w:val="CDBC5B42"/>
    <w:lvl w:ilvl="0">
      <w:start w:val="1"/>
      <w:numFmt w:val="lowerLetter"/>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2" w15:restartNumberingAfterBreak="0">
    <w:nsid w:val="7E36310D"/>
    <w:multiLevelType w:val="hybridMultilevel"/>
    <w:tmpl w:val="F59C16C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7EB821FE"/>
    <w:multiLevelType w:val="hybridMultilevel"/>
    <w:tmpl w:val="875A0650"/>
    <w:lvl w:ilvl="0" w:tplc="A984C686">
      <w:start w:val="1"/>
      <w:numFmt w:val="bullet"/>
      <w:lvlText w:val="-"/>
      <w:lvlJc w:val="left"/>
      <w:pPr>
        <w:ind w:left="720" w:hanging="360"/>
      </w:pPr>
      <w:rPr>
        <w:rFonts w:ascii="Aptos" w:hAnsi="Aptos" w:hint="default"/>
      </w:rPr>
    </w:lvl>
    <w:lvl w:ilvl="1" w:tplc="B044C1A0">
      <w:start w:val="1"/>
      <w:numFmt w:val="bullet"/>
      <w:lvlText w:val="o"/>
      <w:lvlJc w:val="left"/>
      <w:pPr>
        <w:ind w:left="1440" w:hanging="360"/>
      </w:pPr>
      <w:rPr>
        <w:rFonts w:ascii="Courier New" w:hAnsi="Courier New" w:hint="default"/>
      </w:rPr>
    </w:lvl>
    <w:lvl w:ilvl="2" w:tplc="8D78CB40">
      <w:start w:val="1"/>
      <w:numFmt w:val="bullet"/>
      <w:lvlText w:val=""/>
      <w:lvlJc w:val="left"/>
      <w:pPr>
        <w:ind w:left="2160" w:hanging="360"/>
      </w:pPr>
      <w:rPr>
        <w:rFonts w:ascii="Wingdings" w:hAnsi="Wingdings" w:hint="default"/>
      </w:rPr>
    </w:lvl>
    <w:lvl w:ilvl="3" w:tplc="F27ABDE8">
      <w:start w:val="1"/>
      <w:numFmt w:val="bullet"/>
      <w:lvlText w:val=""/>
      <w:lvlJc w:val="left"/>
      <w:pPr>
        <w:ind w:left="2880" w:hanging="360"/>
      </w:pPr>
      <w:rPr>
        <w:rFonts w:ascii="Symbol" w:hAnsi="Symbol" w:hint="default"/>
      </w:rPr>
    </w:lvl>
    <w:lvl w:ilvl="4" w:tplc="EE7C9DD4">
      <w:start w:val="1"/>
      <w:numFmt w:val="bullet"/>
      <w:lvlText w:val="o"/>
      <w:lvlJc w:val="left"/>
      <w:pPr>
        <w:ind w:left="3600" w:hanging="360"/>
      </w:pPr>
      <w:rPr>
        <w:rFonts w:ascii="Courier New" w:hAnsi="Courier New" w:hint="default"/>
      </w:rPr>
    </w:lvl>
    <w:lvl w:ilvl="5" w:tplc="79DEC4AE">
      <w:start w:val="1"/>
      <w:numFmt w:val="bullet"/>
      <w:lvlText w:val=""/>
      <w:lvlJc w:val="left"/>
      <w:pPr>
        <w:ind w:left="4320" w:hanging="360"/>
      </w:pPr>
      <w:rPr>
        <w:rFonts w:ascii="Wingdings" w:hAnsi="Wingdings" w:hint="default"/>
      </w:rPr>
    </w:lvl>
    <w:lvl w:ilvl="6" w:tplc="CA1667B6">
      <w:start w:val="1"/>
      <w:numFmt w:val="bullet"/>
      <w:lvlText w:val=""/>
      <w:lvlJc w:val="left"/>
      <w:pPr>
        <w:ind w:left="5040" w:hanging="360"/>
      </w:pPr>
      <w:rPr>
        <w:rFonts w:ascii="Symbol" w:hAnsi="Symbol" w:hint="default"/>
      </w:rPr>
    </w:lvl>
    <w:lvl w:ilvl="7" w:tplc="111CCB26">
      <w:start w:val="1"/>
      <w:numFmt w:val="bullet"/>
      <w:lvlText w:val="o"/>
      <w:lvlJc w:val="left"/>
      <w:pPr>
        <w:ind w:left="5760" w:hanging="360"/>
      </w:pPr>
      <w:rPr>
        <w:rFonts w:ascii="Courier New" w:hAnsi="Courier New" w:hint="default"/>
      </w:rPr>
    </w:lvl>
    <w:lvl w:ilvl="8" w:tplc="22B86ECE">
      <w:start w:val="1"/>
      <w:numFmt w:val="bullet"/>
      <w:lvlText w:val=""/>
      <w:lvlJc w:val="left"/>
      <w:pPr>
        <w:ind w:left="6480" w:hanging="360"/>
      </w:pPr>
      <w:rPr>
        <w:rFonts w:ascii="Wingdings" w:hAnsi="Wingdings" w:hint="default"/>
      </w:rPr>
    </w:lvl>
  </w:abstractNum>
  <w:num w:numId="1">
    <w:abstractNumId w:val="27"/>
  </w:num>
  <w:num w:numId="2">
    <w:abstractNumId w:val="7"/>
  </w:num>
  <w:num w:numId="3">
    <w:abstractNumId w:val="5"/>
  </w:num>
  <w:num w:numId="4">
    <w:abstractNumId w:val="4"/>
  </w:num>
  <w:num w:numId="5">
    <w:abstractNumId w:val="3"/>
  </w:num>
  <w:num w:numId="6">
    <w:abstractNumId w:val="26"/>
  </w:num>
  <w:num w:numId="7">
    <w:abstractNumId w:val="17"/>
  </w:num>
  <w:num w:numId="8">
    <w:abstractNumId w:val="28"/>
  </w:num>
  <w:num w:numId="9">
    <w:abstractNumId w:val="15"/>
  </w:num>
  <w:num w:numId="10">
    <w:abstractNumId w:val="18"/>
  </w:num>
  <w:num w:numId="11">
    <w:abstractNumId w:val="13"/>
  </w:num>
  <w:num w:numId="12">
    <w:abstractNumId w:val="10"/>
  </w:num>
  <w:num w:numId="13">
    <w:abstractNumId w:val="19"/>
  </w:num>
  <w:num w:numId="14">
    <w:abstractNumId w:val="24"/>
  </w:num>
  <w:num w:numId="15">
    <w:abstractNumId w:val="25"/>
  </w:num>
  <w:num w:numId="16">
    <w:abstractNumId w:val="14"/>
  </w:num>
  <w:num w:numId="17">
    <w:abstractNumId w:val="22"/>
  </w:num>
  <w:num w:numId="18">
    <w:abstractNumId w:val="31"/>
  </w:num>
  <w:num w:numId="19">
    <w:abstractNumId w:val="6"/>
  </w:num>
  <w:num w:numId="20">
    <w:abstractNumId w:val="2"/>
  </w:num>
  <w:num w:numId="21">
    <w:abstractNumId w:val="1"/>
  </w:num>
  <w:num w:numId="22">
    <w:abstractNumId w:val="0"/>
  </w:num>
  <w:num w:numId="23">
    <w:abstractNumId w:val="30"/>
  </w:num>
  <w:num w:numId="24">
    <w:abstractNumId w:val="21"/>
  </w:num>
  <w:num w:numId="25">
    <w:abstractNumId w:val="20"/>
  </w:num>
  <w:num w:numId="26">
    <w:abstractNumId w:val="11"/>
  </w:num>
  <w:num w:numId="27">
    <w:abstractNumId w:val="29"/>
  </w:num>
  <w:num w:numId="28">
    <w:abstractNumId w:val="8"/>
  </w:num>
  <w:num w:numId="29">
    <w:abstractNumId w:val="16"/>
  </w:num>
  <w:num w:numId="30">
    <w:abstractNumId w:val="33"/>
  </w:num>
  <w:num w:numId="31">
    <w:abstractNumId w:val="23"/>
  </w:num>
  <w:num w:numId="32">
    <w:abstractNumId w:val="12"/>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fals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7-03&lt;/text&gt;_x000d__x000a_  &lt;/metadata&gt;_x000d__x000a_  &lt;metadata key=&quot;md_Prefix&quot;&gt;_x000d__x000a_    &lt;text&gt;&lt;/text&gt;_x000d__x000a_  &lt;/metadata&gt;_x000d__x000a_  &lt;metadata key=&quot;md_DocumentNumber&quot;&gt;_x000d__x000a_    &lt;text&gt;10859&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859&lt;/text&gt;_x000d__x000a_      &lt;text&gt;UEM 287&lt;/text&gt;_x000d__x000a_      &lt;text&gt;FIN 926&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70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28 July 2021 on the approval of the assessment of the recovery and resilience plan for Cyprus&quot;&gt;&amp;lt;FlowDocument xmlns=&quot;http://schemas.microsoft.com/winfx/2006/xaml/presentation&quot;&amp;gt;&amp;lt;Paragraph&amp;gt;ANNEX to the COUNCIL IMPLEMENTING DECISION amending the Implementing Decision of 28 July 2021 on the approval of the assessment of the recovery and resilience plan for Cyprus&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8025AFA4-E044-4730-9A91-6EC168F8E466"/>
    <w:docVar w:name="LW_COVERPAGE_TYPE" w:val="1"/>
    <w:docVar w:name="LW_CROSSREFERENCE" w:val="&lt;UNUSED&gt;"/>
    <w:docVar w:name="LW_DocType" w:val="NORMAL"/>
    <w:docVar w:name="LW_EMISSION" w:val="30.7.2026"/>
    <w:docVar w:name="LW_EMISSION_ISODATE" w:val="2026-07-30"/>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28 July 2021 on the approval of the assessment of the recovery and resilience plan for Cyprus_x000d__x000d__x000b_"/>
    <w:docVar w:name="LW_PART_NBR" w:val="1"/>
    <w:docVar w:name="LW_PART_NBR_TOTAL" w:val="1"/>
    <w:docVar w:name="LW_REF.INST.NEW" w:val="COM"/>
    <w:docVar w:name="LW_REF.INST.NEW_ADOPTED" w:val="final"/>
    <w:docVar w:name="LW_REF.INST.NEW_TEXT" w:val="(2026) 42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A86151"/>
    <w:rsid w:val="000006DE"/>
    <w:rsid w:val="00001252"/>
    <w:rsid w:val="000012E0"/>
    <w:rsid w:val="00001513"/>
    <w:rsid w:val="0000173E"/>
    <w:rsid w:val="00002CA2"/>
    <w:rsid w:val="00005A9A"/>
    <w:rsid w:val="0000654C"/>
    <w:rsid w:val="00006612"/>
    <w:rsid w:val="00006FE4"/>
    <w:rsid w:val="00007B09"/>
    <w:rsid w:val="00013EAA"/>
    <w:rsid w:val="00013EF4"/>
    <w:rsid w:val="00016293"/>
    <w:rsid w:val="00017470"/>
    <w:rsid w:val="00020452"/>
    <w:rsid w:val="0002205A"/>
    <w:rsid w:val="00023524"/>
    <w:rsid w:val="00025D18"/>
    <w:rsid w:val="00025E3F"/>
    <w:rsid w:val="0002659D"/>
    <w:rsid w:val="00027E36"/>
    <w:rsid w:val="00027F39"/>
    <w:rsid w:val="00027F97"/>
    <w:rsid w:val="00027FCC"/>
    <w:rsid w:val="000303D8"/>
    <w:rsid w:val="000319D4"/>
    <w:rsid w:val="0003211C"/>
    <w:rsid w:val="00032B76"/>
    <w:rsid w:val="0003426C"/>
    <w:rsid w:val="00035B30"/>
    <w:rsid w:val="000375D9"/>
    <w:rsid w:val="0004100F"/>
    <w:rsid w:val="00042466"/>
    <w:rsid w:val="0004271D"/>
    <w:rsid w:val="00044DEC"/>
    <w:rsid w:val="00045818"/>
    <w:rsid w:val="00046E23"/>
    <w:rsid w:val="0004723E"/>
    <w:rsid w:val="0004768A"/>
    <w:rsid w:val="0004793C"/>
    <w:rsid w:val="00047E53"/>
    <w:rsid w:val="00047EDE"/>
    <w:rsid w:val="00047F87"/>
    <w:rsid w:val="00050C3C"/>
    <w:rsid w:val="00052ABD"/>
    <w:rsid w:val="00052D7C"/>
    <w:rsid w:val="00053068"/>
    <w:rsid w:val="00053677"/>
    <w:rsid w:val="00053A76"/>
    <w:rsid w:val="00054265"/>
    <w:rsid w:val="000545B1"/>
    <w:rsid w:val="00054BF2"/>
    <w:rsid w:val="00055E98"/>
    <w:rsid w:val="00056610"/>
    <w:rsid w:val="000577B2"/>
    <w:rsid w:val="00060915"/>
    <w:rsid w:val="00060B06"/>
    <w:rsid w:val="00061186"/>
    <w:rsid w:val="00061787"/>
    <w:rsid w:val="00061AAB"/>
    <w:rsid w:val="00061F21"/>
    <w:rsid w:val="00063064"/>
    <w:rsid w:val="0006360A"/>
    <w:rsid w:val="000646B1"/>
    <w:rsid w:val="00064EF5"/>
    <w:rsid w:val="00065264"/>
    <w:rsid w:val="000661E0"/>
    <w:rsid w:val="00066FFD"/>
    <w:rsid w:val="0006749D"/>
    <w:rsid w:val="00067591"/>
    <w:rsid w:val="000704DF"/>
    <w:rsid w:val="000722D4"/>
    <w:rsid w:val="00073AC6"/>
    <w:rsid w:val="00076BEE"/>
    <w:rsid w:val="00076EB7"/>
    <w:rsid w:val="00080B38"/>
    <w:rsid w:val="00083E26"/>
    <w:rsid w:val="000842E8"/>
    <w:rsid w:val="00085680"/>
    <w:rsid w:val="00085A90"/>
    <w:rsid w:val="0008651E"/>
    <w:rsid w:val="00086D82"/>
    <w:rsid w:val="000904F7"/>
    <w:rsid w:val="000913D2"/>
    <w:rsid w:val="00092B87"/>
    <w:rsid w:val="000933DF"/>
    <w:rsid w:val="0009393B"/>
    <w:rsid w:val="00094C61"/>
    <w:rsid w:val="00094EE8"/>
    <w:rsid w:val="00097D06"/>
    <w:rsid w:val="000A0013"/>
    <w:rsid w:val="000A0098"/>
    <w:rsid w:val="000A13B2"/>
    <w:rsid w:val="000A20A7"/>
    <w:rsid w:val="000A4BAB"/>
    <w:rsid w:val="000A6614"/>
    <w:rsid w:val="000A6C07"/>
    <w:rsid w:val="000A6D02"/>
    <w:rsid w:val="000A7504"/>
    <w:rsid w:val="000B12C5"/>
    <w:rsid w:val="000B18AD"/>
    <w:rsid w:val="000B277D"/>
    <w:rsid w:val="000B44D3"/>
    <w:rsid w:val="000B52F8"/>
    <w:rsid w:val="000B67F3"/>
    <w:rsid w:val="000B6B80"/>
    <w:rsid w:val="000B7308"/>
    <w:rsid w:val="000C2342"/>
    <w:rsid w:val="000C2F38"/>
    <w:rsid w:val="000C443E"/>
    <w:rsid w:val="000C557F"/>
    <w:rsid w:val="000C67F5"/>
    <w:rsid w:val="000C7A17"/>
    <w:rsid w:val="000D01D0"/>
    <w:rsid w:val="000D054C"/>
    <w:rsid w:val="000D05C6"/>
    <w:rsid w:val="000D08D9"/>
    <w:rsid w:val="000D26F3"/>
    <w:rsid w:val="000D2832"/>
    <w:rsid w:val="000D283C"/>
    <w:rsid w:val="000D5C6C"/>
    <w:rsid w:val="000D609C"/>
    <w:rsid w:val="000D650C"/>
    <w:rsid w:val="000D69D1"/>
    <w:rsid w:val="000D6A09"/>
    <w:rsid w:val="000D6C76"/>
    <w:rsid w:val="000E2014"/>
    <w:rsid w:val="000E35A5"/>
    <w:rsid w:val="000E627A"/>
    <w:rsid w:val="000E7B53"/>
    <w:rsid w:val="000F0ED2"/>
    <w:rsid w:val="000F301B"/>
    <w:rsid w:val="000F6EF7"/>
    <w:rsid w:val="000F726B"/>
    <w:rsid w:val="000F7AA5"/>
    <w:rsid w:val="0010093D"/>
    <w:rsid w:val="001016C7"/>
    <w:rsid w:val="00102837"/>
    <w:rsid w:val="0010283A"/>
    <w:rsid w:val="00102B96"/>
    <w:rsid w:val="00105347"/>
    <w:rsid w:val="0010536E"/>
    <w:rsid w:val="001118EB"/>
    <w:rsid w:val="001124BA"/>
    <w:rsid w:val="001128CF"/>
    <w:rsid w:val="00115A20"/>
    <w:rsid w:val="001160D5"/>
    <w:rsid w:val="001163D9"/>
    <w:rsid w:val="00116A53"/>
    <w:rsid w:val="00116DCB"/>
    <w:rsid w:val="00116EF5"/>
    <w:rsid w:val="00117539"/>
    <w:rsid w:val="00122359"/>
    <w:rsid w:val="0012374A"/>
    <w:rsid w:val="00123D86"/>
    <w:rsid w:val="0012576E"/>
    <w:rsid w:val="00125BD6"/>
    <w:rsid w:val="00125C2B"/>
    <w:rsid w:val="00127275"/>
    <w:rsid w:val="0013058B"/>
    <w:rsid w:val="00130EF1"/>
    <w:rsid w:val="001336C9"/>
    <w:rsid w:val="001340B2"/>
    <w:rsid w:val="00135149"/>
    <w:rsid w:val="0013517C"/>
    <w:rsid w:val="00135709"/>
    <w:rsid w:val="00137AF9"/>
    <w:rsid w:val="00137D10"/>
    <w:rsid w:val="00140699"/>
    <w:rsid w:val="0014079F"/>
    <w:rsid w:val="00140C12"/>
    <w:rsid w:val="00140D42"/>
    <w:rsid w:val="0014205E"/>
    <w:rsid w:val="00142200"/>
    <w:rsid w:val="001433CF"/>
    <w:rsid w:val="00144B90"/>
    <w:rsid w:val="00144E41"/>
    <w:rsid w:val="00144FF1"/>
    <w:rsid w:val="00145D69"/>
    <w:rsid w:val="00145DF1"/>
    <w:rsid w:val="00145E08"/>
    <w:rsid w:val="00147934"/>
    <w:rsid w:val="00147E0C"/>
    <w:rsid w:val="00150535"/>
    <w:rsid w:val="0015054D"/>
    <w:rsid w:val="00150A33"/>
    <w:rsid w:val="00151772"/>
    <w:rsid w:val="00151EA1"/>
    <w:rsid w:val="0015360D"/>
    <w:rsid w:val="001544A5"/>
    <w:rsid w:val="00155ACC"/>
    <w:rsid w:val="00156128"/>
    <w:rsid w:val="001564A8"/>
    <w:rsid w:val="001565A6"/>
    <w:rsid w:val="00156921"/>
    <w:rsid w:val="00156C3C"/>
    <w:rsid w:val="00156C4D"/>
    <w:rsid w:val="00157045"/>
    <w:rsid w:val="0015763A"/>
    <w:rsid w:val="001604F1"/>
    <w:rsid w:val="001619E9"/>
    <w:rsid w:val="00161FE0"/>
    <w:rsid w:val="00162EA6"/>
    <w:rsid w:val="00164895"/>
    <w:rsid w:val="00164D5E"/>
    <w:rsid w:val="00165E44"/>
    <w:rsid w:val="00170CDA"/>
    <w:rsid w:val="00172874"/>
    <w:rsid w:val="00173313"/>
    <w:rsid w:val="0017352C"/>
    <w:rsid w:val="00174F71"/>
    <w:rsid w:val="00175C28"/>
    <w:rsid w:val="0017612F"/>
    <w:rsid w:val="00176C43"/>
    <w:rsid w:val="001770FA"/>
    <w:rsid w:val="001812AC"/>
    <w:rsid w:val="00181530"/>
    <w:rsid w:val="00181FB0"/>
    <w:rsid w:val="001836CD"/>
    <w:rsid w:val="00183908"/>
    <w:rsid w:val="0018397F"/>
    <w:rsid w:val="00184664"/>
    <w:rsid w:val="00184B10"/>
    <w:rsid w:val="00185239"/>
    <w:rsid w:val="0018631A"/>
    <w:rsid w:val="00186357"/>
    <w:rsid w:val="001867C7"/>
    <w:rsid w:val="00187042"/>
    <w:rsid w:val="00187FCD"/>
    <w:rsid w:val="00190211"/>
    <w:rsid w:val="00191171"/>
    <w:rsid w:val="001914C2"/>
    <w:rsid w:val="00191D77"/>
    <w:rsid w:val="00194012"/>
    <w:rsid w:val="00194559"/>
    <w:rsid w:val="001945EE"/>
    <w:rsid w:val="00194E63"/>
    <w:rsid w:val="001960B9"/>
    <w:rsid w:val="00196199"/>
    <w:rsid w:val="00196939"/>
    <w:rsid w:val="00196B6C"/>
    <w:rsid w:val="001977D1"/>
    <w:rsid w:val="00197CEE"/>
    <w:rsid w:val="00197D7C"/>
    <w:rsid w:val="001A02C8"/>
    <w:rsid w:val="001A0EC9"/>
    <w:rsid w:val="001A1C2E"/>
    <w:rsid w:val="001A24DB"/>
    <w:rsid w:val="001A30BC"/>
    <w:rsid w:val="001A3C45"/>
    <w:rsid w:val="001A5482"/>
    <w:rsid w:val="001A6797"/>
    <w:rsid w:val="001A6C7B"/>
    <w:rsid w:val="001A6E13"/>
    <w:rsid w:val="001B0A62"/>
    <w:rsid w:val="001B1325"/>
    <w:rsid w:val="001B1484"/>
    <w:rsid w:val="001B15F5"/>
    <w:rsid w:val="001B1ECA"/>
    <w:rsid w:val="001B377C"/>
    <w:rsid w:val="001B3853"/>
    <w:rsid w:val="001B4E8F"/>
    <w:rsid w:val="001B56B9"/>
    <w:rsid w:val="001B5D2D"/>
    <w:rsid w:val="001B63AC"/>
    <w:rsid w:val="001B640E"/>
    <w:rsid w:val="001B6AB0"/>
    <w:rsid w:val="001B7265"/>
    <w:rsid w:val="001C00E0"/>
    <w:rsid w:val="001C0979"/>
    <w:rsid w:val="001C0C43"/>
    <w:rsid w:val="001C13A4"/>
    <w:rsid w:val="001C16E9"/>
    <w:rsid w:val="001C2260"/>
    <w:rsid w:val="001C2862"/>
    <w:rsid w:val="001C382C"/>
    <w:rsid w:val="001C38ED"/>
    <w:rsid w:val="001C4922"/>
    <w:rsid w:val="001C5508"/>
    <w:rsid w:val="001C581E"/>
    <w:rsid w:val="001C6B79"/>
    <w:rsid w:val="001D1069"/>
    <w:rsid w:val="001D13DB"/>
    <w:rsid w:val="001D1803"/>
    <w:rsid w:val="001D1857"/>
    <w:rsid w:val="001D1B16"/>
    <w:rsid w:val="001D2B57"/>
    <w:rsid w:val="001D389E"/>
    <w:rsid w:val="001D3ABB"/>
    <w:rsid w:val="001D410E"/>
    <w:rsid w:val="001D4B0A"/>
    <w:rsid w:val="001E0EAD"/>
    <w:rsid w:val="001E1383"/>
    <w:rsid w:val="001E2011"/>
    <w:rsid w:val="001E27F4"/>
    <w:rsid w:val="001E2D93"/>
    <w:rsid w:val="001E4407"/>
    <w:rsid w:val="001E4598"/>
    <w:rsid w:val="001E4CBD"/>
    <w:rsid w:val="001E5C4C"/>
    <w:rsid w:val="001E6CAA"/>
    <w:rsid w:val="001E7AFE"/>
    <w:rsid w:val="001F07E8"/>
    <w:rsid w:val="001F0F24"/>
    <w:rsid w:val="001F109E"/>
    <w:rsid w:val="001F1854"/>
    <w:rsid w:val="001F32D6"/>
    <w:rsid w:val="001F4174"/>
    <w:rsid w:val="001F4DEE"/>
    <w:rsid w:val="001F51EB"/>
    <w:rsid w:val="001F6130"/>
    <w:rsid w:val="001F697B"/>
    <w:rsid w:val="001F75A1"/>
    <w:rsid w:val="001F7940"/>
    <w:rsid w:val="00200054"/>
    <w:rsid w:val="00200867"/>
    <w:rsid w:val="00200DD9"/>
    <w:rsid w:val="0020123F"/>
    <w:rsid w:val="00201CD7"/>
    <w:rsid w:val="00202355"/>
    <w:rsid w:val="002023A7"/>
    <w:rsid w:val="002042F0"/>
    <w:rsid w:val="00204851"/>
    <w:rsid w:val="00205212"/>
    <w:rsid w:val="002053F8"/>
    <w:rsid w:val="00206AC2"/>
    <w:rsid w:val="00207000"/>
    <w:rsid w:val="0021074C"/>
    <w:rsid w:val="00210BD1"/>
    <w:rsid w:val="00210C86"/>
    <w:rsid w:val="00212332"/>
    <w:rsid w:val="00212431"/>
    <w:rsid w:val="00213B4E"/>
    <w:rsid w:val="00214ED2"/>
    <w:rsid w:val="00214F96"/>
    <w:rsid w:val="00215DA2"/>
    <w:rsid w:val="002161C8"/>
    <w:rsid w:val="002167E9"/>
    <w:rsid w:val="00216DD2"/>
    <w:rsid w:val="002204DD"/>
    <w:rsid w:val="00220A12"/>
    <w:rsid w:val="00220E1A"/>
    <w:rsid w:val="00222053"/>
    <w:rsid w:val="0022309B"/>
    <w:rsid w:val="00223B40"/>
    <w:rsid w:val="00223C54"/>
    <w:rsid w:val="0022433D"/>
    <w:rsid w:val="002275A2"/>
    <w:rsid w:val="002303F0"/>
    <w:rsid w:val="00233491"/>
    <w:rsid w:val="00233557"/>
    <w:rsid w:val="0023364E"/>
    <w:rsid w:val="00234176"/>
    <w:rsid w:val="002345F3"/>
    <w:rsid w:val="00234767"/>
    <w:rsid w:val="00234D90"/>
    <w:rsid w:val="002358A3"/>
    <w:rsid w:val="0023701E"/>
    <w:rsid w:val="00242C8E"/>
    <w:rsid w:val="002431D8"/>
    <w:rsid w:val="002439A0"/>
    <w:rsid w:val="002479CB"/>
    <w:rsid w:val="0025059B"/>
    <w:rsid w:val="00250C3F"/>
    <w:rsid w:val="00250D0A"/>
    <w:rsid w:val="00252830"/>
    <w:rsid w:val="00252A7D"/>
    <w:rsid w:val="00252D98"/>
    <w:rsid w:val="002535B4"/>
    <w:rsid w:val="00253B5E"/>
    <w:rsid w:val="00254355"/>
    <w:rsid w:val="002570A9"/>
    <w:rsid w:val="0025762B"/>
    <w:rsid w:val="00257FCB"/>
    <w:rsid w:val="00261AAD"/>
    <w:rsid w:val="002638A8"/>
    <w:rsid w:val="00263B45"/>
    <w:rsid w:val="0026533E"/>
    <w:rsid w:val="00265F1E"/>
    <w:rsid w:val="00266A19"/>
    <w:rsid w:val="00270191"/>
    <w:rsid w:val="002701B3"/>
    <w:rsid w:val="002701E2"/>
    <w:rsid w:val="0027187E"/>
    <w:rsid w:val="0027364A"/>
    <w:rsid w:val="002737A2"/>
    <w:rsid w:val="002747B1"/>
    <w:rsid w:val="002748C6"/>
    <w:rsid w:val="00275936"/>
    <w:rsid w:val="00276565"/>
    <w:rsid w:val="00282B05"/>
    <w:rsid w:val="00283D9B"/>
    <w:rsid w:val="002844D7"/>
    <w:rsid w:val="00285D72"/>
    <w:rsid w:val="002875AE"/>
    <w:rsid w:val="002908DF"/>
    <w:rsid w:val="00291093"/>
    <w:rsid w:val="00292746"/>
    <w:rsid w:val="002927A3"/>
    <w:rsid w:val="0029387E"/>
    <w:rsid w:val="002941D9"/>
    <w:rsid w:val="00294466"/>
    <w:rsid w:val="002944B2"/>
    <w:rsid w:val="00294BE6"/>
    <w:rsid w:val="00295114"/>
    <w:rsid w:val="002A042C"/>
    <w:rsid w:val="002A0E01"/>
    <w:rsid w:val="002A13C6"/>
    <w:rsid w:val="002A220D"/>
    <w:rsid w:val="002A3D64"/>
    <w:rsid w:val="002A49A3"/>
    <w:rsid w:val="002A5A18"/>
    <w:rsid w:val="002A5D40"/>
    <w:rsid w:val="002A7F54"/>
    <w:rsid w:val="002B015E"/>
    <w:rsid w:val="002B03BE"/>
    <w:rsid w:val="002B21FD"/>
    <w:rsid w:val="002B2570"/>
    <w:rsid w:val="002B31F4"/>
    <w:rsid w:val="002B367E"/>
    <w:rsid w:val="002B474E"/>
    <w:rsid w:val="002B5E71"/>
    <w:rsid w:val="002B7FCE"/>
    <w:rsid w:val="002C06F0"/>
    <w:rsid w:val="002C06F7"/>
    <w:rsid w:val="002C1AF9"/>
    <w:rsid w:val="002C2062"/>
    <w:rsid w:val="002C20EB"/>
    <w:rsid w:val="002C212F"/>
    <w:rsid w:val="002C510A"/>
    <w:rsid w:val="002C634E"/>
    <w:rsid w:val="002C6845"/>
    <w:rsid w:val="002C695E"/>
    <w:rsid w:val="002C6E24"/>
    <w:rsid w:val="002C6E51"/>
    <w:rsid w:val="002C7F53"/>
    <w:rsid w:val="002D1A98"/>
    <w:rsid w:val="002D37A0"/>
    <w:rsid w:val="002D3A2E"/>
    <w:rsid w:val="002D4092"/>
    <w:rsid w:val="002D463E"/>
    <w:rsid w:val="002D55A2"/>
    <w:rsid w:val="002D6006"/>
    <w:rsid w:val="002D73FC"/>
    <w:rsid w:val="002D7A7A"/>
    <w:rsid w:val="002E0784"/>
    <w:rsid w:val="002E0FD6"/>
    <w:rsid w:val="002E1502"/>
    <w:rsid w:val="002E2B94"/>
    <w:rsid w:val="002E2E61"/>
    <w:rsid w:val="002E3366"/>
    <w:rsid w:val="002E3454"/>
    <w:rsid w:val="002E364F"/>
    <w:rsid w:val="002E455C"/>
    <w:rsid w:val="002E6EAE"/>
    <w:rsid w:val="002E7C0B"/>
    <w:rsid w:val="002F1663"/>
    <w:rsid w:val="002F30FF"/>
    <w:rsid w:val="002F35AB"/>
    <w:rsid w:val="002F4279"/>
    <w:rsid w:val="002F4D0F"/>
    <w:rsid w:val="002F5EFB"/>
    <w:rsid w:val="002F610E"/>
    <w:rsid w:val="002F7D55"/>
    <w:rsid w:val="00300A14"/>
    <w:rsid w:val="00301E29"/>
    <w:rsid w:val="003023E9"/>
    <w:rsid w:val="00302452"/>
    <w:rsid w:val="00302F7B"/>
    <w:rsid w:val="003035DA"/>
    <w:rsid w:val="00303DA3"/>
    <w:rsid w:val="00303DB9"/>
    <w:rsid w:val="003042D0"/>
    <w:rsid w:val="00304EB4"/>
    <w:rsid w:val="003059B5"/>
    <w:rsid w:val="003102DC"/>
    <w:rsid w:val="00310339"/>
    <w:rsid w:val="003109F5"/>
    <w:rsid w:val="003112E3"/>
    <w:rsid w:val="00313C24"/>
    <w:rsid w:val="00314312"/>
    <w:rsid w:val="00316B49"/>
    <w:rsid w:val="0031781B"/>
    <w:rsid w:val="00317BDA"/>
    <w:rsid w:val="0032005A"/>
    <w:rsid w:val="003213D8"/>
    <w:rsid w:val="00321BD6"/>
    <w:rsid w:val="00323A07"/>
    <w:rsid w:val="00323CB0"/>
    <w:rsid w:val="00324846"/>
    <w:rsid w:val="00324CF4"/>
    <w:rsid w:val="00325EA3"/>
    <w:rsid w:val="00326433"/>
    <w:rsid w:val="00326475"/>
    <w:rsid w:val="003267FA"/>
    <w:rsid w:val="00326BB6"/>
    <w:rsid w:val="00326D75"/>
    <w:rsid w:val="00327587"/>
    <w:rsid w:val="00327741"/>
    <w:rsid w:val="00327B9E"/>
    <w:rsid w:val="00330C06"/>
    <w:rsid w:val="00332F0D"/>
    <w:rsid w:val="003332ED"/>
    <w:rsid w:val="003336B1"/>
    <w:rsid w:val="00333765"/>
    <w:rsid w:val="00334ADD"/>
    <w:rsid w:val="0033545B"/>
    <w:rsid w:val="00336F78"/>
    <w:rsid w:val="00342F95"/>
    <w:rsid w:val="00343937"/>
    <w:rsid w:val="00343D04"/>
    <w:rsid w:val="00346729"/>
    <w:rsid w:val="00347559"/>
    <w:rsid w:val="0035030D"/>
    <w:rsid w:val="00350501"/>
    <w:rsid w:val="00353611"/>
    <w:rsid w:val="003558E4"/>
    <w:rsid w:val="00357594"/>
    <w:rsid w:val="00357C87"/>
    <w:rsid w:val="00357E5D"/>
    <w:rsid w:val="0036038F"/>
    <w:rsid w:val="00360467"/>
    <w:rsid w:val="003610CC"/>
    <w:rsid w:val="0036205B"/>
    <w:rsid w:val="00362621"/>
    <w:rsid w:val="00362D9B"/>
    <w:rsid w:val="003636FD"/>
    <w:rsid w:val="003639CD"/>
    <w:rsid w:val="003659CC"/>
    <w:rsid w:val="00366879"/>
    <w:rsid w:val="00367271"/>
    <w:rsid w:val="003674F9"/>
    <w:rsid w:val="00370370"/>
    <w:rsid w:val="003714AE"/>
    <w:rsid w:val="00373D93"/>
    <w:rsid w:val="0037474D"/>
    <w:rsid w:val="00376E3F"/>
    <w:rsid w:val="00377441"/>
    <w:rsid w:val="0037744F"/>
    <w:rsid w:val="00377524"/>
    <w:rsid w:val="00377D66"/>
    <w:rsid w:val="00380969"/>
    <w:rsid w:val="0038114B"/>
    <w:rsid w:val="00382C40"/>
    <w:rsid w:val="00383AA5"/>
    <w:rsid w:val="00383B14"/>
    <w:rsid w:val="00383E5A"/>
    <w:rsid w:val="00383FF0"/>
    <w:rsid w:val="003841A4"/>
    <w:rsid w:val="003842D0"/>
    <w:rsid w:val="00385347"/>
    <w:rsid w:val="00390056"/>
    <w:rsid w:val="00392809"/>
    <w:rsid w:val="00393339"/>
    <w:rsid w:val="00393CFB"/>
    <w:rsid w:val="0039446D"/>
    <w:rsid w:val="00394B1C"/>
    <w:rsid w:val="003960E4"/>
    <w:rsid w:val="0039714F"/>
    <w:rsid w:val="003A0035"/>
    <w:rsid w:val="003A1333"/>
    <w:rsid w:val="003A160E"/>
    <w:rsid w:val="003A17A7"/>
    <w:rsid w:val="003A2400"/>
    <w:rsid w:val="003A275A"/>
    <w:rsid w:val="003A2BA8"/>
    <w:rsid w:val="003A326B"/>
    <w:rsid w:val="003A3855"/>
    <w:rsid w:val="003A3DDF"/>
    <w:rsid w:val="003A3F50"/>
    <w:rsid w:val="003A4A71"/>
    <w:rsid w:val="003A4BC7"/>
    <w:rsid w:val="003A66BE"/>
    <w:rsid w:val="003A6B23"/>
    <w:rsid w:val="003A6E9D"/>
    <w:rsid w:val="003A79BE"/>
    <w:rsid w:val="003A7AD4"/>
    <w:rsid w:val="003A7E93"/>
    <w:rsid w:val="003B2451"/>
    <w:rsid w:val="003B3627"/>
    <w:rsid w:val="003B4937"/>
    <w:rsid w:val="003B4AD6"/>
    <w:rsid w:val="003B504D"/>
    <w:rsid w:val="003B5994"/>
    <w:rsid w:val="003B5FF2"/>
    <w:rsid w:val="003B6E5D"/>
    <w:rsid w:val="003B753F"/>
    <w:rsid w:val="003C064F"/>
    <w:rsid w:val="003C1711"/>
    <w:rsid w:val="003C184A"/>
    <w:rsid w:val="003C1958"/>
    <w:rsid w:val="003C2AC6"/>
    <w:rsid w:val="003C2B83"/>
    <w:rsid w:val="003C7C65"/>
    <w:rsid w:val="003D07A1"/>
    <w:rsid w:val="003D1B2D"/>
    <w:rsid w:val="003D2023"/>
    <w:rsid w:val="003D3A24"/>
    <w:rsid w:val="003D61BE"/>
    <w:rsid w:val="003D6D53"/>
    <w:rsid w:val="003E15DA"/>
    <w:rsid w:val="003E1658"/>
    <w:rsid w:val="003E32D4"/>
    <w:rsid w:val="003E41D4"/>
    <w:rsid w:val="003E4355"/>
    <w:rsid w:val="003E444C"/>
    <w:rsid w:val="003E5268"/>
    <w:rsid w:val="003E582E"/>
    <w:rsid w:val="003E5C09"/>
    <w:rsid w:val="003E645D"/>
    <w:rsid w:val="003E71BE"/>
    <w:rsid w:val="003F01F1"/>
    <w:rsid w:val="003F1017"/>
    <w:rsid w:val="003F1699"/>
    <w:rsid w:val="003F1AC3"/>
    <w:rsid w:val="003F22D1"/>
    <w:rsid w:val="003F4490"/>
    <w:rsid w:val="003F489B"/>
    <w:rsid w:val="003F4A07"/>
    <w:rsid w:val="003F523F"/>
    <w:rsid w:val="003F598C"/>
    <w:rsid w:val="003F5F20"/>
    <w:rsid w:val="003F623A"/>
    <w:rsid w:val="003F69B1"/>
    <w:rsid w:val="003F6EAD"/>
    <w:rsid w:val="0040129D"/>
    <w:rsid w:val="00401CEF"/>
    <w:rsid w:val="0040228A"/>
    <w:rsid w:val="00402520"/>
    <w:rsid w:val="004038A7"/>
    <w:rsid w:val="00404A22"/>
    <w:rsid w:val="004054CF"/>
    <w:rsid w:val="004058A1"/>
    <w:rsid w:val="00405F6A"/>
    <w:rsid w:val="00405FC1"/>
    <w:rsid w:val="00406D5C"/>
    <w:rsid w:val="00410DF6"/>
    <w:rsid w:val="00411EC4"/>
    <w:rsid w:val="0041210F"/>
    <w:rsid w:val="004125A9"/>
    <w:rsid w:val="004136C8"/>
    <w:rsid w:val="0041400F"/>
    <w:rsid w:val="00416362"/>
    <w:rsid w:val="00417E68"/>
    <w:rsid w:val="00417EEF"/>
    <w:rsid w:val="00417F53"/>
    <w:rsid w:val="00420231"/>
    <w:rsid w:val="00420319"/>
    <w:rsid w:val="00422557"/>
    <w:rsid w:val="004225C2"/>
    <w:rsid w:val="00422D8F"/>
    <w:rsid w:val="00424951"/>
    <w:rsid w:val="004258ED"/>
    <w:rsid w:val="00425F97"/>
    <w:rsid w:val="004269E7"/>
    <w:rsid w:val="00427857"/>
    <w:rsid w:val="0043059B"/>
    <w:rsid w:val="004326CD"/>
    <w:rsid w:val="00433270"/>
    <w:rsid w:val="004341FD"/>
    <w:rsid w:val="00435FB2"/>
    <w:rsid w:val="00436B19"/>
    <w:rsid w:val="00436D15"/>
    <w:rsid w:val="00440C4D"/>
    <w:rsid w:val="00441703"/>
    <w:rsid w:val="0044279C"/>
    <w:rsid w:val="00442931"/>
    <w:rsid w:val="00443A64"/>
    <w:rsid w:val="00444C13"/>
    <w:rsid w:val="0044512A"/>
    <w:rsid w:val="00445C74"/>
    <w:rsid w:val="00450C1E"/>
    <w:rsid w:val="00450FA6"/>
    <w:rsid w:val="004521E5"/>
    <w:rsid w:val="00452359"/>
    <w:rsid w:val="00454283"/>
    <w:rsid w:val="004556B7"/>
    <w:rsid w:val="004567A6"/>
    <w:rsid w:val="00456C80"/>
    <w:rsid w:val="00457A27"/>
    <w:rsid w:val="0046043D"/>
    <w:rsid w:val="0046073E"/>
    <w:rsid w:val="00461C23"/>
    <w:rsid w:val="00461F42"/>
    <w:rsid w:val="00462CC1"/>
    <w:rsid w:val="00462E21"/>
    <w:rsid w:val="0046422B"/>
    <w:rsid w:val="004646DF"/>
    <w:rsid w:val="0046695D"/>
    <w:rsid w:val="004708B5"/>
    <w:rsid w:val="004730E7"/>
    <w:rsid w:val="004744FB"/>
    <w:rsid w:val="00475FBD"/>
    <w:rsid w:val="004773F7"/>
    <w:rsid w:val="004776FC"/>
    <w:rsid w:val="00480506"/>
    <w:rsid w:val="00480D11"/>
    <w:rsid w:val="00481D8A"/>
    <w:rsid w:val="00482912"/>
    <w:rsid w:val="00483328"/>
    <w:rsid w:val="00483846"/>
    <w:rsid w:val="004863AC"/>
    <w:rsid w:val="00486684"/>
    <w:rsid w:val="00486757"/>
    <w:rsid w:val="0048700B"/>
    <w:rsid w:val="0048723C"/>
    <w:rsid w:val="00487E22"/>
    <w:rsid w:val="004902A5"/>
    <w:rsid w:val="004909D8"/>
    <w:rsid w:val="004924FD"/>
    <w:rsid w:val="00493B94"/>
    <w:rsid w:val="0049445C"/>
    <w:rsid w:val="00494876"/>
    <w:rsid w:val="00495113"/>
    <w:rsid w:val="00497ACD"/>
    <w:rsid w:val="004A002C"/>
    <w:rsid w:val="004A2097"/>
    <w:rsid w:val="004A244E"/>
    <w:rsid w:val="004A2A5D"/>
    <w:rsid w:val="004A40B3"/>
    <w:rsid w:val="004A4163"/>
    <w:rsid w:val="004A4650"/>
    <w:rsid w:val="004A52C4"/>
    <w:rsid w:val="004A54D2"/>
    <w:rsid w:val="004A5D34"/>
    <w:rsid w:val="004A5F0B"/>
    <w:rsid w:val="004A5F2A"/>
    <w:rsid w:val="004A62DF"/>
    <w:rsid w:val="004B1545"/>
    <w:rsid w:val="004B3168"/>
    <w:rsid w:val="004B33E6"/>
    <w:rsid w:val="004B36EC"/>
    <w:rsid w:val="004B38F1"/>
    <w:rsid w:val="004B3E9C"/>
    <w:rsid w:val="004B4842"/>
    <w:rsid w:val="004B5143"/>
    <w:rsid w:val="004B5756"/>
    <w:rsid w:val="004B5CF5"/>
    <w:rsid w:val="004B63D2"/>
    <w:rsid w:val="004B677D"/>
    <w:rsid w:val="004C0698"/>
    <w:rsid w:val="004C0BEB"/>
    <w:rsid w:val="004C1DE6"/>
    <w:rsid w:val="004C3EE6"/>
    <w:rsid w:val="004C52BB"/>
    <w:rsid w:val="004C695D"/>
    <w:rsid w:val="004C69E3"/>
    <w:rsid w:val="004C6A07"/>
    <w:rsid w:val="004C705D"/>
    <w:rsid w:val="004C75D8"/>
    <w:rsid w:val="004D0B1C"/>
    <w:rsid w:val="004D0B4E"/>
    <w:rsid w:val="004D0D16"/>
    <w:rsid w:val="004D144C"/>
    <w:rsid w:val="004D2356"/>
    <w:rsid w:val="004D4765"/>
    <w:rsid w:val="004D592B"/>
    <w:rsid w:val="004D6A04"/>
    <w:rsid w:val="004E2259"/>
    <w:rsid w:val="004E3489"/>
    <w:rsid w:val="004E3D4D"/>
    <w:rsid w:val="004E3E13"/>
    <w:rsid w:val="004E5514"/>
    <w:rsid w:val="004E5E39"/>
    <w:rsid w:val="004E7E63"/>
    <w:rsid w:val="004F2047"/>
    <w:rsid w:val="004F45B5"/>
    <w:rsid w:val="004F495E"/>
    <w:rsid w:val="004F6064"/>
    <w:rsid w:val="004F6BB9"/>
    <w:rsid w:val="004F7EA5"/>
    <w:rsid w:val="0050047F"/>
    <w:rsid w:val="00500CC2"/>
    <w:rsid w:val="00501D96"/>
    <w:rsid w:val="00501ECC"/>
    <w:rsid w:val="005025A3"/>
    <w:rsid w:val="00502604"/>
    <w:rsid w:val="005028A4"/>
    <w:rsid w:val="00504F5B"/>
    <w:rsid w:val="00506F64"/>
    <w:rsid w:val="005072C5"/>
    <w:rsid w:val="005079D6"/>
    <w:rsid w:val="00511452"/>
    <w:rsid w:val="005119E3"/>
    <w:rsid w:val="00514328"/>
    <w:rsid w:val="00515834"/>
    <w:rsid w:val="00516953"/>
    <w:rsid w:val="00517348"/>
    <w:rsid w:val="0052028E"/>
    <w:rsid w:val="00520824"/>
    <w:rsid w:val="00520E2D"/>
    <w:rsid w:val="00521750"/>
    <w:rsid w:val="005221A2"/>
    <w:rsid w:val="005223E5"/>
    <w:rsid w:val="00524309"/>
    <w:rsid w:val="0052479E"/>
    <w:rsid w:val="00524E8F"/>
    <w:rsid w:val="0052595D"/>
    <w:rsid w:val="0052619C"/>
    <w:rsid w:val="00526751"/>
    <w:rsid w:val="00526ACA"/>
    <w:rsid w:val="00530A40"/>
    <w:rsid w:val="00531187"/>
    <w:rsid w:val="00531276"/>
    <w:rsid w:val="00531F31"/>
    <w:rsid w:val="005323B4"/>
    <w:rsid w:val="0053289D"/>
    <w:rsid w:val="00532D88"/>
    <w:rsid w:val="0053609A"/>
    <w:rsid w:val="005373EA"/>
    <w:rsid w:val="00537771"/>
    <w:rsid w:val="005400BB"/>
    <w:rsid w:val="005404BB"/>
    <w:rsid w:val="00540F08"/>
    <w:rsid w:val="005410A6"/>
    <w:rsid w:val="0054146C"/>
    <w:rsid w:val="005415B9"/>
    <w:rsid w:val="00541F7A"/>
    <w:rsid w:val="00542746"/>
    <w:rsid w:val="00543908"/>
    <w:rsid w:val="00544749"/>
    <w:rsid w:val="00544A80"/>
    <w:rsid w:val="0054542E"/>
    <w:rsid w:val="005461DE"/>
    <w:rsid w:val="0054645E"/>
    <w:rsid w:val="005464AE"/>
    <w:rsid w:val="00546796"/>
    <w:rsid w:val="00547B08"/>
    <w:rsid w:val="00547C8C"/>
    <w:rsid w:val="005509FE"/>
    <w:rsid w:val="00552854"/>
    <w:rsid w:val="00552C67"/>
    <w:rsid w:val="00554C4A"/>
    <w:rsid w:val="00555622"/>
    <w:rsid w:val="005565A3"/>
    <w:rsid w:val="00556B45"/>
    <w:rsid w:val="005571A6"/>
    <w:rsid w:val="00557DFB"/>
    <w:rsid w:val="00560FE2"/>
    <w:rsid w:val="00561A7F"/>
    <w:rsid w:val="00562595"/>
    <w:rsid w:val="005628B5"/>
    <w:rsid w:val="005631EF"/>
    <w:rsid w:val="00563795"/>
    <w:rsid w:val="00563831"/>
    <w:rsid w:val="00563ECB"/>
    <w:rsid w:val="00564BF7"/>
    <w:rsid w:val="00564F9C"/>
    <w:rsid w:val="00565BCE"/>
    <w:rsid w:val="0057132A"/>
    <w:rsid w:val="005723B5"/>
    <w:rsid w:val="00572D0B"/>
    <w:rsid w:val="00572D25"/>
    <w:rsid w:val="00573B4D"/>
    <w:rsid w:val="00574F41"/>
    <w:rsid w:val="0057639E"/>
    <w:rsid w:val="005768EB"/>
    <w:rsid w:val="00576EB2"/>
    <w:rsid w:val="005770AB"/>
    <w:rsid w:val="00577279"/>
    <w:rsid w:val="00577C61"/>
    <w:rsid w:val="0058013F"/>
    <w:rsid w:val="005817C6"/>
    <w:rsid w:val="00581A7D"/>
    <w:rsid w:val="00581F75"/>
    <w:rsid w:val="00582CEF"/>
    <w:rsid w:val="00583AB9"/>
    <w:rsid w:val="00585A91"/>
    <w:rsid w:val="00586708"/>
    <w:rsid w:val="00586869"/>
    <w:rsid w:val="00591965"/>
    <w:rsid w:val="00593085"/>
    <w:rsid w:val="00594A1C"/>
    <w:rsid w:val="00595300"/>
    <w:rsid w:val="005956AD"/>
    <w:rsid w:val="005964AD"/>
    <w:rsid w:val="00596803"/>
    <w:rsid w:val="00596DEC"/>
    <w:rsid w:val="00596F80"/>
    <w:rsid w:val="0059707B"/>
    <w:rsid w:val="0059750B"/>
    <w:rsid w:val="005975B3"/>
    <w:rsid w:val="00597AA7"/>
    <w:rsid w:val="00597FE9"/>
    <w:rsid w:val="005A0250"/>
    <w:rsid w:val="005A0B93"/>
    <w:rsid w:val="005A0ED0"/>
    <w:rsid w:val="005A1E87"/>
    <w:rsid w:val="005A1F64"/>
    <w:rsid w:val="005A358D"/>
    <w:rsid w:val="005A3B5D"/>
    <w:rsid w:val="005A5311"/>
    <w:rsid w:val="005A645B"/>
    <w:rsid w:val="005A668C"/>
    <w:rsid w:val="005A6AE8"/>
    <w:rsid w:val="005A6DB1"/>
    <w:rsid w:val="005B0479"/>
    <w:rsid w:val="005B0FCD"/>
    <w:rsid w:val="005B3AEC"/>
    <w:rsid w:val="005B5101"/>
    <w:rsid w:val="005C1431"/>
    <w:rsid w:val="005C2705"/>
    <w:rsid w:val="005C29D6"/>
    <w:rsid w:val="005C321D"/>
    <w:rsid w:val="005C36C0"/>
    <w:rsid w:val="005C409D"/>
    <w:rsid w:val="005C40E4"/>
    <w:rsid w:val="005C4527"/>
    <w:rsid w:val="005C53EC"/>
    <w:rsid w:val="005C5561"/>
    <w:rsid w:val="005D01E1"/>
    <w:rsid w:val="005D08D4"/>
    <w:rsid w:val="005D0D31"/>
    <w:rsid w:val="005D1583"/>
    <w:rsid w:val="005D1F3C"/>
    <w:rsid w:val="005D2DC3"/>
    <w:rsid w:val="005D2E0C"/>
    <w:rsid w:val="005D3A1B"/>
    <w:rsid w:val="005D3DC8"/>
    <w:rsid w:val="005D486C"/>
    <w:rsid w:val="005D5C7D"/>
    <w:rsid w:val="005D6CF7"/>
    <w:rsid w:val="005D77DA"/>
    <w:rsid w:val="005E1F09"/>
    <w:rsid w:val="005E37AD"/>
    <w:rsid w:val="005E3966"/>
    <w:rsid w:val="005E4156"/>
    <w:rsid w:val="005E46DA"/>
    <w:rsid w:val="005E4C08"/>
    <w:rsid w:val="005E53E8"/>
    <w:rsid w:val="005E5C6D"/>
    <w:rsid w:val="005E626F"/>
    <w:rsid w:val="005E7C98"/>
    <w:rsid w:val="005E7E69"/>
    <w:rsid w:val="005F196C"/>
    <w:rsid w:val="005F2BC4"/>
    <w:rsid w:val="005F2D79"/>
    <w:rsid w:val="005F4407"/>
    <w:rsid w:val="005F4A0C"/>
    <w:rsid w:val="005F5F9E"/>
    <w:rsid w:val="005F601C"/>
    <w:rsid w:val="005F6C72"/>
    <w:rsid w:val="005F709D"/>
    <w:rsid w:val="00600152"/>
    <w:rsid w:val="006004FD"/>
    <w:rsid w:val="00600605"/>
    <w:rsid w:val="006013CA"/>
    <w:rsid w:val="00601561"/>
    <w:rsid w:val="00601813"/>
    <w:rsid w:val="006037BB"/>
    <w:rsid w:val="00603C5F"/>
    <w:rsid w:val="00604371"/>
    <w:rsid w:val="006050BA"/>
    <w:rsid w:val="00605F72"/>
    <w:rsid w:val="00606A78"/>
    <w:rsid w:val="00606EEB"/>
    <w:rsid w:val="006070DE"/>
    <w:rsid w:val="006071A4"/>
    <w:rsid w:val="00610802"/>
    <w:rsid w:val="00611306"/>
    <w:rsid w:val="006114FA"/>
    <w:rsid w:val="006119CC"/>
    <w:rsid w:val="00612AB1"/>
    <w:rsid w:val="00614EA9"/>
    <w:rsid w:val="00615510"/>
    <w:rsid w:val="006166AF"/>
    <w:rsid w:val="0061763A"/>
    <w:rsid w:val="0062024C"/>
    <w:rsid w:val="00620BB9"/>
    <w:rsid w:val="00620D0F"/>
    <w:rsid w:val="00621B5D"/>
    <w:rsid w:val="00621E17"/>
    <w:rsid w:val="00624258"/>
    <w:rsid w:val="00624398"/>
    <w:rsid w:val="00624709"/>
    <w:rsid w:val="00625DE9"/>
    <w:rsid w:val="0062732E"/>
    <w:rsid w:val="00627485"/>
    <w:rsid w:val="00630522"/>
    <w:rsid w:val="00632483"/>
    <w:rsid w:val="00632980"/>
    <w:rsid w:val="006346BC"/>
    <w:rsid w:val="0063559E"/>
    <w:rsid w:val="00635ABE"/>
    <w:rsid w:val="00635EC3"/>
    <w:rsid w:val="00636AC6"/>
    <w:rsid w:val="0063772F"/>
    <w:rsid w:val="006422F8"/>
    <w:rsid w:val="00642411"/>
    <w:rsid w:val="00643443"/>
    <w:rsid w:val="00644E67"/>
    <w:rsid w:val="0064561E"/>
    <w:rsid w:val="006466EF"/>
    <w:rsid w:val="00646A68"/>
    <w:rsid w:val="00647C04"/>
    <w:rsid w:val="00647FD2"/>
    <w:rsid w:val="0065135E"/>
    <w:rsid w:val="006519B5"/>
    <w:rsid w:val="00651CE1"/>
    <w:rsid w:val="00652A61"/>
    <w:rsid w:val="0065489E"/>
    <w:rsid w:val="00655407"/>
    <w:rsid w:val="006558B3"/>
    <w:rsid w:val="00657D65"/>
    <w:rsid w:val="006602D8"/>
    <w:rsid w:val="006606DC"/>
    <w:rsid w:val="0066181C"/>
    <w:rsid w:val="00661B30"/>
    <w:rsid w:val="00666285"/>
    <w:rsid w:val="00667330"/>
    <w:rsid w:val="00667465"/>
    <w:rsid w:val="006709C6"/>
    <w:rsid w:val="00671CCF"/>
    <w:rsid w:val="00672DD6"/>
    <w:rsid w:val="00674703"/>
    <w:rsid w:val="0067682B"/>
    <w:rsid w:val="006770BA"/>
    <w:rsid w:val="00677783"/>
    <w:rsid w:val="006800C1"/>
    <w:rsid w:val="0068056C"/>
    <w:rsid w:val="006811C5"/>
    <w:rsid w:val="00681696"/>
    <w:rsid w:val="006817E1"/>
    <w:rsid w:val="0068186B"/>
    <w:rsid w:val="00682225"/>
    <w:rsid w:val="0068231A"/>
    <w:rsid w:val="006830BA"/>
    <w:rsid w:val="00683A10"/>
    <w:rsid w:val="00685E64"/>
    <w:rsid w:val="00685EF4"/>
    <w:rsid w:val="0068629C"/>
    <w:rsid w:val="00687422"/>
    <w:rsid w:val="006918FA"/>
    <w:rsid w:val="00691B6D"/>
    <w:rsid w:val="00692DAB"/>
    <w:rsid w:val="0069314C"/>
    <w:rsid w:val="00694B0A"/>
    <w:rsid w:val="00694BCA"/>
    <w:rsid w:val="00694D80"/>
    <w:rsid w:val="0069547E"/>
    <w:rsid w:val="006955F6"/>
    <w:rsid w:val="00695D77"/>
    <w:rsid w:val="0069754A"/>
    <w:rsid w:val="006979FE"/>
    <w:rsid w:val="006A32C3"/>
    <w:rsid w:val="006A34D0"/>
    <w:rsid w:val="006A4150"/>
    <w:rsid w:val="006A49D5"/>
    <w:rsid w:val="006A4FE2"/>
    <w:rsid w:val="006A5732"/>
    <w:rsid w:val="006A596F"/>
    <w:rsid w:val="006A7564"/>
    <w:rsid w:val="006B0567"/>
    <w:rsid w:val="006B20DA"/>
    <w:rsid w:val="006B22FC"/>
    <w:rsid w:val="006B3449"/>
    <w:rsid w:val="006B42FE"/>
    <w:rsid w:val="006B50E9"/>
    <w:rsid w:val="006B5771"/>
    <w:rsid w:val="006B60B8"/>
    <w:rsid w:val="006B630F"/>
    <w:rsid w:val="006B693D"/>
    <w:rsid w:val="006B78B0"/>
    <w:rsid w:val="006C0837"/>
    <w:rsid w:val="006C32BB"/>
    <w:rsid w:val="006C5575"/>
    <w:rsid w:val="006C55D2"/>
    <w:rsid w:val="006C596E"/>
    <w:rsid w:val="006C6934"/>
    <w:rsid w:val="006C6A65"/>
    <w:rsid w:val="006C6E41"/>
    <w:rsid w:val="006C7126"/>
    <w:rsid w:val="006C7A24"/>
    <w:rsid w:val="006D1372"/>
    <w:rsid w:val="006D15A7"/>
    <w:rsid w:val="006D1648"/>
    <w:rsid w:val="006D482E"/>
    <w:rsid w:val="006D4E39"/>
    <w:rsid w:val="006D4E5E"/>
    <w:rsid w:val="006D52E4"/>
    <w:rsid w:val="006D5833"/>
    <w:rsid w:val="006D5C94"/>
    <w:rsid w:val="006D65F3"/>
    <w:rsid w:val="006D7832"/>
    <w:rsid w:val="006E01AA"/>
    <w:rsid w:val="006E0337"/>
    <w:rsid w:val="006E05DC"/>
    <w:rsid w:val="006E1E65"/>
    <w:rsid w:val="006E22AE"/>
    <w:rsid w:val="006E2613"/>
    <w:rsid w:val="006E31A7"/>
    <w:rsid w:val="006E3875"/>
    <w:rsid w:val="006E438C"/>
    <w:rsid w:val="006E4C54"/>
    <w:rsid w:val="006E5923"/>
    <w:rsid w:val="006E72E4"/>
    <w:rsid w:val="006E7B08"/>
    <w:rsid w:val="006F2B14"/>
    <w:rsid w:val="006F4A9F"/>
    <w:rsid w:val="006F59FE"/>
    <w:rsid w:val="006F76EC"/>
    <w:rsid w:val="00701848"/>
    <w:rsid w:val="00701A58"/>
    <w:rsid w:val="007021E5"/>
    <w:rsid w:val="00702B04"/>
    <w:rsid w:val="00702B29"/>
    <w:rsid w:val="00703404"/>
    <w:rsid w:val="007034E3"/>
    <w:rsid w:val="00703EBB"/>
    <w:rsid w:val="00704127"/>
    <w:rsid w:val="007070F8"/>
    <w:rsid w:val="00707C60"/>
    <w:rsid w:val="00710082"/>
    <w:rsid w:val="00711B5F"/>
    <w:rsid w:val="00711EFA"/>
    <w:rsid w:val="007145B7"/>
    <w:rsid w:val="00714DD7"/>
    <w:rsid w:val="00715195"/>
    <w:rsid w:val="0071553A"/>
    <w:rsid w:val="00715FD3"/>
    <w:rsid w:val="00716169"/>
    <w:rsid w:val="00716355"/>
    <w:rsid w:val="00716EF8"/>
    <w:rsid w:val="0071762C"/>
    <w:rsid w:val="00717FFB"/>
    <w:rsid w:val="00723272"/>
    <w:rsid w:val="00723828"/>
    <w:rsid w:val="00724A0B"/>
    <w:rsid w:val="00724CFF"/>
    <w:rsid w:val="00726686"/>
    <w:rsid w:val="00726DFA"/>
    <w:rsid w:val="00727225"/>
    <w:rsid w:val="00727415"/>
    <w:rsid w:val="00727EA1"/>
    <w:rsid w:val="007303C8"/>
    <w:rsid w:val="00730F7D"/>
    <w:rsid w:val="00732726"/>
    <w:rsid w:val="007335B6"/>
    <w:rsid w:val="0073411F"/>
    <w:rsid w:val="00736469"/>
    <w:rsid w:val="007366A1"/>
    <w:rsid w:val="00736733"/>
    <w:rsid w:val="00740F68"/>
    <w:rsid w:val="007437A6"/>
    <w:rsid w:val="00744142"/>
    <w:rsid w:val="007458CA"/>
    <w:rsid w:val="00746758"/>
    <w:rsid w:val="007468AA"/>
    <w:rsid w:val="00747586"/>
    <w:rsid w:val="0075003B"/>
    <w:rsid w:val="007503D6"/>
    <w:rsid w:val="0075168C"/>
    <w:rsid w:val="007516CE"/>
    <w:rsid w:val="007518D8"/>
    <w:rsid w:val="007545EC"/>
    <w:rsid w:val="00754699"/>
    <w:rsid w:val="00756C53"/>
    <w:rsid w:val="00756D29"/>
    <w:rsid w:val="0075744C"/>
    <w:rsid w:val="007628EA"/>
    <w:rsid w:val="007630BB"/>
    <w:rsid w:val="0076421D"/>
    <w:rsid w:val="00764C1B"/>
    <w:rsid w:val="00765446"/>
    <w:rsid w:val="007655A6"/>
    <w:rsid w:val="007655AF"/>
    <w:rsid w:val="00766660"/>
    <w:rsid w:val="00767779"/>
    <w:rsid w:val="007704AF"/>
    <w:rsid w:val="0077149E"/>
    <w:rsid w:val="0077344F"/>
    <w:rsid w:val="00774611"/>
    <w:rsid w:val="00774EF1"/>
    <w:rsid w:val="0077590B"/>
    <w:rsid w:val="007760B9"/>
    <w:rsid w:val="007772C4"/>
    <w:rsid w:val="007808AA"/>
    <w:rsid w:val="00782C5A"/>
    <w:rsid w:val="00783D1D"/>
    <w:rsid w:val="00784073"/>
    <w:rsid w:val="00784CAA"/>
    <w:rsid w:val="00785826"/>
    <w:rsid w:val="00785FCA"/>
    <w:rsid w:val="007868C2"/>
    <w:rsid w:val="00786F1A"/>
    <w:rsid w:val="00787B2E"/>
    <w:rsid w:val="00792875"/>
    <w:rsid w:val="007933E5"/>
    <w:rsid w:val="0079425C"/>
    <w:rsid w:val="00794D35"/>
    <w:rsid w:val="007973AC"/>
    <w:rsid w:val="00797D85"/>
    <w:rsid w:val="007A0883"/>
    <w:rsid w:val="007A0AE7"/>
    <w:rsid w:val="007A10FD"/>
    <w:rsid w:val="007A25FE"/>
    <w:rsid w:val="007A2EA3"/>
    <w:rsid w:val="007A34F4"/>
    <w:rsid w:val="007A5B6D"/>
    <w:rsid w:val="007A64BF"/>
    <w:rsid w:val="007B0830"/>
    <w:rsid w:val="007B0951"/>
    <w:rsid w:val="007B1F5F"/>
    <w:rsid w:val="007B1FD1"/>
    <w:rsid w:val="007B3360"/>
    <w:rsid w:val="007B492C"/>
    <w:rsid w:val="007B7000"/>
    <w:rsid w:val="007C0642"/>
    <w:rsid w:val="007C0BE6"/>
    <w:rsid w:val="007C16F1"/>
    <w:rsid w:val="007C28A3"/>
    <w:rsid w:val="007C2E1C"/>
    <w:rsid w:val="007C2F93"/>
    <w:rsid w:val="007C3587"/>
    <w:rsid w:val="007C35C0"/>
    <w:rsid w:val="007C3FA4"/>
    <w:rsid w:val="007C40F3"/>
    <w:rsid w:val="007C41D0"/>
    <w:rsid w:val="007C4E7D"/>
    <w:rsid w:val="007C5E1B"/>
    <w:rsid w:val="007C5F9B"/>
    <w:rsid w:val="007C66E3"/>
    <w:rsid w:val="007D0E7A"/>
    <w:rsid w:val="007D0ED1"/>
    <w:rsid w:val="007D1E56"/>
    <w:rsid w:val="007D27F3"/>
    <w:rsid w:val="007D2B08"/>
    <w:rsid w:val="007D2BAB"/>
    <w:rsid w:val="007D31AD"/>
    <w:rsid w:val="007D40FC"/>
    <w:rsid w:val="007D4601"/>
    <w:rsid w:val="007D491B"/>
    <w:rsid w:val="007D68A9"/>
    <w:rsid w:val="007D6CD6"/>
    <w:rsid w:val="007D76A7"/>
    <w:rsid w:val="007E07D2"/>
    <w:rsid w:val="007E0E0E"/>
    <w:rsid w:val="007E1A32"/>
    <w:rsid w:val="007E2AF6"/>
    <w:rsid w:val="007E475B"/>
    <w:rsid w:val="007E5346"/>
    <w:rsid w:val="007E6A6A"/>
    <w:rsid w:val="007E6AFE"/>
    <w:rsid w:val="007E7718"/>
    <w:rsid w:val="007E7B32"/>
    <w:rsid w:val="007F06B8"/>
    <w:rsid w:val="007F0A67"/>
    <w:rsid w:val="007F1E9B"/>
    <w:rsid w:val="007F3F47"/>
    <w:rsid w:val="007F499B"/>
    <w:rsid w:val="007F5B85"/>
    <w:rsid w:val="007F6BDA"/>
    <w:rsid w:val="007F6CC1"/>
    <w:rsid w:val="0080183F"/>
    <w:rsid w:val="00801B52"/>
    <w:rsid w:val="00801DAE"/>
    <w:rsid w:val="00803371"/>
    <w:rsid w:val="008037B8"/>
    <w:rsid w:val="0080463F"/>
    <w:rsid w:val="00804716"/>
    <w:rsid w:val="00804CE9"/>
    <w:rsid w:val="00805908"/>
    <w:rsid w:val="00805B1C"/>
    <w:rsid w:val="00807ABC"/>
    <w:rsid w:val="00807C38"/>
    <w:rsid w:val="00807D76"/>
    <w:rsid w:val="00811214"/>
    <w:rsid w:val="008127A2"/>
    <w:rsid w:val="00812D85"/>
    <w:rsid w:val="0081391F"/>
    <w:rsid w:val="00815C42"/>
    <w:rsid w:val="008160A8"/>
    <w:rsid w:val="00817211"/>
    <w:rsid w:val="00817804"/>
    <w:rsid w:val="0082055E"/>
    <w:rsid w:val="00820D6A"/>
    <w:rsid w:val="008220BE"/>
    <w:rsid w:val="00822EC8"/>
    <w:rsid w:val="00822ED3"/>
    <w:rsid w:val="0082473B"/>
    <w:rsid w:val="00824FCD"/>
    <w:rsid w:val="0082529C"/>
    <w:rsid w:val="00826376"/>
    <w:rsid w:val="00826435"/>
    <w:rsid w:val="00827586"/>
    <w:rsid w:val="00827FDA"/>
    <w:rsid w:val="008303CC"/>
    <w:rsid w:val="008307FC"/>
    <w:rsid w:val="008321B9"/>
    <w:rsid w:val="008326D4"/>
    <w:rsid w:val="00833537"/>
    <w:rsid w:val="0083422F"/>
    <w:rsid w:val="00835334"/>
    <w:rsid w:val="00835B33"/>
    <w:rsid w:val="008361E8"/>
    <w:rsid w:val="008426A1"/>
    <w:rsid w:val="00842A0A"/>
    <w:rsid w:val="0084318C"/>
    <w:rsid w:val="00843A87"/>
    <w:rsid w:val="00845CCE"/>
    <w:rsid w:val="00845F6C"/>
    <w:rsid w:val="00846BE7"/>
    <w:rsid w:val="008472DF"/>
    <w:rsid w:val="00847CF2"/>
    <w:rsid w:val="00851396"/>
    <w:rsid w:val="0085238A"/>
    <w:rsid w:val="008525CB"/>
    <w:rsid w:val="008531E2"/>
    <w:rsid w:val="0085348C"/>
    <w:rsid w:val="00854712"/>
    <w:rsid w:val="00854E58"/>
    <w:rsid w:val="00855DF8"/>
    <w:rsid w:val="00857979"/>
    <w:rsid w:val="0086060D"/>
    <w:rsid w:val="00860C4A"/>
    <w:rsid w:val="0086345B"/>
    <w:rsid w:val="00863BF0"/>
    <w:rsid w:val="00863C60"/>
    <w:rsid w:val="008650C0"/>
    <w:rsid w:val="0086532F"/>
    <w:rsid w:val="008657CE"/>
    <w:rsid w:val="008659CD"/>
    <w:rsid w:val="008673E7"/>
    <w:rsid w:val="00870283"/>
    <w:rsid w:val="00870B4F"/>
    <w:rsid w:val="008713B7"/>
    <w:rsid w:val="00871D9B"/>
    <w:rsid w:val="00872414"/>
    <w:rsid w:val="00872FBA"/>
    <w:rsid w:val="00873558"/>
    <w:rsid w:val="0087396A"/>
    <w:rsid w:val="008742E8"/>
    <w:rsid w:val="00874607"/>
    <w:rsid w:val="0087568A"/>
    <w:rsid w:val="00875F1D"/>
    <w:rsid w:val="00876732"/>
    <w:rsid w:val="00877512"/>
    <w:rsid w:val="00882557"/>
    <w:rsid w:val="008845CB"/>
    <w:rsid w:val="008849E7"/>
    <w:rsid w:val="008855B5"/>
    <w:rsid w:val="00885950"/>
    <w:rsid w:val="00887388"/>
    <w:rsid w:val="00892B18"/>
    <w:rsid w:val="00894137"/>
    <w:rsid w:val="00894139"/>
    <w:rsid w:val="00894263"/>
    <w:rsid w:val="00894876"/>
    <w:rsid w:val="0089589D"/>
    <w:rsid w:val="00895C5D"/>
    <w:rsid w:val="00897520"/>
    <w:rsid w:val="00897601"/>
    <w:rsid w:val="00897A07"/>
    <w:rsid w:val="008A2472"/>
    <w:rsid w:val="008A363F"/>
    <w:rsid w:val="008A3BA9"/>
    <w:rsid w:val="008A56B2"/>
    <w:rsid w:val="008A6188"/>
    <w:rsid w:val="008A6E1E"/>
    <w:rsid w:val="008A71CB"/>
    <w:rsid w:val="008A7EE3"/>
    <w:rsid w:val="008B03BF"/>
    <w:rsid w:val="008B09DD"/>
    <w:rsid w:val="008B0D5B"/>
    <w:rsid w:val="008B0DB5"/>
    <w:rsid w:val="008B12DE"/>
    <w:rsid w:val="008B4323"/>
    <w:rsid w:val="008B44C2"/>
    <w:rsid w:val="008B4609"/>
    <w:rsid w:val="008B4ED7"/>
    <w:rsid w:val="008B6CD1"/>
    <w:rsid w:val="008B6FEC"/>
    <w:rsid w:val="008B7024"/>
    <w:rsid w:val="008B7836"/>
    <w:rsid w:val="008B7BAB"/>
    <w:rsid w:val="008C1B39"/>
    <w:rsid w:val="008C20AE"/>
    <w:rsid w:val="008C20C2"/>
    <w:rsid w:val="008C326A"/>
    <w:rsid w:val="008C3CED"/>
    <w:rsid w:val="008C6187"/>
    <w:rsid w:val="008C6688"/>
    <w:rsid w:val="008C7097"/>
    <w:rsid w:val="008C7542"/>
    <w:rsid w:val="008D00C6"/>
    <w:rsid w:val="008D05A2"/>
    <w:rsid w:val="008D06A4"/>
    <w:rsid w:val="008D0F4C"/>
    <w:rsid w:val="008D1F91"/>
    <w:rsid w:val="008D2465"/>
    <w:rsid w:val="008D304A"/>
    <w:rsid w:val="008D353A"/>
    <w:rsid w:val="008D371B"/>
    <w:rsid w:val="008D3C3D"/>
    <w:rsid w:val="008D3C9C"/>
    <w:rsid w:val="008D47F7"/>
    <w:rsid w:val="008D495C"/>
    <w:rsid w:val="008D49D3"/>
    <w:rsid w:val="008D4A69"/>
    <w:rsid w:val="008D4EC8"/>
    <w:rsid w:val="008D5BCA"/>
    <w:rsid w:val="008D5F8C"/>
    <w:rsid w:val="008D60C4"/>
    <w:rsid w:val="008D6CD3"/>
    <w:rsid w:val="008E0D52"/>
    <w:rsid w:val="008E4BED"/>
    <w:rsid w:val="008F1741"/>
    <w:rsid w:val="008F1B39"/>
    <w:rsid w:val="008F229F"/>
    <w:rsid w:val="008F2916"/>
    <w:rsid w:val="008F29F4"/>
    <w:rsid w:val="008F3BC9"/>
    <w:rsid w:val="008F407B"/>
    <w:rsid w:val="008F46A0"/>
    <w:rsid w:val="008F5542"/>
    <w:rsid w:val="008F59B7"/>
    <w:rsid w:val="008F62CC"/>
    <w:rsid w:val="008F6BB6"/>
    <w:rsid w:val="00900F84"/>
    <w:rsid w:val="00901538"/>
    <w:rsid w:val="0090191A"/>
    <w:rsid w:val="009024BA"/>
    <w:rsid w:val="0090321E"/>
    <w:rsid w:val="00903566"/>
    <w:rsid w:val="00903C28"/>
    <w:rsid w:val="00904BF8"/>
    <w:rsid w:val="00905E18"/>
    <w:rsid w:val="00906516"/>
    <w:rsid w:val="009065A3"/>
    <w:rsid w:val="00906A2B"/>
    <w:rsid w:val="009071EF"/>
    <w:rsid w:val="0091085C"/>
    <w:rsid w:val="009109A8"/>
    <w:rsid w:val="00910A7B"/>
    <w:rsid w:val="00911E74"/>
    <w:rsid w:val="009123FC"/>
    <w:rsid w:val="00912879"/>
    <w:rsid w:val="00913933"/>
    <w:rsid w:val="00913CFD"/>
    <w:rsid w:val="009144D7"/>
    <w:rsid w:val="00914D7C"/>
    <w:rsid w:val="00914F84"/>
    <w:rsid w:val="009157D7"/>
    <w:rsid w:val="009163F7"/>
    <w:rsid w:val="0091663E"/>
    <w:rsid w:val="00916A05"/>
    <w:rsid w:val="00916C47"/>
    <w:rsid w:val="0092164C"/>
    <w:rsid w:val="0092179E"/>
    <w:rsid w:val="009225FB"/>
    <w:rsid w:val="00922931"/>
    <w:rsid w:val="00923699"/>
    <w:rsid w:val="009239C9"/>
    <w:rsid w:val="00926B38"/>
    <w:rsid w:val="0092769D"/>
    <w:rsid w:val="00927AAA"/>
    <w:rsid w:val="00930103"/>
    <w:rsid w:val="00930AB3"/>
    <w:rsid w:val="00931354"/>
    <w:rsid w:val="00931BF7"/>
    <w:rsid w:val="00931F7D"/>
    <w:rsid w:val="009329AA"/>
    <w:rsid w:val="00933CD1"/>
    <w:rsid w:val="00933D25"/>
    <w:rsid w:val="00933F3C"/>
    <w:rsid w:val="009343C8"/>
    <w:rsid w:val="00934D00"/>
    <w:rsid w:val="009372EE"/>
    <w:rsid w:val="009377CF"/>
    <w:rsid w:val="00937AB6"/>
    <w:rsid w:val="00937B65"/>
    <w:rsid w:val="00937DB1"/>
    <w:rsid w:val="00940207"/>
    <w:rsid w:val="0094039F"/>
    <w:rsid w:val="00943D1B"/>
    <w:rsid w:val="00944F89"/>
    <w:rsid w:val="00945C60"/>
    <w:rsid w:val="00946A85"/>
    <w:rsid w:val="00947A27"/>
    <w:rsid w:val="00950A38"/>
    <w:rsid w:val="0095312D"/>
    <w:rsid w:val="00953C9F"/>
    <w:rsid w:val="00954398"/>
    <w:rsid w:val="00954D2E"/>
    <w:rsid w:val="00955339"/>
    <w:rsid w:val="00955E82"/>
    <w:rsid w:val="00955F9E"/>
    <w:rsid w:val="009571A3"/>
    <w:rsid w:val="00960EA1"/>
    <w:rsid w:val="00961004"/>
    <w:rsid w:val="00961B81"/>
    <w:rsid w:val="0096298C"/>
    <w:rsid w:val="009635EB"/>
    <w:rsid w:val="00965799"/>
    <w:rsid w:val="009659F1"/>
    <w:rsid w:val="00965E44"/>
    <w:rsid w:val="009666B7"/>
    <w:rsid w:val="00966A66"/>
    <w:rsid w:val="0096702F"/>
    <w:rsid w:val="00967E44"/>
    <w:rsid w:val="009708EA"/>
    <w:rsid w:val="00971D54"/>
    <w:rsid w:val="00973208"/>
    <w:rsid w:val="00973468"/>
    <w:rsid w:val="009752F5"/>
    <w:rsid w:val="00975CA3"/>
    <w:rsid w:val="00975D82"/>
    <w:rsid w:val="0097635F"/>
    <w:rsid w:val="009808B4"/>
    <w:rsid w:val="00981026"/>
    <w:rsid w:val="0098113F"/>
    <w:rsid w:val="009813FA"/>
    <w:rsid w:val="00981ECA"/>
    <w:rsid w:val="00981F00"/>
    <w:rsid w:val="0098259F"/>
    <w:rsid w:val="00983506"/>
    <w:rsid w:val="00984510"/>
    <w:rsid w:val="009850D9"/>
    <w:rsid w:val="00986C16"/>
    <w:rsid w:val="00991CD6"/>
    <w:rsid w:val="00992199"/>
    <w:rsid w:val="00993127"/>
    <w:rsid w:val="00994BBA"/>
    <w:rsid w:val="009951F7"/>
    <w:rsid w:val="00995448"/>
    <w:rsid w:val="00995C4B"/>
    <w:rsid w:val="00995D56"/>
    <w:rsid w:val="0099677B"/>
    <w:rsid w:val="00996E0E"/>
    <w:rsid w:val="00997420"/>
    <w:rsid w:val="00997FC9"/>
    <w:rsid w:val="009A0170"/>
    <w:rsid w:val="009A0E00"/>
    <w:rsid w:val="009A15C8"/>
    <w:rsid w:val="009A5FE0"/>
    <w:rsid w:val="009A71B8"/>
    <w:rsid w:val="009B0D61"/>
    <w:rsid w:val="009B0DAB"/>
    <w:rsid w:val="009B1AAF"/>
    <w:rsid w:val="009B1F6A"/>
    <w:rsid w:val="009B39FF"/>
    <w:rsid w:val="009B4835"/>
    <w:rsid w:val="009B4B0D"/>
    <w:rsid w:val="009B50D2"/>
    <w:rsid w:val="009B524F"/>
    <w:rsid w:val="009B6859"/>
    <w:rsid w:val="009B6877"/>
    <w:rsid w:val="009B6A36"/>
    <w:rsid w:val="009B74FE"/>
    <w:rsid w:val="009C0664"/>
    <w:rsid w:val="009C06C5"/>
    <w:rsid w:val="009C0850"/>
    <w:rsid w:val="009C1411"/>
    <w:rsid w:val="009C24F4"/>
    <w:rsid w:val="009C4637"/>
    <w:rsid w:val="009C4D6E"/>
    <w:rsid w:val="009C5C55"/>
    <w:rsid w:val="009C60B3"/>
    <w:rsid w:val="009C660D"/>
    <w:rsid w:val="009D194A"/>
    <w:rsid w:val="009D228A"/>
    <w:rsid w:val="009D25FE"/>
    <w:rsid w:val="009D3F75"/>
    <w:rsid w:val="009D4560"/>
    <w:rsid w:val="009D4789"/>
    <w:rsid w:val="009D4DA4"/>
    <w:rsid w:val="009D4DE6"/>
    <w:rsid w:val="009D5F8B"/>
    <w:rsid w:val="009D62ED"/>
    <w:rsid w:val="009D6BDF"/>
    <w:rsid w:val="009D7119"/>
    <w:rsid w:val="009D7BAB"/>
    <w:rsid w:val="009E126B"/>
    <w:rsid w:val="009E13A6"/>
    <w:rsid w:val="009E194D"/>
    <w:rsid w:val="009E2646"/>
    <w:rsid w:val="009E29E7"/>
    <w:rsid w:val="009E2A22"/>
    <w:rsid w:val="009E2A31"/>
    <w:rsid w:val="009E2B7A"/>
    <w:rsid w:val="009E2C06"/>
    <w:rsid w:val="009E390D"/>
    <w:rsid w:val="009E3E62"/>
    <w:rsid w:val="009E40A4"/>
    <w:rsid w:val="009E4BB9"/>
    <w:rsid w:val="009E7A30"/>
    <w:rsid w:val="009E7A6B"/>
    <w:rsid w:val="009F006C"/>
    <w:rsid w:val="009F124B"/>
    <w:rsid w:val="009F173B"/>
    <w:rsid w:val="009F1D7C"/>
    <w:rsid w:val="009F216B"/>
    <w:rsid w:val="009F260F"/>
    <w:rsid w:val="009F294C"/>
    <w:rsid w:val="009F2BE6"/>
    <w:rsid w:val="009F2C19"/>
    <w:rsid w:val="009F333D"/>
    <w:rsid w:val="009F3F1D"/>
    <w:rsid w:val="009F5960"/>
    <w:rsid w:val="009F5977"/>
    <w:rsid w:val="009F5CDD"/>
    <w:rsid w:val="009F5F5F"/>
    <w:rsid w:val="009F7B3C"/>
    <w:rsid w:val="00A006D2"/>
    <w:rsid w:val="00A00805"/>
    <w:rsid w:val="00A008CE"/>
    <w:rsid w:val="00A008ED"/>
    <w:rsid w:val="00A00F47"/>
    <w:rsid w:val="00A01B17"/>
    <w:rsid w:val="00A02742"/>
    <w:rsid w:val="00A0444E"/>
    <w:rsid w:val="00A04D9F"/>
    <w:rsid w:val="00A05C34"/>
    <w:rsid w:val="00A05FA1"/>
    <w:rsid w:val="00A065EA"/>
    <w:rsid w:val="00A06E73"/>
    <w:rsid w:val="00A1001D"/>
    <w:rsid w:val="00A10B0E"/>
    <w:rsid w:val="00A10D94"/>
    <w:rsid w:val="00A11596"/>
    <w:rsid w:val="00A1203E"/>
    <w:rsid w:val="00A124F9"/>
    <w:rsid w:val="00A14574"/>
    <w:rsid w:val="00A14F08"/>
    <w:rsid w:val="00A153EE"/>
    <w:rsid w:val="00A15B6B"/>
    <w:rsid w:val="00A2059C"/>
    <w:rsid w:val="00A20739"/>
    <w:rsid w:val="00A20CBD"/>
    <w:rsid w:val="00A21480"/>
    <w:rsid w:val="00A216B4"/>
    <w:rsid w:val="00A22037"/>
    <w:rsid w:val="00A25700"/>
    <w:rsid w:val="00A25D3D"/>
    <w:rsid w:val="00A26A4F"/>
    <w:rsid w:val="00A26EDA"/>
    <w:rsid w:val="00A27D2D"/>
    <w:rsid w:val="00A31B8A"/>
    <w:rsid w:val="00A33383"/>
    <w:rsid w:val="00A348A2"/>
    <w:rsid w:val="00A348E1"/>
    <w:rsid w:val="00A3547B"/>
    <w:rsid w:val="00A35568"/>
    <w:rsid w:val="00A3593F"/>
    <w:rsid w:val="00A36836"/>
    <w:rsid w:val="00A43C50"/>
    <w:rsid w:val="00A44BCA"/>
    <w:rsid w:val="00A46FA3"/>
    <w:rsid w:val="00A47774"/>
    <w:rsid w:val="00A509B4"/>
    <w:rsid w:val="00A514BB"/>
    <w:rsid w:val="00A51982"/>
    <w:rsid w:val="00A52694"/>
    <w:rsid w:val="00A530B8"/>
    <w:rsid w:val="00A530CE"/>
    <w:rsid w:val="00A531C2"/>
    <w:rsid w:val="00A54044"/>
    <w:rsid w:val="00A55613"/>
    <w:rsid w:val="00A56A03"/>
    <w:rsid w:val="00A56E01"/>
    <w:rsid w:val="00A57536"/>
    <w:rsid w:val="00A6052A"/>
    <w:rsid w:val="00A6068D"/>
    <w:rsid w:val="00A606EE"/>
    <w:rsid w:val="00A62284"/>
    <w:rsid w:val="00A631DD"/>
    <w:rsid w:val="00A65BB4"/>
    <w:rsid w:val="00A661C2"/>
    <w:rsid w:val="00A66376"/>
    <w:rsid w:val="00A66804"/>
    <w:rsid w:val="00A67354"/>
    <w:rsid w:val="00A676E8"/>
    <w:rsid w:val="00A703AD"/>
    <w:rsid w:val="00A7053B"/>
    <w:rsid w:val="00A70894"/>
    <w:rsid w:val="00A713B7"/>
    <w:rsid w:val="00A7171C"/>
    <w:rsid w:val="00A7189F"/>
    <w:rsid w:val="00A72D05"/>
    <w:rsid w:val="00A730DB"/>
    <w:rsid w:val="00A73EF5"/>
    <w:rsid w:val="00A73FAE"/>
    <w:rsid w:val="00A75248"/>
    <w:rsid w:val="00A75C92"/>
    <w:rsid w:val="00A767D5"/>
    <w:rsid w:val="00A76E8E"/>
    <w:rsid w:val="00A77912"/>
    <w:rsid w:val="00A80052"/>
    <w:rsid w:val="00A8016A"/>
    <w:rsid w:val="00A80886"/>
    <w:rsid w:val="00A80A8A"/>
    <w:rsid w:val="00A80CED"/>
    <w:rsid w:val="00A81F66"/>
    <w:rsid w:val="00A82AC3"/>
    <w:rsid w:val="00A8481F"/>
    <w:rsid w:val="00A848F0"/>
    <w:rsid w:val="00A86112"/>
    <w:rsid w:val="00A86151"/>
    <w:rsid w:val="00A865A8"/>
    <w:rsid w:val="00A8760C"/>
    <w:rsid w:val="00A8786A"/>
    <w:rsid w:val="00A926AF"/>
    <w:rsid w:val="00A94111"/>
    <w:rsid w:val="00A94541"/>
    <w:rsid w:val="00A95698"/>
    <w:rsid w:val="00A96155"/>
    <w:rsid w:val="00A967C2"/>
    <w:rsid w:val="00A969BF"/>
    <w:rsid w:val="00A96A4F"/>
    <w:rsid w:val="00A96FC1"/>
    <w:rsid w:val="00AA0C9D"/>
    <w:rsid w:val="00AA250C"/>
    <w:rsid w:val="00AA2E89"/>
    <w:rsid w:val="00AA45E7"/>
    <w:rsid w:val="00AA46D4"/>
    <w:rsid w:val="00AA49E5"/>
    <w:rsid w:val="00AA5A5D"/>
    <w:rsid w:val="00AA5C88"/>
    <w:rsid w:val="00AA6278"/>
    <w:rsid w:val="00AB03E5"/>
    <w:rsid w:val="00AB2DE2"/>
    <w:rsid w:val="00AB3182"/>
    <w:rsid w:val="00AB3E7D"/>
    <w:rsid w:val="00AB414C"/>
    <w:rsid w:val="00AB5BC8"/>
    <w:rsid w:val="00AC1101"/>
    <w:rsid w:val="00AC139D"/>
    <w:rsid w:val="00AC1533"/>
    <w:rsid w:val="00AC163E"/>
    <w:rsid w:val="00AC1F88"/>
    <w:rsid w:val="00AC557C"/>
    <w:rsid w:val="00AC5BF8"/>
    <w:rsid w:val="00AC5D37"/>
    <w:rsid w:val="00AC5D71"/>
    <w:rsid w:val="00AC7FD8"/>
    <w:rsid w:val="00AD11F6"/>
    <w:rsid w:val="00AD1F3B"/>
    <w:rsid w:val="00AD27A3"/>
    <w:rsid w:val="00AD2C37"/>
    <w:rsid w:val="00AD35DD"/>
    <w:rsid w:val="00AD4664"/>
    <w:rsid w:val="00AD478C"/>
    <w:rsid w:val="00AD47BC"/>
    <w:rsid w:val="00AD517B"/>
    <w:rsid w:val="00AD621A"/>
    <w:rsid w:val="00AE033C"/>
    <w:rsid w:val="00AE0C3E"/>
    <w:rsid w:val="00AE131E"/>
    <w:rsid w:val="00AE24A8"/>
    <w:rsid w:val="00AE2734"/>
    <w:rsid w:val="00AE423B"/>
    <w:rsid w:val="00AE4978"/>
    <w:rsid w:val="00AE7AE7"/>
    <w:rsid w:val="00AE7B6F"/>
    <w:rsid w:val="00AF00A4"/>
    <w:rsid w:val="00AF0C0F"/>
    <w:rsid w:val="00AF0CAC"/>
    <w:rsid w:val="00AF3B3F"/>
    <w:rsid w:val="00AF4B0F"/>
    <w:rsid w:val="00AF5551"/>
    <w:rsid w:val="00AF6928"/>
    <w:rsid w:val="00AF78C3"/>
    <w:rsid w:val="00B00A27"/>
    <w:rsid w:val="00B025E5"/>
    <w:rsid w:val="00B0352A"/>
    <w:rsid w:val="00B044EA"/>
    <w:rsid w:val="00B047FC"/>
    <w:rsid w:val="00B04C88"/>
    <w:rsid w:val="00B05FF3"/>
    <w:rsid w:val="00B107BE"/>
    <w:rsid w:val="00B11055"/>
    <w:rsid w:val="00B11212"/>
    <w:rsid w:val="00B126CC"/>
    <w:rsid w:val="00B130F1"/>
    <w:rsid w:val="00B13F7D"/>
    <w:rsid w:val="00B14C6D"/>
    <w:rsid w:val="00B150DF"/>
    <w:rsid w:val="00B151EC"/>
    <w:rsid w:val="00B153AE"/>
    <w:rsid w:val="00B15464"/>
    <w:rsid w:val="00B15DF3"/>
    <w:rsid w:val="00B160B4"/>
    <w:rsid w:val="00B17016"/>
    <w:rsid w:val="00B171CA"/>
    <w:rsid w:val="00B1767B"/>
    <w:rsid w:val="00B17788"/>
    <w:rsid w:val="00B17DED"/>
    <w:rsid w:val="00B20251"/>
    <w:rsid w:val="00B239F2"/>
    <w:rsid w:val="00B23A92"/>
    <w:rsid w:val="00B24C75"/>
    <w:rsid w:val="00B25259"/>
    <w:rsid w:val="00B26491"/>
    <w:rsid w:val="00B26E28"/>
    <w:rsid w:val="00B300FF"/>
    <w:rsid w:val="00B31B36"/>
    <w:rsid w:val="00B323F2"/>
    <w:rsid w:val="00B32D60"/>
    <w:rsid w:val="00B33AA5"/>
    <w:rsid w:val="00B3643F"/>
    <w:rsid w:val="00B37C4A"/>
    <w:rsid w:val="00B4071D"/>
    <w:rsid w:val="00B40738"/>
    <w:rsid w:val="00B448B2"/>
    <w:rsid w:val="00B44FB2"/>
    <w:rsid w:val="00B4503C"/>
    <w:rsid w:val="00B45B24"/>
    <w:rsid w:val="00B50910"/>
    <w:rsid w:val="00B50FE4"/>
    <w:rsid w:val="00B5267F"/>
    <w:rsid w:val="00B53A98"/>
    <w:rsid w:val="00B548EC"/>
    <w:rsid w:val="00B55657"/>
    <w:rsid w:val="00B567D9"/>
    <w:rsid w:val="00B569DF"/>
    <w:rsid w:val="00B5714A"/>
    <w:rsid w:val="00B577B3"/>
    <w:rsid w:val="00B579BC"/>
    <w:rsid w:val="00B616E4"/>
    <w:rsid w:val="00B623C7"/>
    <w:rsid w:val="00B6356F"/>
    <w:rsid w:val="00B64241"/>
    <w:rsid w:val="00B648C3"/>
    <w:rsid w:val="00B64DEA"/>
    <w:rsid w:val="00B6725A"/>
    <w:rsid w:val="00B67641"/>
    <w:rsid w:val="00B67C8F"/>
    <w:rsid w:val="00B703A3"/>
    <w:rsid w:val="00B70EBF"/>
    <w:rsid w:val="00B70FB0"/>
    <w:rsid w:val="00B72A03"/>
    <w:rsid w:val="00B73F9A"/>
    <w:rsid w:val="00B7454B"/>
    <w:rsid w:val="00B74ED2"/>
    <w:rsid w:val="00B75ED7"/>
    <w:rsid w:val="00B765E7"/>
    <w:rsid w:val="00B77DB7"/>
    <w:rsid w:val="00B80572"/>
    <w:rsid w:val="00B80C2D"/>
    <w:rsid w:val="00B82402"/>
    <w:rsid w:val="00B8260B"/>
    <w:rsid w:val="00B833E9"/>
    <w:rsid w:val="00B8388B"/>
    <w:rsid w:val="00B83C6F"/>
    <w:rsid w:val="00B84465"/>
    <w:rsid w:val="00B867CD"/>
    <w:rsid w:val="00B9006C"/>
    <w:rsid w:val="00B9019A"/>
    <w:rsid w:val="00B903C1"/>
    <w:rsid w:val="00B90F94"/>
    <w:rsid w:val="00B93466"/>
    <w:rsid w:val="00B949F8"/>
    <w:rsid w:val="00B9607E"/>
    <w:rsid w:val="00B960D6"/>
    <w:rsid w:val="00B963C5"/>
    <w:rsid w:val="00B97ACD"/>
    <w:rsid w:val="00BA00BE"/>
    <w:rsid w:val="00BA2E31"/>
    <w:rsid w:val="00BA3531"/>
    <w:rsid w:val="00BA3B45"/>
    <w:rsid w:val="00BA57E9"/>
    <w:rsid w:val="00BA63F1"/>
    <w:rsid w:val="00BA78E9"/>
    <w:rsid w:val="00BB094D"/>
    <w:rsid w:val="00BB1348"/>
    <w:rsid w:val="00BB1DFE"/>
    <w:rsid w:val="00BB2ABC"/>
    <w:rsid w:val="00BB3AEC"/>
    <w:rsid w:val="00BB3FAB"/>
    <w:rsid w:val="00BB49AE"/>
    <w:rsid w:val="00BB525B"/>
    <w:rsid w:val="00BB5EC2"/>
    <w:rsid w:val="00BB69D3"/>
    <w:rsid w:val="00BB6FF3"/>
    <w:rsid w:val="00BB7473"/>
    <w:rsid w:val="00BC041D"/>
    <w:rsid w:val="00BC0600"/>
    <w:rsid w:val="00BC068A"/>
    <w:rsid w:val="00BC0D6F"/>
    <w:rsid w:val="00BC0EC1"/>
    <w:rsid w:val="00BC0FD9"/>
    <w:rsid w:val="00BC168B"/>
    <w:rsid w:val="00BC1D7C"/>
    <w:rsid w:val="00BC21A7"/>
    <w:rsid w:val="00BC27A1"/>
    <w:rsid w:val="00BC33E7"/>
    <w:rsid w:val="00BC3ABB"/>
    <w:rsid w:val="00BC415C"/>
    <w:rsid w:val="00BC4C6A"/>
    <w:rsid w:val="00BC5F12"/>
    <w:rsid w:val="00BC5F2E"/>
    <w:rsid w:val="00BC634D"/>
    <w:rsid w:val="00BC6423"/>
    <w:rsid w:val="00BC78CE"/>
    <w:rsid w:val="00BD077B"/>
    <w:rsid w:val="00BD21F0"/>
    <w:rsid w:val="00BD2DEB"/>
    <w:rsid w:val="00BD43DF"/>
    <w:rsid w:val="00BD4C74"/>
    <w:rsid w:val="00BD4F03"/>
    <w:rsid w:val="00BD53ED"/>
    <w:rsid w:val="00BD5C74"/>
    <w:rsid w:val="00BD660B"/>
    <w:rsid w:val="00BD670B"/>
    <w:rsid w:val="00BD7382"/>
    <w:rsid w:val="00BD78D2"/>
    <w:rsid w:val="00BD7AE8"/>
    <w:rsid w:val="00BE0E43"/>
    <w:rsid w:val="00BE3093"/>
    <w:rsid w:val="00BE4451"/>
    <w:rsid w:val="00BE457E"/>
    <w:rsid w:val="00BE465F"/>
    <w:rsid w:val="00BE4713"/>
    <w:rsid w:val="00BE56B2"/>
    <w:rsid w:val="00BF0598"/>
    <w:rsid w:val="00BF1544"/>
    <w:rsid w:val="00BF157C"/>
    <w:rsid w:val="00BF3161"/>
    <w:rsid w:val="00BF3588"/>
    <w:rsid w:val="00BF3768"/>
    <w:rsid w:val="00BF41A5"/>
    <w:rsid w:val="00C007D4"/>
    <w:rsid w:val="00C02B59"/>
    <w:rsid w:val="00C0319A"/>
    <w:rsid w:val="00C03554"/>
    <w:rsid w:val="00C0418E"/>
    <w:rsid w:val="00C04A27"/>
    <w:rsid w:val="00C04D80"/>
    <w:rsid w:val="00C06BA3"/>
    <w:rsid w:val="00C10CFB"/>
    <w:rsid w:val="00C11174"/>
    <w:rsid w:val="00C11759"/>
    <w:rsid w:val="00C11BCA"/>
    <w:rsid w:val="00C11E98"/>
    <w:rsid w:val="00C13467"/>
    <w:rsid w:val="00C1499A"/>
    <w:rsid w:val="00C15CF8"/>
    <w:rsid w:val="00C16732"/>
    <w:rsid w:val="00C17D28"/>
    <w:rsid w:val="00C20D2C"/>
    <w:rsid w:val="00C226F6"/>
    <w:rsid w:val="00C22736"/>
    <w:rsid w:val="00C22796"/>
    <w:rsid w:val="00C22FC7"/>
    <w:rsid w:val="00C24D5C"/>
    <w:rsid w:val="00C24E31"/>
    <w:rsid w:val="00C25A22"/>
    <w:rsid w:val="00C2636A"/>
    <w:rsid w:val="00C263AA"/>
    <w:rsid w:val="00C268D6"/>
    <w:rsid w:val="00C274E3"/>
    <w:rsid w:val="00C3006C"/>
    <w:rsid w:val="00C307F7"/>
    <w:rsid w:val="00C3159B"/>
    <w:rsid w:val="00C329A2"/>
    <w:rsid w:val="00C32F63"/>
    <w:rsid w:val="00C3351A"/>
    <w:rsid w:val="00C337DB"/>
    <w:rsid w:val="00C34E49"/>
    <w:rsid w:val="00C34FA7"/>
    <w:rsid w:val="00C3525E"/>
    <w:rsid w:val="00C35BE6"/>
    <w:rsid w:val="00C35D5A"/>
    <w:rsid w:val="00C365A9"/>
    <w:rsid w:val="00C36FD0"/>
    <w:rsid w:val="00C37BC2"/>
    <w:rsid w:val="00C41324"/>
    <w:rsid w:val="00C4195F"/>
    <w:rsid w:val="00C4307E"/>
    <w:rsid w:val="00C4363F"/>
    <w:rsid w:val="00C46873"/>
    <w:rsid w:val="00C46D29"/>
    <w:rsid w:val="00C47DF2"/>
    <w:rsid w:val="00C50558"/>
    <w:rsid w:val="00C51995"/>
    <w:rsid w:val="00C534EB"/>
    <w:rsid w:val="00C55917"/>
    <w:rsid w:val="00C55FE0"/>
    <w:rsid w:val="00C602E4"/>
    <w:rsid w:val="00C60BDA"/>
    <w:rsid w:val="00C6250C"/>
    <w:rsid w:val="00C63AE0"/>
    <w:rsid w:val="00C642F0"/>
    <w:rsid w:val="00C6556B"/>
    <w:rsid w:val="00C66F99"/>
    <w:rsid w:val="00C701AF"/>
    <w:rsid w:val="00C70CC6"/>
    <w:rsid w:val="00C7128F"/>
    <w:rsid w:val="00C7153A"/>
    <w:rsid w:val="00C716D1"/>
    <w:rsid w:val="00C72339"/>
    <w:rsid w:val="00C723A7"/>
    <w:rsid w:val="00C723E2"/>
    <w:rsid w:val="00C72966"/>
    <w:rsid w:val="00C73029"/>
    <w:rsid w:val="00C733A9"/>
    <w:rsid w:val="00C742BD"/>
    <w:rsid w:val="00C750EE"/>
    <w:rsid w:val="00C75340"/>
    <w:rsid w:val="00C7642E"/>
    <w:rsid w:val="00C7648C"/>
    <w:rsid w:val="00C767A7"/>
    <w:rsid w:val="00C8027C"/>
    <w:rsid w:val="00C8117E"/>
    <w:rsid w:val="00C81D70"/>
    <w:rsid w:val="00C82F3C"/>
    <w:rsid w:val="00C8373B"/>
    <w:rsid w:val="00C841DD"/>
    <w:rsid w:val="00C84B55"/>
    <w:rsid w:val="00C853F7"/>
    <w:rsid w:val="00C85EF9"/>
    <w:rsid w:val="00C871B3"/>
    <w:rsid w:val="00C8722E"/>
    <w:rsid w:val="00C873EC"/>
    <w:rsid w:val="00C90E61"/>
    <w:rsid w:val="00C935FD"/>
    <w:rsid w:val="00C94856"/>
    <w:rsid w:val="00C94BE6"/>
    <w:rsid w:val="00C954DD"/>
    <w:rsid w:val="00C95B59"/>
    <w:rsid w:val="00C9688E"/>
    <w:rsid w:val="00C973A3"/>
    <w:rsid w:val="00CA0A79"/>
    <w:rsid w:val="00CA1673"/>
    <w:rsid w:val="00CA290D"/>
    <w:rsid w:val="00CA2D84"/>
    <w:rsid w:val="00CA4BB1"/>
    <w:rsid w:val="00CA542B"/>
    <w:rsid w:val="00CA62E1"/>
    <w:rsid w:val="00CA6424"/>
    <w:rsid w:val="00CB0A27"/>
    <w:rsid w:val="00CB117A"/>
    <w:rsid w:val="00CB1B1D"/>
    <w:rsid w:val="00CB1D27"/>
    <w:rsid w:val="00CB2729"/>
    <w:rsid w:val="00CB3262"/>
    <w:rsid w:val="00CB336F"/>
    <w:rsid w:val="00CB33FF"/>
    <w:rsid w:val="00CB3E06"/>
    <w:rsid w:val="00CB4F63"/>
    <w:rsid w:val="00CB4FFD"/>
    <w:rsid w:val="00CB5375"/>
    <w:rsid w:val="00CB6EAA"/>
    <w:rsid w:val="00CB74CA"/>
    <w:rsid w:val="00CB762A"/>
    <w:rsid w:val="00CB7DA2"/>
    <w:rsid w:val="00CC1BB4"/>
    <w:rsid w:val="00CC1FD0"/>
    <w:rsid w:val="00CC229D"/>
    <w:rsid w:val="00CC281D"/>
    <w:rsid w:val="00CC3A09"/>
    <w:rsid w:val="00CC3E2D"/>
    <w:rsid w:val="00CC669F"/>
    <w:rsid w:val="00CD0BDD"/>
    <w:rsid w:val="00CD585C"/>
    <w:rsid w:val="00CD5D84"/>
    <w:rsid w:val="00CD5FDB"/>
    <w:rsid w:val="00CD63DE"/>
    <w:rsid w:val="00CE18CA"/>
    <w:rsid w:val="00CE2F25"/>
    <w:rsid w:val="00CE3794"/>
    <w:rsid w:val="00CE3F79"/>
    <w:rsid w:val="00CE4082"/>
    <w:rsid w:val="00CE57F2"/>
    <w:rsid w:val="00CE65E2"/>
    <w:rsid w:val="00CE70A3"/>
    <w:rsid w:val="00CE7F93"/>
    <w:rsid w:val="00CF2655"/>
    <w:rsid w:val="00CF5531"/>
    <w:rsid w:val="00CF5AA0"/>
    <w:rsid w:val="00CF680E"/>
    <w:rsid w:val="00CF691E"/>
    <w:rsid w:val="00CF6C23"/>
    <w:rsid w:val="00CF70A3"/>
    <w:rsid w:val="00CF7701"/>
    <w:rsid w:val="00CF77A4"/>
    <w:rsid w:val="00D000AA"/>
    <w:rsid w:val="00D0158A"/>
    <w:rsid w:val="00D025FF"/>
    <w:rsid w:val="00D03024"/>
    <w:rsid w:val="00D0313F"/>
    <w:rsid w:val="00D03CAE"/>
    <w:rsid w:val="00D04BAF"/>
    <w:rsid w:val="00D05579"/>
    <w:rsid w:val="00D07359"/>
    <w:rsid w:val="00D110E0"/>
    <w:rsid w:val="00D11629"/>
    <w:rsid w:val="00D11F91"/>
    <w:rsid w:val="00D12227"/>
    <w:rsid w:val="00D12C5B"/>
    <w:rsid w:val="00D12F6F"/>
    <w:rsid w:val="00D1331A"/>
    <w:rsid w:val="00D1425C"/>
    <w:rsid w:val="00D15221"/>
    <w:rsid w:val="00D16D4C"/>
    <w:rsid w:val="00D171F6"/>
    <w:rsid w:val="00D1795B"/>
    <w:rsid w:val="00D17B7C"/>
    <w:rsid w:val="00D17D2A"/>
    <w:rsid w:val="00D22CD2"/>
    <w:rsid w:val="00D25132"/>
    <w:rsid w:val="00D26FB1"/>
    <w:rsid w:val="00D2742A"/>
    <w:rsid w:val="00D3039B"/>
    <w:rsid w:val="00D30F42"/>
    <w:rsid w:val="00D3175A"/>
    <w:rsid w:val="00D3356A"/>
    <w:rsid w:val="00D336E8"/>
    <w:rsid w:val="00D337EC"/>
    <w:rsid w:val="00D33F04"/>
    <w:rsid w:val="00D348EE"/>
    <w:rsid w:val="00D34AB7"/>
    <w:rsid w:val="00D35422"/>
    <w:rsid w:val="00D365FE"/>
    <w:rsid w:val="00D374A7"/>
    <w:rsid w:val="00D3798E"/>
    <w:rsid w:val="00D420AC"/>
    <w:rsid w:val="00D45244"/>
    <w:rsid w:val="00D45A09"/>
    <w:rsid w:val="00D46810"/>
    <w:rsid w:val="00D47B46"/>
    <w:rsid w:val="00D506E8"/>
    <w:rsid w:val="00D51327"/>
    <w:rsid w:val="00D52659"/>
    <w:rsid w:val="00D5270B"/>
    <w:rsid w:val="00D5277C"/>
    <w:rsid w:val="00D52DFB"/>
    <w:rsid w:val="00D530A9"/>
    <w:rsid w:val="00D53E63"/>
    <w:rsid w:val="00D557F0"/>
    <w:rsid w:val="00D56E4D"/>
    <w:rsid w:val="00D57B64"/>
    <w:rsid w:val="00D60D20"/>
    <w:rsid w:val="00D613AD"/>
    <w:rsid w:val="00D64326"/>
    <w:rsid w:val="00D64676"/>
    <w:rsid w:val="00D648D6"/>
    <w:rsid w:val="00D6494A"/>
    <w:rsid w:val="00D64F56"/>
    <w:rsid w:val="00D66077"/>
    <w:rsid w:val="00D6638C"/>
    <w:rsid w:val="00D67D88"/>
    <w:rsid w:val="00D712BA"/>
    <w:rsid w:val="00D75008"/>
    <w:rsid w:val="00D75512"/>
    <w:rsid w:val="00D77814"/>
    <w:rsid w:val="00D8017E"/>
    <w:rsid w:val="00D80347"/>
    <w:rsid w:val="00D80D90"/>
    <w:rsid w:val="00D81743"/>
    <w:rsid w:val="00D81C2D"/>
    <w:rsid w:val="00D831E9"/>
    <w:rsid w:val="00D84793"/>
    <w:rsid w:val="00D8490E"/>
    <w:rsid w:val="00D84EBF"/>
    <w:rsid w:val="00D850F4"/>
    <w:rsid w:val="00D87F2C"/>
    <w:rsid w:val="00D87F2E"/>
    <w:rsid w:val="00D92D59"/>
    <w:rsid w:val="00D93DFA"/>
    <w:rsid w:val="00D94499"/>
    <w:rsid w:val="00D94D1A"/>
    <w:rsid w:val="00D95BF9"/>
    <w:rsid w:val="00DA1DD3"/>
    <w:rsid w:val="00DA2B66"/>
    <w:rsid w:val="00DA41A6"/>
    <w:rsid w:val="00DA46AE"/>
    <w:rsid w:val="00DA5108"/>
    <w:rsid w:val="00DA665E"/>
    <w:rsid w:val="00DB0D61"/>
    <w:rsid w:val="00DB0E1D"/>
    <w:rsid w:val="00DB21EF"/>
    <w:rsid w:val="00DB435C"/>
    <w:rsid w:val="00DB6B0F"/>
    <w:rsid w:val="00DB72F8"/>
    <w:rsid w:val="00DB74F8"/>
    <w:rsid w:val="00DB7B30"/>
    <w:rsid w:val="00DB7F37"/>
    <w:rsid w:val="00DC0E02"/>
    <w:rsid w:val="00DC10F0"/>
    <w:rsid w:val="00DC2CCA"/>
    <w:rsid w:val="00DC36ED"/>
    <w:rsid w:val="00DC3B52"/>
    <w:rsid w:val="00DC3DA4"/>
    <w:rsid w:val="00DC4143"/>
    <w:rsid w:val="00DC51B6"/>
    <w:rsid w:val="00DC52B5"/>
    <w:rsid w:val="00DC5A24"/>
    <w:rsid w:val="00DC6DBB"/>
    <w:rsid w:val="00DC7286"/>
    <w:rsid w:val="00DC7900"/>
    <w:rsid w:val="00DC7B0E"/>
    <w:rsid w:val="00DD37DA"/>
    <w:rsid w:val="00DD3CE9"/>
    <w:rsid w:val="00DD43A2"/>
    <w:rsid w:val="00DD4C88"/>
    <w:rsid w:val="00DD5B7A"/>
    <w:rsid w:val="00DD6B7B"/>
    <w:rsid w:val="00DD7D56"/>
    <w:rsid w:val="00DE08D7"/>
    <w:rsid w:val="00DE1302"/>
    <w:rsid w:val="00DE1824"/>
    <w:rsid w:val="00DE2C09"/>
    <w:rsid w:val="00DE2D39"/>
    <w:rsid w:val="00DE388B"/>
    <w:rsid w:val="00DE3A16"/>
    <w:rsid w:val="00DE5700"/>
    <w:rsid w:val="00DE5F72"/>
    <w:rsid w:val="00DE630F"/>
    <w:rsid w:val="00DE6726"/>
    <w:rsid w:val="00DE71F8"/>
    <w:rsid w:val="00DE7F2C"/>
    <w:rsid w:val="00DF02BD"/>
    <w:rsid w:val="00DF0C5D"/>
    <w:rsid w:val="00DF124D"/>
    <w:rsid w:val="00DF2F81"/>
    <w:rsid w:val="00DF35E5"/>
    <w:rsid w:val="00DF3772"/>
    <w:rsid w:val="00DF49F2"/>
    <w:rsid w:val="00DF4B80"/>
    <w:rsid w:val="00DF5305"/>
    <w:rsid w:val="00DF593C"/>
    <w:rsid w:val="00DF5D3B"/>
    <w:rsid w:val="00DF6867"/>
    <w:rsid w:val="00DF7C76"/>
    <w:rsid w:val="00E02600"/>
    <w:rsid w:val="00E0267E"/>
    <w:rsid w:val="00E03832"/>
    <w:rsid w:val="00E05B2D"/>
    <w:rsid w:val="00E06CE5"/>
    <w:rsid w:val="00E07D0F"/>
    <w:rsid w:val="00E128E9"/>
    <w:rsid w:val="00E129CD"/>
    <w:rsid w:val="00E12F94"/>
    <w:rsid w:val="00E137A6"/>
    <w:rsid w:val="00E1572B"/>
    <w:rsid w:val="00E16192"/>
    <w:rsid w:val="00E20189"/>
    <w:rsid w:val="00E201A0"/>
    <w:rsid w:val="00E21D12"/>
    <w:rsid w:val="00E23545"/>
    <w:rsid w:val="00E23B3C"/>
    <w:rsid w:val="00E25E5E"/>
    <w:rsid w:val="00E27A66"/>
    <w:rsid w:val="00E27FD3"/>
    <w:rsid w:val="00E31CAA"/>
    <w:rsid w:val="00E32358"/>
    <w:rsid w:val="00E32364"/>
    <w:rsid w:val="00E32495"/>
    <w:rsid w:val="00E33A52"/>
    <w:rsid w:val="00E41505"/>
    <w:rsid w:val="00E423B4"/>
    <w:rsid w:val="00E42A2E"/>
    <w:rsid w:val="00E42A63"/>
    <w:rsid w:val="00E435A9"/>
    <w:rsid w:val="00E44A7F"/>
    <w:rsid w:val="00E458E6"/>
    <w:rsid w:val="00E45FF7"/>
    <w:rsid w:val="00E463E4"/>
    <w:rsid w:val="00E465D2"/>
    <w:rsid w:val="00E46709"/>
    <w:rsid w:val="00E5085F"/>
    <w:rsid w:val="00E532BE"/>
    <w:rsid w:val="00E54788"/>
    <w:rsid w:val="00E55177"/>
    <w:rsid w:val="00E55DB5"/>
    <w:rsid w:val="00E577B1"/>
    <w:rsid w:val="00E60B5C"/>
    <w:rsid w:val="00E612E3"/>
    <w:rsid w:val="00E613AA"/>
    <w:rsid w:val="00E6182B"/>
    <w:rsid w:val="00E618B3"/>
    <w:rsid w:val="00E62B9B"/>
    <w:rsid w:val="00E63720"/>
    <w:rsid w:val="00E6447C"/>
    <w:rsid w:val="00E66326"/>
    <w:rsid w:val="00E671CC"/>
    <w:rsid w:val="00E671E4"/>
    <w:rsid w:val="00E70D08"/>
    <w:rsid w:val="00E71317"/>
    <w:rsid w:val="00E713AA"/>
    <w:rsid w:val="00E742F6"/>
    <w:rsid w:val="00E750D8"/>
    <w:rsid w:val="00E75DAA"/>
    <w:rsid w:val="00E8086B"/>
    <w:rsid w:val="00E80E13"/>
    <w:rsid w:val="00E82A81"/>
    <w:rsid w:val="00E84E1F"/>
    <w:rsid w:val="00E85326"/>
    <w:rsid w:val="00E858C1"/>
    <w:rsid w:val="00E866EC"/>
    <w:rsid w:val="00E91415"/>
    <w:rsid w:val="00E91AD5"/>
    <w:rsid w:val="00E92775"/>
    <w:rsid w:val="00E94698"/>
    <w:rsid w:val="00E95F13"/>
    <w:rsid w:val="00E966BA"/>
    <w:rsid w:val="00E968B2"/>
    <w:rsid w:val="00E97334"/>
    <w:rsid w:val="00E97A00"/>
    <w:rsid w:val="00EA0CBE"/>
    <w:rsid w:val="00EA0D34"/>
    <w:rsid w:val="00EA163A"/>
    <w:rsid w:val="00EA1AD2"/>
    <w:rsid w:val="00EA1E5A"/>
    <w:rsid w:val="00EA3827"/>
    <w:rsid w:val="00EA3FB9"/>
    <w:rsid w:val="00EA441A"/>
    <w:rsid w:val="00EA488A"/>
    <w:rsid w:val="00EA6060"/>
    <w:rsid w:val="00EA7B41"/>
    <w:rsid w:val="00EB1F19"/>
    <w:rsid w:val="00EB3CCF"/>
    <w:rsid w:val="00EB3D95"/>
    <w:rsid w:val="00EB5037"/>
    <w:rsid w:val="00EB648B"/>
    <w:rsid w:val="00EB719E"/>
    <w:rsid w:val="00EC1149"/>
    <w:rsid w:val="00EC154A"/>
    <w:rsid w:val="00EC31F8"/>
    <w:rsid w:val="00EC3BE4"/>
    <w:rsid w:val="00EC5811"/>
    <w:rsid w:val="00EC7586"/>
    <w:rsid w:val="00ED0C6A"/>
    <w:rsid w:val="00ED19EC"/>
    <w:rsid w:val="00ED3CB2"/>
    <w:rsid w:val="00ED4E46"/>
    <w:rsid w:val="00ED4E85"/>
    <w:rsid w:val="00ED5FCA"/>
    <w:rsid w:val="00ED6E27"/>
    <w:rsid w:val="00ED7017"/>
    <w:rsid w:val="00EE0641"/>
    <w:rsid w:val="00EE0C6B"/>
    <w:rsid w:val="00EE1D89"/>
    <w:rsid w:val="00EE1E50"/>
    <w:rsid w:val="00EE24A3"/>
    <w:rsid w:val="00EE33C8"/>
    <w:rsid w:val="00EE3DD7"/>
    <w:rsid w:val="00EE45A1"/>
    <w:rsid w:val="00EE45FA"/>
    <w:rsid w:val="00EE6C34"/>
    <w:rsid w:val="00EE7C8E"/>
    <w:rsid w:val="00EF045B"/>
    <w:rsid w:val="00EF0CFF"/>
    <w:rsid w:val="00EF27CC"/>
    <w:rsid w:val="00EF43D9"/>
    <w:rsid w:val="00EF7408"/>
    <w:rsid w:val="00F004DA"/>
    <w:rsid w:val="00F00861"/>
    <w:rsid w:val="00F00F1B"/>
    <w:rsid w:val="00F012EC"/>
    <w:rsid w:val="00F0175A"/>
    <w:rsid w:val="00F021AF"/>
    <w:rsid w:val="00F02432"/>
    <w:rsid w:val="00F037B6"/>
    <w:rsid w:val="00F03A35"/>
    <w:rsid w:val="00F04919"/>
    <w:rsid w:val="00F05510"/>
    <w:rsid w:val="00F05884"/>
    <w:rsid w:val="00F077AA"/>
    <w:rsid w:val="00F10975"/>
    <w:rsid w:val="00F11047"/>
    <w:rsid w:val="00F11057"/>
    <w:rsid w:val="00F11EC8"/>
    <w:rsid w:val="00F13F0A"/>
    <w:rsid w:val="00F13F6A"/>
    <w:rsid w:val="00F142F5"/>
    <w:rsid w:val="00F14EEC"/>
    <w:rsid w:val="00F152EC"/>
    <w:rsid w:val="00F20C9A"/>
    <w:rsid w:val="00F2160C"/>
    <w:rsid w:val="00F218C5"/>
    <w:rsid w:val="00F219B0"/>
    <w:rsid w:val="00F23E2B"/>
    <w:rsid w:val="00F241EC"/>
    <w:rsid w:val="00F2544C"/>
    <w:rsid w:val="00F266E4"/>
    <w:rsid w:val="00F27230"/>
    <w:rsid w:val="00F3414F"/>
    <w:rsid w:val="00F34355"/>
    <w:rsid w:val="00F35370"/>
    <w:rsid w:val="00F42A2F"/>
    <w:rsid w:val="00F43990"/>
    <w:rsid w:val="00F43B48"/>
    <w:rsid w:val="00F45DF7"/>
    <w:rsid w:val="00F46055"/>
    <w:rsid w:val="00F4638C"/>
    <w:rsid w:val="00F466C8"/>
    <w:rsid w:val="00F500D5"/>
    <w:rsid w:val="00F51E92"/>
    <w:rsid w:val="00F53009"/>
    <w:rsid w:val="00F54BED"/>
    <w:rsid w:val="00F54D83"/>
    <w:rsid w:val="00F55361"/>
    <w:rsid w:val="00F55685"/>
    <w:rsid w:val="00F55BDB"/>
    <w:rsid w:val="00F56497"/>
    <w:rsid w:val="00F564F6"/>
    <w:rsid w:val="00F574BC"/>
    <w:rsid w:val="00F6065D"/>
    <w:rsid w:val="00F61279"/>
    <w:rsid w:val="00F6162B"/>
    <w:rsid w:val="00F63034"/>
    <w:rsid w:val="00F6388F"/>
    <w:rsid w:val="00F63B7B"/>
    <w:rsid w:val="00F64659"/>
    <w:rsid w:val="00F65C6D"/>
    <w:rsid w:val="00F66647"/>
    <w:rsid w:val="00F66946"/>
    <w:rsid w:val="00F66E40"/>
    <w:rsid w:val="00F6716A"/>
    <w:rsid w:val="00F6727A"/>
    <w:rsid w:val="00F70B58"/>
    <w:rsid w:val="00F712A8"/>
    <w:rsid w:val="00F713A9"/>
    <w:rsid w:val="00F74256"/>
    <w:rsid w:val="00F74393"/>
    <w:rsid w:val="00F758BD"/>
    <w:rsid w:val="00F7629A"/>
    <w:rsid w:val="00F7648A"/>
    <w:rsid w:val="00F767BC"/>
    <w:rsid w:val="00F76EA8"/>
    <w:rsid w:val="00F814E4"/>
    <w:rsid w:val="00F81582"/>
    <w:rsid w:val="00F81836"/>
    <w:rsid w:val="00F81CBA"/>
    <w:rsid w:val="00F82C44"/>
    <w:rsid w:val="00F83220"/>
    <w:rsid w:val="00F85A28"/>
    <w:rsid w:val="00F861A7"/>
    <w:rsid w:val="00F87D7B"/>
    <w:rsid w:val="00F87E60"/>
    <w:rsid w:val="00F90137"/>
    <w:rsid w:val="00F9018F"/>
    <w:rsid w:val="00F908B8"/>
    <w:rsid w:val="00F938EE"/>
    <w:rsid w:val="00F96296"/>
    <w:rsid w:val="00F9677B"/>
    <w:rsid w:val="00F97271"/>
    <w:rsid w:val="00F976B8"/>
    <w:rsid w:val="00FA0901"/>
    <w:rsid w:val="00FA0B19"/>
    <w:rsid w:val="00FA1336"/>
    <w:rsid w:val="00FA1463"/>
    <w:rsid w:val="00FA14DB"/>
    <w:rsid w:val="00FA1682"/>
    <w:rsid w:val="00FA1AD3"/>
    <w:rsid w:val="00FA1F20"/>
    <w:rsid w:val="00FA364C"/>
    <w:rsid w:val="00FA3F23"/>
    <w:rsid w:val="00FA5188"/>
    <w:rsid w:val="00FA52A4"/>
    <w:rsid w:val="00FA52A8"/>
    <w:rsid w:val="00FA5E8A"/>
    <w:rsid w:val="00FA6A15"/>
    <w:rsid w:val="00FA7C7F"/>
    <w:rsid w:val="00FB0329"/>
    <w:rsid w:val="00FB17AB"/>
    <w:rsid w:val="00FB2291"/>
    <w:rsid w:val="00FB3669"/>
    <w:rsid w:val="00FB36CC"/>
    <w:rsid w:val="00FB4B49"/>
    <w:rsid w:val="00FB4F88"/>
    <w:rsid w:val="00FB59BE"/>
    <w:rsid w:val="00FB66C6"/>
    <w:rsid w:val="00FC06D8"/>
    <w:rsid w:val="00FC24D7"/>
    <w:rsid w:val="00FC3AE7"/>
    <w:rsid w:val="00FC42A3"/>
    <w:rsid w:val="00FC453F"/>
    <w:rsid w:val="00FC588A"/>
    <w:rsid w:val="00FC604C"/>
    <w:rsid w:val="00FC7A27"/>
    <w:rsid w:val="00FD0AB8"/>
    <w:rsid w:val="00FD2225"/>
    <w:rsid w:val="00FD28CD"/>
    <w:rsid w:val="00FD384B"/>
    <w:rsid w:val="00FD5E1D"/>
    <w:rsid w:val="00FD6CE5"/>
    <w:rsid w:val="00FD79C3"/>
    <w:rsid w:val="00FD7CAE"/>
    <w:rsid w:val="00FD7F50"/>
    <w:rsid w:val="00FE0A1F"/>
    <w:rsid w:val="00FE11AD"/>
    <w:rsid w:val="00FE1A12"/>
    <w:rsid w:val="00FE321F"/>
    <w:rsid w:val="00FE3495"/>
    <w:rsid w:val="00FE3958"/>
    <w:rsid w:val="00FE3CD7"/>
    <w:rsid w:val="00FE4675"/>
    <w:rsid w:val="00FE5181"/>
    <w:rsid w:val="00FE5BB7"/>
    <w:rsid w:val="00FE6AC4"/>
    <w:rsid w:val="00FF0573"/>
    <w:rsid w:val="00FF1474"/>
    <w:rsid w:val="00FF153E"/>
    <w:rsid w:val="00FF1618"/>
    <w:rsid w:val="00FF1AA9"/>
    <w:rsid w:val="00FF280A"/>
    <w:rsid w:val="00FF4CAB"/>
    <w:rsid w:val="00FF71C7"/>
    <w:rsid w:val="00FF7723"/>
    <w:rsid w:val="00FF7F0C"/>
    <w:rsid w:val="01580449"/>
    <w:rsid w:val="0260E14D"/>
    <w:rsid w:val="030AD675"/>
    <w:rsid w:val="046319E7"/>
    <w:rsid w:val="05472E8C"/>
    <w:rsid w:val="063A5061"/>
    <w:rsid w:val="08DEBAD7"/>
    <w:rsid w:val="0B6183EF"/>
    <w:rsid w:val="0CBE9D87"/>
    <w:rsid w:val="0DA82AAB"/>
    <w:rsid w:val="0DF15C8A"/>
    <w:rsid w:val="0E83953E"/>
    <w:rsid w:val="1174520F"/>
    <w:rsid w:val="1348CAE4"/>
    <w:rsid w:val="15B78896"/>
    <w:rsid w:val="1CAF5F45"/>
    <w:rsid w:val="1EFB22BF"/>
    <w:rsid w:val="203F58F9"/>
    <w:rsid w:val="23360256"/>
    <w:rsid w:val="26683A60"/>
    <w:rsid w:val="282CD83F"/>
    <w:rsid w:val="28592C79"/>
    <w:rsid w:val="286A6E8D"/>
    <w:rsid w:val="2A870DA8"/>
    <w:rsid w:val="2CB6F0ED"/>
    <w:rsid w:val="3012E32D"/>
    <w:rsid w:val="309FCB30"/>
    <w:rsid w:val="30DDE4B1"/>
    <w:rsid w:val="310B2F17"/>
    <w:rsid w:val="34EA419D"/>
    <w:rsid w:val="36BA80F8"/>
    <w:rsid w:val="394FD5DE"/>
    <w:rsid w:val="3B8E3FEE"/>
    <w:rsid w:val="3CD4E8E2"/>
    <w:rsid w:val="3EFF709D"/>
    <w:rsid w:val="3FF72951"/>
    <w:rsid w:val="422DAA0B"/>
    <w:rsid w:val="48FFB7CA"/>
    <w:rsid w:val="4BEBAC4B"/>
    <w:rsid w:val="4C57D90D"/>
    <w:rsid w:val="4CB1A97D"/>
    <w:rsid w:val="4EABA41C"/>
    <w:rsid w:val="4FD1F97B"/>
    <w:rsid w:val="580E1E25"/>
    <w:rsid w:val="591B70B5"/>
    <w:rsid w:val="596813CC"/>
    <w:rsid w:val="5EB89233"/>
    <w:rsid w:val="62B11098"/>
    <w:rsid w:val="6323776C"/>
    <w:rsid w:val="654CC2F1"/>
    <w:rsid w:val="689D8AFC"/>
    <w:rsid w:val="6B29DC81"/>
    <w:rsid w:val="70330269"/>
    <w:rsid w:val="71D01DF5"/>
    <w:rsid w:val="73803A25"/>
    <w:rsid w:val="74C27C52"/>
    <w:rsid w:val="7740EB09"/>
    <w:rsid w:val="7B60FB01"/>
    <w:rsid w:val="7BD78222"/>
    <w:rsid w:val="7CDE37DD"/>
    <w:rsid w:val="7F13949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887DF61"/>
  <w15:chartTrackingRefBased/>
  <w15:docId w15:val="{D91C22C1-A594-4683-A74E-C57612D51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Text1"/>
    <w:link w:val="Heading1Char"/>
    <w:uiPriority w:val="9"/>
    <w:qFormat/>
    <w:rsid w:val="003734A7"/>
    <w:pPr>
      <w:keepNext/>
      <w:numPr>
        <w:numId w:val="1"/>
      </w:numPr>
      <w:tabs>
        <w:tab w:val="clear" w:pos="850"/>
      </w:tabs>
      <w:spacing w:before="360" w:after="120" w:line="276" w:lineRule="auto"/>
      <w:ind w:left="0" w:firstLine="0"/>
      <w:jc w:val="both"/>
      <w:outlineLvl w:val="0"/>
    </w:pPr>
    <w:rPr>
      <w:rFonts w:ascii="Times New Roman" w:eastAsiaTheme="majorEastAsia" w:hAnsi="Times New Roman" w:cs="Times New Roman"/>
      <w:b/>
      <w:bCs/>
      <w:smallCaps/>
      <w:lang w:val="de-DE" w:eastAsia="en-US"/>
    </w:rPr>
  </w:style>
  <w:style w:type="paragraph" w:styleId="Heading2">
    <w:name w:val="heading 2"/>
    <w:basedOn w:val="Normal"/>
    <w:next w:val="Text1"/>
    <w:link w:val="Heading2Char"/>
    <w:uiPriority w:val="9"/>
    <w:semiHidden/>
    <w:unhideWhenUsed/>
    <w:qFormat/>
    <w:rsid w:val="003734A7"/>
    <w:pPr>
      <w:keepNext/>
      <w:numPr>
        <w:ilvl w:val="1"/>
        <w:numId w:val="1"/>
      </w:numPr>
      <w:tabs>
        <w:tab w:val="clear" w:pos="850"/>
      </w:tabs>
      <w:spacing w:before="120" w:after="120" w:line="276" w:lineRule="auto"/>
      <w:ind w:left="0" w:firstLine="0"/>
      <w:jc w:val="both"/>
      <w:outlineLvl w:val="1"/>
    </w:pPr>
    <w:rPr>
      <w:rFonts w:ascii="Times New Roman" w:eastAsiaTheme="majorEastAsia" w:hAnsi="Times New Roman" w:cs="Times New Roman"/>
      <w:b/>
      <w:bCs/>
      <w:lang w:val="de-DE" w:eastAsia="en-US"/>
    </w:rPr>
  </w:style>
  <w:style w:type="paragraph" w:styleId="Heading3">
    <w:name w:val="heading 3"/>
    <w:basedOn w:val="Normal"/>
    <w:next w:val="Text1"/>
    <w:link w:val="Heading3Char"/>
    <w:uiPriority w:val="9"/>
    <w:semiHidden/>
    <w:unhideWhenUsed/>
    <w:qFormat/>
    <w:rsid w:val="003734A7"/>
    <w:pPr>
      <w:keepNext/>
      <w:numPr>
        <w:ilvl w:val="2"/>
        <w:numId w:val="1"/>
      </w:numPr>
      <w:tabs>
        <w:tab w:val="clear" w:pos="850"/>
      </w:tabs>
      <w:spacing w:before="120" w:after="120" w:line="276" w:lineRule="auto"/>
      <w:ind w:left="0" w:firstLine="0"/>
      <w:jc w:val="both"/>
      <w:outlineLvl w:val="2"/>
    </w:pPr>
    <w:rPr>
      <w:rFonts w:ascii="Times New Roman" w:eastAsiaTheme="majorEastAsia" w:hAnsi="Times New Roman" w:cs="Times New Roman"/>
      <w:i/>
      <w:iCs/>
      <w:lang w:val="de-DE" w:eastAsia="en-US"/>
    </w:rPr>
  </w:style>
  <w:style w:type="paragraph" w:styleId="Heading4">
    <w:name w:val="heading 4"/>
    <w:basedOn w:val="Normal"/>
    <w:next w:val="Text1"/>
    <w:link w:val="Heading4Char"/>
    <w:uiPriority w:val="9"/>
    <w:unhideWhenUsed/>
    <w:qFormat/>
    <w:rsid w:val="003734A7"/>
    <w:pPr>
      <w:keepNext/>
      <w:numPr>
        <w:ilvl w:val="3"/>
        <w:numId w:val="1"/>
      </w:numPr>
      <w:tabs>
        <w:tab w:val="clear" w:pos="850"/>
      </w:tabs>
      <w:spacing w:before="120" w:after="120" w:line="276" w:lineRule="auto"/>
      <w:ind w:left="0" w:firstLine="0"/>
      <w:jc w:val="both"/>
      <w:outlineLvl w:val="3"/>
    </w:pPr>
    <w:rPr>
      <w:rFonts w:ascii="Times New Roman" w:eastAsiaTheme="majorEastAsia" w:hAnsi="Times New Roman" w:cs="Times New Roman"/>
      <w:lang w:val="de-DE" w:eastAsia="en-US"/>
    </w:rPr>
  </w:style>
  <w:style w:type="paragraph" w:styleId="Heading5">
    <w:name w:val="heading 5"/>
    <w:basedOn w:val="Normal"/>
    <w:next w:val="Normal"/>
    <w:link w:val="Heading5Char"/>
    <w:uiPriority w:val="9"/>
    <w:unhideWhenUsed/>
    <w:qFormat/>
    <w:rsid w:val="003734A7"/>
    <w:pPr>
      <w:keepNext/>
      <w:keepLines/>
      <w:spacing w:before="40" w:after="0" w:line="276" w:lineRule="auto"/>
      <w:outlineLvl w:val="4"/>
    </w:pPr>
    <w:rPr>
      <w:rFonts w:asciiTheme="majorHAnsi" w:eastAsiaTheme="majorEastAsia" w:hAnsiTheme="majorHAnsi" w:cstheme="majorBidi"/>
      <w:color w:val="0F4761" w:themeColor="accent1" w:themeShade="BF"/>
      <w:sz w:val="22"/>
      <w:szCs w:val="22"/>
      <w:lang w:val="de-DE" w:eastAsia="en-US"/>
    </w:rPr>
  </w:style>
  <w:style w:type="paragraph" w:styleId="Heading6">
    <w:name w:val="heading 6"/>
    <w:basedOn w:val="Normal"/>
    <w:next w:val="Normal"/>
    <w:link w:val="Heading6Char"/>
    <w:uiPriority w:val="9"/>
    <w:unhideWhenUsed/>
    <w:qFormat/>
    <w:rsid w:val="003734A7"/>
    <w:pPr>
      <w:keepNext/>
      <w:keepLines/>
      <w:spacing w:before="40" w:after="0" w:line="276" w:lineRule="auto"/>
      <w:outlineLvl w:val="5"/>
    </w:pPr>
    <w:rPr>
      <w:rFonts w:asciiTheme="majorHAnsi" w:eastAsiaTheme="majorEastAsia" w:hAnsiTheme="majorHAnsi" w:cstheme="majorBidi"/>
      <w:color w:val="243F60"/>
      <w:sz w:val="22"/>
      <w:szCs w:val="22"/>
      <w:lang w:val="de-DE" w:eastAsia="en-US"/>
    </w:rPr>
  </w:style>
  <w:style w:type="paragraph" w:styleId="Heading7">
    <w:name w:val="heading 7"/>
    <w:basedOn w:val="Normal"/>
    <w:next w:val="Normal"/>
    <w:link w:val="Heading7Char"/>
    <w:uiPriority w:val="9"/>
    <w:unhideWhenUsed/>
    <w:qFormat/>
    <w:rsid w:val="003734A7"/>
    <w:pPr>
      <w:keepNext/>
      <w:keepLines/>
      <w:spacing w:before="40" w:after="0" w:line="276" w:lineRule="auto"/>
      <w:outlineLvl w:val="6"/>
    </w:pPr>
    <w:rPr>
      <w:rFonts w:asciiTheme="majorHAnsi" w:eastAsiaTheme="majorEastAsia" w:hAnsiTheme="majorHAnsi" w:cstheme="majorBidi"/>
      <w:i/>
      <w:iCs/>
      <w:color w:val="243F60"/>
      <w:sz w:val="22"/>
      <w:szCs w:val="22"/>
      <w:lang w:val="de-DE" w:eastAsia="en-US"/>
    </w:rPr>
  </w:style>
  <w:style w:type="paragraph" w:styleId="Heading8">
    <w:name w:val="heading 8"/>
    <w:basedOn w:val="Normal"/>
    <w:next w:val="Normal"/>
    <w:link w:val="Heading8Char"/>
    <w:uiPriority w:val="9"/>
    <w:unhideWhenUsed/>
    <w:qFormat/>
    <w:rsid w:val="003734A7"/>
    <w:pPr>
      <w:keepNext/>
      <w:keepLines/>
      <w:spacing w:before="40" w:after="0" w:line="276" w:lineRule="auto"/>
      <w:outlineLvl w:val="7"/>
    </w:pPr>
    <w:rPr>
      <w:rFonts w:asciiTheme="majorHAnsi" w:eastAsiaTheme="majorEastAsia" w:hAnsiTheme="majorHAnsi" w:cstheme="majorBidi"/>
      <w:color w:val="272727"/>
      <w:sz w:val="21"/>
      <w:szCs w:val="21"/>
      <w:lang w:val="de-DE" w:eastAsia="en-US"/>
    </w:rPr>
  </w:style>
  <w:style w:type="paragraph" w:styleId="Heading9">
    <w:name w:val="heading 9"/>
    <w:basedOn w:val="Normal"/>
    <w:next w:val="Normal"/>
    <w:link w:val="Heading9Char"/>
    <w:uiPriority w:val="9"/>
    <w:unhideWhenUsed/>
    <w:qFormat/>
    <w:rsid w:val="003734A7"/>
    <w:pPr>
      <w:keepNext/>
      <w:keepLines/>
      <w:spacing w:before="40" w:after="0" w:line="276" w:lineRule="auto"/>
      <w:outlineLvl w:val="8"/>
    </w:pPr>
    <w:rPr>
      <w:rFonts w:asciiTheme="majorHAnsi" w:eastAsiaTheme="majorEastAsia" w:hAnsiTheme="majorHAnsi" w:cstheme="majorBidi"/>
      <w:i/>
      <w:iCs/>
      <w:color w:val="272727"/>
      <w:sz w:val="21"/>
      <w:szCs w:val="21"/>
      <w:lang w:val="de-DE"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lang w:val="en-GB" w:eastAsia="fr-BE"/>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pj">
    <w:name w:val="p.j."/>
    <w:basedOn w:val="Normal"/>
    <w:uiPriority w:val="99"/>
    <w:unhideWhenUsed/>
    <w:pPr>
      <w:spacing w:before="1200" w:after="120"/>
      <w:ind w:left="1440" w:hanging="1440"/>
    </w:pPr>
    <w:rPr>
      <w:rFonts w:ascii="Times New Roman" w:hAnsi="Times New Roman"/>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0646FC"/>
    <w:pPr>
      <w:spacing w:after="0" w:line="240" w:lineRule="auto"/>
    </w:pPr>
  </w:style>
  <w:style w:type="character" w:styleId="CommentReference">
    <w:name w:val="annotation reference"/>
    <w:basedOn w:val="DefaultParagraphFont"/>
    <w:uiPriority w:val="99"/>
    <w:unhideWhenUsed/>
    <w:rsid w:val="000646FC"/>
    <w:rPr>
      <w:sz w:val="16"/>
      <w:szCs w:val="16"/>
    </w:rPr>
  </w:style>
  <w:style w:type="paragraph" w:styleId="CommentText">
    <w:name w:val="annotation text"/>
    <w:basedOn w:val="Normal"/>
    <w:link w:val="CommentTextChar"/>
    <w:uiPriority w:val="99"/>
    <w:unhideWhenUsed/>
    <w:rsid w:val="000646FC"/>
    <w:pPr>
      <w:spacing w:line="240" w:lineRule="auto"/>
    </w:pPr>
    <w:rPr>
      <w:sz w:val="20"/>
      <w:szCs w:val="20"/>
    </w:rPr>
  </w:style>
  <w:style w:type="character" w:customStyle="1" w:styleId="CommentTextChar">
    <w:name w:val="Comment Text Char"/>
    <w:basedOn w:val="DefaultParagraphFont"/>
    <w:link w:val="CommentText"/>
    <w:uiPriority w:val="99"/>
    <w:rsid w:val="000646FC"/>
    <w:rPr>
      <w:sz w:val="20"/>
      <w:szCs w:val="20"/>
    </w:rPr>
  </w:style>
  <w:style w:type="paragraph" w:styleId="CommentSubject">
    <w:name w:val="annotation subject"/>
    <w:basedOn w:val="CommentText"/>
    <w:next w:val="CommentText"/>
    <w:link w:val="CommentSubjectChar"/>
    <w:uiPriority w:val="99"/>
    <w:semiHidden/>
    <w:unhideWhenUsed/>
    <w:rsid w:val="000646FC"/>
    <w:rPr>
      <w:b/>
      <w:bCs/>
    </w:rPr>
  </w:style>
  <w:style w:type="character" w:customStyle="1" w:styleId="CommentSubjectChar">
    <w:name w:val="Comment Subject Char"/>
    <w:basedOn w:val="CommentTextChar"/>
    <w:link w:val="CommentSubject"/>
    <w:uiPriority w:val="99"/>
    <w:semiHidden/>
    <w:rsid w:val="000646FC"/>
    <w:rPr>
      <w:b/>
      <w:bCs/>
      <w:sz w:val="20"/>
      <w:szCs w:val="20"/>
    </w:rPr>
  </w:style>
  <w:style w:type="paragraph" w:customStyle="1" w:styleId="Text1">
    <w:name w:val="Text 1"/>
    <w:basedOn w:val="Normal"/>
    <w:uiPriority w:val="1"/>
    <w:rsid w:val="00C04BFF"/>
    <w:pPr>
      <w:spacing w:before="120" w:after="120" w:line="276" w:lineRule="auto"/>
      <w:ind w:left="850"/>
      <w:jc w:val="both"/>
    </w:pPr>
    <w:rPr>
      <w:rFonts w:ascii="Times New Roman" w:hAnsi="Times New Roman" w:cs="Times New Roman"/>
      <w:lang w:val="de-DE" w:eastAsia="en-US"/>
    </w:rPr>
  </w:style>
  <w:style w:type="paragraph" w:styleId="Header">
    <w:name w:val="header"/>
    <w:basedOn w:val="Normal"/>
    <w:link w:val="HeaderChar"/>
    <w:uiPriority w:val="99"/>
    <w:unhideWhenUsed/>
    <w:rsid w:val="00C04B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BFF"/>
  </w:style>
  <w:style w:type="paragraph" w:styleId="Footer">
    <w:name w:val="footer"/>
    <w:basedOn w:val="Normal"/>
    <w:link w:val="FooterChar"/>
    <w:uiPriority w:val="99"/>
    <w:unhideWhenUsed/>
    <w:rsid w:val="00C04B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BFF"/>
  </w:style>
  <w:style w:type="paragraph" w:styleId="ListParagraph">
    <w:name w:val="List Paragraph"/>
    <w:basedOn w:val="Normal"/>
    <w:link w:val="ListParagraphChar"/>
    <w:uiPriority w:val="34"/>
    <w:qFormat/>
    <w:rsid w:val="00C04BFF"/>
    <w:pPr>
      <w:spacing w:after="200" w:line="276" w:lineRule="auto"/>
      <w:ind w:left="720"/>
      <w:contextualSpacing/>
    </w:pPr>
    <w:rPr>
      <w:rFonts w:eastAsiaTheme="minorHAnsi"/>
      <w:sz w:val="22"/>
      <w:szCs w:val="22"/>
      <w:lang w:val="de-DE" w:eastAsia="en-US"/>
    </w:rPr>
  </w:style>
  <w:style w:type="paragraph" w:customStyle="1" w:styleId="FooterCouncil">
    <w:name w:val="Footer Council"/>
    <w:basedOn w:val="Normal"/>
    <w:link w:val="FooterCouncilChar"/>
    <w:uiPriority w:val="1"/>
    <w:rsid w:val="00C04BFF"/>
    <w:pPr>
      <w:spacing w:after="0" w:line="276" w:lineRule="auto"/>
    </w:pPr>
    <w:rPr>
      <w:rFonts w:ascii="Times New Roman" w:eastAsiaTheme="minorHAnsi" w:hAnsi="Times New Roman"/>
      <w:sz w:val="2"/>
      <w:szCs w:val="2"/>
      <w:lang w:val="de-DE" w:eastAsia="en-US"/>
    </w:rPr>
  </w:style>
  <w:style w:type="character" w:customStyle="1" w:styleId="FooterCouncilChar">
    <w:name w:val="Footer Council Char"/>
    <w:basedOn w:val="DefaultParagraphFont"/>
    <w:link w:val="FooterCouncil"/>
    <w:uiPriority w:val="1"/>
    <w:rsid w:val="00C04BFF"/>
    <w:rPr>
      <w:rFonts w:ascii="Times New Roman" w:eastAsiaTheme="minorHAnsi" w:hAnsi="Times New Roman"/>
      <w:noProof/>
      <w:sz w:val="2"/>
      <w:szCs w:val="2"/>
      <w:lang w:val="de-DE" w:eastAsia="en-US"/>
    </w:rPr>
  </w:style>
  <w:style w:type="character" w:customStyle="1" w:styleId="ListParagraphChar">
    <w:name w:val="List Paragraph Char"/>
    <w:basedOn w:val="DefaultParagraphFont"/>
    <w:link w:val="ListParagraph"/>
    <w:uiPriority w:val="34"/>
    <w:rsid w:val="00C04BFF"/>
    <w:rPr>
      <w:rFonts w:eastAsiaTheme="minorHAnsi"/>
      <w:sz w:val="22"/>
      <w:szCs w:val="22"/>
      <w:lang w:val="de-DE" w:eastAsia="en-US"/>
    </w:rPr>
  </w:style>
  <w:style w:type="character" w:customStyle="1" w:styleId="cf01">
    <w:name w:val="cf01"/>
    <w:basedOn w:val="DefaultParagraphFont"/>
    <w:rsid w:val="00C04BFF"/>
    <w:rPr>
      <w:rFonts w:ascii="Segoe UI" w:hAnsi="Segoe UI" w:cs="Segoe UI" w:hint="default"/>
      <w:sz w:val="18"/>
      <w:szCs w:val="18"/>
    </w:rPr>
  </w:style>
  <w:style w:type="character" w:customStyle="1" w:styleId="ui-provider">
    <w:name w:val="ui-provider"/>
    <w:basedOn w:val="DefaultParagraphFont"/>
    <w:rsid w:val="00B3049F"/>
  </w:style>
  <w:style w:type="character" w:customStyle="1" w:styleId="eop">
    <w:name w:val="eop"/>
    <w:basedOn w:val="DefaultParagraphFont"/>
    <w:rsid w:val="00B3049F"/>
  </w:style>
  <w:style w:type="character" w:customStyle="1" w:styleId="Mention1">
    <w:name w:val="Mention1"/>
    <w:basedOn w:val="DefaultParagraphFont"/>
    <w:uiPriority w:val="99"/>
    <w:unhideWhenUsed/>
    <w:rsid w:val="00B3049F"/>
    <w:rPr>
      <w:color w:val="2B579A"/>
      <w:shd w:val="clear" w:color="auto" w:fill="E1DFDD"/>
    </w:rPr>
  </w:style>
  <w:style w:type="character" w:customStyle="1" w:styleId="normaltextrun">
    <w:name w:val="normaltextrun"/>
    <w:basedOn w:val="DefaultParagraphFont"/>
    <w:rsid w:val="00B3049F"/>
  </w:style>
  <w:style w:type="character" w:customStyle="1" w:styleId="markedcontent">
    <w:name w:val="markedcontent"/>
    <w:basedOn w:val="DefaultParagraphFont"/>
    <w:rsid w:val="00B3049F"/>
  </w:style>
  <w:style w:type="character" w:customStyle="1" w:styleId="Heading1Char">
    <w:name w:val="Heading 1 Char"/>
    <w:basedOn w:val="DefaultParagraphFont"/>
    <w:link w:val="Heading1"/>
    <w:uiPriority w:val="9"/>
    <w:rsid w:val="003734A7"/>
    <w:rPr>
      <w:rFonts w:ascii="Times New Roman" w:eastAsiaTheme="majorEastAsia" w:hAnsi="Times New Roman" w:cs="Times New Roman"/>
      <w:b/>
      <w:bCs/>
      <w:smallCaps/>
      <w:lang w:val="de-DE" w:eastAsia="en-US"/>
    </w:rPr>
  </w:style>
  <w:style w:type="character" w:customStyle="1" w:styleId="Heading2Char">
    <w:name w:val="Heading 2 Char"/>
    <w:basedOn w:val="DefaultParagraphFont"/>
    <w:link w:val="Heading2"/>
    <w:uiPriority w:val="9"/>
    <w:semiHidden/>
    <w:rsid w:val="003734A7"/>
    <w:rPr>
      <w:rFonts w:ascii="Times New Roman" w:eastAsiaTheme="majorEastAsia" w:hAnsi="Times New Roman" w:cs="Times New Roman"/>
      <w:b/>
      <w:bCs/>
      <w:lang w:val="de-DE" w:eastAsia="en-US"/>
    </w:rPr>
  </w:style>
  <w:style w:type="character" w:customStyle="1" w:styleId="Heading3Char">
    <w:name w:val="Heading 3 Char"/>
    <w:basedOn w:val="DefaultParagraphFont"/>
    <w:link w:val="Heading3"/>
    <w:uiPriority w:val="9"/>
    <w:semiHidden/>
    <w:rsid w:val="003734A7"/>
    <w:rPr>
      <w:rFonts w:ascii="Times New Roman" w:eastAsiaTheme="majorEastAsia" w:hAnsi="Times New Roman" w:cs="Times New Roman"/>
      <w:i/>
      <w:iCs/>
      <w:lang w:val="de-DE" w:eastAsia="en-US"/>
    </w:rPr>
  </w:style>
  <w:style w:type="character" w:customStyle="1" w:styleId="Heading4Char">
    <w:name w:val="Heading 4 Char"/>
    <w:basedOn w:val="DefaultParagraphFont"/>
    <w:link w:val="Heading4"/>
    <w:uiPriority w:val="9"/>
    <w:rsid w:val="003734A7"/>
    <w:rPr>
      <w:rFonts w:ascii="Times New Roman" w:eastAsiaTheme="majorEastAsia" w:hAnsi="Times New Roman" w:cs="Times New Roman"/>
      <w:lang w:val="de-DE" w:eastAsia="en-US"/>
    </w:rPr>
  </w:style>
  <w:style w:type="character" w:customStyle="1" w:styleId="Heading5Char">
    <w:name w:val="Heading 5 Char"/>
    <w:basedOn w:val="DefaultParagraphFont"/>
    <w:link w:val="Heading5"/>
    <w:uiPriority w:val="9"/>
    <w:rsid w:val="003734A7"/>
    <w:rPr>
      <w:rFonts w:asciiTheme="majorHAnsi" w:eastAsiaTheme="majorEastAsia" w:hAnsiTheme="majorHAnsi" w:cstheme="majorBidi"/>
      <w:color w:val="0F4761" w:themeColor="accent1" w:themeShade="BF"/>
      <w:sz w:val="22"/>
      <w:szCs w:val="22"/>
      <w:lang w:val="de-DE" w:eastAsia="en-US"/>
    </w:rPr>
  </w:style>
  <w:style w:type="character" w:customStyle="1" w:styleId="Heading6Char">
    <w:name w:val="Heading 6 Char"/>
    <w:basedOn w:val="DefaultParagraphFont"/>
    <w:link w:val="Heading6"/>
    <w:uiPriority w:val="9"/>
    <w:rsid w:val="003734A7"/>
    <w:rPr>
      <w:rFonts w:asciiTheme="majorHAnsi" w:eastAsiaTheme="majorEastAsia" w:hAnsiTheme="majorHAnsi" w:cstheme="majorBidi"/>
      <w:color w:val="243F60"/>
      <w:sz w:val="22"/>
      <w:szCs w:val="22"/>
      <w:lang w:val="de-DE" w:eastAsia="en-US"/>
    </w:rPr>
  </w:style>
  <w:style w:type="character" w:customStyle="1" w:styleId="Heading7Char">
    <w:name w:val="Heading 7 Char"/>
    <w:basedOn w:val="DefaultParagraphFont"/>
    <w:link w:val="Heading7"/>
    <w:uiPriority w:val="9"/>
    <w:rsid w:val="003734A7"/>
    <w:rPr>
      <w:rFonts w:asciiTheme="majorHAnsi" w:eastAsiaTheme="majorEastAsia" w:hAnsiTheme="majorHAnsi" w:cstheme="majorBidi"/>
      <w:i/>
      <w:iCs/>
      <w:color w:val="243F60"/>
      <w:sz w:val="22"/>
      <w:szCs w:val="22"/>
      <w:lang w:val="de-DE" w:eastAsia="en-US"/>
    </w:rPr>
  </w:style>
  <w:style w:type="character" w:customStyle="1" w:styleId="Heading8Char">
    <w:name w:val="Heading 8 Char"/>
    <w:basedOn w:val="DefaultParagraphFont"/>
    <w:link w:val="Heading8"/>
    <w:uiPriority w:val="9"/>
    <w:rsid w:val="003734A7"/>
    <w:rPr>
      <w:rFonts w:asciiTheme="majorHAnsi" w:eastAsiaTheme="majorEastAsia" w:hAnsiTheme="majorHAnsi" w:cstheme="majorBidi"/>
      <w:color w:val="272727"/>
      <w:sz w:val="21"/>
      <w:szCs w:val="21"/>
      <w:lang w:val="de-DE" w:eastAsia="en-US"/>
    </w:rPr>
  </w:style>
  <w:style w:type="character" w:customStyle="1" w:styleId="Heading9Char">
    <w:name w:val="Heading 9 Char"/>
    <w:basedOn w:val="DefaultParagraphFont"/>
    <w:link w:val="Heading9"/>
    <w:uiPriority w:val="9"/>
    <w:rsid w:val="003734A7"/>
    <w:rPr>
      <w:rFonts w:asciiTheme="majorHAnsi" w:eastAsiaTheme="majorEastAsia" w:hAnsiTheme="majorHAnsi" w:cstheme="majorBidi"/>
      <w:i/>
      <w:iCs/>
      <w:color w:val="272727"/>
      <w:sz w:val="21"/>
      <w:szCs w:val="21"/>
      <w:lang w:val="de-DE" w:eastAsia="en-US"/>
    </w:rPr>
  </w:style>
  <w:style w:type="paragraph" w:customStyle="1" w:styleId="HeaderCouncilLarge">
    <w:name w:val="Header Council Large"/>
    <w:basedOn w:val="Normal"/>
    <w:link w:val="HeaderCouncilLargeChar"/>
    <w:uiPriority w:val="1"/>
    <w:rsid w:val="003734A7"/>
    <w:pPr>
      <w:spacing w:after="440" w:line="276" w:lineRule="auto"/>
    </w:pPr>
    <w:rPr>
      <w:rFonts w:ascii="Times New Roman" w:eastAsiaTheme="minorHAnsi" w:hAnsi="Times New Roman"/>
      <w:sz w:val="2"/>
      <w:szCs w:val="2"/>
      <w:lang w:val="de-DE" w:eastAsia="en-US"/>
    </w:rPr>
  </w:style>
  <w:style w:type="character" w:customStyle="1" w:styleId="HeaderCouncilLargeChar">
    <w:name w:val="Header Council Large Char"/>
    <w:basedOn w:val="DefaultParagraphFont"/>
    <w:link w:val="HeaderCouncilLarge"/>
    <w:uiPriority w:val="1"/>
    <w:rsid w:val="003734A7"/>
    <w:rPr>
      <w:rFonts w:ascii="Times New Roman" w:eastAsiaTheme="minorHAnsi" w:hAnsi="Times New Roman"/>
      <w:noProof/>
      <w:sz w:val="2"/>
      <w:szCs w:val="2"/>
      <w:lang w:val="de-DE" w:eastAsia="en-US"/>
    </w:rPr>
  </w:style>
  <w:style w:type="paragraph" w:customStyle="1" w:styleId="pf0">
    <w:name w:val="pf0"/>
    <w:basedOn w:val="Normal"/>
    <w:rsid w:val="003734A7"/>
    <w:pPr>
      <w:spacing w:before="100" w:beforeAutospacing="1" w:after="100" w:afterAutospacing="1" w:line="240" w:lineRule="auto"/>
    </w:pPr>
    <w:rPr>
      <w:rFonts w:ascii="Times New Roman" w:eastAsia="Times New Roman" w:hAnsi="Times New Roman" w:cs="Times New Roman"/>
      <w:lang w:val="de-DE" w:eastAsia="en-IE"/>
    </w:rPr>
  </w:style>
  <w:style w:type="paragraph" w:styleId="FootnoteText">
    <w:name w:val="footnote text"/>
    <w:basedOn w:val="Normal"/>
    <w:link w:val="FootnoteTextChar"/>
    <w:uiPriority w:val="99"/>
    <w:unhideWhenUsed/>
    <w:rsid w:val="003734A7"/>
    <w:pPr>
      <w:spacing w:after="0" w:line="276" w:lineRule="auto"/>
      <w:ind w:left="720" w:hanging="720"/>
      <w:jc w:val="both"/>
    </w:pPr>
    <w:rPr>
      <w:rFonts w:ascii="Times New Roman" w:hAnsi="Times New Roman" w:cs="Times New Roman"/>
      <w:sz w:val="20"/>
      <w:szCs w:val="20"/>
      <w:lang w:val="de-DE" w:eastAsia="en-US"/>
    </w:rPr>
  </w:style>
  <w:style w:type="character" w:customStyle="1" w:styleId="FootnoteTextChar">
    <w:name w:val="Footnote Text Char"/>
    <w:basedOn w:val="DefaultParagraphFont"/>
    <w:link w:val="FootnoteText"/>
    <w:uiPriority w:val="99"/>
    <w:semiHidden/>
    <w:rsid w:val="003734A7"/>
    <w:rPr>
      <w:rFonts w:ascii="Times New Roman" w:hAnsi="Times New Roman" w:cs="Times New Roman"/>
      <w:sz w:val="20"/>
      <w:szCs w:val="20"/>
      <w:lang w:val="de-DE" w:eastAsia="en-US"/>
    </w:rPr>
  </w:style>
  <w:style w:type="character" w:styleId="FootnoteReference">
    <w:name w:val="footnote reference"/>
    <w:aliases w:val="Footnote Reference Number,Footnote Reference_LVL6,Footnote Reference_LVL61,Footnote Reference_LVL62,Footnote Reference_LVL63,Footnote Reference_LVL64,HAppel note de bas de p.,SUPERS,Ref,de nota al pie,BVI fnr,16 Point,titre,Nota"/>
    <w:basedOn w:val="DefaultParagraphFont"/>
    <w:uiPriority w:val="99"/>
    <w:unhideWhenUsed/>
    <w:qFormat/>
    <w:rsid w:val="003734A7"/>
    <w:rPr>
      <w:shd w:val="clear" w:color="auto" w:fill="auto"/>
      <w:vertAlign w:val="superscript"/>
    </w:rPr>
  </w:style>
  <w:style w:type="paragraph" w:customStyle="1" w:styleId="paragraph">
    <w:name w:val="paragraph"/>
    <w:basedOn w:val="Normal"/>
    <w:rsid w:val="003734A7"/>
    <w:pPr>
      <w:spacing w:beforeAutospacing="1" w:after="200" w:afterAutospacing="1" w:line="276" w:lineRule="auto"/>
    </w:pPr>
    <w:rPr>
      <w:rFonts w:ascii="Times New Roman" w:eastAsia="Times New Roman" w:hAnsi="Times New Roman" w:cs="Times New Roman"/>
      <w:lang w:val="de-DE" w:eastAsia="fr-FR"/>
    </w:rPr>
  </w:style>
  <w:style w:type="character" w:styleId="Hyperlink">
    <w:name w:val="Hyperlink"/>
    <w:basedOn w:val="DefaultParagraphFont"/>
    <w:uiPriority w:val="99"/>
    <w:unhideWhenUsed/>
    <w:rsid w:val="003734A7"/>
    <w:rPr>
      <w:color w:val="467886" w:themeColor="hyperlink"/>
      <w:u w:val="single"/>
    </w:rPr>
  </w:style>
  <w:style w:type="character" w:customStyle="1" w:styleId="highlight">
    <w:name w:val="highlight"/>
    <w:basedOn w:val="DefaultParagraphFont"/>
    <w:rsid w:val="003734A7"/>
  </w:style>
  <w:style w:type="character" w:customStyle="1" w:styleId="UnresolvedMention1">
    <w:name w:val="Unresolved Mention1"/>
    <w:basedOn w:val="DefaultParagraphFont"/>
    <w:uiPriority w:val="99"/>
    <w:semiHidden/>
    <w:unhideWhenUsed/>
    <w:rsid w:val="003734A7"/>
    <w:rPr>
      <w:color w:val="605E5C"/>
      <w:shd w:val="clear" w:color="auto" w:fill="E1DFDD"/>
    </w:rPr>
  </w:style>
  <w:style w:type="character" w:customStyle="1" w:styleId="Marker">
    <w:name w:val="Marker"/>
    <w:basedOn w:val="DefaultParagraphFont"/>
    <w:rsid w:val="003734A7"/>
    <w:rPr>
      <w:color w:val="0000FF"/>
      <w:shd w:val="clear" w:color="auto" w:fill="auto"/>
    </w:rPr>
  </w:style>
  <w:style w:type="paragraph" w:customStyle="1" w:styleId="Pagedecouverture">
    <w:name w:val="Page de couverture"/>
    <w:basedOn w:val="Normal"/>
    <w:next w:val="Normal"/>
    <w:uiPriority w:val="1"/>
    <w:rsid w:val="003734A7"/>
    <w:pPr>
      <w:spacing w:after="0" w:line="240" w:lineRule="auto"/>
      <w:jc w:val="both"/>
    </w:pPr>
    <w:rPr>
      <w:rFonts w:ascii="Times New Roman" w:eastAsiaTheme="minorHAnsi" w:hAnsi="Times New Roman" w:cs="Times New Roman"/>
      <w:szCs w:val="22"/>
      <w:lang w:val="de-DE" w:eastAsia="en-US"/>
    </w:rPr>
  </w:style>
  <w:style w:type="paragraph" w:customStyle="1" w:styleId="FooterCoverPage">
    <w:name w:val="Footer Cover Page"/>
    <w:basedOn w:val="Normal"/>
    <w:link w:val="FooterCoverPageChar"/>
    <w:uiPriority w:val="1"/>
    <w:rsid w:val="003734A7"/>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uiPriority w:val="1"/>
    <w:rsid w:val="003734A7"/>
    <w:rPr>
      <w:rFonts w:ascii="Times New Roman" w:hAnsi="Times New Roman" w:cs="Times New Roman"/>
      <w:lang w:val="en-GB"/>
    </w:rPr>
  </w:style>
  <w:style w:type="paragraph" w:customStyle="1" w:styleId="FooterSensitivity">
    <w:name w:val="Footer Sensitivity"/>
    <w:basedOn w:val="Normal"/>
    <w:link w:val="FooterSensitivityChar"/>
    <w:rsid w:val="003734A7"/>
    <w:pPr>
      <w:keepNext/>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734A7"/>
    <w:rPr>
      <w:rFonts w:ascii="Times New Roman" w:hAnsi="Times New Roman" w:cs="Times New Roman"/>
      <w:b/>
      <w:sz w:val="32"/>
      <w:lang w:val="en-GB"/>
    </w:rPr>
  </w:style>
  <w:style w:type="paragraph" w:customStyle="1" w:styleId="HeaderCoverPage">
    <w:name w:val="Header Cover Page"/>
    <w:basedOn w:val="Normal"/>
    <w:link w:val="HeaderCoverPageChar"/>
    <w:uiPriority w:val="1"/>
    <w:rsid w:val="003734A7"/>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uiPriority w:val="1"/>
    <w:rsid w:val="003734A7"/>
    <w:rPr>
      <w:rFonts w:ascii="Times New Roman" w:hAnsi="Times New Roman" w:cs="Times New Roman"/>
      <w:lang w:val="en-GB"/>
    </w:rPr>
  </w:style>
  <w:style w:type="paragraph" w:customStyle="1" w:styleId="HeaderSensitivity">
    <w:name w:val="Header Sensitivity"/>
    <w:basedOn w:val="Normal"/>
    <w:link w:val="HeaderSensitivityChar"/>
    <w:rsid w:val="003734A7"/>
    <w:pPr>
      <w:keepNext/>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734A7"/>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6A49D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734A7"/>
    <w:rPr>
      <w:rFonts w:ascii="Times New Roman" w:hAnsi="Times New Roman" w:cs="Times New Roman"/>
      <w:sz w:val="28"/>
      <w:lang w:val="en-GB"/>
    </w:rPr>
  </w:style>
  <w:style w:type="numbering" w:customStyle="1" w:styleId="NoList1">
    <w:name w:val="No List1"/>
    <w:next w:val="NoList"/>
    <w:uiPriority w:val="99"/>
    <w:semiHidden/>
    <w:unhideWhenUsed/>
    <w:rsid w:val="003734A7"/>
  </w:style>
  <w:style w:type="character" w:styleId="IntenseEmphasis">
    <w:name w:val="Intense Emphasis"/>
    <w:basedOn w:val="DefaultParagraphFont"/>
    <w:uiPriority w:val="21"/>
    <w:qFormat/>
    <w:rsid w:val="003734A7"/>
    <w:rPr>
      <w:i/>
      <w:iCs/>
      <w:color w:val="156082" w:themeColor="accent1"/>
    </w:rPr>
  </w:style>
  <w:style w:type="paragraph" w:styleId="BalloonText">
    <w:name w:val="Balloon Text"/>
    <w:basedOn w:val="Normal"/>
    <w:link w:val="BalloonTextChar"/>
    <w:uiPriority w:val="99"/>
    <w:semiHidden/>
    <w:unhideWhenUsed/>
    <w:rsid w:val="003734A7"/>
    <w:pPr>
      <w:spacing w:after="0" w:line="276" w:lineRule="auto"/>
      <w:jc w:val="both"/>
    </w:pPr>
    <w:rPr>
      <w:rFonts w:ascii="Segoe UI" w:hAnsi="Segoe UI" w:cs="Segoe UI"/>
      <w:sz w:val="18"/>
      <w:szCs w:val="18"/>
      <w:lang w:val="de-DE" w:eastAsia="en-US"/>
    </w:rPr>
  </w:style>
  <w:style w:type="character" w:customStyle="1" w:styleId="BalloonTextChar">
    <w:name w:val="Balloon Text Char"/>
    <w:basedOn w:val="DefaultParagraphFont"/>
    <w:link w:val="BalloonText"/>
    <w:uiPriority w:val="99"/>
    <w:semiHidden/>
    <w:rsid w:val="003734A7"/>
    <w:rPr>
      <w:rFonts w:ascii="Segoe UI" w:hAnsi="Segoe UI" w:cs="Segoe UI"/>
      <w:sz w:val="18"/>
      <w:szCs w:val="18"/>
      <w:lang w:val="de-DE" w:eastAsia="en-US"/>
    </w:rPr>
  </w:style>
  <w:style w:type="paragraph" w:styleId="ListBullet">
    <w:name w:val="List Bullet"/>
    <w:basedOn w:val="Normal"/>
    <w:uiPriority w:val="99"/>
    <w:unhideWhenUsed/>
    <w:rsid w:val="003734A7"/>
    <w:pPr>
      <w:numPr>
        <w:numId w:val="2"/>
      </w:numPr>
      <w:tabs>
        <w:tab w:val="clear" w:pos="360"/>
      </w:tabs>
      <w:spacing w:before="120" w:after="120" w:line="276" w:lineRule="auto"/>
      <w:ind w:left="0" w:firstLine="0"/>
      <w:contextualSpacing/>
      <w:jc w:val="both"/>
    </w:pPr>
    <w:rPr>
      <w:rFonts w:ascii="Times New Roman" w:hAnsi="Times New Roman" w:cs="Times New Roman"/>
      <w:lang w:val="de-DE" w:eastAsia="en-US"/>
    </w:rPr>
  </w:style>
  <w:style w:type="paragraph" w:styleId="ListBullet2">
    <w:name w:val="List Bullet 2"/>
    <w:basedOn w:val="Normal"/>
    <w:uiPriority w:val="99"/>
    <w:semiHidden/>
    <w:unhideWhenUsed/>
    <w:rsid w:val="003734A7"/>
    <w:pPr>
      <w:numPr>
        <w:numId w:val="3"/>
      </w:numPr>
      <w:tabs>
        <w:tab w:val="clear" w:pos="643"/>
      </w:tabs>
      <w:spacing w:before="120" w:after="120" w:line="276" w:lineRule="auto"/>
      <w:ind w:left="0" w:firstLine="0"/>
      <w:contextualSpacing/>
      <w:jc w:val="both"/>
    </w:pPr>
    <w:rPr>
      <w:rFonts w:ascii="Times New Roman" w:hAnsi="Times New Roman" w:cs="Times New Roman"/>
      <w:lang w:val="de-DE" w:eastAsia="en-US"/>
    </w:rPr>
  </w:style>
  <w:style w:type="paragraph" w:styleId="ListBullet3">
    <w:name w:val="List Bullet 3"/>
    <w:basedOn w:val="Normal"/>
    <w:uiPriority w:val="99"/>
    <w:semiHidden/>
    <w:unhideWhenUsed/>
    <w:rsid w:val="003734A7"/>
    <w:pPr>
      <w:numPr>
        <w:numId w:val="4"/>
      </w:numPr>
      <w:tabs>
        <w:tab w:val="clear" w:pos="926"/>
      </w:tabs>
      <w:spacing w:before="120" w:after="120" w:line="276" w:lineRule="auto"/>
      <w:ind w:left="0" w:firstLine="0"/>
      <w:contextualSpacing/>
      <w:jc w:val="both"/>
    </w:pPr>
    <w:rPr>
      <w:rFonts w:ascii="Times New Roman" w:hAnsi="Times New Roman" w:cs="Times New Roman"/>
      <w:lang w:val="de-DE" w:eastAsia="en-US"/>
    </w:rPr>
  </w:style>
  <w:style w:type="paragraph" w:styleId="ListBullet4">
    <w:name w:val="List Bullet 4"/>
    <w:basedOn w:val="Normal"/>
    <w:uiPriority w:val="99"/>
    <w:semiHidden/>
    <w:unhideWhenUsed/>
    <w:rsid w:val="003734A7"/>
    <w:pPr>
      <w:numPr>
        <w:numId w:val="5"/>
      </w:numPr>
      <w:tabs>
        <w:tab w:val="clear" w:pos="1209"/>
      </w:tabs>
      <w:spacing w:before="120" w:after="120" w:line="276" w:lineRule="auto"/>
      <w:ind w:left="0" w:firstLine="0"/>
      <w:contextualSpacing/>
      <w:jc w:val="both"/>
    </w:pPr>
    <w:rPr>
      <w:rFonts w:ascii="Times New Roman" w:hAnsi="Times New Roman" w:cs="Times New Roman"/>
      <w:lang w:val="de-DE" w:eastAsia="en-US"/>
    </w:rPr>
  </w:style>
  <w:style w:type="paragraph" w:styleId="HTMLPreformatted">
    <w:name w:val="HTML Preformatted"/>
    <w:basedOn w:val="Normal"/>
    <w:link w:val="HTMLPreformattedChar"/>
    <w:uiPriority w:val="99"/>
    <w:semiHidden/>
    <w:unhideWhenUsed/>
    <w:rsid w:val="00373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pPr>
    <w:rPr>
      <w:rFonts w:ascii="Courier New" w:eastAsia="Times New Roman" w:hAnsi="Courier New" w:cs="Courier New"/>
      <w:sz w:val="20"/>
      <w:szCs w:val="20"/>
      <w:lang w:val="de-DE" w:eastAsia="fr-FR"/>
    </w:rPr>
  </w:style>
  <w:style w:type="character" w:customStyle="1" w:styleId="HTMLPreformattedChar">
    <w:name w:val="HTML Preformatted Char"/>
    <w:basedOn w:val="DefaultParagraphFont"/>
    <w:link w:val="HTMLPreformatted"/>
    <w:uiPriority w:val="99"/>
    <w:semiHidden/>
    <w:rsid w:val="003734A7"/>
    <w:rPr>
      <w:rFonts w:ascii="Courier New" w:eastAsia="Times New Roman" w:hAnsi="Courier New" w:cs="Courier New"/>
      <w:sz w:val="20"/>
      <w:szCs w:val="20"/>
      <w:lang w:val="de-DE" w:eastAsia="fr-FR"/>
    </w:rPr>
  </w:style>
  <w:style w:type="character" w:styleId="HTMLCite">
    <w:name w:val="HTML Cite"/>
    <w:basedOn w:val="DefaultParagraphFont"/>
    <w:uiPriority w:val="99"/>
    <w:semiHidden/>
    <w:unhideWhenUsed/>
    <w:rsid w:val="003734A7"/>
    <w:rPr>
      <w:i/>
      <w:iCs/>
    </w:rPr>
  </w:style>
  <w:style w:type="character" w:customStyle="1" w:styleId="acopre">
    <w:name w:val="acopre"/>
    <w:basedOn w:val="DefaultParagraphFont"/>
    <w:rsid w:val="003734A7"/>
  </w:style>
  <w:style w:type="character" w:styleId="Emphasis">
    <w:name w:val="Emphasis"/>
    <w:basedOn w:val="DefaultParagraphFont"/>
    <w:uiPriority w:val="20"/>
    <w:qFormat/>
    <w:rsid w:val="003734A7"/>
    <w:rPr>
      <w:i/>
      <w:iCs/>
    </w:rPr>
  </w:style>
  <w:style w:type="character" w:customStyle="1" w:styleId="lo8sbd">
    <w:name w:val="lo8sbd"/>
    <w:basedOn w:val="DefaultParagraphFont"/>
    <w:rsid w:val="003734A7"/>
  </w:style>
  <w:style w:type="paragraph" w:customStyle="1" w:styleId="s1fapd">
    <w:name w:val="s1fapd"/>
    <w:basedOn w:val="Normal"/>
    <w:uiPriority w:val="1"/>
    <w:rsid w:val="003734A7"/>
    <w:pPr>
      <w:spacing w:beforeAutospacing="1" w:after="200" w:afterAutospacing="1" w:line="276" w:lineRule="auto"/>
    </w:pPr>
    <w:rPr>
      <w:rFonts w:ascii="Times New Roman" w:eastAsia="Times New Roman" w:hAnsi="Times New Roman" w:cs="Times New Roman"/>
      <w:lang w:val="de-DE" w:eastAsia="fr-FR"/>
    </w:rPr>
  </w:style>
  <w:style w:type="character" w:customStyle="1" w:styleId="wurvib">
    <w:name w:val="wurvib"/>
    <w:basedOn w:val="DefaultParagraphFont"/>
    <w:rsid w:val="003734A7"/>
  </w:style>
  <w:style w:type="character" w:customStyle="1" w:styleId="dyjrff">
    <w:name w:val="dyjrff"/>
    <w:basedOn w:val="DefaultParagraphFont"/>
    <w:rsid w:val="003734A7"/>
  </w:style>
  <w:style w:type="character" w:customStyle="1" w:styleId="glpvmc">
    <w:name w:val="glpvmc"/>
    <w:basedOn w:val="DefaultParagraphFont"/>
    <w:rsid w:val="003734A7"/>
  </w:style>
  <w:style w:type="character" w:customStyle="1" w:styleId="f">
    <w:name w:val="f"/>
    <w:basedOn w:val="DefaultParagraphFont"/>
    <w:rsid w:val="003734A7"/>
  </w:style>
  <w:style w:type="character" w:customStyle="1" w:styleId="mfmhoc">
    <w:name w:val="mfmhoc"/>
    <w:basedOn w:val="DefaultParagraphFont"/>
    <w:rsid w:val="003734A7"/>
  </w:style>
  <w:style w:type="character" w:customStyle="1" w:styleId="q8lrlc">
    <w:name w:val="q8lrlc"/>
    <w:basedOn w:val="DefaultParagraphFont"/>
    <w:rsid w:val="003734A7"/>
  </w:style>
  <w:style w:type="character" w:customStyle="1" w:styleId="b4gxfc">
    <w:name w:val="b4gxfc"/>
    <w:basedOn w:val="DefaultParagraphFont"/>
    <w:rsid w:val="003734A7"/>
  </w:style>
  <w:style w:type="character" w:customStyle="1" w:styleId="jlqj4b">
    <w:name w:val="jlqj4b"/>
    <w:basedOn w:val="DefaultParagraphFont"/>
    <w:rsid w:val="003734A7"/>
  </w:style>
  <w:style w:type="character" w:customStyle="1" w:styleId="hgkelc">
    <w:name w:val="hgkelc"/>
    <w:basedOn w:val="DefaultParagraphFont"/>
    <w:rsid w:val="003734A7"/>
  </w:style>
  <w:style w:type="character" w:customStyle="1" w:styleId="y2iqfc">
    <w:name w:val="y2iqfc"/>
    <w:basedOn w:val="DefaultParagraphFont"/>
    <w:rsid w:val="003734A7"/>
  </w:style>
  <w:style w:type="paragraph" w:customStyle="1" w:styleId="Bodytext211">
    <w:name w:val="Body text|211"/>
    <w:basedOn w:val="Normal"/>
    <w:link w:val="Bodytext2"/>
    <w:qFormat/>
    <w:rsid w:val="003734A7"/>
    <w:pPr>
      <w:widowControl w:val="0"/>
      <w:shd w:val="clear" w:color="auto" w:fill="FFFFFF"/>
      <w:spacing w:before="400" w:after="100" w:line="244" w:lineRule="exact"/>
      <w:ind w:hanging="380"/>
    </w:pPr>
    <w:rPr>
      <w:rFonts w:ascii="Calibri" w:eastAsia="Calibri" w:hAnsi="Calibri" w:cs="Calibri"/>
      <w:color w:val="000000"/>
      <w:sz w:val="20"/>
      <w:szCs w:val="20"/>
      <w:lang w:val="de-DE" w:eastAsia="fr-FR" w:bidi="fr-FR"/>
    </w:rPr>
  </w:style>
  <w:style w:type="character" w:customStyle="1" w:styleId="Bodytext2">
    <w:name w:val="Body text|2_"/>
    <w:basedOn w:val="DefaultParagraphFont"/>
    <w:link w:val="Bodytext211"/>
    <w:rsid w:val="003734A7"/>
    <w:rPr>
      <w:rFonts w:ascii="Calibri" w:eastAsia="Calibri" w:hAnsi="Calibri" w:cs="Calibri"/>
      <w:color w:val="000000"/>
      <w:sz w:val="20"/>
      <w:szCs w:val="20"/>
      <w:shd w:val="clear" w:color="auto" w:fill="FFFFFF"/>
      <w:lang w:val="de-DE" w:eastAsia="fr-FR" w:bidi="fr-FR"/>
    </w:rPr>
  </w:style>
  <w:style w:type="character" w:customStyle="1" w:styleId="Bodytext2Italic">
    <w:name w:val="Body text|2 + Italic"/>
    <w:basedOn w:val="Bodytext2"/>
    <w:semiHidden/>
    <w:unhideWhenUsed/>
    <w:rsid w:val="003734A7"/>
    <w:rPr>
      <w:rFonts w:ascii="Calibri" w:eastAsia="Calibri" w:hAnsi="Calibri" w:cs="Calibri"/>
      <w:i/>
      <w:iCs/>
      <w:color w:val="000000"/>
      <w:spacing w:val="0"/>
      <w:w w:val="100"/>
      <w:position w:val="0"/>
      <w:sz w:val="20"/>
      <w:szCs w:val="20"/>
      <w:shd w:val="clear" w:color="auto" w:fill="FFFFFF"/>
      <w:lang w:val="de-DE" w:eastAsia="fr-FR" w:bidi="fr-FR"/>
    </w:rPr>
  </w:style>
  <w:style w:type="character" w:customStyle="1" w:styleId="Bodytext20">
    <w:name w:val="Body text|20"/>
    <w:basedOn w:val="Bodytext2"/>
    <w:semiHidden/>
    <w:unhideWhenUsed/>
    <w:rsid w:val="003734A7"/>
    <w:rPr>
      <w:rFonts w:ascii="Calibri" w:eastAsia="Calibri" w:hAnsi="Calibri" w:cs="Calibri"/>
      <w:color w:val="000000"/>
      <w:spacing w:val="0"/>
      <w:w w:val="100"/>
      <w:position w:val="0"/>
      <w:sz w:val="20"/>
      <w:szCs w:val="20"/>
      <w:u w:val="single"/>
      <w:shd w:val="clear" w:color="auto" w:fill="FFFFFF"/>
      <w:lang w:val="de-DE" w:eastAsia="fr-FR" w:bidi="fr-FR"/>
    </w:rPr>
  </w:style>
  <w:style w:type="character" w:customStyle="1" w:styleId="Footnote1">
    <w:name w:val="Footnote|1_"/>
    <w:basedOn w:val="DefaultParagraphFont"/>
    <w:link w:val="Footnote11"/>
    <w:rsid w:val="003734A7"/>
    <w:rPr>
      <w:rFonts w:ascii="Calibri" w:eastAsia="Calibri" w:hAnsi="Calibri" w:cs="Calibri"/>
      <w:sz w:val="15"/>
      <w:szCs w:val="15"/>
      <w:shd w:val="clear" w:color="auto" w:fill="FFFFFF"/>
    </w:rPr>
  </w:style>
  <w:style w:type="character" w:customStyle="1" w:styleId="Footnote10">
    <w:name w:val="Footnote|1"/>
    <w:basedOn w:val="Footnote1"/>
    <w:semiHidden/>
    <w:unhideWhenUsed/>
    <w:rsid w:val="003734A7"/>
    <w:rPr>
      <w:rFonts w:ascii="Calibri" w:eastAsia="Calibri" w:hAnsi="Calibri" w:cs="Calibri"/>
      <w:color w:val="0563C1"/>
      <w:spacing w:val="0"/>
      <w:w w:val="100"/>
      <w:position w:val="0"/>
      <w:sz w:val="15"/>
      <w:szCs w:val="15"/>
      <w:u w:val="single"/>
      <w:shd w:val="clear" w:color="auto" w:fill="FFFFFF"/>
      <w:lang w:val="de-DE" w:eastAsia="fr-FR" w:bidi="fr-FR"/>
    </w:rPr>
  </w:style>
  <w:style w:type="paragraph" w:customStyle="1" w:styleId="Footnote11">
    <w:name w:val="Footnote|11"/>
    <w:basedOn w:val="Normal"/>
    <w:link w:val="Footnote1"/>
    <w:qFormat/>
    <w:rsid w:val="003734A7"/>
    <w:pPr>
      <w:widowControl w:val="0"/>
      <w:shd w:val="clear" w:color="auto" w:fill="FFFFFF"/>
      <w:spacing w:after="0" w:line="197" w:lineRule="exact"/>
      <w:jc w:val="both"/>
    </w:pPr>
    <w:rPr>
      <w:rFonts w:ascii="Calibri" w:eastAsia="Calibri" w:hAnsi="Calibri" w:cs="Calibri"/>
      <w:sz w:val="15"/>
      <w:szCs w:val="15"/>
    </w:rPr>
  </w:style>
  <w:style w:type="character" w:customStyle="1" w:styleId="Footnote3">
    <w:name w:val="Footnote|3_"/>
    <w:basedOn w:val="DefaultParagraphFont"/>
    <w:link w:val="Footnote30"/>
    <w:rsid w:val="003734A7"/>
    <w:rPr>
      <w:rFonts w:ascii="Calibri" w:eastAsia="Calibri" w:hAnsi="Calibri" w:cs="Calibri"/>
      <w:i/>
      <w:iCs/>
      <w:sz w:val="15"/>
      <w:szCs w:val="15"/>
      <w:shd w:val="clear" w:color="auto" w:fill="FFFFFF"/>
    </w:rPr>
  </w:style>
  <w:style w:type="character" w:customStyle="1" w:styleId="Footnote3NotItalic">
    <w:name w:val="Footnote|3 + Not Italic"/>
    <w:basedOn w:val="Footnote3"/>
    <w:semiHidden/>
    <w:unhideWhenUsed/>
    <w:rsid w:val="003734A7"/>
    <w:rPr>
      <w:rFonts w:ascii="Calibri" w:eastAsia="Calibri" w:hAnsi="Calibri" w:cs="Calibri"/>
      <w:i/>
      <w:iCs/>
      <w:color w:val="000000"/>
      <w:spacing w:val="0"/>
      <w:w w:val="100"/>
      <w:position w:val="0"/>
      <w:sz w:val="15"/>
      <w:szCs w:val="15"/>
      <w:shd w:val="clear" w:color="auto" w:fill="FFFFFF"/>
      <w:lang w:val="de-DE" w:eastAsia="fr-FR" w:bidi="fr-FR"/>
    </w:rPr>
  </w:style>
  <w:style w:type="paragraph" w:customStyle="1" w:styleId="Footnote30">
    <w:name w:val="Footnote|3"/>
    <w:basedOn w:val="Normal"/>
    <w:link w:val="Footnote3"/>
    <w:rsid w:val="003734A7"/>
    <w:pPr>
      <w:widowControl w:val="0"/>
      <w:shd w:val="clear" w:color="auto" w:fill="FFFFFF"/>
      <w:spacing w:after="0" w:line="192" w:lineRule="exact"/>
      <w:jc w:val="both"/>
    </w:pPr>
    <w:rPr>
      <w:rFonts w:ascii="Calibri" w:eastAsia="Calibri" w:hAnsi="Calibri" w:cs="Calibri"/>
      <w:i/>
      <w:iCs/>
      <w:sz w:val="15"/>
      <w:szCs w:val="15"/>
    </w:rPr>
  </w:style>
  <w:style w:type="paragraph" w:styleId="NormalWeb">
    <w:name w:val="Normal (Web)"/>
    <w:basedOn w:val="Normal"/>
    <w:uiPriority w:val="99"/>
    <w:unhideWhenUsed/>
    <w:rsid w:val="003734A7"/>
    <w:pPr>
      <w:spacing w:beforeAutospacing="1" w:after="200" w:afterAutospacing="1" w:line="276" w:lineRule="auto"/>
    </w:pPr>
    <w:rPr>
      <w:rFonts w:ascii="Times New Roman" w:eastAsia="Times New Roman" w:hAnsi="Times New Roman" w:cs="Times New Roman"/>
      <w:lang w:val="de-DE" w:eastAsia="en-GB"/>
    </w:rPr>
  </w:style>
  <w:style w:type="paragraph" w:styleId="TOCHeading">
    <w:name w:val="TOC Heading"/>
    <w:basedOn w:val="Normal"/>
    <w:next w:val="Normal"/>
    <w:uiPriority w:val="39"/>
    <w:semiHidden/>
    <w:unhideWhenUsed/>
    <w:qFormat/>
    <w:rsid w:val="003734A7"/>
    <w:pPr>
      <w:spacing w:before="120" w:after="240" w:line="276" w:lineRule="auto"/>
      <w:jc w:val="center"/>
    </w:pPr>
    <w:rPr>
      <w:rFonts w:ascii="Times New Roman" w:hAnsi="Times New Roman" w:cs="Times New Roman"/>
      <w:b/>
      <w:bCs/>
      <w:sz w:val="28"/>
      <w:szCs w:val="28"/>
      <w:lang w:val="de-DE" w:eastAsia="en-US"/>
    </w:rPr>
  </w:style>
  <w:style w:type="paragraph" w:styleId="TOC1">
    <w:name w:val="toc 1"/>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lang w:val="de-DE" w:eastAsia="en-US"/>
    </w:rPr>
  </w:style>
  <w:style w:type="paragraph" w:styleId="TOC2">
    <w:name w:val="toc 2"/>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lang w:val="de-DE" w:eastAsia="en-US"/>
    </w:rPr>
  </w:style>
  <w:style w:type="paragraph" w:styleId="TOC3">
    <w:name w:val="toc 3"/>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lang w:val="de-DE" w:eastAsia="en-US"/>
    </w:rPr>
  </w:style>
  <w:style w:type="paragraph" w:styleId="TOC4">
    <w:name w:val="toc 4"/>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lang w:val="de-DE" w:eastAsia="en-US"/>
    </w:rPr>
  </w:style>
  <w:style w:type="paragraph" w:styleId="TOC5">
    <w:name w:val="toc 5"/>
    <w:basedOn w:val="Normal"/>
    <w:next w:val="Normal"/>
    <w:uiPriority w:val="39"/>
    <w:semiHidden/>
    <w:unhideWhenUsed/>
    <w:rsid w:val="003734A7"/>
    <w:pPr>
      <w:tabs>
        <w:tab w:val="right" w:leader="dot" w:pos="9071"/>
      </w:tabs>
      <w:spacing w:before="300" w:after="120" w:line="276" w:lineRule="auto"/>
    </w:pPr>
    <w:rPr>
      <w:rFonts w:ascii="Times New Roman" w:hAnsi="Times New Roman" w:cs="Times New Roman"/>
      <w:lang w:val="de-DE" w:eastAsia="en-US"/>
    </w:rPr>
  </w:style>
  <w:style w:type="paragraph" w:styleId="TOC6">
    <w:name w:val="toc 6"/>
    <w:basedOn w:val="Normal"/>
    <w:next w:val="Normal"/>
    <w:uiPriority w:val="39"/>
    <w:semiHidden/>
    <w:unhideWhenUsed/>
    <w:rsid w:val="003734A7"/>
    <w:pPr>
      <w:tabs>
        <w:tab w:val="right" w:leader="dot" w:pos="9071"/>
      </w:tabs>
      <w:spacing w:before="240" w:after="120" w:line="276" w:lineRule="auto"/>
    </w:pPr>
    <w:rPr>
      <w:rFonts w:ascii="Times New Roman" w:hAnsi="Times New Roman" w:cs="Times New Roman"/>
      <w:lang w:val="de-DE" w:eastAsia="en-US"/>
    </w:rPr>
  </w:style>
  <w:style w:type="paragraph" w:styleId="TOC7">
    <w:name w:val="toc 7"/>
    <w:basedOn w:val="Normal"/>
    <w:next w:val="Normal"/>
    <w:uiPriority w:val="39"/>
    <w:semiHidden/>
    <w:unhideWhenUsed/>
    <w:rsid w:val="003734A7"/>
    <w:pPr>
      <w:tabs>
        <w:tab w:val="right" w:leader="dot" w:pos="9071"/>
      </w:tabs>
      <w:spacing w:before="180" w:after="120" w:line="276" w:lineRule="auto"/>
    </w:pPr>
    <w:rPr>
      <w:rFonts w:ascii="Times New Roman" w:hAnsi="Times New Roman" w:cs="Times New Roman"/>
      <w:lang w:val="de-DE" w:eastAsia="en-US"/>
    </w:rPr>
  </w:style>
  <w:style w:type="paragraph" w:styleId="TOC8">
    <w:name w:val="toc 8"/>
    <w:basedOn w:val="Normal"/>
    <w:next w:val="Normal"/>
    <w:uiPriority w:val="39"/>
    <w:semiHidden/>
    <w:unhideWhenUsed/>
    <w:rsid w:val="003734A7"/>
    <w:pPr>
      <w:tabs>
        <w:tab w:val="right" w:leader="dot" w:pos="9071"/>
      </w:tabs>
      <w:spacing w:before="120" w:after="120" w:line="276" w:lineRule="auto"/>
    </w:pPr>
    <w:rPr>
      <w:rFonts w:ascii="Times New Roman" w:hAnsi="Times New Roman" w:cs="Times New Roman"/>
      <w:lang w:val="de-DE" w:eastAsia="en-US"/>
    </w:rPr>
  </w:style>
  <w:style w:type="paragraph" w:styleId="TOC9">
    <w:name w:val="toc 9"/>
    <w:basedOn w:val="Normal"/>
    <w:next w:val="Normal"/>
    <w:uiPriority w:val="39"/>
    <w:semiHidden/>
    <w:unhideWhenUsed/>
    <w:rsid w:val="003734A7"/>
    <w:pPr>
      <w:tabs>
        <w:tab w:val="right" w:leader="dot" w:pos="9071"/>
      </w:tabs>
      <w:spacing w:before="120" w:after="120" w:line="276" w:lineRule="auto"/>
      <w:jc w:val="both"/>
    </w:pPr>
    <w:rPr>
      <w:rFonts w:ascii="Times New Roman" w:hAnsi="Times New Roman" w:cs="Times New Roman"/>
      <w:lang w:val="de-DE" w:eastAsia="en-US"/>
    </w:rPr>
  </w:style>
  <w:style w:type="paragraph" w:customStyle="1" w:styleId="HeaderLandscape">
    <w:name w:val="HeaderLandscape"/>
    <w:basedOn w:val="Normal"/>
    <w:uiPriority w:val="1"/>
    <w:rsid w:val="003734A7"/>
    <w:pPr>
      <w:tabs>
        <w:tab w:val="center" w:pos="7285"/>
        <w:tab w:val="right" w:pos="14003"/>
      </w:tabs>
      <w:spacing w:after="120" w:line="276" w:lineRule="auto"/>
      <w:jc w:val="both"/>
    </w:pPr>
    <w:rPr>
      <w:rFonts w:ascii="Times New Roman" w:hAnsi="Times New Roman" w:cs="Times New Roman"/>
      <w:lang w:val="de-DE" w:eastAsia="en-US"/>
    </w:rPr>
  </w:style>
  <w:style w:type="paragraph" w:customStyle="1" w:styleId="FooterLandscape">
    <w:name w:val="FooterLandscape"/>
    <w:basedOn w:val="Normal"/>
    <w:uiPriority w:val="1"/>
    <w:rsid w:val="003734A7"/>
    <w:pPr>
      <w:tabs>
        <w:tab w:val="center" w:pos="7285"/>
        <w:tab w:val="center" w:pos="10913"/>
        <w:tab w:val="right" w:pos="15137"/>
      </w:tabs>
      <w:spacing w:before="360" w:after="0" w:line="276" w:lineRule="auto"/>
      <w:ind w:left="-567" w:right="-567"/>
    </w:pPr>
    <w:rPr>
      <w:rFonts w:ascii="Times New Roman" w:hAnsi="Times New Roman" w:cs="Times New Roman"/>
      <w:lang w:val="de-DE" w:eastAsia="en-US"/>
    </w:rPr>
  </w:style>
  <w:style w:type="paragraph" w:customStyle="1" w:styleId="Text2">
    <w:name w:val="Text 2"/>
    <w:basedOn w:val="Normal"/>
    <w:uiPriority w:val="1"/>
    <w:rsid w:val="003734A7"/>
    <w:pPr>
      <w:spacing w:before="120" w:after="120" w:line="276" w:lineRule="auto"/>
      <w:ind w:left="1417"/>
      <w:jc w:val="both"/>
    </w:pPr>
    <w:rPr>
      <w:rFonts w:ascii="Times New Roman" w:hAnsi="Times New Roman" w:cs="Times New Roman"/>
      <w:lang w:val="de-DE" w:eastAsia="en-US"/>
    </w:rPr>
  </w:style>
  <w:style w:type="paragraph" w:customStyle="1" w:styleId="Text3">
    <w:name w:val="Text 3"/>
    <w:basedOn w:val="Normal"/>
    <w:uiPriority w:val="1"/>
    <w:rsid w:val="003734A7"/>
    <w:pPr>
      <w:spacing w:before="120" w:after="120" w:line="276" w:lineRule="auto"/>
      <w:ind w:left="1984"/>
      <w:jc w:val="both"/>
    </w:pPr>
    <w:rPr>
      <w:rFonts w:ascii="Times New Roman" w:hAnsi="Times New Roman" w:cs="Times New Roman"/>
      <w:lang w:val="de-DE" w:eastAsia="en-US"/>
    </w:rPr>
  </w:style>
  <w:style w:type="paragraph" w:customStyle="1" w:styleId="Text4">
    <w:name w:val="Text 4"/>
    <w:basedOn w:val="Normal"/>
    <w:uiPriority w:val="1"/>
    <w:rsid w:val="003734A7"/>
    <w:pPr>
      <w:spacing w:before="120" w:after="120" w:line="276" w:lineRule="auto"/>
      <w:ind w:left="2551"/>
      <w:jc w:val="both"/>
    </w:pPr>
    <w:rPr>
      <w:rFonts w:ascii="Times New Roman" w:hAnsi="Times New Roman" w:cs="Times New Roman"/>
      <w:lang w:val="de-DE" w:eastAsia="en-US"/>
    </w:rPr>
  </w:style>
  <w:style w:type="paragraph" w:customStyle="1" w:styleId="NormalCentered">
    <w:name w:val="Normal Centered"/>
    <w:basedOn w:val="Normal"/>
    <w:uiPriority w:val="1"/>
    <w:rsid w:val="003734A7"/>
    <w:pPr>
      <w:spacing w:before="120" w:after="120" w:line="276" w:lineRule="auto"/>
      <w:jc w:val="center"/>
    </w:pPr>
    <w:rPr>
      <w:rFonts w:ascii="Times New Roman" w:hAnsi="Times New Roman" w:cs="Times New Roman"/>
      <w:lang w:val="de-DE" w:eastAsia="en-US"/>
    </w:rPr>
  </w:style>
  <w:style w:type="paragraph" w:customStyle="1" w:styleId="NormalLeft">
    <w:name w:val="Normal Left"/>
    <w:basedOn w:val="Normal"/>
    <w:uiPriority w:val="1"/>
    <w:rsid w:val="003734A7"/>
    <w:pPr>
      <w:spacing w:before="120" w:after="120" w:line="276" w:lineRule="auto"/>
    </w:pPr>
    <w:rPr>
      <w:rFonts w:ascii="Times New Roman" w:hAnsi="Times New Roman" w:cs="Times New Roman"/>
      <w:lang w:val="de-DE" w:eastAsia="en-US"/>
    </w:rPr>
  </w:style>
  <w:style w:type="paragraph" w:customStyle="1" w:styleId="NormalRight">
    <w:name w:val="Normal Right"/>
    <w:basedOn w:val="Normal"/>
    <w:uiPriority w:val="1"/>
    <w:rsid w:val="003734A7"/>
    <w:pPr>
      <w:spacing w:before="120" w:after="120" w:line="276" w:lineRule="auto"/>
      <w:jc w:val="right"/>
    </w:pPr>
    <w:rPr>
      <w:rFonts w:ascii="Times New Roman" w:hAnsi="Times New Roman" w:cs="Times New Roman"/>
      <w:lang w:val="de-DE" w:eastAsia="en-US"/>
    </w:rPr>
  </w:style>
  <w:style w:type="paragraph" w:customStyle="1" w:styleId="QuotedText">
    <w:name w:val="Quoted Text"/>
    <w:basedOn w:val="Normal"/>
    <w:uiPriority w:val="1"/>
    <w:rsid w:val="003734A7"/>
    <w:pPr>
      <w:spacing w:before="120" w:after="120" w:line="276" w:lineRule="auto"/>
      <w:ind w:left="1417"/>
      <w:jc w:val="both"/>
    </w:pPr>
    <w:rPr>
      <w:rFonts w:ascii="Times New Roman" w:hAnsi="Times New Roman" w:cs="Times New Roman"/>
      <w:lang w:val="de-DE" w:eastAsia="en-US"/>
    </w:rPr>
  </w:style>
  <w:style w:type="paragraph" w:customStyle="1" w:styleId="Point0">
    <w:name w:val="Point 0"/>
    <w:basedOn w:val="Normal"/>
    <w:uiPriority w:val="1"/>
    <w:rsid w:val="003734A7"/>
    <w:pPr>
      <w:spacing w:before="120" w:after="120" w:line="276" w:lineRule="auto"/>
      <w:ind w:left="850" w:hanging="850"/>
      <w:jc w:val="both"/>
    </w:pPr>
    <w:rPr>
      <w:rFonts w:ascii="Times New Roman" w:hAnsi="Times New Roman" w:cs="Times New Roman"/>
      <w:lang w:val="de-DE" w:eastAsia="en-US"/>
    </w:rPr>
  </w:style>
  <w:style w:type="paragraph" w:customStyle="1" w:styleId="Point1">
    <w:name w:val="Point 1"/>
    <w:basedOn w:val="Normal"/>
    <w:uiPriority w:val="1"/>
    <w:rsid w:val="003734A7"/>
    <w:pPr>
      <w:spacing w:before="120" w:after="120" w:line="276" w:lineRule="auto"/>
      <w:ind w:left="1417" w:hanging="567"/>
      <w:jc w:val="both"/>
    </w:pPr>
    <w:rPr>
      <w:rFonts w:ascii="Times New Roman" w:hAnsi="Times New Roman" w:cs="Times New Roman"/>
      <w:lang w:val="de-DE" w:eastAsia="en-US"/>
    </w:rPr>
  </w:style>
  <w:style w:type="paragraph" w:customStyle="1" w:styleId="Point2">
    <w:name w:val="Point 2"/>
    <w:basedOn w:val="Normal"/>
    <w:uiPriority w:val="1"/>
    <w:rsid w:val="003734A7"/>
    <w:pPr>
      <w:spacing w:before="120" w:after="120" w:line="276" w:lineRule="auto"/>
      <w:ind w:left="1984" w:hanging="567"/>
      <w:jc w:val="both"/>
    </w:pPr>
    <w:rPr>
      <w:rFonts w:ascii="Times New Roman" w:hAnsi="Times New Roman" w:cs="Times New Roman"/>
      <w:lang w:val="de-DE" w:eastAsia="en-US"/>
    </w:rPr>
  </w:style>
  <w:style w:type="paragraph" w:customStyle="1" w:styleId="Point3">
    <w:name w:val="Point 3"/>
    <w:basedOn w:val="Normal"/>
    <w:uiPriority w:val="1"/>
    <w:rsid w:val="003734A7"/>
    <w:pPr>
      <w:spacing w:before="120" w:after="120" w:line="276" w:lineRule="auto"/>
      <w:ind w:left="2551" w:hanging="567"/>
      <w:jc w:val="both"/>
    </w:pPr>
    <w:rPr>
      <w:rFonts w:ascii="Times New Roman" w:hAnsi="Times New Roman" w:cs="Times New Roman"/>
      <w:lang w:val="de-DE" w:eastAsia="en-US"/>
    </w:rPr>
  </w:style>
  <w:style w:type="paragraph" w:customStyle="1" w:styleId="Point4">
    <w:name w:val="Point 4"/>
    <w:basedOn w:val="Normal"/>
    <w:uiPriority w:val="1"/>
    <w:rsid w:val="003734A7"/>
    <w:pPr>
      <w:spacing w:before="120" w:after="120" w:line="276" w:lineRule="auto"/>
      <w:ind w:left="3118" w:hanging="567"/>
      <w:jc w:val="both"/>
    </w:pPr>
    <w:rPr>
      <w:rFonts w:ascii="Times New Roman" w:hAnsi="Times New Roman" w:cs="Times New Roman"/>
      <w:lang w:val="de-DE" w:eastAsia="en-US"/>
    </w:rPr>
  </w:style>
  <w:style w:type="paragraph" w:customStyle="1" w:styleId="Tiret0">
    <w:name w:val="Tiret 0"/>
    <w:basedOn w:val="Point0"/>
    <w:uiPriority w:val="1"/>
    <w:rsid w:val="003734A7"/>
    <w:pPr>
      <w:numPr>
        <w:numId w:val="6"/>
      </w:numPr>
      <w:tabs>
        <w:tab w:val="clear" w:pos="850"/>
      </w:tabs>
      <w:ind w:left="0" w:firstLine="0"/>
    </w:pPr>
  </w:style>
  <w:style w:type="paragraph" w:customStyle="1" w:styleId="Tiret1">
    <w:name w:val="Tiret 1"/>
    <w:basedOn w:val="Point1"/>
    <w:uiPriority w:val="1"/>
    <w:rsid w:val="003734A7"/>
    <w:pPr>
      <w:numPr>
        <w:numId w:val="7"/>
      </w:numPr>
      <w:tabs>
        <w:tab w:val="clear" w:pos="1417"/>
      </w:tabs>
      <w:ind w:left="0" w:firstLine="0"/>
    </w:pPr>
  </w:style>
  <w:style w:type="paragraph" w:customStyle="1" w:styleId="Tiret2">
    <w:name w:val="Tiret 2"/>
    <w:basedOn w:val="Point2"/>
    <w:uiPriority w:val="1"/>
    <w:rsid w:val="003734A7"/>
    <w:pPr>
      <w:numPr>
        <w:numId w:val="8"/>
      </w:numPr>
      <w:tabs>
        <w:tab w:val="clear" w:pos="1984"/>
      </w:tabs>
      <w:ind w:left="0" w:firstLine="0"/>
    </w:pPr>
  </w:style>
  <w:style w:type="paragraph" w:customStyle="1" w:styleId="Tiret3">
    <w:name w:val="Tiret 3"/>
    <w:basedOn w:val="Point3"/>
    <w:uiPriority w:val="1"/>
    <w:rsid w:val="003734A7"/>
    <w:pPr>
      <w:numPr>
        <w:numId w:val="9"/>
      </w:numPr>
      <w:tabs>
        <w:tab w:val="clear" w:pos="2551"/>
      </w:tabs>
      <w:ind w:left="0" w:firstLine="0"/>
    </w:pPr>
  </w:style>
  <w:style w:type="paragraph" w:customStyle="1" w:styleId="Tiret4">
    <w:name w:val="Tiret 4"/>
    <w:basedOn w:val="Point4"/>
    <w:uiPriority w:val="1"/>
    <w:rsid w:val="003734A7"/>
    <w:pPr>
      <w:numPr>
        <w:numId w:val="10"/>
      </w:numPr>
      <w:tabs>
        <w:tab w:val="clear" w:pos="3118"/>
      </w:tabs>
      <w:ind w:left="0" w:firstLine="0"/>
    </w:pPr>
  </w:style>
  <w:style w:type="paragraph" w:customStyle="1" w:styleId="PointDouble0">
    <w:name w:val="PointDouble 0"/>
    <w:basedOn w:val="Normal"/>
    <w:uiPriority w:val="1"/>
    <w:rsid w:val="003734A7"/>
    <w:pPr>
      <w:tabs>
        <w:tab w:val="left" w:pos="850"/>
      </w:tabs>
      <w:spacing w:before="120" w:after="120" w:line="276" w:lineRule="auto"/>
      <w:ind w:left="1417" w:hanging="1417"/>
      <w:jc w:val="both"/>
    </w:pPr>
    <w:rPr>
      <w:rFonts w:ascii="Times New Roman" w:hAnsi="Times New Roman" w:cs="Times New Roman"/>
      <w:lang w:val="de-DE" w:eastAsia="en-US"/>
    </w:rPr>
  </w:style>
  <w:style w:type="paragraph" w:customStyle="1" w:styleId="PointDouble1">
    <w:name w:val="PointDouble 1"/>
    <w:basedOn w:val="Normal"/>
    <w:uiPriority w:val="1"/>
    <w:rsid w:val="003734A7"/>
    <w:pPr>
      <w:tabs>
        <w:tab w:val="left" w:pos="1417"/>
      </w:tabs>
      <w:spacing w:before="120" w:after="120" w:line="276" w:lineRule="auto"/>
      <w:ind w:left="1984" w:hanging="1134"/>
      <w:jc w:val="both"/>
    </w:pPr>
    <w:rPr>
      <w:rFonts w:ascii="Times New Roman" w:hAnsi="Times New Roman" w:cs="Times New Roman"/>
      <w:lang w:val="de-DE" w:eastAsia="en-US"/>
    </w:rPr>
  </w:style>
  <w:style w:type="paragraph" w:customStyle="1" w:styleId="PointDouble2">
    <w:name w:val="PointDouble 2"/>
    <w:basedOn w:val="Normal"/>
    <w:uiPriority w:val="1"/>
    <w:rsid w:val="003734A7"/>
    <w:pPr>
      <w:tabs>
        <w:tab w:val="left" w:pos="1984"/>
      </w:tabs>
      <w:spacing w:before="120" w:after="120" w:line="276" w:lineRule="auto"/>
      <w:ind w:left="2551" w:hanging="1134"/>
      <w:jc w:val="both"/>
    </w:pPr>
    <w:rPr>
      <w:rFonts w:ascii="Times New Roman" w:hAnsi="Times New Roman" w:cs="Times New Roman"/>
      <w:lang w:val="de-DE" w:eastAsia="en-US"/>
    </w:rPr>
  </w:style>
  <w:style w:type="paragraph" w:customStyle="1" w:styleId="PointDouble3">
    <w:name w:val="PointDouble 3"/>
    <w:basedOn w:val="Normal"/>
    <w:uiPriority w:val="1"/>
    <w:rsid w:val="003734A7"/>
    <w:pPr>
      <w:tabs>
        <w:tab w:val="left" w:pos="2551"/>
      </w:tabs>
      <w:spacing w:before="120" w:after="120" w:line="276" w:lineRule="auto"/>
      <w:ind w:left="3118" w:hanging="1134"/>
      <w:jc w:val="both"/>
    </w:pPr>
    <w:rPr>
      <w:rFonts w:ascii="Times New Roman" w:hAnsi="Times New Roman" w:cs="Times New Roman"/>
      <w:lang w:val="de-DE" w:eastAsia="en-US"/>
    </w:rPr>
  </w:style>
  <w:style w:type="paragraph" w:customStyle="1" w:styleId="PointDouble4">
    <w:name w:val="PointDouble 4"/>
    <w:basedOn w:val="Normal"/>
    <w:uiPriority w:val="1"/>
    <w:rsid w:val="003734A7"/>
    <w:pPr>
      <w:tabs>
        <w:tab w:val="left" w:pos="3118"/>
      </w:tabs>
      <w:spacing w:before="120" w:after="120" w:line="276" w:lineRule="auto"/>
      <w:ind w:left="3685" w:hanging="1134"/>
      <w:jc w:val="both"/>
    </w:pPr>
    <w:rPr>
      <w:rFonts w:ascii="Times New Roman" w:hAnsi="Times New Roman" w:cs="Times New Roman"/>
      <w:lang w:val="de-DE" w:eastAsia="en-US"/>
    </w:rPr>
  </w:style>
  <w:style w:type="paragraph" w:customStyle="1" w:styleId="PointTriple0">
    <w:name w:val="PointTriple 0"/>
    <w:basedOn w:val="Normal"/>
    <w:uiPriority w:val="1"/>
    <w:rsid w:val="003734A7"/>
    <w:pPr>
      <w:tabs>
        <w:tab w:val="left" w:pos="850"/>
        <w:tab w:val="left" w:pos="1417"/>
      </w:tabs>
      <w:spacing w:before="120" w:after="120" w:line="276" w:lineRule="auto"/>
      <w:ind w:left="1984" w:hanging="1984"/>
      <w:jc w:val="both"/>
    </w:pPr>
    <w:rPr>
      <w:rFonts w:ascii="Times New Roman" w:hAnsi="Times New Roman" w:cs="Times New Roman"/>
      <w:lang w:val="de-DE" w:eastAsia="en-US"/>
    </w:rPr>
  </w:style>
  <w:style w:type="paragraph" w:customStyle="1" w:styleId="PointTriple1">
    <w:name w:val="PointTriple 1"/>
    <w:basedOn w:val="Normal"/>
    <w:uiPriority w:val="1"/>
    <w:rsid w:val="003734A7"/>
    <w:pPr>
      <w:tabs>
        <w:tab w:val="left" w:pos="1417"/>
        <w:tab w:val="left" w:pos="1984"/>
      </w:tabs>
      <w:spacing w:before="120" w:after="120" w:line="276" w:lineRule="auto"/>
      <w:ind w:left="2551" w:hanging="1701"/>
      <w:jc w:val="both"/>
    </w:pPr>
    <w:rPr>
      <w:rFonts w:ascii="Times New Roman" w:hAnsi="Times New Roman" w:cs="Times New Roman"/>
      <w:lang w:val="de-DE" w:eastAsia="en-US"/>
    </w:rPr>
  </w:style>
  <w:style w:type="paragraph" w:customStyle="1" w:styleId="PointTriple2">
    <w:name w:val="PointTriple 2"/>
    <w:basedOn w:val="Normal"/>
    <w:uiPriority w:val="1"/>
    <w:rsid w:val="003734A7"/>
    <w:pPr>
      <w:tabs>
        <w:tab w:val="left" w:pos="1984"/>
        <w:tab w:val="left" w:pos="2551"/>
      </w:tabs>
      <w:spacing w:before="120" w:after="120" w:line="276" w:lineRule="auto"/>
      <w:ind w:left="3118" w:hanging="1701"/>
      <w:jc w:val="both"/>
    </w:pPr>
    <w:rPr>
      <w:rFonts w:ascii="Times New Roman" w:hAnsi="Times New Roman" w:cs="Times New Roman"/>
      <w:lang w:val="de-DE" w:eastAsia="en-US"/>
    </w:rPr>
  </w:style>
  <w:style w:type="paragraph" w:customStyle="1" w:styleId="PointTriple3">
    <w:name w:val="PointTriple 3"/>
    <w:basedOn w:val="Normal"/>
    <w:uiPriority w:val="1"/>
    <w:rsid w:val="003734A7"/>
    <w:pPr>
      <w:tabs>
        <w:tab w:val="left" w:pos="2551"/>
        <w:tab w:val="left" w:pos="3118"/>
      </w:tabs>
      <w:spacing w:before="120" w:after="120" w:line="276" w:lineRule="auto"/>
      <w:ind w:left="3685" w:hanging="1701"/>
      <w:jc w:val="both"/>
    </w:pPr>
    <w:rPr>
      <w:rFonts w:ascii="Times New Roman" w:hAnsi="Times New Roman" w:cs="Times New Roman"/>
      <w:lang w:val="de-DE" w:eastAsia="en-US"/>
    </w:rPr>
  </w:style>
  <w:style w:type="paragraph" w:customStyle="1" w:styleId="PointTriple4">
    <w:name w:val="PointTriple 4"/>
    <w:basedOn w:val="Normal"/>
    <w:uiPriority w:val="1"/>
    <w:rsid w:val="003734A7"/>
    <w:pPr>
      <w:tabs>
        <w:tab w:val="left" w:pos="3118"/>
        <w:tab w:val="left" w:pos="3685"/>
      </w:tabs>
      <w:spacing w:before="120" w:after="120" w:line="276" w:lineRule="auto"/>
      <w:ind w:left="4252" w:hanging="1701"/>
      <w:jc w:val="both"/>
    </w:pPr>
    <w:rPr>
      <w:rFonts w:ascii="Times New Roman" w:hAnsi="Times New Roman" w:cs="Times New Roman"/>
      <w:lang w:val="de-DE" w:eastAsia="en-US"/>
    </w:rPr>
  </w:style>
  <w:style w:type="paragraph" w:customStyle="1" w:styleId="NumPar1">
    <w:name w:val="NumPar 1"/>
    <w:basedOn w:val="Normal"/>
    <w:next w:val="Text1"/>
    <w:uiPriority w:val="1"/>
    <w:rsid w:val="003734A7"/>
    <w:pPr>
      <w:numPr>
        <w:numId w:val="11"/>
      </w:numPr>
      <w:tabs>
        <w:tab w:val="clear" w:pos="850"/>
      </w:tabs>
      <w:spacing w:before="120" w:after="120" w:line="276" w:lineRule="auto"/>
      <w:ind w:left="0" w:firstLine="0"/>
      <w:jc w:val="both"/>
    </w:pPr>
    <w:rPr>
      <w:rFonts w:ascii="Times New Roman" w:hAnsi="Times New Roman" w:cs="Times New Roman"/>
      <w:lang w:val="de-DE" w:eastAsia="en-US"/>
    </w:rPr>
  </w:style>
  <w:style w:type="paragraph" w:customStyle="1" w:styleId="NumPar2">
    <w:name w:val="NumPar 2"/>
    <w:basedOn w:val="Normal"/>
    <w:next w:val="Text1"/>
    <w:uiPriority w:val="1"/>
    <w:rsid w:val="003734A7"/>
    <w:pPr>
      <w:numPr>
        <w:ilvl w:val="1"/>
        <w:numId w:val="11"/>
      </w:numPr>
      <w:tabs>
        <w:tab w:val="clear" w:pos="850"/>
      </w:tabs>
      <w:spacing w:before="120" w:after="120" w:line="276" w:lineRule="auto"/>
      <w:ind w:left="0" w:firstLine="0"/>
      <w:jc w:val="both"/>
    </w:pPr>
    <w:rPr>
      <w:rFonts w:ascii="Times New Roman" w:hAnsi="Times New Roman" w:cs="Times New Roman"/>
      <w:lang w:val="de-DE" w:eastAsia="en-US"/>
    </w:rPr>
  </w:style>
  <w:style w:type="paragraph" w:customStyle="1" w:styleId="NumPar3">
    <w:name w:val="NumPar 3"/>
    <w:basedOn w:val="Normal"/>
    <w:next w:val="Text1"/>
    <w:uiPriority w:val="1"/>
    <w:rsid w:val="003734A7"/>
    <w:pPr>
      <w:numPr>
        <w:ilvl w:val="2"/>
        <w:numId w:val="11"/>
      </w:numPr>
      <w:tabs>
        <w:tab w:val="clear" w:pos="850"/>
      </w:tabs>
      <w:spacing w:before="120" w:after="120" w:line="276" w:lineRule="auto"/>
      <w:ind w:left="0" w:firstLine="0"/>
      <w:jc w:val="both"/>
    </w:pPr>
    <w:rPr>
      <w:rFonts w:ascii="Times New Roman" w:hAnsi="Times New Roman" w:cs="Times New Roman"/>
      <w:lang w:val="de-DE" w:eastAsia="en-US"/>
    </w:rPr>
  </w:style>
  <w:style w:type="paragraph" w:customStyle="1" w:styleId="NumPar4">
    <w:name w:val="NumPar 4"/>
    <w:basedOn w:val="Normal"/>
    <w:next w:val="Text1"/>
    <w:uiPriority w:val="1"/>
    <w:rsid w:val="003734A7"/>
    <w:pPr>
      <w:numPr>
        <w:ilvl w:val="3"/>
        <w:numId w:val="11"/>
      </w:numPr>
      <w:tabs>
        <w:tab w:val="clear" w:pos="850"/>
      </w:tabs>
      <w:spacing w:before="120" w:after="120" w:line="276" w:lineRule="auto"/>
      <w:ind w:left="0" w:firstLine="0"/>
      <w:jc w:val="both"/>
    </w:pPr>
    <w:rPr>
      <w:rFonts w:ascii="Times New Roman" w:hAnsi="Times New Roman" w:cs="Times New Roman"/>
      <w:lang w:val="de-DE" w:eastAsia="en-US"/>
    </w:rPr>
  </w:style>
  <w:style w:type="paragraph" w:customStyle="1" w:styleId="ManualNumPar1">
    <w:name w:val="Manual NumPar 1"/>
    <w:basedOn w:val="Normal"/>
    <w:next w:val="Text1"/>
    <w:uiPriority w:val="1"/>
    <w:rsid w:val="003734A7"/>
    <w:pPr>
      <w:spacing w:before="120" w:after="120" w:line="276" w:lineRule="auto"/>
      <w:ind w:left="850" w:hanging="850"/>
      <w:jc w:val="both"/>
    </w:pPr>
    <w:rPr>
      <w:rFonts w:ascii="Times New Roman" w:hAnsi="Times New Roman" w:cs="Times New Roman"/>
      <w:lang w:val="de-DE" w:eastAsia="en-US"/>
    </w:rPr>
  </w:style>
  <w:style w:type="paragraph" w:customStyle="1" w:styleId="ManualNumPar2">
    <w:name w:val="Manual NumPar 2"/>
    <w:basedOn w:val="Normal"/>
    <w:next w:val="Text1"/>
    <w:uiPriority w:val="1"/>
    <w:rsid w:val="003734A7"/>
    <w:pPr>
      <w:spacing w:before="120" w:after="120" w:line="276" w:lineRule="auto"/>
      <w:ind w:left="850" w:hanging="850"/>
      <w:jc w:val="both"/>
    </w:pPr>
    <w:rPr>
      <w:rFonts w:ascii="Times New Roman" w:hAnsi="Times New Roman" w:cs="Times New Roman"/>
      <w:lang w:val="de-DE" w:eastAsia="en-US"/>
    </w:rPr>
  </w:style>
  <w:style w:type="paragraph" w:customStyle="1" w:styleId="ManualNumPar3">
    <w:name w:val="Manual NumPar 3"/>
    <w:basedOn w:val="Normal"/>
    <w:next w:val="Text1"/>
    <w:uiPriority w:val="1"/>
    <w:rsid w:val="003734A7"/>
    <w:pPr>
      <w:spacing w:before="120" w:after="120" w:line="276" w:lineRule="auto"/>
      <w:ind w:left="850" w:hanging="850"/>
      <w:jc w:val="both"/>
    </w:pPr>
    <w:rPr>
      <w:rFonts w:ascii="Times New Roman" w:hAnsi="Times New Roman" w:cs="Times New Roman"/>
      <w:lang w:val="de-DE" w:eastAsia="en-US"/>
    </w:rPr>
  </w:style>
  <w:style w:type="paragraph" w:customStyle="1" w:styleId="ManualNumPar4">
    <w:name w:val="Manual NumPar 4"/>
    <w:basedOn w:val="Normal"/>
    <w:next w:val="Text1"/>
    <w:uiPriority w:val="1"/>
    <w:rsid w:val="003734A7"/>
    <w:pPr>
      <w:spacing w:before="120" w:after="120" w:line="276" w:lineRule="auto"/>
      <w:ind w:left="850" w:hanging="850"/>
      <w:jc w:val="both"/>
    </w:pPr>
    <w:rPr>
      <w:rFonts w:ascii="Times New Roman" w:hAnsi="Times New Roman" w:cs="Times New Roman"/>
      <w:lang w:val="de-DE" w:eastAsia="en-US"/>
    </w:rPr>
  </w:style>
  <w:style w:type="paragraph" w:customStyle="1" w:styleId="QuotedNumPar">
    <w:name w:val="Quoted NumPar"/>
    <w:basedOn w:val="Normal"/>
    <w:uiPriority w:val="1"/>
    <w:rsid w:val="003734A7"/>
    <w:pPr>
      <w:spacing w:before="120" w:after="120" w:line="276" w:lineRule="auto"/>
      <w:ind w:left="1417" w:hanging="567"/>
      <w:jc w:val="both"/>
    </w:pPr>
    <w:rPr>
      <w:rFonts w:ascii="Times New Roman" w:hAnsi="Times New Roman" w:cs="Times New Roman"/>
      <w:lang w:val="de-DE" w:eastAsia="en-US"/>
    </w:rPr>
  </w:style>
  <w:style w:type="paragraph" w:customStyle="1" w:styleId="ManualHeading1">
    <w:name w:val="Manual Heading 1"/>
    <w:basedOn w:val="Normal"/>
    <w:next w:val="Text1"/>
    <w:uiPriority w:val="1"/>
    <w:rsid w:val="003734A7"/>
    <w:pPr>
      <w:keepNext/>
      <w:tabs>
        <w:tab w:val="left" w:pos="850"/>
      </w:tabs>
      <w:spacing w:before="360" w:after="120" w:line="276" w:lineRule="auto"/>
      <w:ind w:left="850" w:hanging="850"/>
      <w:jc w:val="both"/>
      <w:outlineLvl w:val="0"/>
    </w:pPr>
    <w:rPr>
      <w:rFonts w:ascii="Times New Roman" w:hAnsi="Times New Roman" w:cs="Times New Roman"/>
      <w:b/>
      <w:bCs/>
      <w:smallCaps/>
      <w:lang w:val="de-DE" w:eastAsia="en-US"/>
    </w:rPr>
  </w:style>
  <w:style w:type="paragraph" w:customStyle="1" w:styleId="ManualHeading2">
    <w:name w:val="Manual Heading 2"/>
    <w:basedOn w:val="Normal"/>
    <w:next w:val="Text1"/>
    <w:uiPriority w:val="1"/>
    <w:rsid w:val="003734A7"/>
    <w:pPr>
      <w:keepNext/>
      <w:tabs>
        <w:tab w:val="left" w:pos="850"/>
      </w:tabs>
      <w:spacing w:before="120" w:after="120" w:line="276" w:lineRule="auto"/>
      <w:ind w:left="850" w:hanging="850"/>
      <w:jc w:val="both"/>
      <w:outlineLvl w:val="1"/>
    </w:pPr>
    <w:rPr>
      <w:rFonts w:ascii="Times New Roman" w:hAnsi="Times New Roman" w:cs="Times New Roman"/>
      <w:b/>
      <w:bCs/>
      <w:lang w:val="de-DE" w:eastAsia="en-US"/>
    </w:rPr>
  </w:style>
  <w:style w:type="paragraph" w:customStyle="1" w:styleId="ManualHeading3">
    <w:name w:val="Manual Heading 3"/>
    <w:basedOn w:val="Normal"/>
    <w:next w:val="Text1"/>
    <w:uiPriority w:val="1"/>
    <w:rsid w:val="003734A7"/>
    <w:pPr>
      <w:keepNext/>
      <w:tabs>
        <w:tab w:val="left" w:pos="850"/>
      </w:tabs>
      <w:spacing w:before="120" w:after="120" w:line="276" w:lineRule="auto"/>
      <w:ind w:left="850" w:hanging="850"/>
      <w:jc w:val="both"/>
      <w:outlineLvl w:val="2"/>
    </w:pPr>
    <w:rPr>
      <w:rFonts w:ascii="Times New Roman" w:hAnsi="Times New Roman" w:cs="Times New Roman"/>
      <w:i/>
      <w:iCs/>
      <w:lang w:val="de-DE" w:eastAsia="en-US"/>
    </w:rPr>
  </w:style>
  <w:style w:type="paragraph" w:customStyle="1" w:styleId="ManualHeading4">
    <w:name w:val="Manual Heading 4"/>
    <w:basedOn w:val="Normal"/>
    <w:next w:val="Text1"/>
    <w:uiPriority w:val="1"/>
    <w:rsid w:val="003734A7"/>
    <w:pPr>
      <w:keepNext/>
      <w:tabs>
        <w:tab w:val="left" w:pos="850"/>
      </w:tabs>
      <w:spacing w:before="120" w:after="120" w:line="276" w:lineRule="auto"/>
      <w:ind w:left="850" w:hanging="850"/>
      <w:jc w:val="both"/>
      <w:outlineLvl w:val="3"/>
    </w:pPr>
    <w:rPr>
      <w:rFonts w:ascii="Times New Roman" w:hAnsi="Times New Roman" w:cs="Times New Roman"/>
      <w:lang w:val="de-DE" w:eastAsia="en-US"/>
    </w:rPr>
  </w:style>
  <w:style w:type="paragraph" w:customStyle="1" w:styleId="ChapterTitle">
    <w:name w:val="ChapterTitle"/>
    <w:basedOn w:val="Normal"/>
    <w:next w:val="Normal"/>
    <w:uiPriority w:val="1"/>
    <w:rsid w:val="003734A7"/>
    <w:pPr>
      <w:keepNext/>
      <w:spacing w:before="120" w:after="360" w:line="276" w:lineRule="auto"/>
      <w:jc w:val="center"/>
    </w:pPr>
    <w:rPr>
      <w:rFonts w:ascii="Times New Roman" w:hAnsi="Times New Roman" w:cs="Times New Roman"/>
      <w:b/>
      <w:bCs/>
      <w:sz w:val="32"/>
      <w:szCs w:val="32"/>
      <w:lang w:val="de-DE" w:eastAsia="en-US"/>
    </w:rPr>
  </w:style>
  <w:style w:type="paragraph" w:customStyle="1" w:styleId="PartTitle">
    <w:name w:val="PartTitle"/>
    <w:basedOn w:val="Normal"/>
    <w:next w:val="ChapterTitle"/>
    <w:uiPriority w:val="1"/>
    <w:rsid w:val="003734A7"/>
    <w:pPr>
      <w:keepNext/>
      <w:spacing w:before="120" w:after="360" w:line="276" w:lineRule="auto"/>
      <w:jc w:val="center"/>
    </w:pPr>
    <w:rPr>
      <w:rFonts w:ascii="Times New Roman" w:hAnsi="Times New Roman" w:cs="Times New Roman"/>
      <w:b/>
      <w:bCs/>
      <w:sz w:val="36"/>
      <w:szCs w:val="36"/>
      <w:lang w:val="de-DE" w:eastAsia="en-US"/>
    </w:rPr>
  </w:style>
  <w:style w:type="paragraph" w:customStyle="1" w:styleId="SectionTitle">
    <w:name w:val="SectionTitle"/>
    <w:basedOn w:val="Normal"/>
    <w:next w:val="Heading1"/>
    <w:uiPriority w:val="1"/>
    <w:rsid w:val="003734A7"/>
    <w:pPr>
      <w:keepNext/>
      <w:spacing w:before="120" w:after="360" w:line="276" w:lineRule="auto"/>
      <w:jc w:val="center"/>
    </w:pPr>
    <w:rPr>
      <w:rFonts w:ascii="Times New Roman" w:hAnsi="Times New Roman" w:cs="Times New Roman"/>
      <w:b/>
      <w:bCs/>
      <w:smallCaps/>
      <w:sz w:val="28"/>
      <w:szCs w:val="28"/>
      <w:lang w:val="de-DE" w:eastAsia="en-US"/>
    </w:rPr>
  </w:style>
  <w:style w:type="paragraph" w:customStyle="1" w:styleId="TableTitle">
    <w:name w:val="Table Title"/>
    <w:basedOn w:val="Normal"/>
    <w:next w:val="Normal"/>
    <w:uiPriority w:val="1"/>
    <w:rsid w:val="003734A7"/>
    <w:pPr>
      <w:spacing w:before="120" w:after="120" w:line="276" w:lineRule="auto"/>
      <w:jc w:val="center"/>
    </w:pPr>
    <w:rPr>
      <w:rFonts w:ascii="Times New Roman" w:hAnsi="Times New Roman" w:cs="Times New Roman"/>
      <w:b/>
      <w:bCs/>
      <w:lang w:val="de-DE" w:eastAsia="en-US"/>
    </w:rPr>
  </w:style>
  <w:style w:type="character" w:customStyle="1" w:styleId="Marker1">
    <w:name w:val="Marker1"/>
    <w:basedOn w:val="DefaultParagraphFont"/>
    <w:rsid w:val="003734A7"/>
    <w:rPr>
      <w:color w:val="008000"/>
      <w:shd w:val="clear" w:color="auto" w:fill="auto"/>
    </w:rPr>
  </w:style>
  <w:style w:type="character" w:customStyle="1" w:styleId="Marker2">
    <w:name w:val="Marker2"/>
    <w:basedOn w:val="DefaultParagraphFont"/>
    <w:rsid w:val="003734A7"/>
    <w:rPr>
      <w:color w:val="FF0000"/>
      <w:shd w:val="clear" w:color="auto" w:fill="auto"/>
    </w:rPr>
  </w:style>
  <w:style w:type="paragraph" w:customStyle="1" w:styleId="Point0number">
    <w:name w:val="Point 0 (number)"/>
    <w:basedOn w:val="Normal"/>
    <w:uiPriority w:val="1"/>
    <w:rsid w:val="003734A7"/>
    <w:pPr>
      <w:numPr>
        <w:numId w:val="12"/>
      </w:numPr>
      <w:tabs>
        <w:tab w:val="clear" w:pos="850"/>
      </w:tabs>
      <w:spacing w:before="120" w:after="120" w:line="276" w:lineRule="auto"/>
      <w:ind w:left="0" w:firstLine="0"/>
      <w:jc w:val="both"/>
    </w:pPr>
    <w:rPr>
      <w:rFonts w:ascii="Times New Roman" w:hAnsi="Times New Roman" w:cs="Times New Roman"/>
      <w:lang w:val="de-DE" w:eastAsia="en-US"/>
    </w:rPr>
  </w:style>
  <w:style w:type="paragraph" w:customStyle="1" w:styleId="Point1number">
    <w:name w:val="Point 1 (number)"/>
    <w:basedOn w:val="Normal"/>
    <w:uiPriority w:val="1"/>
    <w:rsid w:val="003734A7"/>
    <w:pPr>
      <w:numPr>
        <w:ilvl w:val="2"/>
        <w:numId w:val="12"/>
      </w:numPr>
      <w:tabs>
        <w:tab w:val="clear" w:pos="1417"/>
      </w:tabs>
      <w:spacing w:before="120" w:after="120" w:line="276" w:lineRule="auto"/>
      <w:ind w:left="0" w:firstLine="0"/>
      <w:jc w:val="both"/>
    </w:pPr>
    <w:rPr>
      <w:rFonts w:ascii="Times New Roman" w:hAnsi="Times New Roman" w:cs="Times New Roman"/>
      <w:lang w:val="de-DE" w:eastAsia="en-US"/>
    </w:rPr>
  </w:style>
  <w:style w:type="paragraph" w:customStyle="1" w:styleId="Point2number">
    <w:name w:val="Point 2 (number)"/>
    <w:basedOn w:val="Normal"/>
    <w:uiPriority w:val="1"/>
    <w:rsid w:val="003734A7"/>
    <w:pPr>
      <w:numPr>
        <w:ilvl w:val="4"/>
        <w:numId w:val="12"/>
      </w:numPr>
      <w:tabs>
        <w:tab w:val="clear" w:pos="1984"/>
      </w:tabs>
      <w:spacing w:before="120" w:after="120" w:line="276" w:lineRule="auto"/>
      <w:ind w:left="0" w:firstLine="0"/>
      <w:jc w:val="both"/>
    </w:pPr>
    <w:rPr>
      <w:rFonts w:ascii="Times New Roman" w:hAnsi="Times New Roman" w:cs="Times New Roman"/>
      <w:lang w:val="de-DE" w:eastAsia="en-US"/>
    </w:rPr>
  </w:style>
  <w:style w:type="paragraph" w:customStyle="1" w:styleId="Point3number">
    <w:name w:val="Point 3 (number)"/>
    <w:basedOn w:val="Normal"/>
    <w:uiPriority w:val="1"/>
    <w:rsid w:val="003734A7"/>
    <w:pPr>
      <w:numPr>
        <w:ilvl w:val="6"/>
        <w:numId w:val="12"/>
      </w:numPr>
      <w:tabs>
        <w:tab w:val="clear" w:pos="2551"/>
      </w:tabs>
      <w:spacing w:before="120" w:after="120" w:line="276" w:lineRule="auto"/>
      <w:ind w:left="0" w:firstLine="0"/>
      <w:jc w:val="both"/>
    </w:pPr>
    <w:rPr>
      <w:rFonts w:ascii="Times New Roman" w:hAnsi="Times New Roman" w:cs="Times New Roman"/>
      <w:lang w:val="de-DE" w:eastAsia="en-US"/>
    </w:rPr>
  </w:style>
  <w:style w:type="paragraph" w:customStyle="1" w:styleId="Point0letter">
    <w:name w:val="Point 0 (letter)"/>
    <w:basedOn w:val="Normal"/>
    <w:uiPriority w:val="1"/>
    <w:rsid w:val="003734A7"/>
    <w:pPr>
      <w:numPr>
        <w:ilvl w:val="1"/>
        <w:numId w:val="12"/>
      </w:numPr>
      <w:tabs>
        <w:tab w:val="clear" w:pos="850"/>
      </w:tabs>
      <w:spacing w:before="120" w:after="120" w:line="276" w:lineRule="auto"/>
      <w:ind w:left="0" w:firstLine="0"/>
      <w:jc w:val="both"/>
    </w:pPr>
    <w:rPr>
      <w:rFonts w:ascii="Times New Roman" w:hAnsi="Times New Roman" w:cs="Times New Roman"/>
      <w:lang w:val="de-DE" w:eastAsia="en-US"/>
    </w:rPr>
  </w:style>
  <w:style w:type="paragraph" w:customStyle="1" w:styleId="Point1letter">
    <w:name w:val="Point 1 (letter)"/>
    <w:basedOn w:val="Normal"/>
    <w:uiPriority w:val="1"/>
    <w:rsid w:val="003734A7"/>
    <w:pPr>
      <w:numPr>
        <w:ilvl w:val="3"/>
        <w:numId w:val="12"/>
      </w:numPr>
      <w:tabs>
        <w:tab w:val="clear" w:pos="1417"/>
      </w:tabs>
      <w:spacing w:before="120" w:after="120" w:line="276" w:lineRule="auto"/>
      <w:ind w:left="0" w:firstLine="0"/>
      <w:jc w:val="both"/>
    </w:pPr>
    <w:rPr>
      <w:rFonts w:ascii="Times New Roman" w:hAnsi="Times New Roman" w:cs="Times New Roman"/>
      <w:lang w:val="de-DE" w:eastAsia="en-US"/>
    </w:rPr>
  </w:style>
  <w:style w:type="paragraph" w:customStyle="1" w:styleId="Point2letter">
    <w:name w:val="Point 2 (letter)"/>
    <w:basedOn w:val="Normal"/>
    <w:uiPriority w:val="1"/>
    <w:rsid w:val="003734A7"/>
    <w:pPr>
      <w:numPr>
        <w:ilvl w:val="5"/>
        <w:numId w:val="12"/>
      </w:numPr>
      <w:tabs>
        <w:tab w:val="clear" w:pos="1984"/>
      </w:tabs>
      <w:spacing w:before="120" w:after="120" w:line="276" w:lineRule="auto"/>
      <w:ind w:left="0" w:firstLine="0"/>
      <w:jc w:val="both"/>
    </w:pPr>
    <w:rPr>
      <w:rFonts w:ascii="Times New Roman" w:hAnsi="Times New Roman" w:cs="Times New Roman"/>
      <w:lang w:val="de-DE" w:eastAsia="en-US"/>
    </w:rPr>
  </w:style>
  <w:style w:type="paragraph" w:customStyle="1" w:styleId="Point3letter">
    <w:name w:val="Point 3 (letter)"/>
    <w:basedOn w:val="Normal"/>
    <w:uiPriority w:val="1"/>
    <w:rsid w:val="003734A7"/>
    <w:pPr>
      <w:numPr>
        <w:ilvl w:val="7"/>
        <w:numId w:val="12"/>
      </w:numPr>
      <w:tabs>
        <w:tab w:val="clear" w:pos="2551"/>
      </w:tabs>
      <w:spacing w:before="120" w:after="120" w:line="276" w:lineRule="auto"/>
      <w:ind w:left="0" w:firstLine="0"/>
      <w:jc w:val="both"/>
    </w:pPr>
    <w:rPr>
      <w:rFonts w:ascii="Times New Roman" w:hAnsi="Times New Roman" w:cs="Times New Roman"/>
      <w:lang w:val="de-DE" w:eastAsia="en-US"/>
    </w:rPr>
  </w:style>
  <w:style w:type="paragraph" w:customStyle="1" w:styleId="Point4letter">
    <w:name w:val="Point 4 (letter)"/>
    <w:basedOn w:val="Normal"/>
    <w:uiPriority w:val="1"/>
    <w:rsid w:val="003734A7"/>
    <w:pPr>
      <w:numPr>
        <w:ilvl w:val="8"/>
        <w:numId w:val="12"/>
      </w:numPr>
      <w:tabs>
        <w:tab w:val="clear" w:pos="3118"/>
      </w:tabs>
      <w:spacing w:before="120" w:after="120" w:line="276" w:lineRule="auto"/>
      <w:ind w:left="0" w:firstLine="0"/>
      <w:jc w:val="both"/>
    </w:pPr>
    <w:rPr>
      <w:rFonts w:ascii="Times New Roman" w:hAnsi="Times New Roman" w:cs="Times New Roman"/>
      <w:lang w:val="de-DE" w:eastAsia="en-US"/>
    </w:rPr>
  </w:style>
  <w:style w:type="paragraph" w:customStyle="1" w:styleId="Bullet0">
    <w:name w:val="Bullet 0"/>
    <w:basedOn w:val="Normal"/>
    <w:uiPriority w:val="1"/>
    <w:rsid w:val="003734A7"/>
    <w:pPr>
      <w:numPr>
        <w:numId w:val="13"/>
      </w:numPr>
      <w:tabs>
        <w:tab w:val="clear" w:pos="850"/>
      </w:tabs>
      <w:spacing w:before="120" w:after="120" w:line="276" w:lineRule="auto"/>
      <w:ind w:left="0" w:firstLine="0"/>
      <w:jc w:val="both"/>
    </w:pPr>
    <w:rPr>
      <w:rFonts w:ascii="Times New Roman" w:hAnsi="Times New Roman" w:cs="Times New Roman"/>
      <w:lang w:val="de-DE" w:eastAsia="en-US"/>
    </w:rPr>
  </w:style>
  <w:style w:type="paragraph" w:customStyle="1" w:styleId="Bullet1">
    <w:name w:val="Bullet 1"/>
    <w:basedOn w:val="Normal"/>
    <w:uiPriority w:val="1"/>
    <w:rsid w:val="003734A7"/>
    <w:pPr>
      <w:numPr>
        <w:numId w:val="14"/>
      </w:numPr>
      <w:tabs>
        <w:tab w:val="clear" w:pos="1417"/>
      </w:tabs>
      <w:spacing w:before="120" w:after="120" w:line="276" w:lineRule="auto"/>
      <w:ind w:left="0" w:firstLine="0"/>
      <w:jc w:val="both"/>
    </w:pPr>
    <w:rPr>
      <w:rFonts w:ascii="Times New Roman" w:hAnsi="Times New Roman" w:cs="Times New Roman"/>
      <w:lang w:val="de-DE" w:eastAsia="en-US"/>
    </w:rPr>
  </w:style>
  <w:style w:type="paragraph" w:customStyle="1" w:styleId="Bullet2">
    <w:name w:val="Bullet 2"/>
    <w:basedOn w:val="Normal"/>
    <w:uiPriority w:val="1"/>
    <w:rsid w:val="003734A7"/>
    <w:pPr>
      <w:numPr>
        <w:numId w:val="15"/>
      </w:numPr>
      <w:tabs>
        <w:tab w:val="clear" w:pos="1984"/>
      </w:tabs>
      <w:spacing w:before="120" w:after="120" w:line="276" w:lineRule="auto"/>
      <w:ind w:left="0" w:firstLine="0"/>
      <w:jc w:val="both"/>
    </w:pPr>
    <w:rPr>
      <w:rFonts w:ascii="Times New Roman" w:hAnsi="Times New Roman" w:cs="Times New Roman"/>
      <w:lang w:val="de-DE" w:eastAsia="en-US"/>
    </w:rPr>
  </w:style>
  <w:style w:type="paragraph" w:customStyle="1" w:styleId="Bullet3">
    <w:name w:val="Bullet 3"/>
    <w:basedOn w:val="Normal"/>
    <w:uiPriority w:val="1"/>
    <w:rsid w:val="003734A7"/>
    <w:pPr>
      <w:numPr>
        <w:numId w:val="16"/>
      </w:numPr>
      <w:tabs>
        <w:tab w:val="clear" w:pos="2551"/>
      </w:tabs>
      <w:spacing w:before="120" w:after="120" w:line="276" w:lineRule="auto"/>
      <w:ind w:left="0" w:firstLine="0"/>
      <w:jc w:val="both"/>
    </w:pPr>
    <w:rPr>
      <w:rFonts w:ascii="Times New Roman" w:hAnsi="Times New Roman" w:cs="Times New Roman"/>
      <w:lang w:val="de-DE" w:eastAsia="en-US"/>
    </w:rPr>
  </w:style>
  <w:style w:type="paragraph" w:customStyle="1" w:styleId="Bullet4">
    <w:name w:val="Bullet 4"/>
    <w:basedOn w:val="Normal"/>
    <w:uiPriority w:val="1"/>
    <w:rsid w:val="003734A7"/>
    <w:pPr>
      <w:numPr>
        <w:numId w:val="17"/>
      </w:numPr>
      <w:tabs>
        <w:tab w:val="clear" w:pos="3118"/>
      </w:tabs>
      <w:spacing w:before="120" w:after="120" w:line="276" w:lineRule="auto"/>
      <w:ind w:left="0" w:firstLine="0"/>
      <w:jc w:val="both"/>
    </w:pPr>
    <w:rPr>
      <w:rFonts w:ascii="Times New Roman" w:hAnsi="Times New Roman" w:cs="Times New Roman"/>
      <w:lang w:val="de-DE" w:eastAsia="en-US"/>
    </w:rPr>
  </w:style>
  <w:style w:type="paragraph" w:customStyle="1" w:styleId="Langue">
    <w:name w:val="Langue"/>
    <w:basedOn w:val="Normal"/>
    <w:next w:val="Rfrenceinterne"/>
    <w:uiPriority w:val="1"/>
    <w:rsid w:val="003734A7"/>
    <w:pPr>
      <w:spacing w:after="600" w:line="276" w:lineRule="auto"/>
      <w:jc w:val="center"/>
    </w:pPr>
    <w:rPr>
      <w:rFonts w:ascii="Times New Roman" w:hAnsi="Times New Roman" w:cs="Times New Roman"/>
      <w:b/>
      <w:bCs/>
      <w:caps/>
      <w:lang w:val="de-DE" w:eastAsia="en-US"/>
    </w:rPr>
  </w:style>
  <w:style w:type="paragraph" w:customStyle="1" w:styleId="Nomdelinstitution">
    <w:name w:val="Nom de l'institution"/>
    <w:basedOn w:val="Normal"/>
    <w:next w:val="Emission"/>
    <w:uiPriority w:val="1"/>
    <w:rsid w:val="003734A7"/>
    <w:pPr>
      <w:spacing w:after="0" w:line="276" w:lineRule="auto"/>
    </w:pPr>
    <w:rPr>
      <w:rFonts w:ascii="Arial" w:hAnsi="Arial" w:cs="Arial"/>
      <w:lang w:val="de-DE" w:eastAsia="en-US"/>
    </w:rPr>
  </w:style>
  <w:style w:type="paragraph" w:customStyle="1" w:styleId="Emission">
    <w:name w:val="Emission"/>
    <w:basedOn w:val="Normal"/>
    <w:next w:val="Rfrenceinstitutionnelle"/>
    <w:uiPriority w:val="1"/>
    <w:rsid w:val="003734A7"/>
    <w:pPr>
      <w:spacing w:after="0" w:line="276" w:lineRule="auto"/>
      <w:ind w:left="5103"/>
    </w:pPr>
    <w:rPr>
      <w:rFonts w:ascii="Times New Roman" w:hAnsi="Times New Roman" w:cs="Times New Roman"/>
      <w:lang w:val="de-DE" w:eastAsia="en-US"/>
    </w:rPr>
  </w:style>
  <w:style w:type="paragraph" w:customStyle="1" w:styleId="Rfrenceinstitutionnelle">
    <w:name w:val="Référence institutionnelle"/>
    <w:basedOn w:val="Normal"/>
    <w:next w:val="Confidentialit"/>
    <w:uiPriority w:val="1"/>
    <w:rsid w:val="003734A7"/>
    <w:pPr>
      <w:spacing w:after="240" w:line="276" w:lineRule="auto"/>
      <w:ind w:left="5103"/>
    </w:pPr>
    <w:rPr>
      <w:rFonts w:ascii="Times New Roman" w:hAnsi="Times New Roman" w:cs="Times New Roman"/>
      <w:lang w:val="de-DE" w:eastAsia="en-US"/>
    </w:rPr>
  </w:style>
  <w:style w:type="paragraph" w:customStyle="1" w:styleId="Declassification">
    <w:name w:val="Declassification"/>
    <w:basedOn w:val="Normal"/>
    <w:next w:val="Normal"/>
    <w:uiPriority w:val="1"/>
    <w:rsid w:val="003734A7"/>
    <w:pPr>
      <w:spacing w:after="0" w:line="276" w:lineRule="auto"/>
      <w:jc w:val="both"/>
    </w:pPr>
    <w:rPr>
      <w:rFonts w:ascii="Times New Roman" w:hAnsi="Times New Roman" w:cs="Times New Roman"/>
      <w:lang w:val="de-DE" w:eastAsia="en-US"/>
    </w:rPr>
  </w:style>
  <w:style w:type="paragraph" w:customStyle="1" w:styleId="Disclaimer">
    <w:name w:val="Disclaimer"/>
    <w:basedOn w:val="Normal"/>
    <w:uiPriority w:val="1"/>
    <w:rsid w:val="003734A7"/>
    <w:pPr>
      <w:spacing w:before="120" w:after="120" w:line="276" w:lineRule="auto"/>
      <w:jc w:val="both"/>
    </w:pPr>
    <w:rPr>
      <w:rFonts w:ascii="Times New Roman" w:hAnsi="Times New Roman" w:cs="Times New Roman"/>
      <w:lang w:val="de-DE" w:eastAsia="en-US"/>
    </w:rPr>
  </w:style>
  <w:style w:type="paragraph" w:customStyle="1" w:styleId="SecurityMarking">
    <w:name w:val="SecurityMarking"/>
    <w:basedOn w:val="Normal"/>
    <w:rsid w:val="006A49D5"/>
    <w:pPr>
      <w:spacing w:after="0" w:line="276" w:lineRule="auto"/>
      <w:ind w:left="5103"/>
    </w:pPr>
    <w:rPr>
      <w:rFonts w:ascii="Times New Roman" w:eastAsiaTheme="minorHAnsi" w:hAnsi="Times New Roman" w:cs="Times New Roman"/>
      <w:sz w:val="28"/>
      <w:szCs w:val="22"/>
      <w:lang w:eastAsia="en-US"/>
    </w:rPr>
  </w:style>
  <w:style w:type="paragraph" w:customStyle="1" w:styleId="DateMarking">
    <w:name w:val="DateMarking"/>
    <w:basedOn w:val="Normal"/>
    <w:rsid w:val="006A49D5"/>
    <w:pPr>
      <w:spacing w:after="0" w:line="276" w:lineRule="auto"/>
      <w:ind w:left="5103"/>
    </w:pPr>
    <w:rPr>
      <w:rFonts w:ascii="Times New Roman" w:eastAsiaTheme="minorHAnsi" w:hAnsi="Times New Roman" w:cs="Times New Roman"/>
      <w:i/>
      <w:sz w:val="28"/>
      <w:szCs w:val="22"/>
      <w:lang w:eastAsia="en-US"/>
    </w:rPr>
  </w:style>
  <w:style w:type="paragraph" w:customStyle="1" w:styleId="ReleasableTo">
    <w:name w:val="ReleasableTo"/>
    <w:basedOn w:val="Normal"/>
    <w:rsid w:val="006A49D5"/>
    <w:pPr>
      <w:spacing w:after="0" w:line="276" w:lineRule="auto"/>
      <w:ind w:left="5103"/>
    </w:pPr>
    <w:rPr>
      <w:rFonts w:ascii="Times New Roman" w:eastAsiaTheme="minorHAnsi" w:hAnsi="Times New Roman" w:cs="Times New Roman"/>
      <w:i/>
      <w:sz w:val="28"/>
      <w:szCs w:val="22"/>
      <w:lang w:eastAsia="en-US"/>
    </w:rPr>
  </w:style>
  <w:style w:type="paragraph" w:customStyle="1" w:styleId="Annexetitreexpos">
    <w:name w:val="Annexe titre (exposé)"/>
    <w:basedOn w:val="Normal"/>
    <w:next w:val="Normal"/>
    <w:uiPriority w:val="1"/>
    <w:rsid w:val="003734A7"/>
    <w:pPr>
      <w:spacing w:before="120" w:after="120" w:line="276" w:lineRule="auto"/>
      <w:jc w:val="center"/>
    </w:pPr>
    <w:rPr>
      <w:rFonts w:ascii="Times New Roman" w:hAnsi="Times New Roman" w:cs="Times New Roman"/>
      <w:b/>
      <w:bCs/>
      <w:u w:val="single"/>
      <w:lang w:val="de-DE" w:eastAsia="en-US"/>
    </w:rPr>
  </w:style>
  <w:style w:type="paragraph" w:customStyle="1" w:styleId="Annexetitre">
    <w:name w:val="Annexe titre"/>
    <w:basedOn w:val="Normal"/>
    <w:next w:val="Normal"/>
    <w:uiPriority w:val="1"/>
    <w:rsid w:val="003734A7"/>
    <w:pPr>
      <w:spacing w:before="120" w:after="120" w:line="276" w:lineRule="auto"/>
      <w:jc w:val="center"/>
    </w:pPr>
    <w:rPr>
      <w:rFonts w:ascii="Times New Roman" w:hAnsi="Times New Roman" w:cs="Times New Roman"/>
      <w:b/>
      <w:bCs/>
      <w:u w:val="single"/>
      <w:lang w:val="de-DE" w:eastAsia="en-US"/>
    </w:rPr>
  </w:style>
  <w:style w:type="paragraph" w:customStyle="1" w:styleId="Annexetitrefichefinancire">
    <w:name w:val="Annexe titre (fiche financière)"/>
    <w:basedOn w:val="Normal"/>
    <w:next w:val="Normal"/>
    <w:uiPriority w:val="1"/>
    <w:rsid w:val="003734A7"/>
    <w:pPr>
      <w:spacing w:before="120" w:after="120" w:line="276" w:lineRule="auto"/>
      <w:jc w:val="center"/>
    </w:pPr>
    <w:rPr>
      <w:rFonts w:ascii="Times New Roman" w:hAnsi="Times New Roman" w:cs="Times New Roman"/>
      <w:b/>
      <w:bCs/>
      <w:u w:val="single"/>
      <w:lang w:val="de-DE" w:eastAsia="en-US"/>
    </w:rPr>
  </w:style>
  <w:style w:type="paragraph" w:customStyle="1" w:styleId="Applicationdirecte">
    <w:name w:val="Application directe"/>
    <w:basedOn w:val="Normal"/>
    <w:next w:val="Fait"/>
    <w:uiPriority w:val="1"/>
    <w:rsid w:val="003734A7"/>
    <w:pPr>
      <w:spacing w:before="480" w:after="120" w:line="276" w:lineRule="auto"/>
      <w:jc w:val="both"/>
    </w:pPr>
    <w:rPr>
      <w:rFonts w:ascii="Times New Roman" w:hAnsi="Times New Roman" w:cs="Times New Roman"/>
      <w:lang w:val="de-DE" w:eastAsia="en-US"/>
    </w:rPr>
  </w:style>
  <w:style w:type="paragraph" w:customStyle="1" w:styleId="Avertissementtitre">
    <w:name w:val="Avertissement titre"/>
    <w:basedOn w:val="Normal"/>
    <w:next w:val="Normal"/>
    <w:uiPriority w:val="1"/>
    <w:rsid w:val="003734A7"/>
    <w:pPr>
      <w:keepNext/>
      <w:spacing w:before="480" w:after="120" w:line="276" w:lineRule="auto"/>
      <w:jc w:val="both"/>
    </w:pPr>
    <w:rPr>
      <w:rFonts w:ascii="Times New Roman" w:hAnsi="Times New Roman" w:cs="Times New Roman"/>
      <w:u w:val="single"/>
      <w:lang w:val="de-DE" w:eastAsia="en-US"/>
    </w:rPr>
  </w:style>
  <w:style w:type="paragraph" w:customStyle="1" w:styleId="Confidence">
    <w:name w:val="Confidence"/>
    <w:basedOn w:val="Normal"/>
    <w:next w:val="Normal"/>
    <w:uiPriority w:val="1"/>
    <w:rsid w:val="003734A7"/>
    <w:pPr>
      <w:spacing w:before="360" w:after="120" w:line="276" w:lineRule="auto"/>
      <w:jc w:val="center"/>
    </w:pPr>
    <w:rPr>
      <w:rFonts w:ascii="Times New Roman" w:hAnsi="Times New Roman" w:cs="Times New Roman"/>
      <w:lang w:val="de-DE" w:eastAsia="en-US"/>
    </w:rPr>
  </w:style>
  <w:style w:type="paragraph" w:customStyle="1" w:styleId="Confidentialit">
    <w:name w:val="Confidentialité"/>
    <w:basedOn w:val="Normal"/>
    <w:next w:val="TypedudocumentPagedecouverture"/>
    <w:uiPriority w:val="1"/>
    <w:rsid w:val="003734A7"/>
    <w:pPr>
      <w:spacing w:before="240" w:after="240" w:line="276" w:lineRule="auto"/>
      <w:ind w:left="5103"/>
    </w:pPr>
    <w:rPr>
      <w:rFonts w:ascii="Times New Roman" w:hAnsi="Times New Roman" w:cs="Times New Roman"/>
      <w:i/>
      <w:iCs/>
      <w:sz w:val="32"/>
      <w:szCs w:val="32"/>
      <w:lang w:val="de-DE" w:eastAsia="en-US"/>
    </w:rPr>
  </w:style>
  <w:style w:type="paragraph" w:customStyle="1" w:styleId="Considrant">
    <w:name w:val="Considérant"/>
    <w:basedOn w:val="Normal"/>
    <w:uiPriority w:val="1"/>
    <w:rsid w:val="003734A7"/>
    <w:pPr>
      <w:numPr>
        <w:numId w:val="18"/>
      </w:numPr>
      <w:tabs>
        <w:tab w:val="clear" w:pos="709"/>
      </w:tabs>
      <w:spacing w:before="120" w:after="120" w:line="276" w:lineRule="auto"/>
      <w:ind w:left="0" w:firstLine="0"/>
      <w:jc w:val="both"/>
    </w:pPr>
    <w:rPr>
      <w:rFonts w:ascii="Times New Roman" w:hAnsi="Times New Roman" w:cs="Times New Roman"/>
      <w:lang w:val="de-DE" w:eastAsia="en-US"/>
    </w:rPr>
  </w:style>
  <w:style w:type="paragraph" w:customStyle="1" w:styleId="Corrigendum">
    <w:name w:val="Corrigendum"/>
    <w:basedOn w:val="Normal"/>
    <w:next w:val="Normal"/>
    <w:uiPriority w:val="1"/>
    <w:rsid w:val="003734A7"/>
    <w:pPr>
      <w:spacing w:after="240" w:line="276" w:lineRule="auto"/>
    </w:pPr>
    <w:rPr>
      <w:rFonts w:ascii="Times New Roman" w:hAnsi="Times New Roman" w:cs="Times New Roman"/>
      <w:lang w:val="de-DE" w:eastAsia="en-US"/>
    </w:rPr>
  </w:style>
  <w:style w:type="paragraph" w:customStyle="1" w:styleId="Datedadoption">
    <w:name w:val="Date d'adoption"/>
    <w:basedOn w:val="Normal"/>
    <w:next w:val="IntrtEEE"/>
    <w:uiPriority w:val="1"/>
    <w:rsid w:val="003734A7"/>
    <w:pPr>
      <w:spacing w:before="360" w:after="0" w:line="276" w:lineRule="auto"/>
      <w:jc w:val="center"/>
    </w:pPr>
    <w:rPr>
      <w:rFonts w:ascii="Times New Roman" w:hAnsi="Times New Roman" w:cs="Times New Roman"/>
      <w:b/>
      <w:bCs/>
      <w:lang w:val="de-DE" w:eastAsia="en-US"/>
    </w:rPr>
  </w:style>
  <w:style w:type="paragraph" w:customStyle="1" w:styleId="Exposdesmotifstitre">
    <w:name w:val="Exposé des motifs titre"/>
    <w:basedOn w:val="Normal"/>
    <w:next w:val="Normal"/>
    <w:uiPriority w:val="1"/>
    <w:rsid w:val="003734A7"/>
    <w:pPr>
      <w:spacing w:before="120" w:after="120" w:line="276" w:lineRule="auto"/>
      <w:jc w:val="center"/>
    </w:pPr>
    <w:rPr>
      <w:rFonts w:ascii="Times New Roman" w:hAnsi="Times New Roman" w:cs="Times New Roman"/>
      <w:b/>
      <w:bCs/>
      <w:u w:val="single"/>
      <w:lang w:val="de-DE" w:eastAsia="en-US"/>
    </w:rPr>
  </w:style>
  <w:style w:type="paragraph" w:customStyle="1" w:styleId="Fait">
    <w:name w:val="Fait à"/>
    <w:basedOn w:val="Normal"/>
    <w:next w:val="Institutionquisigne"/>
    <w:uiPriority w:val="1"/>
    <w:rsid w:val="003734A7"/>
    <w:pPr>
      <w:keepNext/>
      <w:spacing w:before="120" w:after="0" w:line="276" w:lineRule="auto"/>
      <w:jc w:val="both"/>
    </w:pPr>
    <w:rPr>
      <w:rFonts w:ascii="Times New Roman" w:hAnsi="Times New Roman" w:cs="Times New Roman"/>
      <w:lang w:val="de-DE" w:eastAsia="en-US"/>
    </w:rPr>
  </w:style>
  <w:style w:type="paragraph" w:customStyle="1" w:styleId="Formuledadoption">
    <w:name w:val="Formule d'adoption"/>
    <w:basedOn w:val="Normal"/>
    <w:next w:val="Titrearticle"/>
    <w:uiPriority w:val="1"/>
    <w:rsid w:val="003734A7"/>
    <w:pPr>
      <w:keepNext/>
      <w:spacing w:before="120" w:after="120" w:line="276" w:lineRule="auto"/>
      <w:jc w:val="both"/>
    </w:pPr>
    <w:rPr>
      <w:rFonts w:ascii="Times New Roman" w:hAnsi="Times New Roman" w:cs="Times New Roman"/>
      <w:lang w:val="de-DE" w:eastAsia="en-US"/>
    </w:rPr>
  </w:style>
  <w:style w:type="paragraph" w:customStyle="1" w:styleId="Institutionquiagit">
    <w:name w:val="Institution qui agit"/>
    <w:basedOn w:val="Normal"/>
    <w:next w:val="Normal"/>
    <w:uiPriority w:val="1"/>
    <w:rsid w:val="003734A7"/>
    <w:pPr>
      <w:keepNext/>
      <w:spacing w:before="600" w:after="120" w:line="276" w:lineRule="auto"/>
      <w:jc w:val="both"/>
    </w:pPr>
    <w:rPr>
      <w:rFonts w:ascii="Times New Roman" w:hAnsi="Times New Roman" w:cs="Times New Roman"/>
      <w:lang w:val="de-DE" w:eastAsia="en-US"/>
    </w:rPr>
  </w:style>
  <w:style w:type="paragraph" w:customStyle="1" w:styleId="Institutionquisigne">
    <w:name w:val="Institution qui signe"/>
    <w:basedOn w:val="Normal"/>
    <w:next w:val="Personnequisigne"/>
    <w:uiPriority w:val="1"/>
    <w:rsid w:val="003734A7"/>
    <w:pPr>
      <w:keepNext/>
      <w:tabs>
        <w:tab w:val="left" w:pos="4252"/>
      </w:tabs>
      <w:spacing w:before="720" w:after="0" w:line="276" w:lineRule="auto"/>
      <w:jc w:val="both"/>
    </w:pPr>
    <w:rPr>
      <w:rFonts w:ascii="Times New Roman" w:hAnsi="Times New Roman" w:cs="Times New Roman"/>
      <w:i/>
      <w:iCs/>
      <w:lang w:val="de-DE" w:eastAsia="en-US"/>
    </w:rPr>
  </w:style>
  <w:style w:type="paragraph" w:customStyle="1" w:styleId="ManualConsidrant">
    <w:name w:val="Manual Considérant"/>
    <w:basedOn w:val="Normal"/>
    <w:uiPriority w:val="1"/>
    <w:rsid w:val="003734A7"/>
    <w:pPr>
      <w:spacing w:before="120" w:after="120" w:line="276" w:lineRule="auto"/>
      <w:ind w:left="709" w:hanging="709"/>
      <w:jc w:val="both"/>
    </w:pPr>
    <w:rPr>
      <w:rFonts w:ascii="Times New Roman" w:hAnsi="Times New Roman" w:cs="Times New Roman"/>
      <w:lang w:val="de-DE" w:eastAsia="en-US"/>
    </w:rPr>
  </w:style>
  <w:style w:type="paragraph" w:customStyle="1" w:styleId="Personnequisigne">
    <w:name w:val="Personne qui signe"/>
    <w:basedOn w:val="Normal"/>
    <w:next w:val="Institutionquisigne"/>
    <w:uiPriority w:val="1"/>
    <w:rsid w:val="003734A7"/>
    <w:pPr>
      <w:tabs>
        <w:tab w:val="left" w:pos="4252"/>
      </w:tabs>
      <w:spacing w:after="0" w:line="276" w:lineRule="auto"/>
    </w:pPr>
    <w:rPr>
      <w:rFonts w:ascii="Times New Roman" w:hAnsi="Times New Roman" w:cs="Times New Roman"/>
      <w:i/>
      <w:iCs/>
      <w:lang w:val="de-DE" w:eastAsia="en-US"/>
    </w:rPr>
  </w:style>
  <w:style w:type="paragraph" w:customStyle="1" w:styleId="Rfrenceinterinstitutionnelle">
    <w:name w:val="Référence interinstitutionnelle"/>
    <w:basedOn w:val="Normal"/>
    <w:next w:val="Statut"/>
    <w:uiPriority w:val="1"/>
    <w:rsid w:val="003734A7"/>
    <w:pPr>
      <w:spacing w:after="0" w:line="276" w:lineRule="auto"/>
      <w:ind w:left="5103"/>
    </w:pPr>
    <w:rPr>
      <w:rFonts w:ascii="Times New Roman" w:hAnsi="Times New Roman" w:cs="Times New Roman"/>
      <w:lang w:val="de-DE" w:eastAsia="en-US"/>
    </w:rPr>
  </w:style>
  <w:style w:type="paragraph" w:customStyle="1" w:styleId="Rfrenceinterne">
    <w:name w:val="Référence interne"/>
    <w:basedOn w:val="Normal"/>
    <w:next w:val="Rfrenceinterinstitutionnelle"/>
    <w:uiPriority w:val="1"/>
    <w:rsid w:val="003734A7"/>
    <w:pPr>
      <w:spacing w:after="0" w:line="276" w:lineRule="auto"/>
      <w:ind w:left="5103"/>
    </w:pPr>
    <w:rPr>
      <w:rFonts w:ascii="Times New Roman" w:hAnsi="Times New Roman" w:cs="Times New Roman"/>
      <w:lang w:val="de-DE" w:eastAsia="en-US"/>
    </w:rPr>
  </w:style>
  <w:style w:type="paragraph" w:customStyle="1" w:styleId="Statut">
    <w:name w:val="Statut"/>
    <w:basedOn w:val="Normal"/>
    <w:next w:val="Typedudocument"/>
    <w:uiPriority w:val="1"/>
    <w:rsid w:val="003734A7"/>
    <w:pPr>
      <w:spacing w:after="240" w:line="276" w:lineRule="auto"/>
      <w:jc w:val="center"/>
    </w:pPr>
    <w:rPr>
      <w:rFonts w:ascii="Times New Roman" w:hAnsi="Times New Roman" w:cs="Times New Roman"/>
      <w:lang w:val="de-DE" w:eastAsia="en-US"/>
    </w:rPr>
  </w:style>
  <w:style w:type="paragraph" w:customStyle="1" w:styleId="Titrearticle">
    <w:name w:val="Titre article"/>
    <w:basedOn w:val="Normal"/>
    <w:next w:val="Normal"/>
    <w:uiPriority w:val="1"/>
    <w:rsid w:val="003734A7"/>
    <w:pPr>
      <w:keepNext/>
      <w:spacing w:before="360" w:after="120" w:line="276" w:lineRule="auto"/>
      <w:jc w:val="center"/>
    </w:pPr>
    <w:rPr>
      <w:rFonts w:ascii="Times New Roman" w:hAnsi="Times New Roman" w:cs="Times New Roman"/>
      <w:i/>
      <w:iCs/>
      <w:lang w:val="de-DE" w:eastAsia="en-US"/>
    </w:rPr>
  </w:style>
  <w:style w:type="paragraph" w:customStyle="1" w:styleId="Typedudocument">
    <w:name w:val="Type du document"/>
    <w:basedOn w:val="Normal"/>
    <w:next w:val="Accompagnant"/>
    <w:uiPriority w:val="1"/>
    <w:rsid w:val="003734A7"/>
    <w:pPr>
      <w:spacing w:before="360" w:after="180" w:line="276" w:lineRule="auto"/>
      <w:jc w:val="center"/>
    </w:pPr>
    <w:rPr>
      <w:rFonts w:ascii="Times New Roman" w:hAnsi="Times New Roman" w:cs="Times New Roman"/>
      <w:b/>
      <w:bCs/>
      <w:lang w:val="de-DE" w:eastAsia="en-US"/>
    </w:rPr>
  </w:style>
  <w:style w:type="character" w:customStyle="1" w:styleId="Added">
    <w:name w:val="Added"/>
    <w:basedOn w:val="DefaultParagraphFont"/>
    <w:rsid w:val="003734A7"/>
    <w:rPr>
      <w:b/>
      <w:u w:val="single"/>
      <w:shd w:val="clear" w:color="auto" w:fill="auto"/>
    </w:rPr>
  </w:style>
  <w:style w:type="character" w:customStyle="1" w:styleId="Deleted">
    <w:name w:val="Deleted"/>
    <w:basedOn w:val="DefaultParagraphFont"/>
    <w:rsid w:val="003734A7"/>
    <w:rPr>
      <w:strike/>
      <w:dstrike w:val="0"/>
      <w:shd w:val="clear" w:color="auto" w:fill="auto"/>
    </w:rPr>
  </w:style>
  <w:style w:type="paragraph" w:customStyle="1" w:styleId="Address">
    <w:name w:val="Address"/>
    <w:basedOn w:val="Normal"/>
    <w:next w:val="Normal"/>
    <w:uiPriority w:val="1"/>
    <w:rsid w:val="003734A7"/>
    <w:pPr>
      <w:keepLines/>
      <w:spacing w:before="120" w:after="120" w:line="276" w:lineRule="auto"/>
      <w:ind w:left="3402"/>
    </w:pPr>
    <w:rPr>
      <w:rFonts w:ascii="Times New Roman" w:hAnsi="Times New Roman" w:cs="Times New Roman"/>
      <w:lang w:val="de-DE" w:eastAsia="en-US"/>
    </w:rPr>
  </w:style>
  <w:style w:type="paragraph" w:customStyle="1" w:styleId="Objetexterne">
    <w:name w:val="Objet externe"/>
    <w:basedOn w:val="Normal"/>
    <w:next w:val="Normal"/>
    <w:uiPriority w:val="1"/>
    <w:rsid w:val="003734A7"/>
    <w:pPr>
      <w:spacing w:before="120" w:after="120" w:line="276" w:lineRule="auto"/>
      <w:jc w:val="both"/>
    </w:pPr>
    <w:rPr>
      <w:rFonts w:ascii="Times New Roman" w:hAnsi="Times New Roman" w:cs="Times New Roman"/>
      <w:i/>
      <w:iCs/>
      <w:caps/>
      <w:lang w:val="de-DE" w:eastAsia="en-US"/>
    </w:rPr>
  </w:style>
  <w:style w:type="paragraph" w:customStyle="1" w:styleId="Supertitre">
    <w:name w:val="Supertitre"/>
    <w:basedOn w:val="Normal"/>
    <w:next w:val="Normal"/>
    <w:uiPriority w:val="1"/>
    <w:rsid w:val="003734A7"/>
    <w:pPr>
      <w:spacing w:after="600" w:line="276" w:lineRule="auto"/>
      <w:jc w:val="center"/>
    </w:pPr>
    <w:rPr>
      <w:rFonts w:ascii="Times New Roman" w:hAnsi="Times New Roman" w:cs="Times New Roman"/>
      <w:b/>
      <w:bCs/>
      <w:lang w:val="de-DE" w:eastAsia="en-US"/>
    </w:rPr>
  </w:style>
  <w:style w:type="paragraph" w:customStyle="1" w:styleId="Languesfaisantfoi">
    <w:name w:val="Langues faisant foi"/>
    <w:basedOn w:val="Normal"/>
    <w:next w:val="Normal"/>
    <w:rsid w:val="006A49D5"/>
    <w:pPr>
      <w:spacing w:before="360" w:after="240" w:line="240" w:lineRule="auto"/>
      <w:jc w:val="center"/>
    </w:pPr>
    <w:rPr>
      <w:rFonts w:ascii="Times New Roman" w:eastAsiaTheme="minorHAnsi" w:hAnsi="Times New Roman" w:cs="Times New Roman"/>
      <w:szCs w:val="22"/>
      <w:lang w:eastAsia="en-US"/>
    </w:rPr>
  </w:style>
  <w:style w:type="paragraph" w:customStyle="1" w:styleId="Rfrencecroise">
    <w:name w:val="Référence croisée"/>
    <w:basedOn w:val="Normal"/>
    <w:uiPriority w:val="1"/>
    <w:rsid w:val="003734A7"/>
    <w:pPr>
      <w:spacing w:after="0" w:line="276" w:lineRule="auto"/>
      <w:jc w:val="center"/>
    </w:pPr>
    <w:rPr>
      <w:rFonts w:ascii="Times New Roman" w:hAnsi="Times New Roman" w:cs="Times New Roman"/>
      <w:lang w:val="de-DE" w:eastAsia="en-US"/>
    </w:rPr>
  </w:style>
  <w:style w:type="paragraph" w:customStyle="1" w:styleId="Fichefinanciretitre">
    <w:name w:val="Fiche financière titre"/>
    <w:basedOn w:val="Normal"/>
    <w:next w:val="Normal"/>
    <w:uiPriority w:val="1"/>
    <w:rsid w:val="003734A7"/>
    <w:pPr>
      <w:spacing w:before="120" w:after="120" w:line="276" w:lineRule="auto"/>
      <w:jc w:val="center"/>
    </w:pPr>
    <w:rPr>
      <w:rFonts w:ascii="Times New Roman" w:hAnsi="Times New Roman" w:cs="Times New Roman"/>
      <w:b/>
      <w:bCs/>
      <w:u w:val="single"/>
      <w:lang w:val="de-DE" w:eastAsia="en-US"/>
    </w:rPr>
  </w:style>
  <w:style w:type="paragraph" w:customStyle="1" w:styleId="DatedadoptionPagedecouverture">
    <w:name w:val="Date d'adoption (Page de couverture)"/>
    <w:basedOn w:val="Datedadoption"/>
    <w:next w:val="IntrtEEEPagedecouverture"/>
    <w:uiPriority w:val="1"/>
    <w:rsid w:val="003734A7"/>
  </w:style>
  <w:style w:type="paragraph" w:customStyle="1" w:styleId="RfrenceinterinstitutionnellePagedecouverture">
    <w:name w:val="Référence interinstitutionnelle (Page de couverture)"/>
    <w:basedOn w:val="Rfrenceinterinstitutionnelle"/>
    <w:next w:val="Confidentialit"/>
    <w:uiPriority w:val="1"/>
    <w:rsid w:val="003734A7"/>
  </w:style>
  <w:style w:type="paragraph" w:customStyle="1" w:styleId="StatutPagedecouverture">
    <w:name w:val="Statut (Page de couverture)"/>
    <w:basedOn w:val="Statut"/>
    <w:next w:val="TypedudocumentPagedecouverture"/>
    <w:uiPriority w:val="1"/>
    <w:rsid w:val="003734A7"/>
  </w:style>
  <w:style w:type="paragraph" w:customStyle="1" w:styleId="TypedudocumentPagedecouverture">
    <w:name w:val="Type du document (Page de couverture)"/>
    <w:basedOn w:val="Typedudocument"/>
    <w:next w:val="AccompagnantPagedecouverture"/>
    <w:uiPriority w:val="1"/>
    <w:rsid w:val="003734A7"/>
  </w:style>
  <w:style w:type="paragraph" w:customStyle="1" w:styleId="Volume">
    <w:name w:val="Volume"/>
    <w:basedOn w:val="Normal"/>
    <w:next w:val="Confidentialit"/>
    <w:uiPriority w:val="1"/>
    <w:rsid w:val="003734A7"/>
    <w:pPr>
      <w:spacing w:after="240" w:line="276" w:lineRule="auto"/>
      <w:ind w:left="5103"/>
    </w:pPr>
    <w:rPr>
      <w:rFonts w:ascii="Times New Roman" w:hAnsi="Times New Roman" w:cs="Times New Roman"/>
      <w:lang w:val="de-DE" w:eastAsia="en-US"/>
    </w:rPr>
  </w:style>
  <w:style w:type="paragraph" w:customStyle="1" w:styleId="IntrtEEE">
    <w:name w:val="Intérêt EEE"/>
    <w:basedOn w:val="Languesfaisantfoi"/>
    <w:next w:val="Normal"/>
    <w:rsid w:val="006A49D5"/>
    <w:pPr>
      <w:spacing w:after="0"/>
    </w:pPr>
  </w:style>
  <w:style w:type="paragraph" w:customStyle="1" w:styleId="Accompagnant">
    <w:name w:val="Accompagnant"/>
    <w:basedOn w:val="Normal"/>
    <w:next w:val="Typeacteprincipal"/>
    <w:uiPriority w:val="1"/>
    <w:rsid w:val="003734A7"/>
    <w:pPr>
      <w:spacing w:before="180" w:after="240" w:line="276" w:lineRule="auto"/>
      <w:jc w:val="center"/>
    </w:pPr>
    <w:rPr>
      <w:rFonts w:ascii="Times New Roman" w:hAnsi="Times New Roman" w:cs="Times New Roman"/>
      <w:b/>
      <w:bCs/>
      <w:lang w:val="de-DE" w:eastAsia="en-US"/>
    </w:rPr>
  </w:style>
  <w:style w:type="paragraph" w:customStyle="1" w:styleId="Typeacteprincipal">
    <w:name w:val="Type acte principal"/>
    <w:basedOn w:val="Normal"/>
    <w:next w:val="Objetacteprincipal"/>
    <w:uiPriority w:val="1"/>
    <w:rsid w:val="003734A7"/>
    <w:pPr>
      <w:spacing w:after="240" w:line="276" w:lineRule="auto"/>
      <w:jc w:val="center"/>
    </w:pPr>
    <w:rPr>
      <w:rFonts w:ascii="Times New Roman" w:hAnsi="Times New Roman" w:cs="Times New Roman"/>
      <w:b/>
      <w:bCs/>
      <w:lang w:val="de-DE" w:eastAsia="en-US"/>
    </w:rPr>
  </w:style>
  <w:style w:type="paragraph" w:customStyle="1" w:styleId="Objetacteprincipal">
    <w:name w:val="Objet acte principal"/>
    <w:basedOn w:val="Normal"/>
    <w:next w:val="Titrearticle"/>
    <w:uiPriority w:val="1"/>
    <w:rsid w:val="003734A7"/>
    <w:pPr>
      <w:spacing w:after="360" w:line="276" w:lineRule="auto"/>
      <w:jc w:val="center"/>
    </w:pPr>
    <w:rPr>
      <w:rFonts w:ascii="Times New Roman" w:hAnsi="Times New Roman" w:cs="Times New Roman"/>
      <w:b/>
      <w:bCs/>
      <w:lang w:val="de-DE" w:eastAsia="en-US"/>
    </w:rPr>
  </w:style>
  <w:style w:type="paragraph" w:customStyle="1" w:styleId="IntrtEEEPagedecouverture">
    <w:name w:val="Intérêt EEE (Page de couverture)"/>
    <w:basedOn w:val="IntrtEEE"/>
    <w:next w:val="Normal"/>
    <w:rsid w:val="006A49D5"/>
  </w:style>
  <w:style w:type="paragraph" w:customStyle="1" w:styleId="AccompagnantPagedecouverture">
    <w:name w:val="Accompagnant (Page de couverture)"/>
    <w:basedOn w:val="Accompagnant"/>
    <w:next w:val="TypeacteprincipalPagedecouverture"/>
    <w:uiPriority w:val="1"/>
    <w:rsid w:val="003734A7"/>
  </w:style>
  <w:style w:type="paragraph" w:customStyle="1" w:styleId="TypeacteprincipalPagedecouverture">
    <w:name w:val="Type acte principal (Page de couverture)"/>
    <w:basedOn w:val="Typeacteprincipal"/>
    <w:next w:val="ObjetacteprincipalPagedecouverture"/>
    <w:uiPriority w:val="1"/>
    <w:rsid w:val="003734A7"/>
  </w:style>
  <w:style w:type="paragraph" w:customStyle="1" w:styleId="ObjetacteprincipalPagedecouverture">
    <w:name w:val="Objet acte principal (Page de couverture)"/>
    <w:basedOn w:val="Objetacteprincipal"/>
    <w:next w:val="Rfrencecroise"/>
    <w:uiPriority w:val="1"/>
    <w:rsid w:val="003734A7"/>
  </w:style>
  <w:style w:type="paragraph" w:customStyle="1" w:styleId="LanguesfaisantfoiPagedecouverture">
    <w:name w:val="Langues faisant foi (Page de couverture)"/>
    <w:basedOn w:val="Normal"/>
    <w:next w:val="Rfrencecroise"/>
    <w:rsid w:val="006A49D5"/>
    <w:pPr>
      <w:spacing w:before="360" w:after="240" w:line="240" w:lineRule="auto"/>
      <w:jc w:val="center"/>
    </w:pPr>
    <w:rPr>
      <w:rFonts w:ascii="Times New Roman" w:eastAsiaTheme="minorHAnsi" w:hAnsi="Times New Roman" w:cs="Times New Roman"/>
      <w:szCs w:val="22"/>
      <w:lang w:eastAsia="en-US"/>
    </w:rPr>
  </w:style>
  <w:style w:type="paragraph" w:styleId="Caption">
    <w:name w:val="caption"/>
    <w:basedOn w:val="Normal"/>
    <w:next w:val="Normal"/>
    <w:uiPriority w:val="35"/>
    <w:semiHidden/>
    <w:unhideWhenUsed/>
    <w:qFormat/>
    <w:rsid w:val="003734A7"/>
    <w:pPr>
      <w:spacing w:after="200" w:line="276" w:lineRule="auto"/>
      <w:jc w:val="both"/>
    </w:pPr>
    <w:rPr>
      <w:rFonts w:ascii="Times New Roman" w:hAnsi="Times New Roman" w:cs="Times New Roman"/>
      <w:i/>
      <w:iCs/>
      <w:color w:val="0E2841" w:themeColor="text2"/>
      <w:sz w:val="18"/>
      <w:szCs w:val="18"/>
      <w:lang w:val="de-DE" w:eastAsia="en-US"/>
    </w:rPr>
  </w:style>
  <w:style w:type="paragraph" w:styleId="TableofFigures">
    <w:name w:val="table of figures"/>
    <w:basedOn w:val="Normal"/>
    <w:next w:val="Normal"/>
    <w:uiPriority w:val="99"/>
    <w:semiHidden/>
    <w:unhideWhenUsed/>
    <w:rsid w:val="003734A7"/>
    <w:pPr>
      <w:spacing w:before="120" w:after="0" w:line="276" w:lineRule="auto"/>
      <w:jc w:val="both"/>
    </w:pPr>
    <w:rPr>
      <w:rFonts w:ascii="Times New Roman" w:hAnsi="Times New Roman" w:cs="Times New Roman"/>
      <w:lang w:val="de-DE" w:eastAsia="en-US"/>
    </w:rPr>
  </w:style>
  <w:style w:type="paragraph" w:styleId="ListNumber">
    <w:name w:val="List Number"/>
    <w:basedOn w:val="Normal"/>
    <w:uiPriority w:val="99"/>
    <w:semiHidden/>
    <w:unhideWhenUsed/>
    <w:rsid w:val="003734A7"/>
    <w:pPr>
      <w:numPr>
        <w:numId w:val="19"/>
      </w:numPr>
      <w:tabs>
        <w:tab w:val="clear" w:pos="360"/>
        <w:tab w:val="num" w:pos="850"/>
      </w:tabs>
      <w:spacing w:before="120" w:after="120" w:line="276" w:lineRule="auto"/>
      <w:ind w:left="0" w:firstLine="0"/>
      <w:contextualSpacing/>
      <w:jc w:val="both"/>
    </w:pPr>
    <w:rPr>
      <w:rFonts w:ascii="Times New Roman" w:hAnsi="Times New Roman" w:cs="Times New Roman"/>
      <w:lang w:val="de-DE" w:eastAsia="en-US"/>
    </w:rPr>
  </w:style>
  <w:style w:type="paragraph" w:styleId="ListNumber2">
    <w:name w:val="List Number 2"/>
    <w:basedOn w:val="Normal"/>
    <w:uiPriority w:val="99"/>
    <w:semiHidden/>
    <w:unhideWhenUsed/>
    <w:rsid w:val="003734A7"/>
    <w:pPr>
      <w:numPr>
        <w:numId w:val="20"/>
      </w:numPr>
      <w:tabs>
        <w:tab w:val="clear" w:pos="643"/>
      </w:tabs>
      <w:spacing w:before="120" w:after="120" w:line="276" w:lineRule="auto"/>
      <w:ind w:left="0" w:firstLine="0"/>
      <w:contextualSpacing/>
      <w:jc w:val="both"/>
    </w:pPr>
    <w:rPr>
      <w:rFonts w:ascii="Times New Roman" w:hAnsi="Times New Roman" w:cs="Times New Roman"/>
      <w:lang w:val="de-DE" w:eastAsia="en-US"/>
    </w:rPr>
  </w:style>
  <w:style w:type="paragraph" w:styleId="ListNumber3">
    <w:name w:val="List Number 3"/>
    <w:basedOn w:val="Normal"/>
    <w:uiPriority w:val="99"/>
    <w:semiHidden/>
    <w:unhideWhenUsed/>
    <w:rsid w:val="003734A7"/>
    <w:pPr>
      <w:numPr>
        <w:numId w:val="21"/>
      </w:numPr>
      <w:tabs>
        <w:tab w:val="clear" w:pos="926"/>
      </w:tabs>
      <w:spacing w:before="120" w:after="120" w:line="276" w:lineRule="auto"/>
      <w:ind w:left="0" w:firstLine="0"/>
      <w:contextualSpacing/>
      <w:jc w:val="both"/>
    </w:pPr>
    <w:rPr>
      <w:rFonts w:ascii="Times New Roman" w:hAnsi="Times New Roman" w:cs="Times New Roman"/>
      <w:lang w:val="de-DE" w:eastAsia="en-US"/>
    </w:rPr>
  </w:style>
  <w:style w:type="paragraph" w:styleId="ListNumber4">
    <w:name w:val="List Number 4"/>
    <w:basedOn w:val="Normal"/>
    <w:uiPriority w:val="99"/>
    <w:semiHidden/>
    <w:unhideWhenUsed/>
    <w:rsid w:val="003734A7"/>
    <w:pPr>
      <w:numPr>
        <w:numId w:val="22"/>
      </w:numPr>
      <w:tabs>
        <w:tab w:val="clear" w:pos="1209"/>
      </w:tabs>
      <w:spacing w:before="120" w:after="120" w:line="276" w:lineRule="auto"/>
      <w:ind w:left="0" w:firstLine="0"/>
      <w:contextualSpacing/>
      <w:jc w:val="both"/>
    </w:pPr>
    <w:rPr>
      <w:rFonts w:ascii="Times New Roman" w:hAnsi="Times New Roman" w:cs="Times New Roman"/>
      <w:lang w:val="de-DE" w:eastAsia="en-US"/>
    </w:rPr>
  </w:style>
  <w:style w:type="character" w:customStyle="1" w:styleId="Bodytext5">
    <w:name w:val="Body text|5_"/>
    <w:basedOn w:val="DefaultParagraphFont"/>
    <w:link w:val="Bodytext50"/>
    <w:rsid w:val="003734A7"/>
    <w:rPr>
      <w:rFonts w:ascii="Arial" w:eastAsia="Arial" w:hAnsi="Arial" w:cs="Arial"/>
      <w:sz w:val="17"/>
      <w:szCs w:val="17"/>
      <w:shd w:val="clear" w:color="auto" w:fill="FFFFFF"/>
    </w:rPr>
  </w:style>
  <w:style w:type="paragraph" w:customStyle="1" w:styleId="Bodytext21">
    <w:name w:val="Body text|2"/>
    <w:basedOn w:val="Normal"/>
    <w:qFormat/>
    <w:rsid w:val="003734A7"/>
    <w:pPr>
      <w:widowControl w:val="0"/>
      <w:shd w:val="clear" w:color="auto" w:fill="FFFFFF"/>
      <w:spacing w:after="0" w:line="446" w:lineRule="exact"/>
      <w:ind w:hanging="660"/>
      <w:jc w:val="both"/>
    </w:pPr>
    <w:rPr>
      <w:rFonts w:ascii="Arial" w:eastAsia="Arial" w:hAnsi="Arial" w:cs="Arial"/>
      <w:sz w:val="21"/>
      <w:szCs w:val="21"/>
      <w:lang w:val="de-DE" w:eastAsia="en-US"/>
    </w:rPr>
  </w:style>
  <w:style w:type="paragraph" w:customStyle="1" w:styleId="Bodytext50">
    <w:name w:val="Body text|5"/>
    <w:basedOn w:val="Normal"/>
    <w:link w:val="Bodytext5"/>
    <w:rsid w:val="003734A7"/>
    <w:pPr>
      <w:widowControl w:val="0"/>
      <w:shd w:val="clear" w:color="auto" w:fill="FFFFFF"/>
      <w:spacing w:before="1000" w:after="1000" w:line="190" w:lineRule="exact"/>
    </w:pPr>
    <w:rPr>
      <w:rFonts w:ascii="Arial" w:eastAsia="Arial" w:hAnsi="Arial" w:cs="Arial"/>
      <w:sz w:val="17"/>
      <w:szCs w:val="17"/>
    </w:rPr>
  </w:style>
  <w:style w:type="table" w:customStyle="1" w:styleId="GridTable1Light-Accent11">
    <w:name w:val="Grid Table 1 Light - Accent 11"/>
    <w:basedOn w:val="TableNormal"/>
    <w:uiPriority w:val="46"/>
    <w:rsid w:val="003734A7"/>
    <w:pPr>
      <w:spacing w:after="0" w:line="240" w:lineRule="auto"/>
    </w:pPr>
    <w:rPr>
      <w:rFonts w:eastAsiaTheme="minorHAnsi"/>
      <w:sz w:val="22"/>
      <w:szCs w:val="22"/>
      <w:lang w:val="de-DE" w:eastAsia="en-US"/>
    </w:rPr>
    <w:tblPr>
      <w:tblStyleRowBandSize w:val="1"/>
      <w:tblStyleColBandSize w:val="1"/>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3734A7"/>
  </w:style>
  <w:style w:type="paragraph" w:customStyle="1" w:styleId="Default">
    <w:name w:val="Default"/>
    <w:rsid w:val="003734A7"/>
    <w:pPr>
      <w:autoSpaceDE w:val="0"/>
      <w:autoSpaceDN w:val="0"/>
      <w:adjustRightInd w:val="0"/>
      <w:spacing w:after="0" w:line="240" w:lineRule="auto"/>
    </w:pPr>
    <w:rPr>
      <w:rFonts w:ascii="Calibri" w:eastAsiaTheme="minorHAnsi" w:hAnsi="Calibri" w:cs="Calibri"/>
      <w:color w:val="000000"/>
      <w:lang w:val="de-DE" w:eastAsia="en-US"/>
    </w:rPr>
  </w:style>
  <w:style w:type="paragraph" w:styleId="BodyText">
    <w:name w:val="Body Text"/>
    <w:basedOn w:val="Normal"/>
    <w:link w:val="BodyTextChar"/>
    <w:uiPriority w:val="99"/>
    <w:unhideWhenUsed/>
    <w:rsid w:val="003734A7"/>
    <w:pPr>
      <w:spacing w:before="120" w:after="120" w:line="276" w:lineRule="auto"/>
      <w:jc w:val="both"/>
    </w:pPr>
    <w:rPr>
      <w:rFonts w:ascii="Times New Roman" w:hAnsi="Times New Roman" w:cs="Times New Roman"/>
      <w:lang w:val="de-DE" w:eastAsia="en-US"/>
    </w:rPr>
  </w:style>
  <w:style w:type="character" w:customStyle="1" w:styleId="BodyTextChar">
    <w:name w:val="Body Text Char"/>
    <w:basedOn w:val="DefaultParagraphFont"/>
    <w:link w:val="BodyText"/>
    <w:uiPriority w:val="99"/>
    <w:rsid w:val="003734A7"/>
    <w:rPr>
      <w:rFonts w:ascii="Times New Roman" w:hAnsi="Times New Roman" w:cs="Times New Roman"/>
      <w:lang w:val="de-DE" w:eastAsia="en-US"/>
    </w:rPr>
  </w:style>
  <w:style w:type="paragraph" w:styleId="BodyTextIndent">
    <w:name w:val="Body Text Indent"/>
    <w:basedOn w:val="Normal"/>
    <w:link w:val="BodyTextIndentChar"/>
    <w:uiPriority w:val="99"/>
    <w:unhideWhenUsed/>
    <w:rsid w:val="003734A7"/>
    <w:pPr>
      <w:spacing w:before="120" w:after="120" w:line="276" w:lineRule="auto"/>
      <w:ind w:left="283"/>
      <w:jc w:val="both"/>
    </w:pPr>
    <w:rPr>
      <w:rFonts w:ascii="Times New Roman" w:hAnsi="Times New Roman" w:cs="Times New Roman"/>
      <w:lang w:val="de-DE" w:eastAsia="en-US"/>
    </w:rPr>
  </w:style>
  <w:style w:type="character" w:customStyle="1" w:styleId="BodyTextIndentChar">
    <w:name w:val="Body Text Indent Char"/>
    <w:basedOn w:val="DefaultParagraphFont"/>
    <w:link w:val="BodyTextIndent"/>
    <w:uiPriority w:val="99"/>
    <w:rsid w:val="003734A7"/>
    <w:rPr>
      <w:rFonts w:ascii="Times New Roman" w:hAnsi="Times New Roman" w:cs="Times New Roman"/>
      <w:lang w:val="de-DE" w:eastAsia="en-US"/>
    </w:rPr>
  </w:style>
  <w:style w:type="paragraph" w:styleId="BodyTextFirstIndent2">
    <w:name w:val="Body Text First Indent 2"/>
    <w:basedOn w:val="BodyTextIndent"/>
    <w:link w:val="BodyTextFirstIndent2Char"/>
    <w:uiPriority w:val="99"/>
    <w:unhideWhenUsed/>
    <w:rsid w:val="003734A7"/>
    <w:pPr>
      <w:ind w:left="360" w:firstLine="360"/>
    </w:pPr>
  </w:style>
  <w:style w:type="character" w:customStyle="1" w:styleId="BodyTextFirstIndent2Char">
    <w:name w:val="Body Text First Indent 2 Char"/>
    <w:basedOn w:val="BodyTextIndentChar"/>
    <w:link w:val="BodyTextFirstIndent2"/>
    <w:uiPriority w:val="99"/>
    <w:rsid w:val="003734A7"/>
    <w:rPr>
      <w:rFonts w:ascii="Times New Roman" w:hAnsi="Times New Roman" w:cs="Times New Roman"/>
      <w:lang w:val="de-DE" w:eastAsia="en-US"/>
    </w:rPr>
  </w:style>
  <w:style w:type="character" w:styleId="Strong">
    <w:name w:val="Strong"/>
    <w:basedOn w:val="DefaultParagraphFont"/>
    <w:uiPriority w:val="22"/>
    <w:qFormat/>
    <w:rsid w:val="003734A7"/>
    <w:rPr>
      <w:b/>
      <w:bCs/>
    </w:rPr>
  </w:style>
  <w:style w:type="table" w:customStyle="1" w:styleId="TableGrid1">
    <w:name w:val="Table Grid1"/>
    <w:basedOn w:val="TableNormal"/>
    <w:next w:val="TableGrid"/>
    <w:uiPriority w:val="59"/>
    <w:rsid w:val="003734A7"/>
    <w:pPr>
      <w:spacing w:after="0" w:line="240" w:lineRule="auto"/>
    </w:pPr>
    <w:rPr>
      <w:rFonts w:eastAsiaTheme="minorHAnsi"/>
      <w:sz w:val="22"/>
      <w:szCs w:val="22"/>
      <w:lang w:val="de-DE" w:eastAsia="en-US"/>
    </w:rPr>
    <w:tblPr/>
  </w:style>
  <w:style w:type="character" w:styleId="FollowedHyperlink">
    <w:name w:val="FollowedHyperlink"/>
    <w:basedOn w:val="DefaultParagraphFont"/>
    <w:uiPriority w:val="99"/>
    <w:semiHidden/>
    <w:unhideWhenUsed/>
    <w:rsid w:val="003734A7"/>
    <w:rPr>
      <w:color w:val="96607D" w:themeColor="followedHyperlink"/>
      <w:u w:val="single"/>
    </w:rPr>
  </w:style>
  <w:style w:type="paragraph" w:customStyle="1" w:styleId="TechnicalBlock">
    <w:name w:val="Technical Block"/>
    <w:basedOn w:val="Normal"/>
    <w:link w:val="TechnicalBlockChar"/>
    <w:uiPriority w:val="1"/>
    <w:rsid w:val="003734A7"/>
    <w:pPr>
      <w:spacing w:after="240" w:line="276" w:lineRule="auto"/>
      <w:jc w:val="center"/>
    </w:pPr>
    <w:rPr>
      <w:rFonts w:ascii="Times New Roman" w:hAnsi="Times New Roman" w:cs="Times New Roman"/>
      <w:lang w:val="de-DE" w:eastAsia="en-US"/>
    </w:rPr>
  </w:style>
  <w:style w:type="character" w:customStyle="1" w:styleId="TechnicalBlockChar">
    <w:name w:val="Technical Block Char"/>
    <w:basedOn w:val="DefaultParagraphFont"/>
    <w:link w:val="TechnicalBlock"/>
    <w:uiPriority w:val="1"/>
    <w:rsid w:val="003734A7"/>
    <w:rPr>
      <w:rFonts w:ascii="Times New Roman" w:hAnsi="Times New Roman" w:cs="Times New Roman"/>
      <w:noProof/>
      <w:lang w:val="de-DE" w:eastAsia="en-US"/>
    </w:rPr>
  </w:style>
  <w:style w:type="paragraph" w:customStyle="1" w:styleId="EntText">
    <w:name w:val="EntText"/>
    <w:basedOn w:val="Normal"/>
    <w:rsid w:val="003734A7"/>
    <w:pPr>
      <w:spacing w:before="120" w:after="120" w:line="360" w:lineRule="auto"/>
    </w:pPr>
    <w:rPr>
      <w:rFonts w:ascii="Times New Roman" w:eastAsiaTheme="minorHAnsi" w:hAnsi="Times New Roman" w:cs="Times New Roman"/>
      <w:szCs w:val="22"/>
      <w:lang w:val="de-DE" w:eastAsia="en-US"/>
    </w:rPr>
  </w:style>
  <w:style w:type="paragraph" w:customStyle="1" w:styleId="Lignefinal">
    <w:name w:val="Ligne final"/>
    <w:basedOn w:val="Normal"/>
    <w:next w:val="Normal"/>
    <w:rsid w:val="003734A7"/>
    <w:pPr>
      <w:pBdr>
        <w:bottom w:val="single" w:sz="4" w:space="0" w:color="000000"/>
      </w:pBdr>
      <w:spacing w:before="360" w:after="120" w:line="360" w:lineRule="auto"/>
      <w:ind w:left="3400" w:right="3400"/>
      <w:jc w:val="center"/>
    </w:pPr>
    <w:rPr>
      <w:rFonts w:ascii="Times New Roman" w:eastAsiaTheme="minorHAnsi" w:hAnsi="Times New Roman" w:cs="Times New Roman"/>
      <w:b/>
      <w:szCs w:val="22"/>
      <w:lang w:val="de-DE" w:eastAsia="en-US"/>
    </w:rPr>
  </w:style>
  <w:style w:type="paragraph" w:customStyle="1" w:styleId="nbbordered">
    <w:name w:val="nb bordered"/>
    <w:basedOn w:val="Normal"/>
    <w:link w:val="nbborderedChar"/>
    <w:uiPriority w:val="1"/>
    <w:rsid w:val="003734A7"/>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heme="minorHAnsi" w:hAnsi="Times New Roman" w:cs="Times New Roman"/>
      <w:b/>
      <w:szCs w:val="22"/>
      <w:lang w:val="de-DE" w:eastAsia="en-US"/>
    </w:rPr>
  </w:style>
  <w:style w:type="character" w:customStyle="1" w:styleId="nbborderedChar">
    <w:name w:val="nb bordered Char"/>
    <w:basedOn w:val="DefaultParagraphFont"/>
    <w:link w:val="nbbordered"/>
    <w:uiPriority w:val="1"/>
    <w:rsid w:val="003734A7"/>
    <w:rPr>
      <w:rFonts w:ascii="Times New Roman" w:eastAsiaTheme="minorHAnsi" w:hAnsi="Times New Roman" w:cs="Times New Roman"/>
      <w:b/>
      <w:szCs w:val="22"/>
      <w:lang w:val="de-DE" w:eastAsia="en-US"/>
    </w:rPr>
  </w:style>
  <w:style w:type="paragraph" w:customStyle="1" w:styleId="HeaderCouncil">
    <w:name w:val="Header Council"/>
    <w:basedOn w:val="Normal"/>
    <w:link w:val="HeaderCouncilChar"/>
    <w:uiPriority w:val="1"/>
    <w:rsid w:val="003734A7"/>
    <w:pPr>
      <w:spacing w:after="0" w:line="276" w:lineRule="auto"/>
    </w:pPr>
    <w:rPr>
      <w:rFonts w:ascii="Times New Roman" w:eastAsiaTheme="minorHAnsi" w:hAnsi="Times New Roman"/>
      <w:sz w:val="2"/>
      <w:szCs w:val="2"/>
      <w:lang w:val="de-DE" w:eastAsia="en-US"/>
    </w:rPr>
  </w:style>
  <w:style w:type="character" w:customStyle="1" w:styleId="HeaderCouncilChar">
    <w:name w:val="Header Council Char"/>
    <w:basedOn w:val="DefaultParagraphFont"/>
    <w:link w:val="HeaderCouncil"/>
    <w:uiPriority w:val="1"/>
    <w:rsid w:val="003734A7"/>
    <w:rPr>
      <w:rFonts w:ascii="Times New Roman" w:eastAsiaTheme="minorHAnsi" w:hAnsi="Times New Roman"/>
      <w:noProof/>
      <w:sz w:val="2"/>
      <w:szCs w:val="2"/>
      <w:lang w:val="de-DE" w:eastAsia="en-US"/>
    </w:rPr>
  </w:style>
  <w:style w:type="paragraph" w:customStyle="1" w:styleId="FooterText">
    <w:name w:val="Footer Text"/>
    <w:basedOn w:val="Normal"/>
    <w:rsid w:val="003734A7"/>
    <w:pPr>
      <w:spacing w:after="0" w:line="240" w:lineRule="auto"/>
    </w:pPr>
    <w:rPr>
      <w:rFonts w:ascii="Times New Roman" w:eastAsia="Times New Roman" w:hAnsi="Times New Roman" w:cs="Times New Roman"/>
      <w:lang w:val="de-DE" w:eastAsia="en-US"/>
    </w:rPr>
  </w:style>
  <w:style w:type="character" w:styleId="PlaceholderText">
    <w:name w:val="Placeholder Text"/>
    <w:basedOn w:val="DefaultParagraphFont"/>
    <w:uiPriority w:val="99"/>
    <w:semiHidden/>
    <w:rsid w:val="003734A7"/>
    <w:rPr>
      <w:color w:val="808080"/>
    </w:rPr>
  </w:style>
  <w:style w:type="paragraph" w:styleId="Title">
    <w:name w:val="Title"/>
    <w:basedOn w:val="Normal"/>
    <w:next w:val="Normal"/>
    <w:link w:val="TitleChar"/>
    <w:uiPriority w:val="10"/>
    <w:qFormat/>
    <w:rsid w:val="003734A7"/>
    <w:pPr>
      <w:spacing w:after="0" w:line="276" w:lineRule="auto"/>
      <w:contextualSpacing/>
    </w:pPr>
    <w:rPr>
      <w:rFonts w:asciiTheme="majorHAnsi" w:eastAsiaTheme="majorEastAsia" w:hAnsiTheme="majorHAnsi" w:cstheme="majorBidi"/>
      <w:sz w:val="56"/>
      <w:szCs w:val="56"/>
      <w:lang w:val="de-DE" w:eastAsia="en-US"/>
    </w:rPr>
  </w:style>
  <w:style w:type="character" w:customStyle="1" w:styleId="TitleChar">
    <w:name w:val="Title Char"/>
    <w:basedOn w:val="DefaultParagraphFont"/>
    <w:link w:val="Title"/>
    <w:uiPriority w:val="10"/>
    <w:rsid w:val="003734A7"/>
    <w:rPr>
      <w:rFonts w:asciiTheme="majorHAnsi" w:eastAsiaTheme="majorEastAsia" w:hAnsiTheme="majorHAnsi" w:cstheme="majorBidi"/>
      <w:sz w:val="56"/>
      <w:szCs w:val="56"/>
      <w:lang w:val="de-DE" w:eastAsia="en-US"/>
    </w:rPr>
  </w:style>
  <w:style w:type="paragraph" w:styleId="Subtitle">
    <w:name w:val="Subtitle"/>
    <w:basedOn w:val="Normal"/>
    <w:next w:val="Normal"/>
    <w:link w:val="SubtitleChar"/>
    <w:uiPriority w:val="11"/>
    <w:qFormat/>
    <w:rsid w:val="003734A7"/>
    <w:pPr>
      <w:spacing w:after="200" w:line="276" w:lineRule="auto"/>
    </w:pPr>
    <w:rPr>
      <w:color w:val="5A5A5A"/>
      <w:sz w:val="22"/>
      <w:szCs w:val="22"/>
      <w:lang w:val="de-DE" w:eastAsia="en-US"/>
    </w:rPr>
  </w:style>
  <w:style w:type="character" w:customStyle="1" w:styleId="SubtitleChar">
    <w:name w:val="Subtitle Char"/>
    <w:basedOn w:val="DefaultParagraphFont"/>
    <w:link w:val="Subtitle"/>
    <w:uiPriority w:val="11"/>
    <w:rsid w:val="003734A7"/>
    <w:rPr>
      <w:color w:val="5A5A5A"/>
      <w:sz w:val="22"/>
      <w:szCs w:val="22"/>
      <w:lang w:val="de-DE" w:eastAsia="en-US"/>
    </w:rPr>
  </w:style>
  <w:style w:type="paragraph" w:styleId="Quote">
    <w:name w:val="Quote"/>
    <w:basedOn w:val="Normal"/>
    <w:next w:val="Normal"/>
    <w:link w:val="QuoteChar"/>
    <w:uiPriority w:val="29"/>
    <w:qFormat/>
    <w:rsid w:val="003734A7"/>
    <w:pPr>
      <w:spacing w:before="200" w:after="200" w:line="276" w:lineRule="auto"/>
      <w:ind w:left="864" w:right="864"/>
      <w:jc w:val="center"/>
    </w:pPr>
    <w:rPr>
      <w:rFonts w:eastAsiaTheme="minorHAnsi"/>
      <w:i/>
      <w:iCs/>
      <w:color w:val="404040" w:themeColor="text1" w:themeTint="BF"/>
      <w:sz w:val="22"/>
      <w:szCs w:val="22"/>
      <w:lang w:val="de-DE" w:eastAsia="en-US"/>
    </w:rPr>
  </w:style>
  <w:style w:type="character" w:customStyle="1" w:styleId="QuoteChar">
    <w:name w:val="Quote Char"/>
    <w:basedOn w:val="DefaultParagraphFont"/>
    <w:link w:val="Quote"/>
    <w:uiPriority w:val="29"/>
    <w:rsid w:val="003734A7"/>
    <w:rPr>
      <w:rFonts w:eastAsiaTheme="minorHAnsi"/>
      <w:i/>
      <w:iCs/>
      <w:color w:val="404040" w:themeColor="text1" w:themeTint="BF"/>
      <w:sz w:val="22"/>
      <w:szCs w:val="22"/>
      <w:lang w:val="de-DE" w:eastAsia="en-US"/>
    </w:rPr>
  </w:style>
  <w:style w:type="paragraph" w:styleId="IntenseQuote">
    <w:name w:val="Intense Quote"/>
    <w:basedOn w:val="Normal"/>
    <w:next w:val="Normal"/>
    <w:link w:val="IntenseQuoteChar"/>
    <w:uiPriority w:val="30"/>
    <w:qFormat/>
    <w:rsid w:val="003734A7"/>
    <w:pPr>
      <w:spacing w:before="360" w:after="360" w:line="276" w:lineRule="auto"/>
      <w:ind w:left="864" w:right="864"/>
      <w:jc w:val="center"/>
    </w:pPr>
    <w:rPr>
      <w:rFonts w:eastAsiaTheme="minorHAnsi"/>
      <w:i/>
      <w:iCs/>
      <w:color w:val="156082" w:themeColor="accent1"/>
      <w:sz w:val="22"/>
      <w:szCs w:val="22"/>
      <w:lang w:val="de-DE" w:eastAsia="en-US"/>
    </w:rPr>
  </w:style>
  <w:style w:type="character" w:customStyle="1" w:styleId="IntenseQuoteChar">
    <w:name w:val="Intense Quote Char"/>
    <w:basedOn w:val="DefaultParagraphFont"/>
    <w:link w:val="IntenseQuote"/>
    <w:uiPriority w:val="30"/>
    <w:rsid w:val="003734A7"/>
    <w:rPr>
      <w:rFonts w:eastAsiaTheme="minorHAnsi"/>
      <w:i/>
      <w:iCs/>
      <w:color w:val="156082" w:themeColor="accent1"/>
      <w:sz w:val="22"/>
      <w:szCs w:val="22"/>
      <w:lang w:val="de-DE" w:eastAsia="en-US"/>
    </w:rPr>
  </w:style>
  <w:style w:type="paragraph" w:styleId="EndnoteText">
    <w:name w:val="endnote text"/>
    <w:basedOn w:val="Normal"/>
    <w:link w:val="EndnoteTextChar"/>
    <w:uiPriority w:val="99"/>
    <w:semiHidden/>
    <w:unhideWhenUsed/>
    <w:rsid w:val="003734A7"/>
    <w:pPr>
      <w:spacing w:after="0" w:line="276" w:lineRule="auto"/>
    </w:pPr>
    <w:rPr>
      <w:rFonts w:eastAsiaTheme="minorHAnsi"/>
      <w:sz w:val="20"/>
      <w:szCs w:val="20"/>
      <w:lang w:val="de-DE" w:eastAsia="en-US"/>
    </w:rPr>
  </w:style>
  <w:style w:type="character" w:customStyle="1" w:styleId="EndnoteTextChar">
    <w:name w:val="Endnote Text Char"/>
    <w:basedOn w:val="DefaultParagraphFont"/>
    <w:link w:val="EndnoteText"/>
    <w:uiPriority w:val="99"/>
    <w:semiHidden/>
    <w:rsid w:val="003734A7"/>
    <w:rPr>
      <w:rFonts w:eastAsiaTheme="minorHAnsi"/>
      <w:sz w:val="20"/>
      <w:szCs w:val="20"/>
      <w:lang w:val="de-DE" w:eastAsia="en-US"/>
    </w:rPr>
  </w:style>
  <w:style w:type="character" w:customStyle="1" w:styleId="Mention10">
    <w:name w:val="Mention10"/>
    <w:basedOn w:val="DefaultParagraphFont"/>
    <w:uiPriority w:val="99"/>
    <w:unhideWhenUsed/>
    <w:rsid w:val="003734A7"/>
    <w:rPr>
      <w:color w:val="2B579A"/>
      <w:shd w:val="clear" w:color="auto" w:fill="E1DFDD"/>
    </w:rPr>
  </w:style>
  <w:style w:type="character" w:customStyle="1" w:styleId="Mention2">
    <w:name w:val="Mention2"/>
    <w:basedOn w:val="DefaultParagraphFont"/>
    <w:uiPriority w:val="99"/>
    <w:unhideWhenUsed/>
    <w:rsid w:val="003734A7"/>
    <w:rPr>
      <w:color w:val="2B579A"/>
      <w:shd w:val="clear" w:color="auto" w:fill="E1DFDD"/>
    </w:rPr>
  </w:style>
  <w:style w:type="character" w:customStyle="1" w:styleId="Mention3">
    <w:name w:val="Mention3"/>
    <w:basedOn w:val="DefaultParagraphFont"/>
    <w:uiPriority w:val="99"/>
    <w:unhideWhenUsed/>
    <w:rsid w:val="003734A7"/>
    <w:rPr>
      <w:color w:val="2B579A"/>
      <w:shd w:val="clear" w:color="auto" w:fill="E1DFDD"/>
    </w:rPr>
  </w:style>
  <w:style w:type="character" w:customStyle="1" w:styleId="Mention4">
    <w:name w:val="Mention4"/>
    <w:basedOn w:val="DefaultParagraphFont"/>
    <w:uiPriority w:val="99"/>
    <w:unhideWhenUsed/>
    <w:rsid w:val="003734A7"/>
    <w:rPr>
      <w:color w:val="2B579A"/>
      <w:shd w:val="clear" w:color="auto" w:fill="E1DFDD"/>
    </w:rPr>
  </w:style>
  <w:style w:type="character" w:styleId="EndnoteReference">
    <w:name w:val="endnote reference"/>
    <w:basedOn w:val="DefaultParagraphFont"/>
    <w:uiPriority w:val="99"/>
    <w:semiHidden/>
    <w:unhideWhenUsed/>
    <w:rsid w:val="003734A7"/>
    <w:rPr>
      <w:vertAlign w:val="superscript"/>
    </w:rPr>
  </w:style>
  <w:style w:type="character" w:customStyle="1" w:styleId="Mention5">
    <w:name w:val="Mention5"/>
    <w:basedOn w:val="DefaultParagraphFont"/>
    <w:uiPriority w:val="99"/>
    <w:unhideWhenUsed/>
    <w:rsid w:val="003734A7"/>
    <w:rPr>
      <w:color w:val="2B579A"/>
      <w:shd w:val="clear" w:color="auto" w:fill="E1DFDD"/>
    </w:rPr>
  </w:style>
  <w:style w:type="character" w:customStyle="1" w:styleId="UnresolvedMention2">
    <w:name w:val="Unresolved Mention2"/>
    <w:basedOn w:val="DefaultParagraphFont"/>
    <w:uiPriority w:val="99"/>
    <w:semiHidden/>
    <w:unhideWhenUsed/>
    <w:rsid w:val="003734A7"/>
    <w:rPr>
      <w:color w:val="605E5C"/>
      <w:shd w:val="clear" w:color="auto" w:fill="E1DFDD"/>
    </w:rPr>
  </w:style>
  <w:style w:type="character" w:styleId="IntenseReference">
    <w:name w:val="Intense Reference"/>
    <w:basedOn w:val="DefaultParagraphFont"/>
    <w:uiPriority w:val="32"/>
    <w:qFormat/>
    <w:rsid w:val="003734A7"/>
    <w:rPr>
      <w:b/>
      <w:bCs/>
      <w:smallCaps/>
      <w:color w:val="0F4761" w:themeColor="accent1" w:themeShade="BF"/>
      <w:spacing w:val="5"/>
    </w:rPr>
  </w:style>
  <w:style w:type="paragraph" w:customStyle="1" w:styleId="Annex">
    <w:name w:val="Annex"/>
    <w:basedOn w:val="Normal"/>
    <w:next w:val="Normal"/>
    <w:rsid w:val="009C5992"/>
    <w:pPr>
      <w:spacing w:before="120" w:after="120" w:line="360" w:lineRule="auto"/>
      <w:jc w:val="right"/>
    </w:pPr>
    <w:rPr>
      <w:rFonts w:ascii="Times New Roman" w:eastAsiaTheme="minorHAnsi" w:hAnsi="Times New Roman" w:cs="Times New Roman"/>
      <w:b/>
      <w:szCs w:val="22"/>
      <w:u w:val="single"/>
      <w:lang w:eastAsia="en-US"/>
    </w:rPr>
  </w:style>
  <w:style w:type="character" w:customStyle="1" w:styleId="Mention">
    <w:name w:val="Mention"/>
    <w:basedOn w:val="DefaultParagraphFont"/>
    <w:uiPriority w:val="99"/>
    <w:unhideWhenUsed/>
    <w:rsid w:val="00E137A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4.xml"/><Relationship Id="rId21" Type="http://schemas.openxmlformats.org/officeDocument/2006/relationships/header" Target="header6.xml"/><Relationship Id="rId42" Type="http://schemas.openxmlformats.org/officeDocument/2006/relationships/header" Target="header17.xml"/><Relationship Id="rId63" Type="http://schemas.openxmlformats.org/officeDocument/2006/relationships/header" Target="header27.xml"/><Relationship Id="rId84" Type="http://schemas.openxmlformats.org/officeDocument/2006/relationships/header" Target="header38.xml"/><Relationship Id="rId138" Type="http://schemas.openxmlformats.org/officeDocument/2006/relationships/header" Target="header65.xml"/><Relationship Id="rId159" Type="http://schemas.openxmlformats.org/officeDocument/2006/relationships/header" Target="header75.xml"/><Relationship Id="rId170" Type="http://schemas.openxmlformats.org/officeDocument/2006/relationships/footer" Target="footer80.xml"/><Relationship Id="rId191" Type="http://schemas.openxmlformats.org/officeDocument/2006/relationships/header" Target="header91.xml"/><Relationship Id="rId205" Type="http://schemas.openxmlformats.org/officeDocument/2006/relationships/footer" Target="footer97.xml"/><Relationship Id="rId226" Type="http://schemas.openxmlformats.org/officeDocument/2006/relationships/footer" Target="footer108.xml"/><Relationship Id="rId107" Type="http://schemas.openxmlformats.org/officeDocument/2006/relationships/header" Target="header49.xml"/><Relationship Id="rId11" Type="http://schemas.openxmlformats.org/officeDocument/2006/relationships/header" Target="header1.xml"/><Relationship Id="rId32" Type="http://schemas.openxmlformats.org/officeDocument/2006/relationships/footer" Target="footer11.xml"/><Relationship Id="rId53" Type="http://schemas.openxmlformats.org/officeDocument/2006/relationships/header" Target="header22.xml"/><Relationship Id="rId74" Type="http://schemas.openxmlformats.org/officeDocument/2006/relationships/footer" Target="footer32.xml"/><Relationship Id="rId128" Type="http://schemas.openxmlformats.org/officeDocument/2006/relationships/footer" Target="footer59.xml"/><Relationship Id="rId149" Type="http://schemas.openxmlformats.org/officeDocument/2006/relationships/header" Target="header70.xml"/><Relationship Id="rId5" Type="http://schemas.openxmlformats.org/officeDocument/2006/relationships/styles" Target="styles.xml"/><Relationship Id="rId95" Type="http://schemas.openxmlformats.org/officeDocument/2006/relationships/header" Target="header43.xml"/><Relationship Id="rId160" Type="http://schemas.openxmlformats.org/officeDocument/2006/relationships/footer" Target="footer75.xml"/><Relationship Id="rId181" Type="http://schemas.openxmlformats.org/officeDocument/2006/relationships/footer" Target="footer85.xml"/><Relationship Id="rId216" Type="http://schemas.openxmlformats.org/officeDocument/2006/relationships/header" Target="header104.xml"/><Relationship Id="rId22" Type="http://schemas.openxmlformats.org/officeDocument/2006/relationships/footer" Target="footer6.xml"/><Relationship Id="rId27" Type="http://schemas.openxmlformats.org/officeDocument/2006/relationships/header" Target="header9.xml"/><Relationship Id="rId43" Type="http://schemas.openxmlformats.org/officeDocument/2006/relationships/footer" Target="footer16.xml"/><Relationship Id="rId48" Type="http://schemas.openxmlformats.org/officeDocument/2006/relationships/header" Target="header20.xml"/><Relationship Id="rId64" Type="http://schemas.openxmlformats.org/officeDocument/2006/relationships/footer" Target="footer27.xml"/><Relationship Id="rId69" Type="http://schemas.openxmlformats.org/officeDocument/2006/relationships/header" Target="header30.xml"/><Relationship Id="rId113" Type="http://schemas.openxmlformats.org/officeDocument/2006/relationships/header" Target="header52.xml"/><Relationship Id="rId118" Type="http://schemas.openxmlformats.org/officeDocument/2006/relationships/footer" Target="footer54.xml"/><Relationship Id="rId134" Type="http://schemas.openxmlformats.org/officeDocument/2006/relationships/footer" Target="footer62.xml"/><Relationship Id="rId139" Type="http://schemas.openxmlformats.org/officeDocument/2006/relationships/footer" Target="footer64.xml"/><Relationship Id="rId80" Type="http://schemas.openxmlformats.org/officeDocument/2006/relationships/footer" Target="footer35.xml"/><Relationship Id="rId85" Type="http://schemas.openxmlformats.org/officeDocument/2006/relationships/footer" Target="footer37.xml"/><Relationship Id="rId150" Type="http://schemas.openxmlformats.org/officeDocument/2006/relationships/header" Target="header71.xml"/><Relationship Id="rId155" Type="http://schemas.openxmlformats.org/officeDocument/2006/relationships/header" Target="header73.xml"/><Relationship Id="rId171" Type="http://schemas.openxmlformats.org/officeDocument/2006/relationships/header" Target="header81.xml"/><Relationship Id="rId176" Type="http://schemas.openxmlformats.org/officeDocument/2006/relationships/footer" Target="footer83.xml"/><Relationship Id="rId192" Type="http://schemas.openxmlformats.org/officeDocument/2006/relationships/header" Target="header92.xml"/><Relationship Id="rId197" Type="http://schemas.openxmlformats.org/officeDocument/2006/relationships/header" Target="header94.xml"/><Relationship Id="rId206" Type="http://schemas.openxmlformats.org/officeDocument/2006/relationships/footer" Target="footer98.xml"/><Relationship Id="rId227" Type="http://schemas.openxmlformats.org/officeDocument/2006/relationships/header" Target="header109.xml"/><Relationship Id="rId201" Type="http://schemas.openxmlformats.org/officeDocument/2006/relationships/header" Target="header96.xml"/><Relationship Id="rId222" Type="http://schemas.openxmlformats.org/officeDocument/2006/relationships/header" Target="header107.xml"/><Relationship Id="rId12" Type="http://schemas.openxmlformats.org/officeDocument/2006/relationships/header" Target="header2.xml"/><Relationship Id="rId17" Type="http://schemas.openxmlformats.org/officeDocument/2006/relationships/header" Target="header4.xml"/><Relationship Id="rId33" Type="http://schemas.openxmlformats.org/officeDocument/2006/relationships/header" Target="header12.xml"/><Relationship Id="rId38" Type="http://schemas.openxmlformats.org/officeDocument/2006/relationships/footer" Target="footer14.xml"/><Relationship Id="rId59" Type="http://schemas.openxmlformats.org/officeDocument/2006/relationships/header" Target="header25.xml"/><Relationship Id="rId103" Type="http://schemas.openxmlformats.org/officeDocument/2006/relationships/footer" Target="footer46.xml"/><Relationship Id="rId108" Type="http://schemas.openxmlformats.org/officeDocument/2006/relationships/header" Target="header50.xml"/><Relationship Id="rId124" Type="http://schemas.openxmlformats.org/officeDocument/2006/relationships/footer" Target="footer57.xml"/><Relationship Id="rId129" Type="http://schemas.openxmlformats.org/officeDocument/2006/relationships/header" Target="header60.xml"/><Relationship Id="rId54" Type="http://schemas.openxmlformats.org/officeDocument/2006/relationships/header" Target="header23.xml"/><Relationship Id="rId70" Type="http://schemas.openxmlformats.org/officeDocument/2006/relationships/footer" Target="footer30.xml"/><Relationship Id="rId75" Type="http://schemas.openxmlformats.org/officeDocument/2006/relationships/header" Target="header33.xml"/><Relationship Id="rId91" Type="http://schemas.openxmlformats.org/officeDocument/2006/relationships/footer" Target="footer40.xml"/><Relationship Id="rId96" Type="http://schemas.openxmlformats.org/officeDocument/2006/relationships/header" Target="header44.xml"/><Relationship Id="rId140" Type="http://schemas.openxmlformats.org/officeDocument/2006/relationships/footer" Target="footer65.xml"/><Relationship Id="rId145" Type="http://schemas.openxmlformats.org/officeDocument/2006/relationships/footer" Target="footer67.xml"/><Relationship Id="rId161" Type="http://schemas.openxmlformats.org/officeDocument/2006/relationships/header" Target="header76.xml"/><Relationship Id="rId166" Type="http://schemas.openxmlformats.org/officeDocument/2006/relationships/footer" Target="footer78.xml"/><Relationship Id="rId182" Type="http://schemas.openxmlformats.org/officeDocument/2006/relationships/footer" Target="footer86.xml"/><Relationship Id="rId187" Type="http://schemas.openxmlformats.org/officeDocument/2006/relationships/footer" Target="footer88.xml"/><Relationship Id="rId217" Type="http://schemas.openxmlformats.org/officeDocument/2006/relationships/footer" Target="footer103.xml"/><Relationship Id="rId1" Type="http://schemas.openxmlformats.org/officeDocument/2006/relationships/customXml" Target="../customXml/item1.xml"/><Relationship Id="rId6" Type="http://schemas.openxmlformats.org/officeDocument/2006/relationships/settings" Target="settings.xml"/><Relationship Id="rId212" Type="http://schemas.openxmlformats.org/officeDocument/2006/relationships/footer" Target="footer101.xml"/><Relationship Id="rId233" Type="http://schemas.openxmlformats.org/officeDocument/2006/relationships/fontTable" Target="fontTable.xml"/><Relationship Id="rId23" Type="http://schemas.openxmlformats.org/officeDocument/2006/relationships/header" Target="header7.xml"/><Relationship Id="rId28" Type="http://schemas.openxmlformats.org/officeDocument/2006/relationships/footer" Target="footer9.xml"/><Relationship Id="rId49" Type="http://schemas.openxmlformats.org/officeDocument/2006/relationships/footer" Target="footer19.xml"/><Relationship Id="rId114" Type="http://schemas.openxmlformats.org/officeDocument/2006/relationships/header" Target="header53.xml"/><Relationship Id="rId119" Type="http://schemas.openxmlformats.org/officeDocument/2006/relationships/header" Target="header55.xml"/><Relationship Id="rId44" Type="http://schemas.openxmlformats.org/officeDocument/2006/relationships/footer" Target="footer17.xml"/><Relationship Id="rId60" Type="http://schemas.openxmlformats.org/officeDocument/2006/relationships/header" Target="header26.xml"/><Relationship Id="rId65" Type="http://schemas.openxmlformats.org/officeDocument/2006/relationships/header" Target="header28.xml"/><Relationship Id="rId81" Type="http://schemas.openxmlformats.org/officeDocument/2006/relationships/header" Target="header36.xml"/><Relationship Id="rId86" Type="http://schemas.openxmlformats.org/officeDocument/2006/relationships/footer" Target="footer38.xml"/><Relationship Id="rId130" Type="http://schemas.openxmlformats.org/officeDocument/2006/relationships/footer" Target="footer60.xml"/><Relationship Id="rId135" Type="http://schemas.openxmlformats.org/officeDocument/2006/relationships/header" Target="header63.xml"/><Relationship Id="rId151" Type="http://schemas.openxmlformats.org/officeDocument/2006/relationships/footer" Target="footer70.xml"/><Relationship Id="rId156" Type="http://schemas.openxmlformats.org/officeDocument/2006/relationships/header" Target="header74.xml"/><Relationship Id="rId177" Type="http://schemas.openxmlformats.org/officeDocument/2006/relationships/header" Target="header84.xml"/><Relationship Id="rId198" Type="http://schemas.openxmlformats.org/officeDocument/2006/relationships/header" Target="header95.xml"/><Relationship Id="rId172" Type="http://schemas.openxmlformats.org/officeDocument/2006/relationships/footer" Target="footer81.xml"/><Relationship Id="rId193" Type="http://schemas.openxmlformats.org/officeDocument/2006/relationships/footer" Target="footer91.xml"/><Relationship Id="rId202" Type="http://schemas.openxmlformats.org/officeDocument/2006/relationships/footer" Target="footer96.xml"/><Relationship Id="rId207" Type="http://schemas.openxmlformats.org/officeDocument/2006/relationships/header" Target="header99.xml"/><Relationship Id="rId223" Type="http://schemas.openxmlformats.org/officeDocument/2006/relationships/footer" Target="footer106.xml"/><Relationship Id="rId228" Type="http://schemas.openxmlformats.org/officeDocument/2006/relationships/header" Target="header110.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eader" Target="header15.xml"/><Relationship Id="rId109" Type="http://schemas.openxmlformats.org/officeDocument/2006/relationships/footer" Target="footer49.xml"/><Relationship Id="rId34" Type="http://schemas.openxmlformats.org/officeDocument/2006/relationships/footer" Target="footer12.xml"/><Relationship Id="rId50" Type="http://schemas.openxmlformats.org/officeDocument/2006/relationships/footer" Target="footer20.xm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footer" Target="footer43.xml"/><Relationship Id="rId104" Type="http://schemas.openxmlformats.org/officeDocument/2006/relationships/footer" Target="footer47.xml"/><Relationship Id="rId120" Type="http://schemas.openxmlformats.org/officeDocument/2006/relationships/header" Target="header56.xml"/><Relationship Id="rId125" Type="http://schemas.openxmlformats.org/officeDocument/2006/relationships/header" Target="header58.xml"/><Relationship Id="rId141" Type="http://schemas.openxmlformats.org/officeDocument/2006/relationships/header" Target="header66.xml"/><Relationship Id="rId146" Type="http://schemas.openxmlformats.org/officeDocument/2006/relationships/footer" Target="footer68.xml"/><Relationship Id="rId167" Type="http://schemas.openxmlformats.org/officeDocument/2006/relationships/header" Target="header79.xml"/><Relationship Id="rId188" Type="http://schemas.openxmlformats.org/officeDocument/2006/relationships/footer" Target="footer89.xml"/><Relationship Id="rId7" Type="http://schemas.openxmlformats.org/officeDocument/2006/relationships/webSettings" Target="webSettings.xml"/><Relationship Id="rId71" Type="http://schemas.openxmlformats.org/officeDocument/2006/relationships/header" Target="header31.xml"/><Relationship Id="rId92" Type="http://schemas.openxmlformats.org/officeDocument/2006/relationships/footer" Target="footer41.xml"/><Relationship Id="rId162" Type="http://schemas.openxmlformats.org/officeDocument/2006/relationships/header" Target="header77.xml"/><Relationship Id="rId183" Type="http://schemas.openxmlformats.org/officeDocument/2006/relationships/header" Target="header87.xml"/><Relationship Id="rId213" Type="http://schemas.openxmlformats.org/officeDocument/2006/relationships/header" Target="header102.xml"/><Relationship Id="rId218" Type="http://schemas.openxmlformats.org/officeDocument/2006/relationships/footer" Target="footer104.xml"/><Relationship Id="rId234"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eader" Target="header10.xml"/><Relationship Id="rId24" Type="http://schemas.openxmlformats.org/officeDocument/2006/relationships/header" Target="header8.xml"/><Relationship Id="rId40" Type="http://schemas.openxmlformats.org/officeDocument/2006/relationships/footer" Target="footer15.xml"/><Relationship Id="rId45" Type="http://schemas.openxmlformats.org/officeDocument/2006/relationships/header" Target="header18.xml"/><Relationship Id="rId66" Type="http://schemas.openxmlformats.org/officeDocument/2006/relationships/header" Target="header29.xml"/><Relationship Id="rId87" Type="http://schemas.openxmlformats.org/officeDocument/2006/relationships/header" Target="header39.xml"/><Relationship Id="rId110" Type="http://schemas.openxmlformats.org/officeDocument/2006/relationships/footer" Target="footer50.xml"/><Relationship Id="rId115" Type="http://schemas.openxmlformats.org/officeDocument/2006/relationships/footer" Target="footer52.xml"/><Relationship Id="rId131" Type="http://schemas.openxmlformats.org/officeDocument/2006/relationships/header" Target="header61.xml"/><Relationship Id="rId136" Type="http://schemas.openxmlformats.org/officeDocument/2006/relationships/footer" Target="footer63.xml"/><Relationship Id="rId157" Type="http://schemas.openxmlformats.org/officeDocument/2006/relationships/footer" Target="footer73.xml"/><Relationship Id="rId178" Type="http://schemas.openxmlformats.org/officeDocument/2006/relationships/footer" Target="footer84.xml"/><Relationship Id="rId61" Type="http://schemas.openxmlformats.org/officeDocument/2006/relationships/footer" Target="footer25.xml"/><Relationship Id="rId82" Type="http://schemas.openxmlformats.org/officeDocument/2006/relationships/footer" Target="footer36.xml"/><Relationship Id="rId152" Type="http://schemas.openxmlformats.org/officeDocument/2006/relationships/footer" Target="footer71.xml"/><Relationship Id="rId173" Type="http://schemas.openxmlformats.org/officeDocument/2006/relationships/header" Target="header82.xml"/><Relationship Id="rId194" Type="http://schemas.openxmlformats.org/officeDocument/2006/relationships/footer" Target="footer92.xml"/><Relationship Id="rId199" Type="http://schemas.openxmlformats.org/officeDocument/2006/relationships/footer" Target="footer94.xml"/><Relationship Id="rId203" Type="http://schemas.openxmlformats.org/officeDocument/2006/relationships/header" Target="header97.xml"/><Relationship Id="rId208" Type="http://schemas.openxmlformats.org/officeDocument/2006/relationships/footer" Target="footer99.xml"/><Relationship Id="rId229" Type="http://schemas.openxmlformats.org/officeDocument/2006/relationships/footer" Target="footer109.xml"/><Relationship Id="rId19" Type="http://schemas.openxmlformats.org/officeDocument/2006/relationships/footer" Target="footer4.xml"/><Relationship Id="rId224" Type="http://schemas.openxmlformats.org/officeDocument/2006/relationships/footer" Target="footer107.xml"/><Relationship Id="rId14" Type="http://schemas.openxmlformats.org/officeDocument/2006/relationships/footer" Target="footer2.xml"/><Relationship Id="rId30" Type="http://schemas.openxmlformats.org/officeDocument/2006/relationships/header" Target="header11.xml"/><Relationship Id="rId35" Type="http://schemas.openxmlformats.org/officeDocument/2006/relationships/header" Target="header13.xml"/><Relationship Id="rId56" Type="http://schemas.openxmlformats.org/officeDocument/2006/relationships/footer" Target="footer23.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header" Target="header48.xml"/><Relationship Id="rId126" Type="http://schemas.openxmlformats.org/officeDocument/2006/relationships/header" Target="header59.xml"/><Relationship Id="rId147" Type="http://schemas.openxmlformats.org/officeDocument/2006/relationships/header" Target="header69.xml"/><Relationship Id="rId168" Type="http://schemas.openxmlformats.org/officeDocument/2006/relationships/header" Target="header80.xml"/><Relationship Id="rId8" Type="http://schemas.openxmlformats.org/officeDocument/2006/relationships/footnotes" Target="footnotes.xml"/><Relationship Id="rId51" Type="http://schemas.openxmlformats.org/officeDocument/2006/relationships/header" Target="header21.xml"/><Relationship Id="rId72" Type="http://schemas.openxmlformats.org/officeDocument/2006/relationships/header" Target="header32.xml"/><Relationship Id="rId93" Type="http://schemas.openxmlformats.org/officeDocument/2006/relationships/header" Target="header42.xml"/><Relationship Id="rId98" Type="http://schemas.openxmlformats.org/officeDocument/2006/relationships/footer" Target="footer44.xml"/><Relationship Id="rId121" Type="http://schemas.openxmlformats.org/officeDocument/2006/relationships/footer" Target="footer55.xml"/><Relationship Id="rId142" Type="http://schemas.openxmlformats.org/officeDocument/2006/relationships/footer" Target="footer66.xml"/><Relationship Id="rId163" Type="http://schemas.openxmlformats.org/officeDocument/2006/relationships/footer" Target="footer76.xml"/><Relationship Id="rId184" Type="http://schemas.openxmlformats.org/officeDocument/2006/relationships/footer" Target="footer87.xml"/><Relationship Id="rId189" Type="http://schemas.openxmlformats.org/officeDocument/2006/relationships/header" Target="header90.xml"/><Relationship Id="rId219" Type="http://schemas.openxmlformats.org/officeDocument/2006/relationships/header" Target="header105.xml"/><Relationship Id="rId3" Type="http://schemas.openxmlformats.org/officeDocument/2006/relationships/customXml" Target="../customXml/item3.xml"/><Relationship Id="rId214" Type="http://schemas.openxmlformats.org/officeDocument/2006/relationships/footer" Target="footer102.xml"/><Relationship Id="rId230" Type="http://schemas.openxmlformats.org/officeDocument/2006/relationships/footer" Target="footer110.xml"/><Relationship Id="rId25" Type="http://schemas.openxmlformats.org/officeDocument/2006/relationships/footer" Target="footer7.xml"/><Relationship Id="rId46" Type="http://schemas.openxmlformats.org/officeDocument/2006/relationships/footer" Target="footer18.xml"/><Relationship Id="rId67" Type="http://schemas.openxmlformats.org/officeDocument/2006/relationships/footer" Target="footer28.xml"/><Relationship Id="rId116" Type="http://schemas.openxmlformats.org/officeDocument/2006/relationships/footer" Target="footer53.xml"/><Relationship Id="rId137" Type="http://schemas.openxmlformats.org/officeDocument/2006/relationships/header" Target="header64.xml"/><Relationship Id="rId158" Type="http://schemas.openxmlformats.org/officeDocument/2006/relationships/footer" Target="footer74.xml"/><Relationship Id="rId20" Type="http://schemas.openxmlformats.org/officeDocument/2006/relationships/footer" Target="footer5.xml"/><Relationship Id="rId41" Type="http://schemas.openxmlformats.org/officeDocument/2006/relationships/header" Target="header16.xml"/><Relationship Id="rId62" Type="http://schemas.openxmlformats.org/officeDocument/2006/relationships/footer" Target="footer26.xml"/><Relationship Id="rId83" Type="http://schemas.openxmlformats.org/officeDocument/2006/relationships/header" Target="header37.xml"/><Relationship Id="rId88" Type="http://schemas.openxmlformats.org/officeDocument/2006/relationships/footer" Target="footer39.xml"/><Relationship Id="rId111" Type="http://schemas.openxmlformats.org/officeDocument/2006/relationships/header" Target="header51.xml"/><Relationship Id="rId132" Type="http://schemas.openxmlformats.org/officeDocument/2006/relationships/header" Target="header62.xml"/><Relationship Id="rId153" Type="http://schemas.openxmlformats.org/officeDocument/2006/relationships/header" Target="header72.xml"/><Relationship Id="rId174" Type="http://schemas.openxmlformats.org/officeDocument/2006/relationships/header" Target="header83.xml"/><Relationship Id="rId179" Type="http://schemas.openxmlformats.org/officeDocument/2006/relationships/header" Target="header85.xml"/><Relationship Id="rId195" Type="http://schemas.openxmlformats.org/officeDocument/2006/relationships/header" Target="header93.xml"/><Relationship Id="rId209" Type="http://schemas.openxmlformats.org/officeDocument/2006/relationships/header" Target="header100.xml"/><Relationship Id="rId190" Type="http://schemas.openxmlformats.org/officeDocument/2006/relationships/footer" Target="footer90.xml"/><Relationship Id="rId204" Type="http://schemas.openxmlformats.org/officeDocument/2006/relationships/header" Target="header98.xml"/><Relationship Id="rId220" Type="http://schemas.openxmlformats.org/officeDocument/2006/relationships/footer" Target="footer105.xml"/><Relationship Id="rId225" Type="http://schemas.openxmlformats.org/officeDocument/2006/relationships/header" Target="header108.xml"/><Relationship Id="rId15" Type="http://schemas.openxmlformats.org/officeDocument/2006/relationships/header" Target="header3.xml"/><Relationship Id="rId36" Type="http://schemas.openxmlformats.org/officeDocument/2006/relationships/header" Target="header14.xml"/><Relationship Id="rId57" Type="http://schemas.openxmlformats.org/officeDocument/2006/relationships/header" Target="header24.xml"/><Relationship Id="rId106" Type="http://schemas.openxmlformats.org/officeDocument/2006/relationships/footer" Target="footer48.xml"/><Relationship Id="rId127" Type="http://schemas.openxmlformats.org/officeDocument/2006/relationships/footer" Target="footer58.xml"/><Relationship Id="rId10" Type="http://schemas.openxmlformats.org/officeDocument/2006/relationships/image" Target="media/image1.emf"/><Relationship Id="rId31" Type="http://schemas.openxmlformats.org/officeDocument/2006/relationships/footer" Target="footer10.xml"/><Relationship Id="rId52" Type="http://schemas.openxmlformats.org/officeDocument/2006/relationships/footer" Target="footer21.xml"/><Relationship Id="rId73" Type="http://schemas.openxmlformats.org/officeDocument/2006/relationships/footer" Target="footer31.xml"/><Relationship Id="rId78" Type="http://schemas.openxmlformats.org/officeDocument/2006/relationships/header" Target="header35.xml"/><Relationship Id="rId94" Type="http://schemas.openxmlformats.org/officeDocument/2006/relationships/footer" Target="footer42.xml"/><Relationship Id="rId99" Type="http://schemas.openxmlformats.org/officeDocument/2006/relationships/header" Target="header45.xml"/><Relationship Id="rId101" Type="http://schemas.openxmlformats.org/officeDocument/2006/relationships/header" Target="header46.xml"/><Relationship Id="rId122" Type="http://schemas.openxmlformats.org/officeDocument/2006/relationships/footer" Target="footer56.xml"/><Relationship Id="rId143" Type="http://schemas.openxmlformats.org/officeDocument/2006/relationships/header" Target="header67.xml"/><Relationship Id="rId148" Type="http://schemas.openxmlformats.org/officeDocument/2006/relationships/footer" Target="footer69.xml"/><Relationship Id="rId164" Type="http://schemas.openxmlformats.org/officeDocument/2006/relationships/footer" Target="footer77.xml"/><Relationship Id="rId169" Type="http://schemas.openxmlformats.org/officeDocument/2006/relationships/footer" Target="footer79.xml"/><Relationship Id="rId185" Type="http://schemas.openxmlformats.org/officeDocument/2006/relationships/header" Target="header88.xm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eader" Target="header86.xml"/><Relationship Id="rId210" Type="http://schemas.openxmlformats.org/officeDocument/2006/relationships/header" Target="header101.xml"/><Relationship Id="rId215" Type="http://schemas.openxmlformats.org/officeDocument/2006/relationships/header" Target="header103.xml"/><Relationship Id="rId26" Type="http://schemas.openxmlformats.org/officeDocument/2006/relationships/footer" Target="footer8.xml"/><Relationship Id="rId231" Type="http://schemas.openxmlformats.org/officeDocument/2006/relationships/header" Target="header111.xml"/><Relationship Id="rId47" Type="http://schemas.openxmlformats.org/officeDocument/2006/relationships/header" Target="header19.xml"/><Relationship Id="rId68" Type="http://schemas.openxmlformats.org/officeDocument/2006/relationships/footer" Target="footer29.xml"/><Relationship Id="rId89" Type="http://schemas.openxmlformats.org/officeDocument/2006/relationships/header" Target="header40.xml"/><Relationship Id="rId112" Type="http://schemas.openxmlformats.org/officeDocument/2006/relationships/footer" Target="footer51.xml"/><Relationship Id="rId133" Type="http://schemas.openxmlformats.org/officeDocument/2006/relationships/footer" Target="footer61.xml"/><Relationship Id="rId154" Type="http://schemas.openxmlformats.org/officeDocument/2006/relationships/footer" Target="footer72.xml"/><Relationship Id="rId175" Type="http://schemas.openxmlformats.org/officeDocument/2006/relationships/footer" Target="footer82.xml"/><Relationship Id="rId196" Type="http://schemas.openxmlformats.org/officeDocument/2006/relationships/footer" Target="footer93.xml"/><Relationship Id="rId200" Type="http://schemas.openxmlformats.org/officeDocument/2006/relationships/footer" Target="footer95.xml"/><Relationship Id="rId16" Type="http://schemas.openxmlformats.org/officeDocument/2006/relationships/footer" Target="footer3.xml"/><Relationship Id="rId221" Type="http://schemas.openxmlformats.org/officeDocument/2006/relationships/header" Target="header106.xml"/><Relationship Id="rId37" Type="http://schemas.openxmlformats.org/officeDocument/2006/relationships/footer" Target="footer13.xml"/><Relationship Id="rId58" Type="http://schemas.openxmlformats.org/officeDocument/2006/relationships/footer" Target="footer24.xml"/><Relationship Id="rId79" Type="http://schemas.openxmlformats.org/officeDocument/2006/relationships/footer" Target="footer34.xml"/><Relationship Id="rId102" Type="http://schemas.openxmlformats.org/officeDocument/2006/relationships/header" Target="header47.xml"/><Relationship Id="rId123" Type="http://schemas.openxmlformats.org/officeDocument/2006/relationships/header" Target="header57.xml"/><Relationship Id="rId144" Type="http://schemas.openxmlformats.org/officeDocument/2006/relationships/header" Target="header68.xml"/><Relationship Id="rId90" Type="http://schemas.openxmlformats.org/officeDocument/2006/relationships/header" Target="header41.xml"/><Relationship Id="rId165" Type="http://schemas.openxmlformats.org/officeDocument/2006/relationships/header" Target="header78.xml"/><Relationship Id="rId186" Type="http://schemas.openxmlformats.org/officeDocument/2006/relationships/header" Target="header89.xml"/><Relationship Id="rId211" Type="http://schemas.openxmlformats.org/officeDocument/2006/relationships/footer" Target="footer100.xml"/><Relationship Id="rId232" Type="http://schemas.openxmlformats.org/officeDocument/2006/relationships/footer" Target="footer1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C_ARES_NUMBER xmlns="e6c3bc29-9e11-4027-900b-c73633d7928a">
      <Url xsi:nil="true"/>
      <Description xsi:nil="true"/>
    </EC_ARES_NUMBER>
    <EC_ARES_DATE_TRANSFERRED xmlns="e6c3bc29-9e11-4027-900b-c73633d7928a" xsi:nil="true"/>
    <IconOverlay xmlns="http://schemas.microsoft.com/sharepoint/v4" xsi:nil="true"/>
    <TaxCatchAll xmlns="e6c3bc29-9e11-4027-900b-c73633d7928a" xsi:nil="true"/>
    <lcf76f155ced4ddcb4097134ff3c332f xmlns="1700ab43-7395-48ff-866c-657c86ba7f4e">
      <Terms xmlns="http://schemas.microsoft.com/office/infopath/2007/PartnerControls"/>
    </lcf76f155ced4ddcb4097134ff3c332f>
    <Comment xmlns="1700ab43-7395-48ff-866c-657c86ba7f4e" xsi:nil="true"/>
    <EC_ARES_TRANSFERRED_BY xmlns="e6c3bc29-9e11-4027-900b-c73633d792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4" ma:contentTypeDescription="Create a new document." ma:contentTypeScope="" ma:versionID="dddb0eaa08edd7493e1ae0f036adae10">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9323ffd7627664e0e19764f97fc8d69d"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DateTaken" minOccurs="0"/>
                <xsd:element ref="ns2:MediaLengthInSeconds"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Comment" ma:index="31" nillable="true" ma:displayName="Comment" ma:description="unable to open this zipped folder"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ac62207-a3b3-4a5a-94d1-5ccaf859232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3"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4" nillable="true" ma:displayName="Transferred to Ares" ma:format="DateTime" ma:hidden="true" ma:internalName="EC_ARES_DATE_TRANSFERRED">
      <xsd:simpleType>
        <xsd:restriction base="dms:DateTime"/>
      </xsd:simpleType>
    </xsd:element>
    <xsd:element name="EC_ARES_TRANSFERRED_BY" ma:index="25"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C8E4FE-7422-4FAB-81DA-3378DC9264BA}">
  <ds:schemaRefs>
    <ds:schemaRef ds:uri="http://schemas.microsoft.com/office/2006/metadata/properties"/>
    <ds:schemaRef ds:uri="http://schemas.microsoft.com/office/infopath/2007/PartnerControls"/>
    <ds:schemaRef ds:uri="e6c3bc29-9e11-4027-900b-c73633d7928a"/>
    <ds:schemaRef ds:uri="http://schemas.microsoft.com/sharepoint/v4"/>
    <ds:schemaRef ds:uri="1700ab43-7395-48ff-866c-657c86ba7f4e"/>
  </ds:schemaRefs>
</ds:datastoreItem>
</file>

<file path=customXml/itemProps2.xml><?xml version="1.0" encoding="utf-8"?>
<ds:datastoreItem xmlns:ds="http://schemas.openxmlformats.org/officeDocument/2006/customXml" ds:itemID="{9755E938-F6D3-4648-A575-B90C3F40EB04}">
  <ds:schemaRefs>
    <ds:schemaRef ds:uri="http://schemas.microsoft.com/sharepoint/v3/contenttype/forms"/>
  </ds:schemaRefs>
</ds:datastoreItem>
</file>

<file path=customXml/itemProps3.xml><?xml version="1.0" encoding="utf-8"?>
<ds:datastoreItem xmlns:ds="http://schemas.openxmlformats.org/officeDocument/2006/customXml" ds:itemID="{662CBDEF-FEED-4F96-9E8F-A627E9426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7</Pages>
  <Words>33747</Words>
  <Characters>192359</Characters>
  <Application>Microsoft Office Word</Application>
  <DocSecurity>0</DocSecurity>
  <Lines>1602</Lines>
  <Paragraphs>451</Paragraphs>
  <ScaleCrop>false</ScaleCrop>
  <Manager/>
  <Company/>
  <LinksUpToDate>false</LinksUpToDate>
  <CharactersWithSpaces>225655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1396</cp:revision>
  <dcterms:created xsi:type="dcterms:W3CDTF">2025-01-31T11:25:00Z</dcterms:created>
  <dcterms:modified xsi:type="dcterms:W3CDTF">2026-07-30T06:32:00Z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2026-07-03T15:35:44Z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0x01010062094E9F29D6C04F85860C631ABC812A</vt:lpwstr>
  </property>
  <property fmtid="{D5CDD505-2E9C-101B-9397-08002B2CF9AE}" pid="11" name="MSIP_Label_6bd9ddd1-4d20-43f6-abfa-fc3c07406f94_Enabled">
    <vt:lpwstr>true</vt:lpwstr>
  </property>
  <property fmtid="{D5CDD505-2E9C-101B-9397-08002B2CF9AE}" pid="12" name="MSIP_Label_6bd9ddd1-4d20-43f6-abfa-fc3c07406f94_SetDate">
    <vt:lpwstr>2026-07-14T09:39:51Z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091402e4-ea3d-46c2-b823-2f1e70935ad2</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