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Default="00D45ED7" w:rsidP="00D45ED7">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B77DBB3-1275-4805-B5D2-63403CBCA6E0" style="width:455.25pt;height:357.75pt">
            <v:imagedata r:id="rId11" o:title=""/>
          </v:shape>
        </w:pict>
      </w:r>
    </w:p>
    <w:p w:rsidR="00A83B18" w:rsidRPr="00A83B18" w:rsidRDefault="00A83B18" w:rsidP="00A83B18">
      <w:pPr>
        <w:pStyle w:val="Pagedecouverture"/>
        <w:rPr>
          <w:noProof/>
        </w:rPr>
        <w:sectPr w:rsidR="00A83B18" w:rsidRPr="00A83B18" w:rsidSect="00D45ED7">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0A219D" w:rsidRDefault="00DB38C7" w:rsidP="000A219D">
      <w:pPr>
        <w:pStyle w:val="Exposdesmotifstitre"/>
        <w:rPr>
          <w:noProof/>
        </w:rPr>
      </w:pPr>
      <w:bookmarkStart w:id="1" w:name="_GoBack"/>
      <w:bookmarkEnd w:id="1"/>
    </w:p>
    <w:p w:rsidR="00607CA2" w:rsidRPr="00607CA2" w:rsidRDefault="00607CA2" w:rsidP="000A219D">
      <w:pPr>
        <w:rPr>
          <w:noProof/>
        </w:rPr>
      </w:pPr>
    </w:p>
    <w:p w:rsidR="00330E14" w:rsidRDefault="00274E4B">
      <w:pPr>
        <w:pStyle w:val="Rfrenceinterinstitutionnelle"/>
        <w:rPr>
          <w:noProof/>
        </w:rPr>
      </w:pPr>
      <w:r>
        <w:rPr>
          <w:noProof/>
        </w:rPr>
        <w:t>2026/0233 (NLE)</w:t>
      </w:r>
    </w:p>
    <w:p w:rsidR="002709B6" w:rsidRDefault="000A219D" w:rsidP="000A219D">
      <w:pPr>
        <w:pStyle w:val="Statut"/>
        <w:rPr>
          <w:noProof/>
        </w:rPr>
      </w:pPr>
      <w:r w:rsidRPr="000A219D">
        <w:rPr>
          <w:noProof/>
        </w:rPr>
        <w:t>Proposal for a</w:t>
      </w:r>
    </w:p>
    <w:p w:rsidR="002709B6" w:rsidRDefault="000A219D" w:rsidP="000A219D">
      <w:pPr>
        <w:pStyle w:val="Typedudocument"/>
        <w:rPr>
          <w:noProof/>
        </w:rPr>
      </w:pPr>
      <w:r w:rsidRPr="000A219D">
        <w:rPr>
          <w:noProof/>
        </w:rPr>
        <w:t>COUNCIL IMPLEMENTING DECISION</w:t>
      </w:r>
    </w:p>
    <w:p w:rsidR="002F19B5" w:rsidRDefault="000A219D" w:rsidP="000A219D">
      <w:pPr>
        <w:pStyle w:val="Titreobjet"/>
        <w:rPr>
          <w:noProof/>
        </w:rPr>
      </w:pPr>
      <w:r w:rsidRPr="000A219D">
        <w:rPr>
          <w:noProof/>
        </w:rPr>
        <w:t>amending the Implementing Decision of 13 July 2021 on the approval of the assessment of the recovery and resilience plan for Portugal</w:t>
      </w:r>
    </w:p>
    <w:p w:rsidR="00007F85" w:rsidRDefault="00007F85" w:rsidP="000A219D">
      <w:pPr>
        <w:pStyle w:val="Institutionquiagit"/>
        <w:rPr>
          <w:noProof/>
        </w:rPr>
      </w:pPr>
      <w:r w:rsidRPr="002F19B5">
        <w:rPr>
          <w:noProof/>
        </w:rPr>
        <w:t xml:space="preserve">THE COUNCIL OF THE </w:t>
      </w:r>
      <w:r w:rsidRPr="000A219D">
        <w:rPr>
          <w:noProof/>
        </w:rPr>
        <w:t>EUROPEAN</w:t>
      </w:r>
      <w:r w:rsidRPr="002F19B5">
        <w:rPr>
          <w:noProof/>
        </w:rPr>
        <w:t xml:space="preserve"> UNION,</w:t>
      </w:r>
    </w:p>
    <w:p w:rsidR="00007F85" w:rsidRDefault="00007F85" w:rsidP="000A219D">
      <w:pPr>
        <w:rPr>
          <w:noProof/>
        </w:rPr>
      </w:pPr>
      <w:r>
        <w:rPr>
          <w:noProof/>
        </w:rPr>
        <w:t xml:space="preserve">Having regard to the Treaty on the Functioning of the European Union, </w:t>
      </w:r>
    </w:p>
    <w:p w:rsidR="00007F85" w:rsidRPr="00424CB0" w:rsidRDefault="00007F85" w:rsidP="000A219D">
      <w:pPr>
        <w:rPr>
          <w:noProof/>
        </w:rPr>
      </w:pPr>
      <w:r>
        <w:rPr>
          <w:noProof/>
        </w:rPr>
        <w:t>Having regard to Regulation (EU) 2021/241 of the European Parliament and of the Council of 12</w:t>
      </w:r>
      <w:r w:rsidR="00424CB0" w:rsidRPr="00424CB0">
        <w:rPr>
          <w:noProof/>
        </w:rPr>
        <w:t> </w:t>
      </w:r>
      <w:r>
        <w:rPr>
          <w:noProof/>
        </w:rPr>
        <w:t>February</w:t>
      </w:r>
      <w:r w:rsidR="00424CB0" w:rsidRPr="00424CB0">
        <w:rPr>
          <w:noProof/>
        </w:rPr>
        <w:t> </w:t>
      </w:r>
      <w:r>
        <w:rPr>
          <w:noProof/>
        </w:rPr>
        <w:t xml:space="preserve">2021 establishing the Recovery and Resilience </w:t>
      </w:r>
      <w:r w:rsidRPr="00424CB0">
        <w:rPr>
          <w:noProof/>
        </w:rPr>
        <w:t>Facility</w:t>
      </w:r>
      <w:r w:rsidR="00424CB0" w:rsidRPr="00424CB0">
        <w:rPr>
          <w:rStyle w:val="FootnoteReference"/>
          <w:noProof/>
        </w:rPr>
        <w:footnoteReference w:id="2"/>
      </w:r>
      <w:r w:rsidRPr="00424CB0">
        <w:rPr>
          <w:noProof/>
        </w:rPr>
        <w:t>, and in particular Article 20(1) thereof,</w:t>
      </w:r>
    </w:p>
    <w:p w:rsidR="00007F85" w:rsidRPr="00424CB0" w:rsidRDefault="00007F85" w:rsidP="000A219D">
      <w:pPr>
        <w:rPr>
          <w:noProof/>
        </w:rPr>
      </w:pPr>
      <w:r w:rsidRPr="00424CB0">
        <w:rPr>
          <w:noProof/>
        </w:rPr>
        <w:t>Having regard to the proposal from the European Commission,</w:t>
      </w:r>
    </w:p>
    <w:p w:rsidR="00007F85" w:rsidRPr="00424CB0" w:rsidRDefault="00007F85" w:rsidP="000A219D">
      <w:pPr>
        <w:rPr>
          <w:noProof/>
        </w:rPr>
      </w:pPr>
      <w:r w:rsidRPr="00424CB0">
        <w:rPr>
          <w:noProof/>
        </w:rPr>
        <w:t>Whereas:</w:t>
      </w:r>
    </w:p>
    <w:p w:rsidR="002D72C8" w:rsidRPr="00EA435E" w:rsidRDefault="002D72C8" w:rsidP="000A219D">
      <w:pPr>
        <w:pStyle w:val="ManualConsidrant"/>
        <w:rPr>
          <w:rFonts w:eastAsia="Times New Roman"/>
          <w:noProof/>
        </w:rPr>
      </w:pPr>
      <w:r>
        <w:rPr>
          <w:noProof/>
        </w:rPr>
        <w:t>(1)</w:t>
      </w:r>
      <w:r>
        <w:rPr>
          <w:noProof/>
        </w:rPr>
        <w:tab/>
      </w:r>
      <w:r w:rsidRPr="00424CB0">
        <w:rPr>
          <w:noProof/>
        </w:rPr>
        <w:t>Following the submission of the national recovery and resilience plan (‘RRP’) by</w:t>
      </w:r>
      <w:r w:rsidR="00424CB0">
        <w:rPr>
          <w:noProof/>
        </w:rPr>
        <w:t xml:space="preserve"> </w:t>
      </w:r>
      <w:r w:rsidRPr="00424CB0">
        <w:rPr>
          <w:noProof/>
        </w:rPr>
        <w:t>Portugal on 22</w:t>
      </w:r>
      <w:r w:rsidR="00424CB0" w:rsidRPr="00424CB0">
        <w:rPr>
          <w:noProof/>
        </w:rPr>
        <w:t> </w:t>
      </w:r>
      <w:r w:rsidRPr="00424CB0">
        <w:rPr>
          <w:noProof/>
        </w:rPr>
        <w:t>April</w:t>
      </w:r>
      <w:r w:rsidR="00424CB0" w:rsidRPr="00424CB0">
        <w:rPr>
          <w:noProof/>
        </w:rPr>
        <w:t> </w:t>
      </w:r>
      <w:r w:rsidRPr="00424CB0">
        <w:rPr>
          <w:noProof/>
        </w:rPr>
        <w:t>2021, the Commission proposed its positive assessment to the Council. On 13</w:t>
      </w:r>
      <w:r w:rsidR="00424CB0" w:rsidRPr="00424CB0">
        <w:rPr>
          <w:noProof/>
        </w:rPr>
        <w:t> </w:t>
      </w:r>
      <w:r w:rsidRPr="00424CB0">
        <w:rPr>
          <w:noProof/>
        </w:rPr>
        <w:t>July</w:t>
      </w:r>
      <w:r w:rsidR="00424CB0" w:rsidRPr="00424CB0">
        <w:rPr>
          <w:noProof/>
        </w:rPr>
        <w:t> </w:t>
      </w:r>
      <w:r w:rsidRPr="00424CB0">
        <w:rPr>
          <w:noProof/>
        </w:rPr>
        <w:t>2021, the Council approved the positive assessment</w:t>
      </w:r>
      <w:r w:rsidR="00424CB0">
        <w:rPr>
          <w:noProof/>
        </w:rPr>
        <w:t xml:space="preserve"> </w:t>
      </w:r>
      <w:r w:rsidRPr="00424CB0">
        <w:rPr>
          <w:noProof/>
        </w:rPr>
        <w:t>by means of</w:t>
      </w:r>
      <w:r w:rsidR="00424CB0">
        <w:rPr>
          <w:noProof/>
        </w:rPr>
        <w:t xml:space="preserve"> </w:t>
      </w:r>
      <w:r w:rsidRPr="00424CB0">
        <w:rPr>
          <w:noProof/>
        </w:rPr>
        <w:t>an implementing decision</w:t>
      </w:r>
      <w:r w:rsidR="00424CB0" w:rsidRPr="00424CB0">
        <w:rPr>
          <w:rStyle w:val="FootnoteReference"/>
          <w:noProof/>
        </w:rPr>
        <w:footnoteReference w:id="3"/>
      </w:r>
      <w:r w:rsidR="00424CB0">
        <w:rPr>
          <w:noProof/>
        </w:rPr>
        <w:t xml:space="preserve"> </w:t>
      </w:r>
      <w:r w:rsidRPr="00424CB0">
        <w:rPr>
          <w:noProof/>
        </w:rPr>
        <w:t>(‘Council Implementing Decision of 13</w:t>
      </w:r>
      <w:r w:rsidR="00424CB0" w:rsidRPr="00424CB0">
        <w:rPr>
          <w:noProof/>
        </w:rPr>
        <w:t> </w:t>
      </w:r>
      <w:r w:rsidRPr="00424CB0">
        <w:rPr>
          <w:noProof/>
        </w:rPr>
        <w:t>July</w:t>
      </w:r>
      <w:r w:rsidR="00424CB0" w:rsidRPr="00424CB0">
        <w:rPr>
          <w:noProof/>
        </w:rPr>
        <w:t> </w:t>
      </w:r>
      <w:r w:rsidRPr="00424CB0">
        <w:rPr>
          <w:noProof/>
        </w:rPr>
        <w:t>2021’). Council Implementing Decision of 13</w:t>
      </w:r>
      <w:r w:rsidR="00424CB0" w:rsidRPr="00424CB0">
        <w:rPr>
          <w:noProof/>
        </w:rPr>
        <w:t> </w:t>
      </w:r>
      <w:r w:rsidRPr="00424CB0">
        <w:rPr>
          <w:noProof/>
        </w:rPr>
        <w:t>July</w:t>
      </w:r>
      <w:r w:rsidR="00424CB0" w:rsidRPr="00424CB0">
        <w:rPr>
          <w:noProof/>
        </w:rPr>
        <w:t> </w:t>
      </w:r>
      <w:r w:rsidRPr="00424CB0">
        <w:rPr>
          <w:noProof/>
        </w:rPr>
        <w:t>2021 was amended by Council Implementing Decisions of 17</w:t>
      </w:r>
      <w:r w:rsidR="00424CB0" w:rsidRPr="00424CB0">
        <w:rPr>
          <w:noProof/>
        </w:rPr>
        <w:t> </w:t>
      </w:r>
      <w:r w:rsidRPr="00424CB0">
        <w:rPr>
          <w:noProof/>
        </w:rPr>
        <w:t>October</w:t>
      </w:r>
      <w:r w:rsidR="00424CB0" w:rsidRPr="00424CB0">
        <w:rPr>
          <w:noProof/>
        </w:rPr>
        <w:t> </w:t>
      </w:r>
      <w:r w:rsidRPr="00424CB0">
        <w:rPr>
          <w:noProof/>
        </w:rPr>
        <w:t>2023</w:t>
      </w:r>
      <w:r w:rsidR="00424CB0" w:rsidRPr="00424CB0">
        <w:rPr>
          <w:rStyle w:val="FootnoteReference"/>
          <w:noProof/>
        </w:rPr>
        <w:footnoteReference w:id="4"/>
      </w:r>
      <w:r w:rsidRPr="00424CB0">
        <w:rPr>
          <w:noProof/>
        </w:rPr>
        <w:t>, 8</w:t>
      </w:r>
      <w:r w:rsidR="00424CB0" w:rsidRPr="00424CB0">
        <w:rPr>
          <w:noProof/>
        </w:rPr>
        <w:t> </w:t>
      </w:r>
      <w:r w:rsidRPr="00424CB0">
        <w:rPr>
          <w:noProof/>
        </w:rPr>
        <w:t>October</w:t>
      </w:r>
      <w:r w:rsidR="00424CB0" w:rsidRPr="00424CB0">
        <w:rPr>
          <w:noProof/>
        </w:rPr>
        <w:t> </w:t>
      </w:r>
      <w:r w:rsidRPr="00424CB0">
        <w:rPr>
          <w:noProof/>
        </w:rPr>
        <w:t>2024</w:t>
      </w:r>
      <w:r w:rsidR="00424CB0" w:rsidRPr="00424CB0">
        <w:rPr>
          <w:rStyle w:val="FootnoteReference"/>
          <w:noProof/>
        </w:rPr>
        <w:footnoteReference w:id="5"/>
      </w:r>
      <w:r w:rsidRPr="00424CB0">
        <w:rPr>
          <w:noProof/>
        </w:rPr>
        <w:t>, 13</w:t>
      </w:r>
      <w:r w:rsidR="00424CB0" w:rsidRPr="00424CB0">
        <w:rPr>
          <w:noProof/>
        </w:rPr>
        <w:t> </w:t>
      </w:r>
      <w:r w:rsidRPr="00424CB0">
        <w:rPr>
          <w:noProof/>
        </w:rPr>
        <w:t>May</w:t>
      </w:r>
      <w:r w:rsidR="00424CB0" w:rsidRPr="00424CB0">
        <w:rPr>
          <w:noProof/>
        </w:rPr>
        <w:t> </w:t>
      </w:r>
      <w:r w:rsidRPr="00424CB0">
        <w:rPr>
          <w:noProof/>
        </w:rPr>
        <w:t>2025</w:t>
      </w:r>
      <w:r w:rsidR="00424CB0" w:rsidRPr="00424CB0">
        <w:rPr>
          <w:rStyle w:val="FootnoteReference"/>
          <w:noProof/>
        </w:rPr>
        <w:footnoteReference w:id="6"/>
      </w:r>
      <w:r w:rsidRPr="00424CB0">
        <w:rPr>
          <w:noProof/>
        </w:rPr>
        <w:t>, 29</w:t>
      </w:r>
      <w:r w:rsidR="00424CB0" w:rsidRPr="00424CB0">
        <w:rPr>
          <w:noProof/>
        </w:rPr>
        <w:t> </w:t>
      </w:r>
      <w:r w:rsidRPr="00424CB0">
        <w:rPr>
          <w:noProof/>
        </w:rPr>
        <w:t>September</w:t>
      </w:r>
      <w:r w:rsidR="00424CB0" w:rsidRPr="00424CB0">
        <w:rPr>
          <w:noProof/>
        </w:rPr>
        <w:t> </w:t>
      </w:r>
      <w:r w:rsidRPr="00424CB0">
        <w:rPr>
          <w:noProof/>
        </w:rPr>
        <w:t>2025</w:t>
      </w:r>
      <w:r w:rsidR="00424CB0" w:rsidRPr="00424CB0">
        <w:rPr>
          <w:rStyle w:val="FootnoteReference"/>
          <w:noProof/>
        </w:rPr>
        <w:footnoteReference w:id="7"/>
      </w:r>
      <w:r w:rsidRPr="00424CB0">
        <w:rPr>
          <w:noProof/>
        </w:rPr>
        <w:t>, 12</w:t>
      </w:r>
      <w:r w:rsidR="00424CB0" w:rsidRPr="00424CB0">
        <w:rPr>
          <w:noProof/>
        </w:rPr>
        <w:t> </w:t>
      </w:r>
      <w:r w:rsidRPr="00424CB0">
        <w:rPr>
          <w:noProof/>
        </w:rPr>
        <w:t>December</w:t>
      </w:r>
      <w:r w:rsidR="00424CB0" w:rsidRPr="00424CB0">
        <w:rPr>
          <w:noProof/>
        </w:rPr>
        <w:t> </w:t>
      </w:r>
      <w:r w:rsidRPr="00424CB0">
        <w:rPr>
          <w:noProof/>
        </w:rPr>
        <w:t>2025</w:t>
      </w:r>
      <w:r w:rsidR="00424CB0" w:rsidRPr="00424CB0">
        <w:rPr>
          <w:rStyle w:val="FootnoteReference"/>
          <w:noProof/>
        </w:rPr>
        <w:footnoteReference w:id="8"/>
      </w:r>
      <w:r w:rsidR="00424CB0">
        <w:rPr>
          <w:noProof/>
        </w:rPr>
        <w:t xml:space="preserve"> </w:t>
      </w:r>
      <w:r w:rsidRPr="00424CB0">
        <w:rPr>
          <w:noProof/>
        </w:rPr>
        <w:t>and</w:t>
      </w:r>
      <w:r w:rsidR="00424CB0">
        <w:rPr>
          <w:noProof/>
        </w:rPr>
        <w:t xml:space="preserve"> </w:t>
      </w:r>
      <w:r w:rsidR="00787914">
        <w:rPr>
          <w:noProof/>
        </w:rPr>
        <w:t>12</w:t>
      </w:r>
      <w:r w:rsidR="00424CB0" w:rsidRPr="00424CB0">
        <w:rPr>
          <w:noProof/>
        </w:rPr>
        <w:t> </w:t>
      </w:r>
      <w:r w:rsidRPr="00424CB0">
        <w:rPr>
          <w:noProof/>
        </w:rPr>
        <w:t>June</w:t>
      </w:r>
      <w:r w:rsidR="00424CB0" w:rsidRPr="00424CB0">
        <w:rPr>
          <w:noProof/>
        </w:rPr>
        <w:t> </w:t>
      </w:r>
      <w:r w:rsidRPr="00424CB0">
        <w:rPr>
          <w:noProof/>
        </w:rPr>
        <w:t>2026</w:t>
      </w:r>
      <w:r w:rsidR="00424CB0" w:rsidRPr="00424CB0">
        <w:rPr>
          <w:rStyle w:val="FootnoteReference"/>
          <w:noProof/>
        </w:rPr>
        <w:footnoteReference w:id="9"/>
      </w:r>
      <w:r w:rsidRPr="00424CB0">
        <w:rPr>
          <w:noProof/>
        </w:rPr>
        <w:t>.</w:t>
      </w:r>
    </w:p>
    <w:p w:rsidR="002474B1" w:rsidRPr="00EA435E" w:rsidRDefault="002474B1" w:rsidP="00EA435E">
      <w:pPr>
        <w:pStyle w:val="ManualConsidrant"/>
        <w:rPr>
          <w:rFonts w:eastAsia="Times New Roman"/>
          <w:noProof/>
        </w:rPr>
      </w:pPr>
      <w:r>
        <w:rPr>
          <w:noProof/>
        </w:rPr>
        <w:t>(2)</w:t>
      </w:r>
      <w:r>
        <w:rPr>
          <w:noProof/>
        </w:rPr>
        <w:tab/>
      </w:r>
      <w:r w:rsidRPr="002474B1">
        <w:rPr>
          <w:noProof/>
        </w:rPr>
        <w:t>On 21</w:t>
      </w:r>
      <w:r w:rsidR="00424CB0" w:rsidRPr="00424CB0">
        <w:rPr>
          <w:noProof/>
        </w:rPr>
        <w:t> </w:t>
      </w:r>
      <w:r>
        <w:rPr>
          <w:noProof/>
        </w:rPr>
        <w:t>July</w:t>
      </w:r>
      <w:r w:rsidR="00424CB0" w:rsidRPr="00424CB0">
        <w:rPr>
          <w:noProof/>
        </w:rPr>
        <w:t> </w:t>
      </w:r>
      <w:r w:rsidRPr="002474B1">
        <w:rPr>
          <w:noProof/>
        </w:rPr>
        <w:t>2026, Portugal made</w:t>
      </w:r>
      <w:r w:rsidRPr="002E7DCF">
        <w:rPr>
          <w:noProof/>
        </w:rPr>
        <w:t xml:space="preserve"> a reasoned request to the Commission to make a proposal to amend</w:t>
      </w:r>
      <w:r w:rsidR="006F2E3D">
        <w:rPr>
          <w:noProof/>
        </w:rPr>
        <w:t xml:space="preserve"> the</w:t>
      </w:r>
      <w:r w:rsidRPr="002E7DCF">
        <w:rPr>
          <w:noProof/>
        </w:rPr>
        <w:t xml:space="preserve"> Council </w:t>
      </w:r>
      <w:r w:rsidRPr="000A219D">
        <w:rPr>
          <w:noProof/>
        </w:rPr>
        <w:t>Implementing</w:t>
      </w:r>
      <w:r w:rsidRPr="002E7DCF">
        <w:rPr>
          <w:noProof/>
        </w:rPr>
        <w:t xml:space="preserve"> Decision of 13</w:t>
      </w:r>
      <w:r w:rsidR="00424CB0" w:rsidRPr="00424CB0">
        <w:rPr>
          <w:noProof/>
        </w:rPr>
        <w:t> </w:t>
      </w:r>
      <w:r w:rsidRPr="002E7DCF">
        <w:rPr>
          <w:noProof/>
        </w:rPr>
        <w:t>July</w:t>
      </w:r>
      <w:r w:rsidR="00424CB0" w:rsidRPr="00424CB0">
        <w:rPr>
          <w:noProof/>
        </w:rPr>
        <w:t> </w:t>
      </w:r>
      <w:r w:rsidRPr="002E7DCF">
        <w:rPr>
          <w:noProof/>
        </w:rPr>
        <w:t>2021 in accordance with Article 21(1) of Regulation (EU) 2021/241 on the grounds that the RRP is partially no longer achievable because of objective circumstances. On that basis, Portugal has submitted an amended RRP.</w:t>
      </w:r>
    </w:p>
    <w:p w:rsidR="00007F85" w:rsidRPr="000A219D" w:rsidRDefault="00007F85" w:rsidP="000A219D">
      <w:pPr>
        <w:rPr>
          <w:b/>
          <w:bCs/>
          <w:i/>
          <w:iCs/>
          <w:noProof/>
        </w:rPr>
      </w:pPr>
      <w:r w:rsidRPr="000A219D">
        <w:rPr>
          <w:b/>
          <w:bCs/>
          <w:i/>
          <w:iCs/>
          <w:noProof/>
        </w:rPr>
        <w:t xml:space="preserve">Amendments based on Article 21 of Regulation (EU) 2021/241 </w:t>
      </w:r>
    </w:p>
    <w:p w:rsidR="002474B1" w:rsidRPr="002474B1" w:rsidRDefault="002474B1" w:rsidP="000A219D">
      <w:pPr>
        <w:pStyle w:val="ManualConsidrant"/>
        <w:rPr>
          <w:noProof/>
        </w:rPr>
      </w:pPr>
      <w:r>
        <w:rPr>
          <w:noProof/>
        </w:rPr>
        <w:t>(3)</w:t>
      </w:r>
      <w:r>
        <w:rPr>
          <w:noProof/>
        </w:rPr>
        <w:tab/>
      </w:r>
      <w:bookmarkStart w:id="2" w:name="_Hlk158894031"/>
      <w:r w:rsidRPr="002E7DCF">
        <w:rPr>
          <w:noProof/>
        </w:rPr>
        <w:t xml:space="preserve">The amendments to the RRP submitted by Portugal because of objective circumstances </w:t>
      </w:r>
      <w:r w:rsidRPr="000A219D">
        <w:rPr>
          <w:noProof/>
        </w:rPr>
        <w:t>concern</w:t>
      </w:r>
      <w:r w:rsidRPr="002E7DCF">
        <w:rPr>
          <w:noProof/>
        </w:rPr>
        <w:t xml:space="preserve"> </w:t>
      </w:r>
      <w:r>
        <w:rPr>
          <w:noProof/>
        </w:rPr>
        <w:t>46</w:t>
      </w:r>
      <w:r w:rsidRPr="002E7DCF">
        <w:rPr>
          <w:noProof/>
        </w:rPr>
        <w:t xml:space="preserve"> measures.</w:t>
      </w:r>
      <w:r>
        <w:rPr>
          <w:noProof/>
        </w:rPr>
        <w:t xml:space="preserve"> </w:t>
      </w:r>
    </w:p>
    <w:p w:rsidR="002474B1" w:rsidRPr="00464883" w:rsidRDefault="002474B1" w:rsidP="000A219D">
      <w:pPr>
        <w:pStyle w:val="ManualConsidrant"/>
        <w:rPr>
          <w:noProof/>
        </w:rPr>
      </w:pPr>
      <w:r>
        <w:rPr>
          <w:noProof/>
        </w:rPr>
        <w:t>(4)</w:t>
      </w:r>
      <w:r>
        <w:rPr>
          <w:noProof/>
        </w:rPr>
        <w:tab/>
      </w:r>
      <w:r w:rsidRPr="00464883">
        <w:rPr>
          <w:noProof/>
        </w:rPr>
        <w:t xml:space="preserve">Portugal has explained that </w:t>
      </w:r>
      <w:r w:rsidR="005E5183">
        <w:rPr>
          <w:noProof/>
        </w:rPr>
        <w:t>five</w:t>
      </w:r>
      <w:r w:rsidRPr="00464883">
        <w:rPr>
          <w:noProof/>
        </w:rPr>
        <w:t xml:space="preserve"> measures are partially no longer achievable because of unexpected technical </w:t>
      </w:r>
      <w:r w:rsidRPr="000A219D">
        <w:rPr>
          <w:noProof/>
        </w:rPr>
        <w:t>difficulties</w:t>
      </w:r>
      <w:r w:rsidRPr="00464883">
        <w:rPr>
          <w:noProof/>
        </w:rPr>
        <w:t xml:space="preserve"> or lack of demand. This concerns measures C01-i01 (Primary health care services with more answers), C01-i02 (National Network of </w:t>
      </w:r>
      <w:r w:rsidRPr="00464883">
        <w:rPr>
          <w:noProof/>
        </w:rPr>
        <w:lastRenderedPageBreak/>
        <w:t>Integrated Continuous Care and National Network of Palliative Care), C01-i03 (Support to mental health reform)</w:t>
      </w:r>
      <w:r w:rsidR="005E5183">
        <w:rPr>
          <w:noProof/>
        </w:rPr>
        <w:t>,</w:t>
      </w:r>
      <w:r w:rsidRPr="00464883">
        <w:rPr>
          <w:noProof/>
        </w:rPr>
        <w:t xml:space="preserve"> C09-i01 (Algarve Water Efficiency Regional Plan)</w:t>
      </w:r>
      <w:r w:rsidR="005E5183">
        <w:rPr>
          <w:noProof/>
        </w:rPr>
        <w:t xml:space="preserve"> and C19-i04 (</w:t>
      </w:r>
      <w:r w:rsidR="005E5183" w:rsidRPr="00E70F00">
        <w:rPr>
          <w:noProof/>
        </w:rPr>
        <w:t>Efficient,</w:t>
      </w:r>
      <w:r w:rsidR="005E5183">
        <w:rPr>
          <w:noProof/>
        </w:rPr>
        <w:t xml:space="preserve"> </w:t>
      </w:r>
      <w:r w:rsidR="005E5183" w:rsidRPr="00E70F00">
        <w:rPr>
          <w:noProof/>
        </w:rPr>
        <w:t>secure</w:t>
      </w:r>
      <w:r w:rsidR="005E5183">
        <w:rPr>
          <w:noProof/>
        </w:rPr>
        <w:t xml:space="preserve"> </w:t>
      </w:r>
      <w:r w:rsidR="005E5183" w:rsidRPr="00E70F00">
        <w:rPr>
          <w:noProof/>
        </w:rPr>
        <w:t>and shared critical digital infrastructure</w:t>
      </w:r>
      <w:r w:rsidR="005E5183">
        <w:rPr>
          <w:noProof/>
        </w:rPr>
        <w:t>),</w:t>
      </w:r>
      <w:r w:rsidRPr="00464883">
        <w:rPr>
          <w:noProof/>
        </w:rPr>
        <w:t xml:space="preserve">. On this basis, Portugal has requested that those measures be amended. </w:t>
      </w:r>
      <w:r w:rsidR="006F2E3D">
        <w:rPr>
          <w:noProof/>
        </w:rPr>
        <w:t xml:space="preserve">The </w:t>
      </w:r>
      <w:r w:rsidRPr="00464883">
        <w:rPr>
          <w:noProof/>
        </w:rPr>
        <w:t>Council Implementing Decision of 13</w:t>
      </w:r>
      <w:r w:rsidR="00424CB0" w:rsidRPr="00424CB0">
        <w:rPr>
          <w:noProof/>
        </w:rPr>
        <w:t> </w:t>
      </w:r>
      <w:r w:rsidRPr="00464883">
        <w:rPr>
          <w:noProof/>
        </w:rPr>
        <w:t>July</w:t>
      </w:r>
      <w:r w:rsidR="00424CB0" w:rsidRPr="00424CB0">
        <w:rPr>
          <w:noProof/>
        </w:rPr>
        <w:t> </w:t>
      </w:r>
      <w:r w:rsidRPr="00464883">
        <w:rPr>
          <w:noProof/>
        </w:rPr>
        <w:t>2021 should be amended accordingly.</w:t>
      </w:r>
    </w:p>
    <w:p w:rsidR="002474B1" w:rsidRPr="001C26F3" w:rsidRDefault="002474B1" w:rsidP="000A219D">
      <w:pPr>
        <w:pStyle w:val="ManualConsidrant"/>
        <w:rPr>
          <w:noProof/>
        </w:rPr>
      </w:pPr>
      <w:r>
        <w:rPr>
          <w:noProof/>
        </w:rPr>
        <w:t>(5)</w:t>
      </w:r>
      <w:r>
        <w:rPr>
          <w:noProof/>
        </w:rPr>
        <w:tab/>
      </w:r>
      <w:r w:rsidRPr="002E7DCF">
        <w:rPr>
          <w:noProof/>
        </w:rPr>
        <w:t>Portugal</w:t>
      </w:r>
      <w:r w:rsidRPr="00206A88">
        <w:rPr>
          <w:noProof/>
        </w:rPr>
        <w:t xml:space="preserve"> has </w:t>
      </w:r>
      <w:r w:rsidRPr="002E7DCF">
        <w:rPr>
          <w:noProof/>
        </w:rPr>
        <w:t xml:space="preserve">explained that </w:t>
      </w:r>
      <w:r>
        <w:rPr>
          <w:noProof/>
        </w:rPr>
        <w:t>seven</w:t>
      </w:r>
      <w:r w:rsidRPr="00206A88">
        <w:rPr>
          <w:noProof/>
        </w:rPr>
        <w:t xml:space="preserve"> </w:t>
      </w:r>
      <w:r w:rsidRPr="002E7DCF">
        <w:rPr>
          <w:noProof/>
        </w:rPr>
        <w:t xml:space="preserve">measures have been amended to implement better alternatives in order to </w:t>
      </w:r>
      <w:r w:rsidRPr="000A219D">
        <w:rPr>
          <w:noProof/>
        </w:rPr>
        <w:t>achieve</w:t>
      </w:r>
      <w:r w:rsidRPr="002E7DCF">
        <w:rPr>
          <w:noProof/>
        </w:rPr>
        <w:t xml:space="preserve"> their original ambition. </w:t>
      </w:r>
      <w:r w:rsidRPr="00206A88">
        <w:rPr>
          <w:noProof/>
        </w:rPr>
        <w:t>This concerns measures C01-i05-RAM (Support to Madeira’s Regional Health Service), C02-i04-RAA (Increasing housing conditions in the housing stock of the Autonomous Region of the Azores), C02-i07-RAA (Infrastructure for parcels of land for residential housing), C04-i01 (Cultural Networks and Digital Transition), C06-i01 (Modernisation of vocational education and training institutions), C10-i02 (Green and Digital Transition and Safety in Fisheries)</w:t>
      </w:r>
      <w:r>
        <w:rPr>
          <w:noProof/>
        </w:rPr>
        <w:t xml:space="preserve"> and</w:t>
      </w:r>
      <w:r w:rsidRPr="00206A88">
        <w:rPr>
          <w:noProof/>
        </w:rPr>
        <w:t xml:space="preserve"> C21-r48 (Simplification of the legal and regulatory framework applicable to renewable energy projects)</w:t>
      </w:r>
      <w:r w:rsidRPr="002E7DCF">
        <w:rPr>
          <w:noProof/>
        </w:rPr>
        <w:t xml:space="preserve">. </w:t>
      </w:r>
      <w:r w:rsidRPr="00206A88">
        <w:rPr>
          <w:noProof/>
        </w:rPr>
        <w:t xml:space="preserve">On this basis, Portugal has requested that those measures be amended. </w:t>
      </w:r>
      <w:r w:rsidR="006F2E3D">
        <w:rPr>
          <w:noProof/>
        </w:rPr>
        <w:t xml:space="preserve">The </w:t>
      </w:r>
      <w:r w:rsidRPr="00206A88">
        <w:rPr>
          <w:noProof/>
        </w:rPr>
        <w:t>Council Implementing Decision of</w:t>
      </w:r>
      <w:r w:rsidR="00424CB0">
        <w:rPr>
          <w:noProof/>
        </w:rPr>
        <w:t xml:space="preserve"> </w:t>
      </w:r>
      <w:r w:rsidRPr="00206A88">
        <w:rPr>
          <w:noProof/>
        </w:rPr>
        <w:t>13</w:t>
      </w:r>
      <w:r w:rsidRPr="002E7DCF">
        <w:rPr>
          <w:noProof/>
        </w:rPr>
        <w:t> </w:t>
      </w:r>
      <w:r w:rsidRPr="00206A88">
        <w:rPr>
          <w:noProof/>
        </w:rPr>
        <w:t>July 2021 should be amended accordingly.</w:t>
      </w:r>
    </w:p>
    <w:p w:rsidR="002474B1" w:rsidRPr="00365A91" w:rsidRDefault="002474B1" w:rsidP="000A219D">
      <w:pPr>
        <w:pStyle w:val="ManualConsidrant"/>
        <w:rPr>
          <w:noProof/>
        </w:rPr>
      </w:pPr>
      <w:r>
        <w:rPr>
          <w:noProof/>
        </w:rPr>
        <w:t>(6)</w:t>
      </w:r>
      <w:r>
        <w:rPr>
          <w:noProof/>
        </w:rPr>
        <w:tab/>
      </w:r>
      <w:r w:rsidRPr="00E70F00">
        <w:rPr>
          <w:noProof/>
        </w:rPr>
        <w:t xml:space="preserve">Portugal has </w:t>
      </w:r>
      <w:r w:rsidRPr="002E7DCF">
        <w:rPr>
          <w:noProof/>
        </w:rPr>
        <w:t xml:space="preserve">explained that </w:t>
      </w:r>
      <w:r>
        <w:rPr>
          <w:noProof/>
        </w:rPr>
        <w:t>3</w:t>
      </w:r>
      <w:r w:rsidR="005E5183">
        <w:rPr>
          <w:noProof/>
        </w:rPr>
        <w:t>3</w:t>
      </w:r>
      <w:r w:rsidRPr="00E70F00">
        <w:rPr>
          <w:noProof/>
        </w:rPr>
        <w:t xml:space="preserve"> </w:t>
      </w:r>
      <w:r w:rsidRPr="002E7DCF">
        <w:rPr>
          <w:noProof/>
        </w:rPr>
        <w:t xml:space="preserve">measures have been amended to implement a better alternative that allow the administrative burden to be reduced and simplify </w:t>
      </w:r>
      <w:r w:rsidR="006F2E3D">
        <w:rPr>
          <w:noProof/>
        </w:rPr>
        <w:t xml:space="preserve">the </w:t>
      </w:r>
      <w:r w:rsidRPr="002E7DCF">
        <w:rPr>
          <w:noProof/>
        </w:rPr>
        <w:t xml:space="preserve">Council Implementing Decision </w:t>
      </w:r>
      <w:r w:rsidRPr="00E70F00">
        <w:rPr>
          <w:noProof/>
        </w:rPr>
        <w:t>of 13</w:t>
      </w:r>
      <w:r w:rsidR="00424CB0" w:rsidRPr="00424CB0">
        <w:rPr>
          <w:noProof/>
        </w:rPr>
        <w:t> </w:t>
      </w:r>
      <w:r w:rsidRPr="00E70F00">
        <w:rPr>
          <w:noProof/>
        </w:rPr>
        <w:t>July</w:t>
      </w:r>
      <w:r w:rsidR="00424CB0" w:rsidRPr="00424CB0">
        <w:rPr>
          <w:noProof/>
        </w:rPr>
        <w:t> </w:t>
      </w:r>
      <w:r w:rsidRPr="00E70F00">
        <w:rPr>
          <w:noProof/>
        </w:rPr>
        <w:t>2021</w:t>
      </w:r>
      <w:r w:rsidRPr="002E7DCF">
        <w:rPr>
          <w:noProof/>
        </w:rPr>
        <w:t xml:space="preserve">, while still achieving the objectives of those measures. </w:t>
      </w:r>
      <w:r w:rsidRPr="00E70F00">
        <w:rPr>
          <w:noProof/>
        </w:rPr>
        <w:t xml:space="preserve">This concerns measures </w:t>
      </w:r>
      <w:r w:rsidRPr="002E7DCF">
        <w:rPr>
          <w:noProof/>
        </w:rPr>
        <w:t xml:space="preserve">C01-i11-RAA (Modernisation and requalification of the Regional Health Service), </w:t>
      </w:r>
      <w:r>
        <w:rPr>
          <w:noProof/>
        </w:rPr>
        <w:t>C02-i01 (</w:t>
      </w:r>
      <w:r w:rsidRPr="00244309">
        <w:rPr>
          <w:noProof/>
        </w:rPr>
        <w:t>Support</w:t>
      </w:r>
      <w:r w:rsidR="00B551BC">
        <w:rPr>
          <w:noProof/>
        </w:rPr>
        <w:t xml:space="preserve"> </w:t>
      </w:r>
      <w:r w:rsidRPr="00244309">
        <w:rPr>
          <w:noProof/>
        </w:rPr>
        <w:t>Programme</w:t>
      </w:r>
      <w:r w:rsidR="00B551BC">
        <w:rPr>
          <w:noProof/>
        </w:rPr>
        <w:t xml:space="preserve"> </w:t>
      </w:r>
      <w:r w:rsidRPr="00244309">
        <w:rPr>
          <w:noProof/>
        </w:rPr>
        <w:t>for Access to Housing</w:t>
      </w:r>
      <w:r>
        <w:rPr>
          <w:noProof/>
        </w:rPr>
        <w:t xml:space="preserve">), C02-i02 </w:t>
      </w:r>
      <w:r w:rsidRPr="00E60C0E">
        <w:rPr>
          <w:noProof/>
        </w:rPr>
        <w:t>(</w:t>
      </w:r>
      <w:r w:rsidRPr="00E70F00">
        <w:rPr>
          <w:noProof/>
        </w:rPr>
        <w:t xml:space="preserve">National Emergency and Temporary Accommodation Grant), C02-i05 (Affordable and Social Housing), C02-i06 (Student Accommodations at Affordable Prices), </w:t>
      </w:r>
      <w:r w:rsidRPr="002E7DCF">
        <w:rPr>
          <w:noProof/>
        </w:rPr>
        <w:t xml:space="preserve">C03-i01 (New generation of equipment and social responses), </w:t>
      </w:r>
      <w:r>
        <w:rPr>
          <w:noProof/>
        </w:rPr>
        <w:t>C03-i02 (Accessibility 360)</w:t>
      </w:r>
      <w:r w:rsidRPr="002E7DCF">
        <w:rPr>
          <w:noProof/>
        </w:rPr>
        <w:t xml:space="preserve">, C03-i06 (Social interventions in disadvantaged communities in the Metropolitan Areas of Lisbon and Porto), C03-r38 (Simplification of the Social Security System), </w:t>
      </w:r>
      <w:r>
        <w:rPr>
          <w:noProof/>
        </w:rPr>
        <w:t>C05-i01.01 (</w:t>
      </w:r>
      <w:r w:rsidRPr="00E70F00">
        <w:rPr>
          <w:noProof/>
        </w:rPr>
        <w:t>Mobilisin</w:t>
      </w:r>
      <w:r w:rsidR="00B551BC">
        <w:rPr>
          <w:noProof/>
        </w:rPr>
        <w:t xml:space="preserve">g </w:t>
      </w:r>
      <w:r w:rsidRPr="00E70F00">
        <w:rPr>
          <w:noProof/>
        </w:rPr>
        <w:t>and Green Agendas/Alliances for Business Innovation</w:t>
      </w:r>
      <w:r>
        <w:rPr>
          <w:noProof/>
        </w:rPr>
        <w:t>),</w:t>
      </w:r>
      <w:r w:rsidR="00424CB0">
        <w:rPr>
          <w:noProof/>
        </w:rPr>
        <w:t xml:space="preserve"> </w:t>
      </w:r>
      <w:r w:rsidRPr="002E7DCF">
        <w:rPr>
          <w:noProof/>
        </w:rPr>
        <w:t xml:space="preserve">C05-i03 (Research and innovation agenda for sustainable agriculture, food and agro-industry [Innovation Agenda for Agriculture 2030]), </w:t>
      </w:r>
      <w:r>
        <w:rPr>
          <w:noProof/>
        </w:rPr>
        <w:t>C05-i04-RAA (</w:t>
      </w:r>
      <w:r w:rsidRPr="00F845DE">
        <w:rPr>
          <w:noProof/>
        </w:rPr>
        <w:t>Recapitalisation</w:t>
      </w:r>
      <w:r w:rsidR="00424CB0">
        <w:rPr>
          <w:noProof/>
        </w:rPr>
        <w:t xml:space="preserve"> </w:t>
      </w:r>
      <w:r w:rsidRPr="00F845DE">
        <w:rPr>
          <w:noProof/>
        </w:rPr>
        <w:t>of the Business System of the Azores</w:t>
      </w:r>
      <w:r>
        <w:rPr>
          <w:noProof/>
        </w:rPr>
        <w:t xml:space="preserve">), C05-i05-RAA (Economic Recovery of Azorean Agriculture), C05-i08 (More Digital Science), </w:t>
      </w:r>
      <w:r w:rsidRPr="002E7DCF">
        <w:rPr>
          <w:noProof/>
        </w:rPr>
        <w:t xml:space="preserve">C05-i11 (Scale-up: Mobilising and Green Agendas/Alliances for Business Innovation (Loans)), C05-i13 (Scientific research units), </w:t>
      </w:r>
      <w:r>
        <w:rPr>
          <w:noProof/>
        </w:rPr>
        <w:t>C05-i14 (Business Innovation), C06-i07 (More Digital Impulse), C06-i09 (New or Renovated Schools), C10-i01 (</w:t>
      </w:r>
      <w:r w:rsidRPr="00E70F00">
        <w:rPr>
          <w:noProof/>
        </w:rPr>
        <w:t>Blue Hub, Network of Infrastructure for the Blue Economy</w:t>
      </w:r>
      <w:r>
        <w:rPr>
          <w:noProof/>
        </w:rPr>
        <w:t>), C10-i03 (</w:t>
      </w:r>
      <w:r w:rsidRPr="004B3CE3">
        <w:rPr>
          <w:noProof/>
        </w:rPr>
        <w:t>Atlantic</w:t>
      </w:r>
      <w:r w:rsidR="00424CB0">
        <w:rPr>
          <w:noProof/>
        </w:rPr>
        <w:t xml:space="preserve"> </w:t>
      </w:r>
      <w:r w:rsidRPr="004B3CE3">
        <w:rPr>
          <w:noProof/>
        </w:rPr>
        <w:t>Defence</w:t>
      </w:r>
      <w:r w:rsidR="00424CB0">
        <w:rPr>
          <w:noProof/>
        </w:rPr>
        <w:t xml:space="preserve"> </w:t>
      </w:r>
      <w:r w:rsidRPr="004B3CE3">
        <w:rPr>
          <w:noProof/>
        </w:rPr>
        <w:t>Operations Centre and naval platform</w:t>
      </w:r>
      <w:r>
        <w:rPr>
          <w:noProof/>
        </w:rPr>
        <w:t xml:space="preserve">), </w:t>
      </w:r>
      <w:r w:rsidRPr="002E7DCF">
        <w:rPr>
          <w:noProof/>
        </w:rPr>
        <w:t>C10</w:t>
      </w:r>
      <w:r w:rsidRPr="002E7DCF">
        <w:rPr>
          <w:noProof/>
        </w:rPr>
        <w:noBreakHyphen/>
        <w:t>i04</w:t>
      </w:r>
      <w:r w:rsidRPr="002E7DCF">
        <w:rPr>
          <w:noProof/>
        </w:rPr>
        <w:noBreakHyphen/>
        <w:t>RAA (</w:t>
      </w:r>
      <w:r>
        <w:rPr>
          <w:noProof/>
        </w:rPr>
        <w:t>‘</w:t>
      </w:r>
      <w:r w:rsidRPr="002E7DCF">
        <w:rPr>
          <w:noProof/>
        </w:rPr>
        <w:t>Cluster do Mar dos Açores</w:t>
      </w:r>
      <w:r>
        <w:rPr>
          <w:noProof/>
        </w:rPr>
        <w:t>’</w:t>
      </w:r>
      <w:r w:rsidRPr="002E7DCF">
        <w:rPr>
          <w:noProof/>
        </w:rPr>
        <w:t xml:space="preserve">), C13-i01 (Energy efficiency in residential buildings), </w:t>
      </w:r>
      <w:r>
        <w:rPr>
          <w:noProof/>
        </w:rPr>
        <w:t xml:space="preserve">C14-i03-RAA (Energy Transitions in the Azores), </w:t>
      </w:r>
      <w:r w:rsidRPr="002E7DCF">
        <w:rPr>
          <w:noProof/>
        </w:rPr>
        <w:t xml:space="preserve">C15-i08 (Construction of the Porto Metro Network expansion - Casa da Música-Santo Ovídio, construction phase), </w:t>
      </w:r>
      <w:r>
        <w:rPr>
          <w:noProof/>
        </w:rPr>
        <w:t xml:space="preserve">C16-i02 (Digital Transition of Enterprises), </w:t>
      </w:r>
      <w:r w:rsidRPr="002E7DCF">
        <w:rPr>
          <w:noProof/>
        </w:rPr>
        <w:t xml:space="preserve">C16-i04 (Industry 4.0), C16-i05-RAA (Digital Capacity and Transformation of Enterprises in the Azores), C17-r40 (Simplification of the Tax System), </w:t>
      </w:r>
      <w:r>
        <w:rPr>
          <w:noProof/>
        </w:rPr>
        <w:t>C19-i01 (Redesign of public and consular services), C21-i05 (Support to the Green Industry), C21-i07 (Technical studies for offshore energy potential) and C21-i12 (</w:t>
      </w:r>
      <w:r w:rsidRPr="00F94E56">
        <w:rPr>
          <w:noProof/>
        </w:rPr>
        <w:t>Scaled-up measure:</w:t>
      </w:r>
      <w:r w:rsidR="00B551BC">
        <w:rPr>
          <w:noProof/>
        </w:rPr>
        <w:t xml:space="preserve"> </w:t>
      </w:r>
      <w:r w:rsidRPr="00F94E56">
        <w:rPr>
          <w:noProof/>
        </w:rPr>
        <w:t>Decarbonisation</w:t>
      </w:r>
      <w:r w:rsidR="00B551BC">
        <w:rPr>
          <w:noProof/>
        </w:rPr>
        <w:t xml:space="preserve"> </w:t>
      </w:r>
      <w:r w:rsidRPr="00F94E56">
        <w:rPr>
          <w:noProof/>
        </w:rPr>
        <w:t>of Public Transport</w:t>
      </w:r>
      <w:r>
        <w:rPr>
          <w:noProof/>
        </w:rPr>
        <w:t xml:space="preserve">). </w:t>
      </w:r>
      <w:r w:rsidRPr="00E70F00">
        <w:rPr>
          <w:noProof/>
        </w:rPr>
        <w:t xml:space="preserve">On this basis, Portugal has requested that those measures be amended. </w:t>
      </w:r>
      <w:r w:rsidR="006F2E3D">
        <w:rPr>
          <w:noProof/>
        </w:rPr>
        <w:t xml:space="preserve">The </w:t>
      </w:r>
      <w:r w:rsidRPr="00E70F00">
        <w:rPr>
          <w:noProof/>
        </w:rPr>
        <w:t>Council Implementing Decision of 13</w:t>
      </w:r>
      <w:r w:rsidR="00B551BC" w:rsidRPr="00424CB0">
        <w:rPr>
          <w:noProof/>
        </w:rPr>
        <w:t> </w:t>
      </w:r>
      <w:r w:rsidRPr="00E70F00">
        <w:rPr>
          <w:noProof/>
        </w:rPr>
        <w:t>July</w:t>
      </w:r>
      <w:r w:rsidR="00B551BC" w:rsidRPr="00424CB0">
        <w:rPr>
          <w:noProof/>
        </w:rPr>
        <w:t> </w:t>
      </w:r>
      <w:r w:rsidRPr="00E70F00">
        <w:rPr>
          <w:noProof/>
        </w:rPr>
        <w:t>2021 should be amended accordingly.</w:t>
      </w:r>
    </w:p>
    <w:p w:rsidR="002474B1" w:rsidRPr="002474B1" w:rsidRDefault="002474B1" w:rsidP="000A219D">
      <w:pPr>
        <w:pStyle w:val="ManualConsidrant"/>
        <w:rPr>
          <w:rFonts w:eastAsia="Times New Roman"/>
          <w:noProof/>
        </w:rPr>
      </w:pPr>
      <w:r>
        <w:rPr>
          <w:noProof/>
        </w:rPr>
        <w:t>(7)</w:t>
      </w:r>
      <w:r>
        <w:rPr>
          <w:noProof/>
        </w:rPr>
        <w:tab/>
      </w:r>
      <w:r w:rsidRPr="005F7DC0">
        <w:rPr>
          <w:noProof/>
        </w:rPr>
        <w:t xml:space="preserve">Following the decrease in the level of implementation of measures in accordance with Article 21 of Regulation (EU) 2021/241, Portugal has requested to use the resources freed up by the </w:t>
      </w:r>
      <w:r w:rsidRPr="000A219D">
        <w:rPr>
          <w:noProof/>
        </w:rPr>
        <w:t>decrease</w:t>
      </w:r>
      <w:r w:rsidRPr="005F7DC0">
        <w:rPr>
          <w:noProof/>
        </w:rPr>
        <w:t xml:space="preserve"> in the level of their implementation to increase the level of implementation of </w:t>
      </w:r>
      <w:r>
        <w:rPr>
          <w:noProof/>
        </w:rPr>
        <w:t>two</w:t>
      </w:r>
      <w:r w:rsidRPr="005F7DC0">
        <w:rPr>
          <w:noProof/>
        </w:rPr>
        <w:t xml:space="preserve"> measure</w:t>
      </w:r>
      <w:r>
        <w:rPr>
          <w:noProof/>
        </w:rPr>
        <w:t>s</w:t>
      </w:r>
      <w:r w:rsidRPr="005F7DC0">
        <w:rPr>
          <w:noProof/>
        </w:rPr>
        <w:t>. This concerns measure</w:t>
      </w:r>
      <w:r>
        <w:rPr>
          <w:noProof/>
        </w:rPr>
        <w:t xml:space="preserve"> C01-i13 (Primary health care services) and measure C05-i01.01 (Mobilising and Green Agendas/Alliances for Business Innovation)</w:t>
      </w:r>
      <w:r w:rsidRPr="002E7DCF">
        <w:rPr>
          <w:noProof/>
        </w:rPr>
        <w:t xml:space="preserve">. </w:t>
      </w:r>
      <w:r w:rsidRPr="005F7DC0">
        <w:rPr>
          <w:noProof/>
        </w:rPr>
        <w:t xml:space="preserve">On this basis, Portugal has requested that the level of implementation of </w:t>
      </w:r>
      <w:r>
        <w:rPr>
          <w:noProof/>
        </w:rPr>
        <w:t>two</w:t>
      </w:r>
      <w:r w:rsidRPr="005F7DC0">
        <w:rPr>
          <w:noProof/>
        </w:rPr>
        <w:t xml:space="preserve"> measure</w:t>
      </w:r>
      <w:r>
        <w:rPr>
          <w:noProof/>
        </w:rPr>
        <w:t>s</w:t>
      </w:r>
      <w:r w:rsidRPr="005F7DC0">
        <w:rPr>
          <w:noProof/>
        </w:rPr>
        <w:t xml:space="preserve"> be increased. </w:t>
      </w:r>
      <w:r w:rsidR="006F2E3D">
        <w:rPr>
          <w:noProof/>
        </w:rPr>
        <w:t xml:space="preserve">The </w:t>
      </w:r>
      <w:r w:rsidRPr="005F7DC0">
        <w:rPr>
          <w:noProof/>
        </w:rPr>
        <w:t>Council Implementing Decision of 13</w:t>
      </w:r>
      <w:r w:rsidR="00B551BC" w:rsidRPr="00424CB0">
        <w:rPr>
          <w:noProof/>
        </w:rPr>
        <w:t> </w:t>
      </w:r>
      <w:r w:rsidRPr="005F7DC0">
        <w:rPr>
          <w:noProof/>
        </w:rPr>
        <w:t>July</w:t>
      </w:r>
      <w:r w:rsidR="00B551BC" w:rsidRPr="00424CB0">
        <w:rPr>
          <w:noProof/>
        </w:rPr>
        <w:t> </w:t>
      </w:r>
      <w:r w:rsidRPr="005F7DC0">
        <w:rPr>
          <w:noProof/>
        </w:rPr>
        <w:t>2021 should be amended accordingly.</w:t>
      </w:r>
    </w:p>
    <w:bookmarkEnd w:id="0"/>
    <w:bookmarkEnd w:id="2"/>
    <w:p w:rsidR="00007F85" w:rsidRPr="000A219D" w:rsidRDefault="00007F85" w:rsidP="000A219D">
      <w:pPr>
        <w:rPr>
          <w:b/>
          <w:bCs/>
          <w:i/>
          <w:iCs/>
          <w:noProof/>
        </w:rPr>
      </w:pPr>
      <w:r w:rsidRPr="000A219D">
        <w:rPr>
          <w:b/>
          <w:bCs/>
          <w:i/>
          <w:iCs/>
          <w:noProof/>
        </w:rPr>
        <w:t>Commission’s assessment</w:t>
      </w:r>
    </w:p>
    <w:p w:rsidR="00007F85" w:rsidRDefault="00007F85" w:rsidP="000A219D">
      <w:pPr>
        <w:pStyle w:val="ManualConsidrant"/>
        <w:rPr>
          <w:noProof/>
        </w:rPr>
      </w:pPr>
      <w:r>
        <w:rPr>
          <w:noProof/>
        </w:rPr>
        <w:t>(8)</w:t>
      </w:r>
      <w:r>
        <w:rPr>
          <w:noProof/>
        </w:rPr>
        <w:tab/>
      </w:r>
      <w:r w:rsidRPr="6DDE4065">
        <w:rPr>
          <w:noProof/>
        </w:rPr>
        <w:t>The Commission has assessed the amended RRP against the assessment criteria laid down in Article 19(3) of Regulation (EU) 2021/241.</w:t>
      </w:r>
    </w:p>
    <w:p w:rsidR="00007F85" w:rsidRPr="000A219D" w:rsidRDefault="00007F85" w:rsidP="000A219D">
      <w:pPr>
        <w:rPr>
          <w:b/>
          <w:bCs/>
          <w:i/>
          <w:iCs/>
          <w:noProof/>
        </w:rPr>
      </w:pPr>
      <w:r w:rsidRPr="000A219D">
        <w:rPr>
          <w:b/>
          <w:bCs/>
          <w:i/>
          <w:iCs/>
          <w:noProof/>
        </w:rPr>
        <w:t>Contribution to the green transition including biodiversity</w:t>
      </w:r>
    </w:p>
    <w:p w:rsidR="002474B1" w:rsidRPr="00E367F2" w:rsidRDefault="002474B1" w:rsidP="000A219D">
      <w:pPr>
        <w:pStyle w:val="ManualConsidrant"/>
        <w:rPr>
          <w:noProof/>
        </w:rPr>
      </w:pPr>
      <w:r>
        <w:rPr>
          <w:noProof/>
        </w:rPr>
        <w:t>(9)</w:t>
      </w:r>
      <w:r>
        <w:rPr>
          <w:noProof/>
        </w:rPr>
        <w:tab/>
      </w:r>
      <w:r w:rsidRPr="002E7DCF">
        <w:rPr>
          <w:noProof/>
        </w:rPr>
        <w:t xml:space="preserve">In accordance with Article 19(3), point (e), of, and criterion 2.5 of Annex V to, Regulation (EU) 2021/241, </w:t>
      </w:r>
      <w:r w:rsidRPr="000A219D">
        <w:rPr>
          <w:noProof/>
        </w:rPr>
        <w:t>the</w:t>
      </w:r>
      <w:r w:rsidRPr="002E7DCF">
        <w:rPr>
          <w:noProof/>
        </w:rPr>
        <w:t xml:space="preserve"> amended RRP contains measures that contribute to a large extent (rating A) to the green transition, including biodiversity, or to addressing the challenges resulting therefrom. The measures supporting climate objectives account for an amount which represents </w:t>
      </w:r>
      <w:r w:rsidRPr="00E367F2">
        <w:rPr>
          <w:noProof/>
        </w:rPr>
        <w:t>37</w:t>
      </w:r>
      <w:r w:rsidR="007044B4">
        <w:rPr>
          <w:noProof/>
        </w:rPr>
        <w:t>.</w:t>
      </w:r>
      <w:r w:rsidRPr="00E367F2">
        <w:rPr>
          <w:noProof/>
        </w:rPr>
        <w:t>4</w:t>
      </w:r>
      <w:r w:rsidR="008E5037">
        <w:rPr>
          <w:noProof/>
        </w:rPr>
        <w:t>1</w:t>
      </w:r>
      <w:r w:rsidRPr="00E367F2">
        <w:rPr>
          <w:noProof/>
        </w:rPr>
        <w:t> % of the amended RRP’s total allocation and 99</w:t>
      </w:r>
      <w:r w:rsidR="007044B4">
        <w:rPr>
          <w:noProof/>
        </w:rPr>
        <w:t>.</w:t>
      </w:r>
      <w:r w:rsidRPr="00E367F2">
        <w:rPr>
          <w:noProof/>
        </w:rPr>
        <w:t>31 % of the estimated total cost of measures in the REPowerEU chapter calculated in accordance with the methodology set out in Annex VI to Regulation (EU) 2021/241. In accordance with Article 17 of Regulation (EU) 2021/241, the amended RRP is consistent with the information included in the National Energy and Climate Plan 2021-2030.</w:t>
      </w:r>
    </w:p>
    <w:p w:rsidR="002474B1" w:rsidRPr="002E7DCF" w:rsidRDefault="002474B1" w:rsidP="000A219D">
      <w:pPr>
        <w:pStyle w:val="ManualConsidrant"/>
        <w:rPr>
          <w:noProof/>
        </w:rPr>
      </w:pPr>
      <w:r>
        <w:rPr>
          <w:noProof/>
        </w:rPr>
        <w:t>(10)</w:t>
      </w:r>
      <w:r>
        <w:rPr>
          <w:noProof/>
        </w:rPr>
        <w:tab/>
      </w:r>
      <w:r w:rsidRPr="00E367F2">
        <w:rPr>
          <w:noProof/>
        </w:rPr>
        <w:t>Overall, due to the differing climate tagging content of the increased measure and the decreased measures, the amendments to Portugal’s RRP entail a net decrease in the overall contribution to the climate target of the RRP by 0</w:t>
      </w:r>
      <w:r w:rsidR="007044B4">
        <w:rPr>
          <w:noProof/>
        </w:rPr>
        <w:t>.</w:t>
      </w:r>
      <w:r w:rsidRPr="00E367F2">
        <w:rPr>
          <w:noProof/>
        </w:rPr>
        <w:t>5</w:t>
      </w:r>
      <w:r w:rsidR="008E5037">
        <w:rPr>
          <w:noProof/>
        </w:rPr>
        <w:t>2</w:t>
      </w:r>
      <w:r w:rsidRPr="00E367F2">
        <w:rPr>
          <w:noProof/>
        </w:rPr>
        <w:t xml:space="preserve"> percentage points to 37</w:t>
      </w:r>
      <w:r w:rsidR="007044B4">
        <w:rPr>
          <w:noProof/>
        </w:rPr>
        <w:t>.</w:t>
      </w:r>
      <w:r w:rsidRPr="00E367F2">
        <w:rPr>
          <w:noProof/>
        </w:rPr>
        <w:t>4</w:t>
      </w:r>
      <w:r w:rsidR="008E5037">
        <w:rPr>
          <w:noProof/>
        </w:rPr>
        <w:t>1</w:t>
      </w:r>
      <w:r w:rsidRPr="00E367F2">
        <w:rPr>
          <w:noProof/>
        </w:rPr>
        <w:t> % from</w:t>
      </w:r>
      <w:r w:rsidR="007044B4">
        <w:rPr>
          <w:noProof/>
        </w:rPr>
        <w:t xml:space="preserve"> </w:t>
      </w:r>
      <w:r w:rsidRPr="00E367F2">
        <w:rPr>
          <w:noProof/>
        </w:rPr>
        <w:t>37</w:t>
      </w:r>
      <w:r w:rsidR="007044B4">
        <w:rPr>
          <w:noProof/>
        </w:rPr>
        <w:t>.</w:t>
      </w:r>
      <w:r w:rsidRPr="00E367F2">
        <w:rPr>
          <w:noProof/>
        </w:rPr>
        <w:t>93 %. The measures of the amended RRP are expected to reduce the greenhouse gas emissions and facilitate the uptake of renewable energy</w:t>
      </w:r>
      <w:r w:rsidRPr="002E7DCF">
        <w:rPr>
          <w:noProof/>
        </w:rPr>
        <w:t xml:space="preserve"> and thus contribute to the attainment of the 2030 climate targets and the objective of the Union climate neutrality by</w:t>
      </w:r>
      <w:r w:rsidR="00B551BC">
        <w:rPr>
          <w:noProof/>
        </w:rPr>
        <w:t xml:space="preserve"> </w:t>
      </w:r>
      <w:r w:rsidRPr="002E7DCF">
        <w:rPr>
          <w:noProof/>
        </w:rPr>
        <w:t>2050.</w:t>
      </w:r>
    </w:p>
    <w:p w:rsidR="007044B4" w:rsidRPr="007044B4" w:rsidRDefault="007044B4" w:rsidP="007044B4">
      <w:pPr>
        <w:rPr>
          <w:b/>
          <w:bCs/>
          <w:i/>
          <w:iCs/>
          <w:noProof/>
        </w:rPr>
      </w:pPr>
      <w:r w:rsidRPr="007044B4">
        <w:rPr>
          <w:b/>
          <w:bCs/>
          <w:i/>
          <w:iCs/>
          <w:noProof/>
        </w:rPr>
        <w:t>Contribution to the digital transition</w:t>
      </w:r>
    </w:p>
    <w:p w:rsidR="007044B4" w:rsidRDefault="007044B4" w:rsidP="007044B4">
      <w:pPr>
        <w:pStyle w:val="ManualConsidrant"/>
        <w:rPr>
          <w:noProof/>
        </w:rPr>
      </w:pPr>
      <w:r>
        <w:rPr>
          <w:noProof/>
        </w:rPr>
        <w:t>(11)</w:t>
      </w:r>
      <w:r>
        <w:rPr>
          <w:noProof/>
        </w:rPr>
        <w:tab/>
      </w:r>
      <w:r w:rsidRPr="007044B4">
        <w:rPr>
          <w:noProof/>
        </w:rPr>
        <w:t>In accordance with Article 19(3), point (f), of and Annex V, criterion 2.6, to Regulation (EU) 2021/241, the amended RRP contains measures that contribute to a large extent (rating A) to the digital transition or to addressing the challenges resulting from it. The measures supporting digital objectives account for an amount which represents 22.</w:t>
      </w:r>
      <w:r>
        <w:rPr>
          <w:noProof/>
        </w:rPr>
        <w:t>26</w:t>
      </w:r>
      <w:r w:rsidRPr="007044B4">
        <w:rPr>
          <w:noProof/>
        </w:rPr>
        <w:t>% of the amended RRP’s total allocation calculated in accordance with the methodology set out in Annex VII to that Regulation.</w:t>
      </w:r>
    </w:p>
    <w:p w:rsidR="007044B4" w:rsidRPr="00FA1C8A" w:rsidRDefault="007044B4" w:rsidP="007044B4">
      <w:pPr>
        <w:pStyle w:val="ManualConsidrant"/>
        <w:rPr>
          <w:noProof/>
        </w:rPr>
      </w:pPr>
      <w:r>
        <w:rPr>
          <w:noProof/>
        </w:rPr>
        <w:t>(12)</w:t>
      </w:r>
      <w:r>
        <w:rPr>
          <w:noProof/>
        </w:rPr>
        <w:tab/>
      </w:r>
      <w:r w:rsidRPr="00733B01">
        <w:rPr>
          <w:rFonts w:eastAsia="Times New Roman"/>
          <w:noProof/>
        </w:rPr>
        <w:t>Overall, due to the differing digital tagging content of the increased measure and the decreased measures, the amendments to Portugal’s RRP entail a net decrease in the overall contribution to the digital target of the RRP by 0</w:t>
      </w:r>
      <w:r>
        <w:rPr>
          <w:rFonts w:eastAsia="Times New Roman"/>
          <w:noProof/>
        </w:rPr>
        <w:t>.06</w:t>
      </w:r>
      <w:r w:rsidRPr="00733B01">
        <w:rPr>
          <w:rFonts w:eastAsia="Times New Roman"/>
          <w:noProof/>
        </w:rPr>
        <w:t xml:space="preserve"> percentage points to 22</w:t>
      </w:r>
      <w:r>
        <w:rPr>
          <w:rFonts w:eastAsia="Times New Roman"/>
          <w:noProof/>
        </w:rPr>
        <w:t>.26</w:t>
      </w:r>
      <w:r w:rsidRPr="00733B01">
        <w:rPr>
          <w:rFonts w:eastAsia="Times New Roman"/>
          <w:noProof/>
        </w:rPr>
        <w:t>% from 22</w:t>
      </w:r>
      <w:r>
        <w:rPr>
          <w:rFonts w:eastAsia="Times New Roman"/>
          <w:noProof/>
        </w:rPr>
        <w:t>.32</w:t>
      </w:r>
      <w:r w:rsidRPr="00733B01">
        <w:rPr>
          <w:rFonts w:eastAsia="Times New Roman"/>
          <w:noProof/>
        </w:rPr>
        <w:t>%. The modified RRP continues to significantly contribute to the digital transition, including by increasing digitalisation of the public administration and enterprises, increasing the number of digital services for citizens and business</w:t>
      </w:r>
      <w:r w:rsidRPr="59859FA9">
        <w:rPr>
          <w:rFonts w:eastAsia="Times New Roman"/>
          <w:noProof/>
        </w:rPr>
        <w:t xml:space="preserve"> as well as investments in e-health and digitalisation of transport sector.</w:t>
      </w:r>
    </w:p>
    <w:p w:rsidR="00007F85" w:rsidRPr="000A219D" w:rsidRDefault="00007F85" w:rsidP="000A219D">
      <w:pPr>
        <w:rPr>
          <w:b/>
          <w:bCs/>
          <w:i/>
          <w:iCs/>
          <w:noProof/>
        </w:rPr>
      </w:pPr>
      <w:r w:rsidRPr="000A219D">
        <w:rPr>
          <w:b/>
          <w:bCs/>
          <w:i/>
          <w:iCs/>
          <w:noProof/>
        </w:rPr>
        <w:t>Costing</w:t>
      </w:r>
    </w:p>
    <w:p w:rsidR="002474B1" w:rsidRDefault="002474B1" w:rsidP="000A219D">
      <w:pPr>
        <w:pStyle w:val="ManualConsidrant"/>
        <w:rPr>
          <w:noProof/>
        </w:rPr>
      </w:pPr>
      <w:r>
        <w:rPr>
          <w:noProof/>
        </w:rPr>
        <w:t>(13)</w:t>
      </w:r>
      <w:r>
        <w:rPr>
          <w:noProof/>
        </w:rPr>
        <w:tab/>
      </w:r>
      <w:r w:rsidRPr="002E7DCF">
        <w:rPr>
          <w:noProof/>
        </w:rPr>
        <w:t xml:space="preserve">In </w:t>
      </w:r>
      <w:r w:rsidRPr="000A219D">
        <w:rPr>
          <w:noProof/>
        </w:rPr>
        <w:t>accordance</w:t>
      </w:r>
      <w:r w:rsidRPr="002E7DCF">
        <w:rPr>
          <w:noProof/>
        </w:rPr>
        <w:t xml:space="preserve"> with Article 19(3), point (i), of, and criterion 2.9 of Annex V to, Regulation (EU) 2021/241, the justification provided in the amended RRP on the amount of the estimated total cost of the RRP is to a medium extent (rating B) reasonable and plausible, is in line with the principle of cost efficiency and is commensurate with the expected national economic and social impact.</w:t>
      </w:r>
    </w:p>
    <w:p w:rsidR="002474B1" w:rsidRPr="00AC6D7A" w:rsidRDefault="002474B1" w:rsidP="000A219D">
      <w:pPr>
        <w:pStyle w:val="ManualConsidrant"/>
        <w:rPr>
          <w:noProof/>
        </w:rPr>
      </w:pPr>
      <w:r>
        <w:rPr>
          <w:noProof/>
        </w:rPr>
        <w:t>(14)</w:t>
      </w:r>
      <w:r>
        <w:rPr>
          <w:noProof/>
        </w:rPr>
        <w:tab/>
      </w:r>
      <w:r w:rsidRPr="00AC6D7A">
        <w:rPr>
          <w:noProof/>
        </w:rPr>
        <w:t xml:space="preserve">Portugal has provided individual cost estimates for the amended investments included in the amended RRP, relying on proportional reduction or increase and on several sources to justify them. The cost </w:t>
      </w:r>
      <w:r w:rsidRPr="000A219D">
        <w:rPr>
          <w:noProof/>
        </w:rPr>
        <w:t>information</w:t>
      </w:r>
      <w:r w:rsidRPr="00AC6D7A">
        <w:rPr>
          <w:noProof/>
        </w:rPr>
        <w:t xml:space="preserve"> provided is mostly sufficiently detailed and substantiated. Portugal has provided estimates and assumptions on costs, including descriptions and explanations of the main drivers and changes in the costs of the amended measures and their proportionality. The assessment of the cost estimates and supporting documents shows that the majority of the costs of the new and amended measures are well justified, reasonable and plausible. Portugal has also provided sufficient information and evidence that the amount of the estimated total cost is not covered by existing or planned Union financing. Finally, the estimated total cost of the RRP is in line with the principle of cost-efficiency and commensurate to the expected national economic and social impact.</w:t>
      </w:r>
    </w:p>
    <w:p w:rsidR="00007F85" w:rsidRPr="000A219D" w:rsidRDefault="00007F85" w:rsidP="000A219D">
      <w:pPr>
        <w:rPr>
          <w:b/>
          <w:bCs/>
          <w:i/>
          <w:iCs/>
          <w:noProof/>
        </w:rPr>
      </w:pPr>
      <w:r w:rsidRPr="000A219D">
        <w:rPr>
          <w:b/>
          <w:bCs/>
          <w:i/>
          <w:iCs/>
          <w:noProof/>
        </w:rPr>
        <w:t>Any other assessment criteria</w:t>
      </w:r>
    </w:p>
    <w:p w:rsidR="002474B1" w:rsidRDefault="002474B1" w:rsidP="000A219D">
      <w:pPr>
        <w:pStyle w:val="ManualConsidrant"/>
        <w:rPr>
          <w:noProof/>
        </w:rPr>
      </w:pPr>
      <w:r>
        <w:rPr>
          <w:noProof/>
        </w:rPr>
        <w:t>(15)</w:t>
      </w:r>
      <w:r>
        <w:rPr>
          <w:noProof/>
        </w:rPr>
        <w:tab/>
      </w:r>
      <w:r w:rsidRPr="002E7DCF">
        <w:rPr>
          <w:noProof/>
        </w:rPr>
        <w:t xml:space="preserve">The Commission considers that the amendments put forward by Portugal do not affect the positive assessment of the RRP set out in </w:t>
      </w:r>
      <w:r w:rsidR="006F2E3D">
        <w:rPr>
          <w:noProof/>
        </w:rPr>
        <w:t xml:space="preserve">the </w:t>
      </w:r>
      <w:r w:rsidRPr="002E7DCF">
        <w:rPr>
          <w:noProof/>
        </w:rPr>
        <w:t>Council Implementing Decision of 13</w:t>
      </w:r>
      <w:r w:rsidRPr="002E7DCF">
        <w:rPr>
          <w:noProof/>
          <w:lang w:eastAsia="fr-BE"/>
        </w:rPr>
        <w:t> </w:t>
      </w:r>
      <w:r w:rsidRPr="002E7DCF">
        <w:rPr>
          <w:noProof/>
        </w:rPr>
        <w:t xml:space="preserve">July 2021 regarding the relevance, effectiveness, efficiency and coherence of the RRP against the assessment criteria laid down in Article 19(3), points (a), (b), (c), </w:t>
      </w:r>
      <w:r>
        <w:rPr>
          <w:noProof/>
        </w:rPr>
        <w:t xml:space="preserve">(d), (da), </w:t>
      </w:r>
      <w:r w:rsidRPr="002E7DCF">
        <w:rPr>
          <w:noProof/>
        </w:rPr>
        <w:t>(db), (g), (h), (j) and (k), of Regulation (EU) 2021/241.</w:t>
      </w:r>
    </w:p>
    <w:p w:rsidR="00007F85" w:rsidRPr="000A219D" w:rsidRDefault="00007F85" w:rsidP="000A219D">
      <w:pPr>
        <w:rPr>
          <w:b/>
          <w:bCs/>
          <w:i/>
          <w:iCs/>
          <w:noProof/>
          <w:sz w:val="22"/>
          <w:lang w:val="en-IE"/>
        </w:rPr>
      </w:pPr>
      <w:r w:rsidRPr="000A219D">
        <w:rPr>
          <w:b/>
          <w:bCs/>
          <w:i/>
          <w:iCs/>
          <w:noProof/>
        </w:rPr>
        <w:t>Measures supporting investment operations contributing to the objectives of the Strategic Technologies for Europe Platform (STEP)</w:t>
      </w:r>
    </w:p>
    <w:p w:rsidR="00E70193" w:rsidRDefault="002474B1" w:rsidP="000A219D">
      <w:pPr>
        <w:pStyle w:val="ManualConsidrant"/>
        <w:rPr>
          <w:noProof/>
        </w:rPr>
      </w:pPr>
      <w:r>
        <w:rPr>
          <w:noProof/>
        </w:rPr>
        <w:t>(16)</w:t>
      </w:r>
      <w:r>
        <w:rPr>
          <w:noProof/>
        </w:rPr>
        <w:tab/>
      </w:r>
      <w:r w:rsidRPr="002E7DCF">
        <w:rPr>
          <w:noProof/>
        </w:rPr>
        <w:t>In accordance with Article 4(4) of Regulation (EU) 2024/795</w:t>
      </w:r>
      <w:r w:rsidRPr="00424CB0">
        <w:rPr>
          <w:noProof/>
        </w:rPr>
        <w:t>, Portugal</w:t>
      </w:r>
      <w:r w:rsidRPr="002E7DCF">
        <w:rPr>
          <w:noProof/>
        </w:rPr>
        <w:t xml:space="preserve"> considered as</w:t>
      </w:r>
      <w:r w:rsidR="008F67FE">
        <w:rPr>
          <w:noProof/>
        </w:rPr>
        <w:t xml:space="preserve"> matter of</w:t>
      </w:r>
      <w:r w:rsidRPr="002E7DCF">
        <w:rPr>
          <w:noProof/>
        </w:rPr>
        <w:t xml:space="preserve"> priority projects that have been awarded a Sovereignty Seal pursuant to Article 4(1) o</w:t>
      </w:r>
      <w:r w:rsidR="008F67FE">
        <w:rPr>
          <w:noProof/>
        </w:rPr>
        <w:t xml:space="preserve">f </w:t>
      </w:r>
      <w:r w:rsidRPr="002E7DCF">
        <w:rPr>
          <w:noProof/>
        </w:rPr>
        <w:t>Regulation</w:t>
      </w:r>
      <w:r w:rsidR="008F67FE">
        <w:rPr>
          <w:noProof/>
        </w:rPr>
        <w:t xml:space="preserve"> (EU) 2024/75</w:t>
      </w:r>
      <w:r w:rsidRPr="002E7DCF">
        <w:rPr>
          <w:noProof/>
        </w:rPr>
        <w:t xml:space="preserve">. However, Portugal considered that </w:t>
      </w:r>
      <w:r w:rsidR="008F67FE">
        <w:rPr>
          <w:noProof/>
        </w:rPr>
        <w:t>no</w:t>
      </w:r>
      <w:r w:rsidRPr="002E7DCF">
        <w:rPr>
          <w:noProof/>
        </w:rPr>
        <w:t xml:space="preserve"> projects </w:t>
      </w:r>
      <w:r w:rsidR="008F67FE">
        <w:rPr>
          <w:noProof/>
        </w:rPr>
        <w:t xml:space="preserve">having been awarded a Sovereignty Seal </w:t>
      </w:r>
      <w:r w:rsidRPr="002E7DCF">
        <w:rPr>
          <w:noProof/>
        </w:rPr>
        <w:t>were to be included in the amended RRP because part of those projects have already secured funding from Union sources other than the Recovery and Resilience Facility. In addition, projects with a Sovereignty Seal that have not yet secured funding could be funded under the new measure C05-i14 (Business innovation) in the amended RRP.</w:t>
      </w:r>
    </w:p>
    <w:p w:rsidR="00007F85" w:rsidRPr="000A219D" w:rsidRDefault="00007F85" w:rsidP="000A219D">
      <w:pPr>
        <w:rPr>
          <w:b/>
          <w:bCs/>
          <w:i/>
          <w:iCs/>
          <w:noProof/>
        </w:rPr>
      </w:pPr>
      <w:r w:rsidRPr="000A219D">
        <w:rPr>
          <w:b/>
          <w:bCs/>
          <w:i/>
          <w:iCs/>
          <w:noProof/>
        </w:rPr>
        <w:t>Positive assessment</w:t>
      </w:r>
    </w:p>
    <w:p w:rsidR="00007F85" w:rsidRDefault="00E70193" w:rsidP="000A219D">
      <w:pPr>
        <w:pStyle w:val="ManualConsidrant"/>
        <w:rPr>
          <w:noProof/>
        </w:rPr>
      </w:pPr>
      <w:r>
        <w:rPr>
          <w:noProof/>
        </w:rPr>
        <w:t>(17)</w:t>
      </w:r>
      <w:r>
        <w:rPr>
          <w:noProof/>
        </w:rPr>
        <w:tab/>
      </w:r>
      <w:r w:rsidRPr="002E7DCF">
        <w:rPr>
          <w:noProof/>
        </w:rPr>
        <w:t xml:space="preserve">Following </w:t>
      </w:r>
      <w:r w:rsidRPr="000A219D">
        <w:rPr>
          <w:noProof/>
        </w:rPr>
        <w:t>the</w:t>
      </w:r>
      <w:r w:rsidRPr="002E7DCF">
        <w:rPr>
          <w:noProof/>
        </w:rPr>
        <w:t xml:space="preserv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0A219D" w:rsidRDefault="00007F85" w:rsidP="000A219D">
      <w:pPr>
        <w:rPr>
          <w:b/>
          <w:bCs/>
          <w:i/>
          <w:iCs/>
          <w:noProof/>
        </w:rPr>
      </w:pPr>
      <w:r w:rsidRPr="000A219D">
        <w:rPr>
          <w:b/>
          <w:bCs/>
          <w:i/>
          <w:iCs/>
          <w:noProof/>
        </w:rPr>
        <w:t>Financial contribution</w:t>
      </w:r>
    </w:p>
    <w:p w:rsidR="00E70193" w:rsidRPr="002E7DCF" w:rsidRDefault="00E70193" w:rsidP="000A219D">
      <w:pPr>
        <w:pStyle w:val="ManualConsidrant"/>
        <w:rPr>
          <w:noProof/>
          <w:lang w:eastAsia="fr-BE"/>
        </w:rPr>
      </w:pPr>
      <w:r>
        <w:rPr>
          <w:noProof/>
        </w:rPr>
        <w:t>(18)</w:t>
      </w:r>
      <w:r>
        <w:rPr>
          <w:noProof/>
        </w:rPr>
        <w:tab/>
      </w:r>
      <w:r w:rsidRPr="002E7DCF">
        <w:rPr>
          <w:noProof/>
        </w:rPr>
        <w:t xml:space="preserve">The estimated </w:t>
      </w:r>
      <w:r w:rsidRPr="000A219D">
        <w:rPr>
          <w:noProof/>
        </w:rPr>
        <w:t>total</w:t>
      </w:r>
      <w:r w:rsidRPr="002E7DCF">
        <w:rPr>
          <w:noProof/>
        </w:rPr>
        <w:t xml:space="preserve"> cost of Portugal’s amended RRP is EUR</w:t>
      </w:r>
      <w:r w:rsidRPr="002E7DCF">
        <w:rPr>
          <w:noProof/>
          <w:lang w:eastAsia="fr-BE"/>
        </w:rPr>
        <w:t> </w:t>
      </w:r>
      <w:r w:rsidRPr="002E7DCF">
        <w:rPr>
          <w:noProof/>
        </w:rPr>
        <w:t>21 905 333 169. As the amount of the estimated total cost of the amended RRP is higher than the updated maximum financial contributi</w:t>
      </w:r>
      <w:r w:rsidRPr="00424CB0">
        <w:rPr>
          <w:noProof/>
        </w:rPr>
        <w:t>on available for Portugal, the financial contribution determined in accordance with Article 4a of Regulation (EU) 2021/1755 of the European Parliament and of the Council</w:t>
      </w:r>
      <w:r w:rsidR="00424CB0" w:rsidRPr="00424CB0">
        <w:rPr>
          <w:rStyle w:val="FootnoteReference"/>
          <w:noProof/>
        </w:rPr>
        <w:footnoteReference w:id="10"/>
      </w:r>
      <w:r w:rsidRPr="00424CB0">
        <w:rPr>
          <w:noProof/>
        </w:rPr>
        <w:t>, and with Article 20(4) and Article 21a(6) of Regulation (EU) 2021/241 tha</w:t>
      </w:r>
      <w:r w:rsidRPr="002E7DCF">
        <w:rPr>
          <w:noProof/>
        </w:rPr>
        <w:t>t is allocated for Portugal’s amended RRP should be equal to EUR</w:t>
      </w:r>
      <w:r w:rsidRPr="002E7DCF">
        <w:rPr>
          <w:noProof/>
          <w:lang w:eastAsia="fr-BE"/>
        </w:rPr>
        <w:t> </w:t>
      </w:r>
      <w:r w:rsidRPr="002E7DCF">
        <w:rPr>
          <w:noProof/>
        </w:rPr>
        <w:t>16 325 113 960. Therefore, the financial contribution made available to Portugal remains unchanged.</w:t>
      </w:r>
    </w:p>
    <w:p w:rsidR="00007F85" w:rsidRPr="000A219D" w:rsidRDefault="00007F85" w:rsidP="000A219D">
      <w:pPr>
        <w:rPr>
          <w:b/>
          <w:bCs/>
          <w:i/>
          <w:iCs/>
          <w:noProof/>
        </w:rPr>
      </w:pPr>
      <w:r w:rsidRPr="000A219D">
        <w:rPr>
          <w:b/>
          <w:bCs/>
          <w:i/>
          <w:iCs/>
          <w:noProof/>
        </w:rPr>
        <w:t>Loans</w:t>
      </w:r>
    </w:p>
    <w:p w:rsidR="00E70193" w:rsidRPr="00E70193" w:rsidRDefault="00E70193" w:rsidP="000A219D">
      <w:pPr>
        <w:pStyle w:val="ManualConsidrant"/>
        <w:rPr>
          <w:rFonts w:eastAsia="Calibri"/>
          <w:noProof/>
          <w:kern w:val="2"/>
          <w14:ligatures w14:val="standardContextual"/>
        </w:rPr>
      </w:pPr>
      <w:r>
        <w:rPr>
          <w:noProof/>
        </w:rPr>
        <w:t>(19)</w:t>
      </w:r>
      <w:r>
        <w:rPr>
          <w:noProof/>
        </w:rPr>
        <w:tab/>
      </w:r>
      <w:r w:rsidRPr="002E7DCF">
        <w:rPr>
          <w:noProof/>
          <w:lang w:eastAsia="fr-BE"/>
        </w:rPr>
        <w:t>The loan support made available to Portugal amounting to EUR 5 580 219 209 remains unchanged.</w:t>
      </w:r>
      <w:r w:rsidRPr="6DDE4065">
        <w:rPr>
          <w:rFonts w:eastAsia="Calibri"/>
          <w:noProof/>
          <w:highlight w:val="green"/>
        </w:rPr>
        <w:t xml:space="preserve"> </w:t>
      </w:r>
    </w:p>
    <w:p w:rsidR="00E70193" w:rsidRPr="00E70193" w:rsidRDefault="00007F85" w:rsidP="000A219D">
      <w:pPr>
        <w:pStyle w:val="ManualConsidrant"/>
        <w:rPr>
          <w:rFonts w:eastAsia="Calibri"/>
          <w:noProof/>
          <w:kern w:val="2"/>
          <w14:ligatures w14:val="standardContextual"/>
        </w:rPr>
      </w:pPr>
      <w:r>
        <w:rPr>
          <w:noProof/>
        </w:rPr>
        <w:t>(20)</w:t>
      </w:r>
      <w:r>
        <w:rPr>
          <w:noProof/>
        </w:rPr>
        <w:tab/>
      </w:r>
      <w:r w:rsidRPr="00E70193">
        <w:rPr>
          <w:rFonts w:eastAsia="Times New Roman"/>
          <w:noProof/>
        </w:rPr>
        <w:t xml:space="preserve">The </w:t>
      </w:r>
      <w:r w:rsidR="00E70193" w:rsidRPr="000A219D">
        <w:rPr>
          <w:noProof/>
        </w:rPr>
        <w:t>Council</w:t>
      </w:r>
      <w:r w:rsidR="00E70193" w:rsidRPr="002E7DCF">
        <w:rPr>
          <w:noProof/>
        </w:rPr>
        <w:t xml:space="preserve"> Implementing Decision of 13</w:t>
      </w:r>
      <w:r w:rsidR="00B551BC" w:rsidRPr="00424CB0">
        <w:rPr>
          <w:noProof/>
        </w:rPr>
        <w:t> </w:t>
      </w:r>
      <w:r w:rsidR="00E70193" w:rsidRPr="002E7DCF">
        <w:rPr>
          <w:noProof/>
        </w:rPr>
        <w:t>July</w:t>
      </w:r>
      <w:r w:rsidR="00B551BC" w:rsidRPr="00424CB0">
        <w:rPr>
          <w:noProof/>
        </w:rPr>
        <w:t> </w:t>
      </w:r>
      <w:r w:rsidR="00E70193" w:rsidRPr="002E7DCF">
        <w:rPr>
          <w:noProof/>
        </w:rPr>
        <w:t xml:space="preserve">2021 should therefore be amended accordingly. For the sake of clarity, the Annex to </w:t>
      </w:r>
      <w:r w:rsidR="008F67FE">
        <w:rPr>
          <w:noProof/>
        </w:rPr>
        <w:t xml:space="preserve">the </w:t>
      </w:r>
      <w:r w:rsidR="00E70193" w:rsidRPr="002E7DCF">
        <w:rPr>
          <w:noProof/>
        </w:rPr>
        <w:t>Council Implementing Decision of 13</w:t>
      </w:r>
      <w:r w:rsidR="00B551BC" w:rsidRPr="00424CB0">
        <w:rPr>
          <w:noProof/>
        </w:rPr>
        <w:t> </w:t>
      </w:r>
      <w:r w:rsidR="00E70193" w:rsidRPr="002E7DCF">
        <w:rPr>
          <w:noProof/>
        </w:rPr>
        <w:t>July</w:t>
      </w:r>
      <w:r w:rsidR="00B551BC" w:rsidRPr="00424CB0">
        <w:rPr>
          <w:noProof/>
        </w:rPr>
        <w:t> </w:t>
      </w:r>
      <w:r w:rsidR="00E70193" w:rsidRPr="002E7DCF">
        <w:rPr>
          <w:noProof/>
        </w:rPr>
        <w:t>2021 should be replaced entirely.</w:t>
      </w:r>
    </w:p>
    <w:p w:rsidR="00E70193" w:rsidRPr="00E70193" w:rsidRDefault="00E70193" w:rsidP="000A219D">
      <w:pPr>
        <w:pStyle w:val="ManualConsidrant"/>
        <w:rPr>
          <w:rFonts w:eastAsia="Calibri"/>
          <w:noProof/>
          <w:kern w:val="2"/>
          <w14:ligatures w14:val="standardContextual"/>
        </w:rPr>
      </w:pPr>
      <w:r>
        <w:rPr>
          <w:noProof/>
        </w:rPr>
        <w:t>(21)</w:t>
      </w:r>
      <w:r>
        <w:rPr>
          <w:noProof/>
        </w:rPr>
        <w:tab/>
      </w:r>
      <w:r w:rsidRPr="002E7DCF">
        <w:rPr>
          <w:noProof/>
        </w:rPr>
        <w:t xml:space="preserve">This Decision </w:t>
      </w:r>
      <w:r w:rsidR="008F67FE">
        <w:rPr>
          <w:noProof/>
        </w:rPr>
        <w:t>should be</w:t>
      </w:r>
      <w:r w:rsidRPr="002E7DCF">
        <w:rPr>
          <w:noProof/>
        </w:rPr>
        <w:t xml:space="preserve"> without </w:t>
      </w:r>
      <w:r w:rsidRPr="000A219D">
        <w:rPr>
          <w:noProof/>
        </w:rPr>
        <w:t>prejudice</w:t>
      </w:r>
      <w:r w:rsidRPr="002E7DCF">
        <w:rPr>
          <w:noProof/>
        </w:rPr>
        <w:t xml:space="preserv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00E70193" w:rsidRDefault="00007F85" w:rsidP="000A219D">
      <w:pPr>
        <w:pStyle w:val="Formuledadoption"/>
        <w:rPr>
          <w:noProof/>
        </w:rPr>
      </w:pPr>
      <w:r w:rsidRPr="00D8676A">
        <w:rPr>
          <w:noProof/>
        </w:rPr>
        <w:t xml:space="preserve">HAS ADOPTED THIS DECISION: </w:t>
      </w:r>
    </w:p>
    <w:p w:rsidR="00007F85" w:rsidRPr="00E70193" w:rsidRDefault="00007F85" w:rsidP="000A219D">
      <w:pPr>
        <w:pStyle w:val="Titrearticle"/>
        <w:rPr>
          <w:rFonts w:eastAsia="Calibri"/>
          <w:noProof/>
          <w:kern w:val="2"/>
          <w14:ligatures w14:val="standardContextual"/>
        </w:rPr>
      </w:pPr>
      <w:r w:rsidRPr="00E70193">
        <w:rPr>
          <w:noProof/>
        </w:rPr>
        <w:t>Article 1</w:t>
      </w:r>
      <w:r w:rsidRPr="00E70193">
        <w:rPr>
          <w:noProof/>
        </w:rPr>
        <w:br/>
        <w:t>Approval of the assessment of the RRP</w:t>
      </w:r>
    </w:p>
    <w:p w:rsidR="00007F85" w:rsidRDefault="00007F85" w:rsidP="000A219D">
      <w:pPr>
        <w:rPr>
          <w:noProof/>
        </w:rPr>
      </w:pPr>
      <w:r w:rsidRPr="7BF563C7">
        <w:rPr>
          <w:noProof/>
        </w:rPr>
        <w:t xml:space="preserve">The assessment of the </w:t>
      </w:r>
      <w:r>
        <w:rPr>
          <w:noProof/>
        </w:rPr>
        <w:t>amended</w:t>
      </w:r>
      <w:r w:rsidRPr="7BF563C7">
        <w:rPr>
          <w:noProof/>
        </w:rPr>
        <w:t xml:space="preserve"> RRP </w:t>
      </w:r>
      <w:r w:rsidR="00AC3814">
        <w:rPr>
          <w:noProof/>
        </w:rPr>
        <w:t>for</w:t>
      </w:r>
      <w:r w:rsidRPr="7BF563C7">
        <w:rPr>
          <w:noProof/>
        </w:rPr>
        <w:t xml:space="preserve"> </w:t>
      </w:r>
      <w:r w:rsidR="00E70193">
        <w:rPr>
          <w:noProof/>
        </w:rPr>
        <w:t>Portugal</w:t>
      </w:r>
      <w:r w:rsidRPr="7BF563C7">
        <w:rPr>
          <w:noProof/>
        </w:rPr>
        <w:t xml:space="preserve"> on the basis of the criteria provided for in Article 19(3) of Regulation (EU) 2021/241 is approved. </w:t>
      </w:r>
    </w:p>
    <w:p w:rsidR="00007F85" w:rsidRPr="00D8676A" w:rsidRDefault="00007F85" w:rsidP="000A219D">
      <w:pPr>
        <w:pStyle w:val="Titrearticle"/>
        <w:rPr>
          <w:noProof/>
        </w:rPr>
      </w:pPr>
      <w:r w:rsidRPr="000A219D">
        <w:rPr>
          <w:noProof/>
        </w:rPr>
        <w:t>Article</w:t>
      </w:r>
      <w:r>
        <w:rPr>
          <w:noProof/>
        </w:rPr>
        <w:t xml:space="preserve"> </w:t>
      </w:r>
      <w:r w:rsidRPr="000C1ACA">
        <w:rPr>
          <w:noProof/>
        </w:rPr>
        <w:t>2</w:t>
      </w:r>
      <w:r>
        <w:rPr>
          <w:noProof/>
        </w:rPr>
        <w:br/>
      </w:r>
      <w:r>
        <w:rPr>
          <w:iCs/>
          <w:noProof/>
        </w:rPr>
        <w:t>A</w:t>
      </w:r>
      <w:r w:rsidRPr="00782B5C">
        <w:rPr>
          <w:iCs/>
          <w:noProof/>
        </w:rPr>
        <w:t>mendments</w:t>
      </w:r>
    </w:p>
    <w:p w:rsidR="00007F85" w:rsidRDefault="00007F85" w:rsidP="000A219D">
      <w:pPr>
        <w:rPr>
          <w:noProof/>
        </w:rPr>
      </w:pPr>
      <w:r w:rsidRPr="7BF563C7">
        <w:rPr>
          <w:noProof/>
        </w:rPr>
        <w:t xml:space="preserve">The Council Implementing Decision of </w:t>
      </w:r>
      <w:r w:rsidR="00E70193">
        <w:rPr>
          <w:noProof/>
        </w:rPr>
        <w:t>13</w:t>
      </w:r>
      <w:r w:rsidR="00B551BC" w:rsidRPr="00424CB0">
        <w:rPr>
          <w:noProof/>
        </w:rPr>
        <w:t> </w:t>
      </w:r>
      <w:r w:rsidR="00E70193">
        <w:rPr>
          <w:noProof/>
        </w:rPr>
        <w:t>July</w:t>
      </w:r>
      <w:r w:rsidR="00B551BC" w:rsidRPr="00424CB0">
        <w:rPr>
          <w:noProof/>
        </w:rPr>
        <w:t> </w:t>
      </w:r>
      <w:r w:rsidR="00E70193">
        <w:rPr>
          <w:noProof/>
        </w:rPr>
        <w:t>2021</w:t>
      </w:r>
      <w:r w:rsidRPr="7BF563C7">
        <w:rPr>
          <w:noProof/>
        </w:rPr>
        <w:t xml:space="preserve"> on the approval of the assessment of the recovery and resilience plan for </w:t>
      </w:r>
      <w:r w:rsidR="00E70193">
        <w:rPr>
          <w:noProof/>
        </w:rPr>
        <w:t>Portugal</w:t>
      </w:r>
      <w:r w:rsidRPr="7BF563C7">
        <w:rPr>
          <w:noProof/>
        </w:rPr>
        <w:t xml:space="preserve"> is amended as follows: </w:t>
      </w:r>
    </w:p>
    <w:p w:rsidR="00007F85" w:rsidRPr="000C232B" w:rsidRDefault="00007F85" w:rsidP="000A219D">
      <w:pPr>
        <w:rPr>
          <w:noProof/>
        </w:rPr>
      </w:pPr>
      <w:r>
        <w:rPr>
          <w:noProof/>
        </w:rPr>
        <w:t>the Annex is replaced by the text set out</w:t>
      </w:r>
      <w:r w:rsidR="00032C19">
        <w:rPr>
          <w:noProof/>
        </w:rPr>
        <w:t xml:space="preserve"> </w:t>
      </w:r>
      <w:r>
        <w:rPr>
          <w:noProof/>
        </w:rPr>
        <w:t>in the Annex to this Decision.</w:t>
      </w:r>
    </w:p>
    <w:p w:rsidR="00007F85" w:rsidRDefault="00007F85" w:rsidP="00363B87">
      <w:pPr>
        <w:pStyle w:val="Titrearticle"/>
        <w:rPr>
          <w:noProof/>
        </w:rPr>
      </w:pPr>
      <w:r w:rsidRPr="000A219D">
        <w:rPr>
          <w:noProof/>
        </w:rPr>
        <w:t>Article</w:t>
      </w:r>
      <w:r w:rsidRPr="00394D91">
        <w:rPr>
          <w:noProof/>
        </w:rPr>
        <w:t xml:space="preserve"> 3</w:t>
      </w:r>
      <w:r>
        <w:rPr>
          <w:noProof/>
        </w:rPr>
        <w:br/>
        <w:t>Addressee</w:t>
      </w:r>
    </w:p>
    <w:p w:rsidR="00007F85" w:rsidRDefault="00007F85" w:rsidP="000A219D">
      <w:pPr>
        <w:rPr>
          <w:noProof/>
        </w:rPr>
      </w:pPr>
      <w:r>
        <w:rPr>
          <w:noProof/>
        </w:rPr>
        <w:t xml:space="preserve">This Decision is addressed to </w:t>
      </w:r>
      <w:r w:rsidR="00E70193">
        <w:rPr>
          <w:noProof/>
        </w:rPr>
        <w:t>the Portuguese Republic</w:t>
      </w:r>
      <w:r>
        <w:rPr>
          <w:noProof/>
        </w:rPr>
        <w:t>.</w:t>
      </w:r>
    </w:p>
    <w:p w:rsidR="00007F85" w:rsidRDefault="000A219D" w:rsidP="00363B87">
      <w:pPr>
        <w:pStyle w:val="Fait"/>
        <w:rPr>
          <w:noProof/>
        </w:rPr>
      </w:pPr>
      <w:r>
        <w:rPr>
          <w:noProof/>
        </w:rPr>
        <w:t>Done at Brussels,</w:t>
      </w:r>
    </w:p>
    <w:p w:rsidR="00007F85" w:rsidRDefault="00007F85" w:rsidP="00363B87">
      <w:pPr>
        <w:pStyle w:val="Institutionquisigne"/>
        <w:rPr>
          <w:noProof/>
        </w:rPr>
      </w:pPr>
      <w:r w:rsidRPr="006876B1">
        <w:rPr>
          <w:noProof/>
        </w:rPr>
        <w:tab/>
        <w:t xml:space="preserve">For </w:t>
      </w:r>
      <w:r w:rsidRPr="000A219D">
        <w:rPr>
          <w:noProof/>
        </w:rPr>
        <w:t>the</w:t>
      </w:r>
      <w:r w:rsidRPr="006876B1">
        <w:rPr>
          <w:noProof/>
        </w:rPr>
        <w:t xml:space="preserve"> Council</w:t>
      </w:r>
    </w:p>
    <w:p w:rsidR="002709B6" w:rsidRPr="00A1233B" w:rsidRDefault="00007F85" w:rsidP="000A219D">
      <w:pPr>
        <w:pStyle w:val="Personnequisigne"/>
        <w:rPr>
          <w:noProof/>
          <w:color w:val="008000"/>
        </w:rPr>
      </w:pPr>
      <w:r w:rsidRPr="006876B1">
        <w:rPr>
          <w:noProof/>
        </w:rPr>
        <w:tab/>
        <w:t xml:space="preserve">The </w:t>
      </w:r>
      <w:r w:rsidRPr="000A219D">
        <w:rPr>
          <w:noProof/>
        </w:rPr>
        <w:t>President</w:t>
      </w:r>
    </w:p>
    <w:sectPr w:rsidR="002709B6" w:rsidRPr="00A1233B" w:rsidSect="00D45ED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9B0" w:rsidRDefault="00B519B0">
      <w:pPr>
        <w:spacing w:before="0" w:after="0"/>
      </w:pPr>
      <w:r>
        <w:separator/>
      </w:r>
    </w:p>
  </w:endnote>
  <w:endnote w:type="continuationSeparator" w:id="0">
    <w:p w:rsidR="00B519B0" w:rsidRDefault="00B519B0">
      <w:pPr>
        <w:spacing w:before="0" w:after="0"/>
      </w:pPr>
      <w:r>
        <w:continuationSeparator/>
      </w:r>
    </w:p>
  </w:endnote>
  <w:endnote w:type="continuationNotice" w:id="1">
    <w:p w:rsidR="00B519B0" w:rsidRDefault="00B519B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ED7" w:rsidRPr="00D45ED7" w:rsidRDefault="00D45ED7" w:rsidP="00D45ED7">
    <w:pPr>
      <w:pStyle w:val="Footer"/>
      <w:rPr>
        <w:rFonts w:ascii="Arial" w:hAnsi="Arial" w:cs="Arial"/>
        <w:b/>
        <w:sz w:val="48"/>
      </w:rPr>
    </w:pPr>
    <w:r w:rsidRPr="00D45ED7">
      <w:rPr>
        <w:rFonts w:ascii="Arial" w:hAnsi="Arial" w:cs="Arial"/>
        <w:b/>
        <w:sz w:val="48"/>
      </w:rPr>
      <w:t>EN</w:t>
    </w:r>
    <w:r w:rsidRPr="00D45ED7">
      <w:rPr>
        <w:rFonts w:ascii="Arial" w:hAnsi="Arial" w:cs="Arial"/>
        <w:b/>
        <w:sz w:val="48"/>
      </w:rPr>
      <w:tab/>
    </w:r>
    <w:r w:rsidRPr="00D45ED7">
      <w:rPr>
        <w:rFonts w:ascii="Arial" w:hAnsi="Arial" w:cs="Arial"/>
        <w:b/>
        <w:sz w:val="48"/>
      </w:rPr>
      <w:tab/>
    </w:r>
    <w:r w:rsidRPr="00D45ED7">
      <w:tab/>
    </w:r>
    <w:r w:rsidRPr="00D45ED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ED7" w:rsidRPr="00D45ED7" w:rsidRDefault="00D45ED7" w:rsidP="00D45ED7">
    <w:pPr>
      <w:pStyle w:val="Footer"/>
      <w:rPr>
        <w:rFonts w:ascii="Arial" w:hAnsi="Arial" w:cs="Arial"/>
        <w:b/>
        <w:sz w:val="48"/>
      </w:rPr>
    </w:pPr>
    <w:r w:rsidRPr="00D45ED7">
      <w:rPr>
        <w:rFonts w:ascii="Arial" w:hAnsi="Arial" w:cs="Arial"/>
        <w:b/>
        <w:sz w:val="48"/>
      </w:rPr>
      <w:t>EN</w:t>
    </w:r>
    <w:r w:rsidRPr="00D45ED7">
      <w:rPr>
        <w:rFonts w:ascii="Arial" w:hAnsi="Arial" w:cs="Arial"/>
        <w:b/>
        <w:sz w:val="48"/>
      </w:rPr>
      <w:tab/>
    </w:r>
    <w:r w:rsidRPr="00D45ED7">
      <w:rPr>
        <w:rFonts w:ascii="Arial" w:hAnsi="Arial" w:cs="Arial"/>
        <w:b/>
        <w:sz w:val="48"/>
      </w:rPr>
      <w:tab/>
    </w:r>
    <w:r w:rsidRPr="00D45ED7">
      <w:tab/>
    </w:r>
    <w:r w:rsidRPr="00D45ED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ED7" w:rsidRDefault="00D45ED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ED7" w:rsidRPr="00D45ED7" w:rsidRDefault="00D45ED7" w:rsidP="00D45ED7">
    <w:pPr>
      <w:pStyle w:val="Footer"/>
      <w:rPr>
        <w:rFonts w:ascii="Arial" w:hAnsi="Arial" w:cs="Arial"/>
        <w:b/>
        <w:sz w:val="48"/>
      </w:rPr>
    </w:pPr>
    <w:r w:rsidRPr="00D45ED7">
      <w:rPr>
        <w:rFonts w:ascii="Arial" w:hAnsi="Arial" w:cs="Arial"/>
        <w:b/>
        <w:sz w:val="48"/>
      </w:rPr>
      <w:t>EN</w:t>
    </w:r>
    <w:r w:rsidRPr="00D45ED7">
      <w:rPr>
        <w:rFonts w:ascii="Arial" w:hAnsi="Arial" w:cs="Arial"/>
        <w:b/>
        <w:sz w:val="48"/>
      </w:rPr>
      <w:tab/>
    </w:r>
    <w:r>
      <w:fldChar w:fldCharType="begin"/>
    </w:r>
    <w:r>
      <w:instrText xml:space="preserve"> PAGE  \* MERGEFORMAT </w:instrText>
    </w:r>
    <w:r>
      <w:fldChar w:fldCharType="separate"/>
    </w:r>
    <w:r w:rsidR="00274E4B">
      <w:rPr>
        <w:noProof/>
      </w:rPr>
      <w:t>1</w:t>
    </w:r>
    <w:r>
      <w:fldChar w:fldCharType="end"/>
    </w:r>
    <w:r>
      <w:tab/>
    </w:r>
    <w:r w:rsidRPr="00D45ED7">
      <w:tab/>
    </w:r>
    <w:r w:rsidRPr="00D45ED7">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ED7" w:rsidRDefault="00D45ED7" w:rsidP="00D45E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9B0" w:rsidRDefault="00B519B0">
      <w:pPr>
        <w:spacing w:before="0" w:after="0"/>
      </w:pPr>
      <w:r>
        <w:separator/>
      </w:r>
    </w:p>
  </w:footnote>
  <w:footnote w:type="continuationSeparator" w:id="0">
    <w:p w:rsidR="00B519B0" w:rsidRDefault="00B519B0">
      <w:pPr>
        <w:spacing w:before="0" w:after="0"/>
      </w:pPr>
      <w:r>
        <w:continuationSeparator/>
      </w:r>
    </w:p>
  </w:footnote>
  <w:footnote w:type="continuationNotice" w:id="1">
    <w:p w:rsidR="00B519B0" w:rsidRDefault="00B519B0">
      <w:pPr>
        <w:spacing w:before="0" w:after="0"/>
      </w:pPr>
    </w:p>
  </w:footnote>
  <w:footnote w:id="2">
    <w:p w:rsidR="00424CB0" w:rsidRPr="006F2E3D" w:rsidRDefault="00424CB0">
      <w:pPr>
        <w:pStyle w:val="FootnoteText"/>
        <w:rPr>
          <w:lang w:val="pt-BR"/>
        </w:rPr>
      </w:pPr>
      <w:r>
        <w:rPr>
          <w:rStyle w:val="FootnoteReference"/>
        </w:rPr>
        <w:footnoteRef/>
      </w:r>
      <w:r w:rsidRPr="006F2E3D">
        <w:rPr>
          <w:lang w:val="pt-BR"/>
        </w:rPr>
        <w:tab/>
      </w:r>
      <w:r w:rsidRPr="00424CB0">
        <w:rPr>
          <w:lang w:val="it-IT"/>
        </w:rPr>
        <w:t xml:space="preserve">OJ L 57, 18.2.2021, p. 17, ELI: </w:t>
      </w:r>
      <w:hyperlink r:id="rId1" w:history="1">
        <w:r w:rsidRPr="00424CB0">
          <w:rPr>
            <w:rStyle w:val="Hyperlink"/>
            <w:lang w:val="it-IT"/>
          </w:rPr>
          <w:t>https://eur-lex.europa.eu/eli/reg/2021/241/oj</w:t>
        </w:r>
      </w:hyperlink>
      <w:r w:rsidRPr="006F2E3D">
        <w:rPr>
          <w:lang w:val="pt-BR"/>
        </w:rPr>
        <w:t>.</w:t>
      </w:r>
    </w:p>
  </w:footnote>
  <w:footnote w:id="3">
    <w:p w:rsidR="00424CB0" w:rsidRPr="00424CB0" w:rsidRDefault="00424CB0">
      <w:pPr>
        <w:pStyle w:val="FootnoteText"/>
        <w:rPr>
          <w:lang w:val="en-IE"/>
        </w:rPr>
      </w:pPr>
      <w:r>
        <w:rPr>
          <w:rStyle w:val="FootnoteReference"/>
        </w:rPr>
        <w:footnoteRef/>
      </w:r>
      <w:r>
        <w:rPr>
          <w:lang w:val="en-IE"/>
        </w:rPr>
        <w:tab/>
      </w:r>
      <w:r w:rsidRPr="00424CB0">
        <w:t xml:space="preserve">ST 10149/21 </w:t>
      </w:r>
      <w:r>
        <w:t xml:space="preserve">INIT; </w:t>
      </w:r>
      <w:r w:rsidRPr="00424CB0">
        <w:t>ST 10149/21 ADD 1 REV 1</w:t>
      </w:r>
      <w:r>
        <w:t>.</w:t>
      </w:r>
      <w:r w:rsidRPr="00424CB0">
        <w:t xml:space="preserve"> </w:t>
      </w:r>
    </w:p>
  </w:footnote>
  <w:footnote w:id="4">
    <w:p w:rsidR="00424CB0" w:rsidRPr="00424CB0" w:rsidRDefault="00424CB0">
      <w:pPr>
        <w:pStyle w:val="FootnoteText"/>
        <w:rPr>
          <w:lang w:val="en-IE"/>
        </w:rPr>
      </w:pPr>
      <w:r>
        <w:rPr>
          <w:rStyle w:val="FootnoteReference"/>
        </w:rPr>
        <w:footnoteRef/>
      </w:r>
      <w:r>
        <w:rPr>
          <w:lang w:val="en-IE"/>
        </w:rPr>
        <w:tab/>
      </w:r>
      <w:r w:rsidRPr="00424CB0">
        <w:t xml:space="preserve">ST 13351/23 </w:t>
      </w:r>
      <w:r>
        <w:t>INIT;</w:t>
      </w:r>
      <w:r w:rsidRPr="00424CB0">
        <w:t xml:space="preserve"> ST 13351/23 ADD 1 REV 1</w:t>
      </w:r>
      <w:r>
        <w:t>.</w:t>
      </w:r>
      <w:r w:rsidRPr="00424CB0">
        <w:t xml:space="preserve"> </w:t>
      </w:r>
    </w:p>
  </w:footnote>
  <w:footnote w:id="5">
    <w:p w:rsidR="00424CB0" w:rsidRPr="00424CB0" w:rsidRDefault="00424CB0">
      <w:pPr>
        <w:pStyle w:val="FootnoteText"/>
        <w:rPr>
          <w:lang w:val="en-IE"/>
        </w:rPr>
      </w:pPr>
      <w:r>
        <w:rPr>
          <w:rStyle w:val="FootnoteReference"/>
        </w:rPr>
        <w:footnoteRef/>
      </w:r>
      <w:r>
        <w:rPr>
          <w:lang w:val="en-IE"/>
        </w:rPr>
        <w:tab/>
      </w:r>
      <w:r w:rsidRPr="00424CB0">
        <w:t xml:space="preserve">ST 13497/24 </w:t>
      </w:r>
      <w:r>
        <w:t>INIT;</w:t>
      </w:r>
      <w:r w:rsidRPr="00424CB0">
        <w:t xml:space="preserve"> ST 13497/24 ADD 1</w:t>
      </w:r>
      <w:r>
        <w:t>.</w:t>
      </w:r>
      <w:r w:rsidRPr="00424CB0">
        <w:t xml:space="preserve"> </w:t>
      </w:r>
    </w:p>
  </w:footnote>
  <w:footnote w:id="6">
    <w:p w:rsidR="00424CB0" w:rsidRPr="00424CB0" w:rsidRDefault="00424CB0">
      <w:pPr>
        <w:pStyle w:val="FootnoteText"/>
        <w:rPr>
          <w:lang w:val="en-IE"/>
        </w:rPr>
      </w:pPr>
      <w:r>
        <w:rPr>
          <w:rStyle w:val="FootnoteReference"/>
        </w:rPr>
        <w:footnoteRef/>
      </w:r>
      <w:r>
        <w:rPr>
          <w:lang w:val="en-IE"/>
        </w:rPr>
        <w:tab/>
      </w:r>
      <w:r w:rsidRPr="00424CB0">
        <w:t xml:space="preserve">ST 8055/25 </w:t>
      </w:r>
      <w:r>
        <w:t>INIT;</w:t>
      </w:r>
      <w:r w:rsidRPr="00424CB0">
        <w:t xml:space="preserve"> ST 8055/25 ADD 1</w:t>
      </w:r>
      <w:r>
        <w:t>.</w:t>
      </w:r>
    </w:p>
  </w:footnote>
  <w:footnote w:id="7">
    <w:p w:rsidR="00424CB0" w:rsidRPr="00424CB0" w:rsidRDefault="00424CB0">
      <w:pPr>
        <w:pStyle w:val="FootnoteText"/>
        <w:rPr>
          <w:lang w:val="en-IE"/>
        </w:rPr>
      </w:pPr>
      <w:r>
        <w:rPr>
          <w:rStyle w:val="FootnoteReference"/>
        </w:rPr>
        <w:footnoteRef/>
      </w:r>
      <w:r>
        <w:rPr>
          <w:lang w:val="en-IE"/>
        </w:rPr>
        <w:tab/>
      </w:r>
      <w:r w:rsidRPr="00424CB0">
        <w:t xml:space="preserve">ST 12491/25 </w:t>
      </w:r>
      <w:r>
        <w:t>INIT;</w:t>
      </w:r>
      <w:r w:rsidRPr="00424CB0">
        <w:t xml:space="preserve"> ST 12491/25 ADD 1</w:t>
      </w:r>
      <w:r>
        <w:t>.</w:t>
      </w:r>
    </w:p>
  </w:footnote>
  <w:footnote w:id="8">
    <w:p w:rsidR="00424CB0" w:rsidRPr="00424CB0" w:rsidRDefault="00424CB0">
      <w:pPr>
        <w:pStyle w:val="FootnoteText"/>
        <w:rPr>
          <w:lang w:val="en-IE"/>
        </w:rPr>
      </w:pPr>
      <w:r>
        <w:rPr>
          <w:rStyle w:val="FootnoteReference"/>
        </w:rPr>
        <w:footnoteRef/>
      </w:r>
      <w:r>
        <w:rPr>
          <w:lang w:val="en-IE"/>
        </w:rPr>
        <w:tab/>
      </w:r>
      <w:r w:rsidRPr="00424CB0">
        <w:t xml:space="preserve">ST 15796/25 </w:t>
      </w:r>
      <w:r>
        <w:t>INIT;</w:t>
      </w:r>
      <w:r w:rsidRPr="00424CB0">
        <w:t xml:space="preserve"> ST 15796/25 ADD 1</w:t>
      </w:r>
      <w:r>
        <w:t>.</w:t>
      </w:r>
    </w:p>
  </w:footnote>
  <w:footnote w:id="9">
    <w:p w:rsidR="00424CB0" w:rsidRPr="00424CB0" w:rsidRDefault="00424CB0">
      <w:pPr>
        <w:pStyle w:val="FootnoteText"/>
        <w:rPr>
          <w:lang w:val="en-IE"/>
        </w:rPr>
      </w:pPr>
      <w:r>
        <w:rPr>
          <w:rStyle w:val="FootnoteReference"/>
        </w:rPr>
        <w:footnoteRef/>
      </w:r>
      <w:r>
        <w:rPr>
          <w:lang w:val="en-IE"/>
        </w:rPr>
        <w:tab/>
      </w:r>
      <w:r w:rsidRPr="00424CB0">
        <w:t>ST 9419/2</w:t>
      </w:r>
      <w:r w:rsidR="00EA435E">
        <w:t>6</w:t>
      </w:r>
      <w:r w:rsidRPr="00424CB0">
        <w:t xml:space="preserve"> </w:t>
      </w:r>
      <w:r>
        <w:t>INIT;</w:t>
      </w:r>
      <w:r w:rsidRPr="00424CB0">
        <w:t xml:space="preserve"> ST 9419/2</w:t>
      </w:r>
      <w:r w:rsidR="00EA435E">
        <w:t>6</w:t>
      </w:r>
      <w:r w:rsidRPr="00424CB0">
        <w:t xml:space="preserve"> ADD 1</w:t>
      </w:r>
      <w:r>
        <w:t>.</w:t>
      </w:r>
    </w:p>
  </w:footnote>
  <w:footnote w:id="10">
    <w:p w:rsidR="00424CB0" w:rsidRPr="00424CB0" w:rsidRDefault="00424CB0">
      <w:pPr>
        <w:pStyle w:val="FootnoteText"/>
        <w:rPr>
          <w:lang w:val="en-IE"/>
        </w:rPr>
      </w:pPr>
      <w:r>
        <w:rPr>
          <w:rStyle w:val="FootnoteReference"/>
        </w:rPr>
        <w:footnoteRef/>
      </w:r>
      <w:r>
        <w:rPr>
          <w:lang w:val="en-IE"/>
        </w:rPr>
        <w:tab/>
      </w:r>
      <w:r w:rsidRPr="00424CB0">
        <w:t>Regulation (EU) 2021/1755 of the European Parliament and of the Council of 6 October 2021 establishing the Brexit Adjustment Reserve (OJ L 357, 8.10.2021, p. 1, ELI: </w:t>
      </w:r>
      <w:hyperlink r:id="rId2" w:history="1">
        <w:r w:rsidRPr="00424CB0">
          <w:rPr>
            <w:rStyle w:val="Hyperlink"/>
          </w:rPr>
          <w:t>http://data.europa.eu/eli/reg/2021/1755/oj</w:t>
        </w:r>
      </w:hyperlink>
      <w:r w:rsidRPr="00424CB0">
        <w: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ED7" w:rsidRDefault="00D45E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ED7" w:rsidRDefault="00D45E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9 08:03:2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5B77DBB3-1275-4805-B5D2-63403CBCA6E0"/>
    <w:docVar w:name="LW_COVERPAGE_TYPE" w:val="1"/>
    <w:docVar w:name="LW_CROSSREFERENCE" w:val="{SWD(2026) 261 final}"/>
    <w:docVar w:name="LW_DocType" w:val="COM"/>
    <w:docVar w:name="LW_EMISSION" w:val="31.7.2026"/>
    <w:docVar w:name="LW_EMISSION_ISODATE" w:val="2026-07-31"/>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33"/>
    <w:docVar w:name="LW_REF.II.NEW.CP_YEAR" w:val="2026"/>
    <w:docVar w:name="LW_REF.INST.NEW" w:val="COM"/>
    <w:docVar w:name="LW_REF.INST.NEW_ADOPTED" w:val="final"/>
    <w:docVar w:name="LW_REF.INST.NEW_TEXT" w:val="(2026) 42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13 July 2021 on the approval of the assessment of the recovery and resilience plan for Portugal"/>
    <w:docVar w:name="LW_TYPE.DOC.CP" w:val="COUNCIL IMPLEMENTING DECISION"/>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364"/>
    <w:rsid w:val="000013E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406"/>
    <w:rsid w:val="0000777E"/>
    <w:rsid w:val="00007B7B"/>
    <w:rsid w:val="00007F85"/>
    <w:rsid w:val="0001003F"/>
    <w:rsid w:val="00010181"/>
    <w:rsid w:val="00010358"/>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6D0"/>
    <w:rsid w:val="00027850"/>
    <w:rsid w:val="00027D08"/>
    <w:rsid w:val="00027D17"/>
    <w:rsid w:val="00027D40"/>
    <w:rsid w:val="00027D88"/>
    <w:rsid w:val="00027FED"/>
    <w:rsid w:val="000302ED"/>
    <w:rsid w:val="00030622"/>
    <w:rsid w:val="00030B2A"/>
    <w:rsid w:val="00030C0F"/>
    <w:rsid w:val="00030D27"/>
    <w:rsid w:val="00030DC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630"/>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ECC"/>
    <w:rsid w:val="00037F30"/>
    <w:rsid w:val="0004015F"/>
    <w:rsid w:val="000404B4"/>
    <w:rsid w:val="0004097D"/>
    <w:rsid w:val="000409A9"/>
    <w:rsid w:val="00041218"/>
    <w:rsid w:val="0004159E"/>
    <w:rsid w:val="00041662"/>
    <w:rsid w:val="0004178A"/>
    <w:rsid w:val="0004179E"/>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F79"/>
    <w:rsid w:val="00056007"/>
    <w:rsid w:val="000560AB"/>
    <w:rsid w:val="00056103"/>
    <w:rsid w:val="00056130"/>
    <w:rsid w:val="000561A2"/>
    <w:rsid w:val="00056201"/>
    <w:rsid w:val="0005623B"/>
    <w:rsid w:val="0005656B"/>
    <w:rsid w:val="00056879"/>
    <w:rsid w:val="00056CD2"/>
    <w:rsid w:val="000572BF"/>
    <w:rsid w:val="0005750C"/>
    <w:rsid w:val="000575AC"/>
    <w:rsid w:val="00057AEF"/>
    <w:rsid w:val="00057C15"/>
    <w:rsid w:val="0006011E"/>
    <w:rsid w:val="00060257"/>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3E5C"/>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4D1"/>
    <w:rsid w:val="000745CC"/>
    <w:rsid w:val="0007471B"/>
    <w:rsid w:val="00074893"/>
    <w:rsid w:val="00074B3A"/>
    <w:rsid w:val="00074FFE"/>
    <w:rsid w:val="00075204"/>
    <w:rsid w:val="00075247"/>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77981"/>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B2B"/>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19D"/>
    <w:rsid w:val="000A2239"/>
    <w:rsid w:val="000A232D"/>
    <w:rsid w:val="000A2443"/>
    <w:rsid w:val="000A2691"/>
    <w:rsid w:val="000A275F"/>
    <w:rsid w:val="000A2785"/>
    <w:rsid w:val="000A2E08"/>
    <w:rsid w:val="000A2FB3"/>
    <w:rsid w:val="000A31CD"/>
    <w:rsid w:val="000A322B"/>
    <w:rsid w:val="000A3369"/>
    <w:rsid w:val="000A33FD"/>
    <w:rsid w:val="000A34DF"/>
    <w:rsid w:val="000A37B1"/>
    <w:rsid w:val="000A3891"/>
    <w:rsid w:val="000A3907"/>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22"/>
    <w:rsid w:val="000B75F6"/>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07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576"/>
    <w:rsid w:val="000D3581"/>
    <w:rsid w:val="000D35ED"/>
    <w:rsid w:val="000D387B"/>
    <w:rsid w:val="000D39E2"/>
    <w:rsid w:val="000D3B4D"/>
    <w:rsid w:val="000D3C22"/>
    <w:rsid w:val="000D3EA9"/>
    <w:rsid w:val="000D41D1"/>
    <w:rsid w:val="000D4D62"/>
    <w:rsid w:val="000D4F92"/>
    <w:rsid w:val="000D50D7"/>
    <w:rsid w:val="000D553C"/>
    <w:rsid w:val="000D575F"/>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0F65"/>
    <w:rsid w:val="000E1576"/>
    <w:rsid w:val="000E1672"/>
    <w:rsid w:val="000E1797"/>
    <w:rsid w:val="000E1807"/>
    <w:rsid w:val="000E194C"/>
    <w:rsid w:val="000E197C"/>
    <w:rsid w:val="000E19B8"/>
    <w:rsid w:val="000E1AC3"/>
    <w:rsid w:val="000E1D5C"/>
    <w:rsid w:val="000E2065"/>
    <w:rsid w:val="000E247B"/>
    <w:rsid w:val="000E2A5C"/>
    <w:rsid w:val="000E2E67"/>
    <w:rsid w:val="000E2E68"/>
    <w:rsid w:val="000E3000"/>
    <w:rsid w:val="000E3075"/>
    <w:rsid w:val="000E3699"/>
    <w:rsid w:val="000E3816"/>
    <w:rsid w:val="000E389C"/>
    <w:rsid w:val="000E391C"/>
    <w:rsid w:val="000E3DDD"/>
    <w:rsid w:val="000E40A6"/>
    <w:rsid w:val="000E417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7C"/>
    <w:rsid w:val="000E67E0"/>
    <w:rsid w:val="000E688D"/>
    <w:rsid w:val="000E69E3"/>
    <w:rsid w:val="000E7178"/>
    <w:rsid w:val="000E73E2"/>
    <w:rsid w:val="000E744A"/>
    <w:rsid w:val="000E756A"/>
    <w:rsid w:val="000E759C"/>
    <w:rsid w:val="000E76A0"/>
    <w:rsid w:val="000E79B6"/>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42E"/>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C32"/>
    <w:rsid w:val="00106D1F"/>
    <w:rsid w:val="00107119"/>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351"/>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989"/>
    <w:rsid w:val="00130AAC"/>
    <w:rsid w:val="00130AD1"/>
    <w:rsid w:val="00130AF7"/>
    <w:rsid w:val="00130CB3"/>
    <w:rsid w:val="00130DBE"/>
    <w:rsid w:val="001311E8"/>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B1C"/>
    <w:rsid w:val="00134B68"/>
    <w:rsid w:val="00134D57"/>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71"/>
    <w:rsid w:val="0014122A"/>
    <w:rsid w:val="001413A4"/>
    <w:rsid w:val="00141E46"/>
    <w:rsid w:val="0014213C"/>
    <w:rsid w:val="00142225"/>
    <w:rsid w:val="0014233E"/>
    <w:rsid w:val="00142A72"/>
    <w:rsid w:val="00142DE1"/>
    <w:rsid w:val="0014312F"/>
    <w:rsid w:val="001432C4"/>
    <w:rsid w:val="00143528"/>
    <w:rsid w:val="0014353E"/>
    <w:rsid w:val="001436EF"/>
    <w:rsid w:val="00143850"/>
    <w:rsid w:val="00143941"/>
    <w:rsid w:val="00143B6C"/>
    <w:rsid w:val="00143BF3"/>
    <w:rsid w:val="001442A6"/>
    <w:rsid w:val="00144566"/>
    <w:rsid w:val="00144620"/>
    <w:rsid w:val="0014492F"/>
    <w:rsid w:val="001451FD"/>
    <w:rsid w:val="001455DA"/>
    <w:rsid w:val="0014569B"/>
    <w:rsid w:val="001458F3"/>
    <w:rsid w:val="001458FF"/>
    <w:rsid w:val="00145B07"/>
    <w:rsid w:val="00145C90"/>
    <w:rsid w:val="001462E6"/>
    <w:rsid w:val="00146359"/>
    <w:rsid w:val="001464E3"/>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3FCD"/>
    <w:rsid w:val="00154297"/>
    <w:rsid w:val="001549C7"/>
    <w:rsid w:val="00154C26"/>
    <w:rsid w:val="00154DC3"/>
    <w:rsid w:val="0015511E"/>
    <w:rsid w:val="00155321"/>
    <w:rsid w:val="00155365"/>
    <w:rsid w:val="0015540C"/>
    <w:rsid w:val="001555F3"/>
    <w:rsid w:val="0015583E"/>
    <w:rsid w:val="00155906"/>
    <w:rsid w:val="001561E0"/>
    <w:rsid w:val="001562AC"/>
    <w:rsid w:val="001565DF"/>
    <w:rsid w:val="00157041"/>
    <w:rsid w:val="001570C5"/>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DD5"/>
    <w:rsid w:val="00170EF0"/>
    <w:rsid w:val="00170F0E"/>
    <w:rsid w:val="00171042"/>
    <w:rsid w:val="00171241"/>
    <w:rsid w:val="00171330"/>
    <w:rsid w:val="00171A05"/>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C8B"/>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C57"/>
    <w:rsid w:val="00181F63"/>
    <w:rsid w:val="00182501"/>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71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81B"/>
    <w:rsid w:val="001C597B"/>
    <w:rsid w:val="001C5E26"/>
    <w:rsid w:val="001C5E47"/>
    <w:rsid w:val="001C5FBE"/>
    <w:rsid w:val="001C60A7"/>
    <w:rsid w:val="001C63DA"/>
    <w:rsid w:val="001C63E6"/>
    <w:rsid w:val="001C63FC"/>
    <w:rsid w:val="001C6526"/>
    <w:rsid w:val="001C6707"/>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239"/>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822"/>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D17"/>
    <w:rsid w:val="001F3E07"/>
    <w:rsid w:val="001F3ED2"/>
    <w:rsid w:val="001F43B5"/>
    <w:rsid w:val="001F469E"/>
    <w:rsid w:val="001F4737"/>
    <w:rsid w:val="001F4884"/>
    <w:rsid w:val="001F4A18"/>
    <w:rsid w:val="001F4B7F"/>
    <w:rsid w:val="001F4DD1"/>
    <w:rsid w:val="001F5189"/>
    <w:rsid w:val="001F518C"/>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13"/>
    <w:rsid w:val="001F7031"/>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0AB"/>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B12"/>
    <w:rsid w:val="00241C19"/>
    <w:rsid w:val="00241C81"/>
    <w:rsid w:val="00241EC1"/>
    <w:rsid w:val="00242291"/>
    <w:rsid w:val="0024239B"/>
    <w:rsid w:val="00242430"/>
    <w:rsid w:val="00242500"/>
    <w:rsid w:val="0024259A"/>
    <w:rsid w:val="002426D0"/>
    <w:rsid w:val="002426DD"/>
    <w:rsid w:val="00242773"/>
    <w:rsid w:val="00242AE2"/>
    <w:rsid w:val="00242CF0"/>
    <w:rsid w:val="00242D75"/>
    <w:rsid w:val="00242ECD"/>
    <w:rsid w:val="00242F38"/>
    <w:rsid w:val="00243849"/>
    <w:rsid w:val="002438FD"/>
    <w:rsid w:val="00243952"/>
    <w:rsid w:val="00243C5D"/>
    <w:rsid w:val="00243EC8"/>
    <w:rsid w:val="00244288"/>
    <w:rsid w:val="002442C9"/>
    <w:rsid w:val="00244366"/>
    <w:rsid w:val="002443CF"/>
    <w:rsid w:val="0024449C"/>
    <w:rsid w:val="002444F7"/>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4B1"/>
    <w:rsid w:val="0024772B"/>
    <w:rsid w:val="0024782B"/>
    <w:rsid w:val="0024796D"/>
    <w:rsid w:val="00247A66"/>
    <w:rsid w:val="00247C23"/>
    <w:rsid w:val="00247C28"/>
    <w:rsid w:val="00247E29"/>
    <w:rsid w:val="002500E1"/>
    <w:rsid w:val="0025011E"/>
    <w:rsid w:val="00250354"/>
    <w:rsid w:val="002503B8"/>
    <w:rsid w:val="0025047A"/>
    <w:rsid w:val="002504BB"/>
    <w:rsid w:val="002506FE"/>
    <w:rsid w:val="002507DA"/>
    <w:rsid w:val="00250916"/>
    <w:rsid w:val="00250C5D"/>
    <w:rsid w:val="00250CF9"/>
    <w:rsid w:val="00250D63"/>
    <w:rsid w:val="002511F4"/>
    <w:rsid w:val="0025156B"/>
    <w:rsid w:val="002516A8"/>
    <w:rsid w:val="00251918"/>
    <w:rsid w:val="00251A12"/>
    <w:rsid w:val="00251A76"/>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762"/>
    <w:rsid w:val="0025488A"/>
    <w:rsid w:val="002548EF"/>
    <w:rsid w:val="00254939"/>
    <w:rsid w:val="00254A58"/>
    <w:rsid w:val="00254AD9"/>
    <w:rsid w:val="00254CED"/>
    <w:rsid w:val="00254CF4"/>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A4"/>
    <w:rsid w:val="00262258"/>
    <w:rsid w:val="002622B5"/>
    <w:rsid w:val="00262382"/>
    <w:rsid w:val="00262456"/>
    <w:rsid w:val="0026249D"/>
    <w:rsid w:val="00262921"/>
    <w:rsid w:val="00262927"/>
    <w:rsid w:val="00262A8B"/>
    <w:rsid w:val="00262CC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4B"/>
    <w:rsid w:val="00274E55"/>
    <w:rsid w:val="00274EBF"/>
    <w:rsid w:val="00274EE4"/>
    <w:rsid w:val="002753A5"/>
    <w:rsid w:val="0027550F"/>
    <w:rsid w:val="00275557"/>
    <w:rsid w:val="00275818"/>
    <w:rsid w:val="00275901"/>
    <w:rsid w:val="00275991"/>
    <w:rsid w:val="00275D16"/>
    <w:rsid w:val="002760AC"/>
    <w:rsid w:val="00276143"/>
    <w:rsid w:val="002761CC"/>
    <w:rsid w:val="002768E1"/>
    <w:rsid w:val="0027696F"/>
    <w:rsid w:val="00276AA6"/>
    <w:rsid w:val="00276B73"/>
    <w:rsid w:val="00276E66"/>
    <w:rsid w:val="00277183"/>
    <w:rsid w:val="002772A2"/>
    <w:rsid w:val="00277304"/>
    <w:rsid w:val="002773CC"/>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7C1"/>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6EE7"/>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980"/>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A4C"/>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8F8"/>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459"/>
    <w:rsid w:val="002D38BD"/>
    <w:rsid w:val="002D3D0D"/>
    <w:rsid w:val="002D3E5F"/>
    <w:rsid w:val="002D419B"/>
    <w:rsid w:val="002D4247"/>
    <w:rsid w:val="002D4250"/>
    <w:rsid w:val="002D4326"/>
    <w:rsid w:val="002D461E"/>
    <w:rsid w:val="002D468D"/>
    <w:rsid w:val="002D46D0"/>
    <w:rsid w:val="002D47FC"/>
    <w:rsid w:val="002D4822"/>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2C8"/>
    <w:rsid w:val="002D73CB"/>
    <w:rsid w:val="002D73E6"/>
    <w:rsid w:val="002D74A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8E1"/>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121"/>
    <w:rsid w:val="002F02A1"/>
    <w:rsid w:val="002F02B8"/>
    <w:rsid w:val="002F02B9"/>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2E8"/>
    <w:rsid w:val="0030645B"/>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2FBA"/>
    <w:rsid w:val="003132CB"/>
    <w:rsid w:val="0031330A"/>
    <w:rsid w:val="00313311"/>
    <w:rsid w:val="0031348E"/>
    <w:rsid w:val="00313943"/>
    <w:rsid w:val="00313BD2"/>
    <w:rsid w:val="00313BD6"/>
    <w:rsid w:val="00313E26"/>
    <w:rsid w:val="00313ED4"/>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043"/>
    <w:rsid w:val="00324180"/>
    <w:rsid w:val="00324291"/>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E14"/>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B90"/>
    <w:rsid w:val="00345E41"/>
    <w:rsid w:val="00345F68"/>
    <w:rsid w:val="003461E6"/>
    <w:rsid w:val="0034628E"/>
    <w:rsid w:val="003463BE"/>
    <w:rsid w:val="00346422"/>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07A"/>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87"/>
    <w:rsid w:val="00363BC5"/>
    <w:rsid w:val="00363CAC"/>
    <w:rsid w:val="00363DCE"/>
    <w:rsid w:val="00364375"/>
    <w:rsid w:val="003646B1"/>
    <w:rsid w:val="00364ABD"/>
    <w:rsid w:val="00364B14"/>
    <w:rsid w:val="00364DC8"/>
    <w:rsid w:val="0036527F"/>
    <w:rsid w:val="00365294"/>
    <w:rsid w:val="00365B5E"/>
    <w:rsid w:val="00365F0A"/>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25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DB"/>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CBA"/>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3B8"/>
    <w:rsid w:val="003A246E"/>
    <w:rsid w:val="003A276E"/>
    <w:rsid w:val="003A2775"/>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D2"/>
    <w:rsid w:val="003A67F9"/>
    <w:rsid w:val="003A6B0A"/>
    <w:rsid w:val="003A6C5A"/>
    <w:rsid w:val="003A6FAB"/>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350"/>
    <w:rsid w:val="003B1407"/>
    <w:rsid w:val="003B14D1"/>
    <w:rsid w:val="003B1521"/>
    <w:rsid w:val="003B1883"/>
    <w:rsid w:val="003B1A9D"/>
    <w:rsid w:val="003B1C87"/>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3EC4"/>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132"/>
    <w:rsid w:val="003B740E"/>
    <w:rsid w:val="003B76FB"/>
    <w:rsid w:val="003B776A"/>
    <w:rsid w:val="003B7A99"/>
    <w:rsid w:val="003B7EC1"/>
    <w:rsid w:val="003B7FD4"/>
    <w:rsid w:val="003B7FD9"/>
    <w:rsid w:val="003C020C"/>
    <w:rsid w:val="003C07D7"/>
    <w:rsid w:val="003C0AFB"/>
    <w:rsid w:val="003C0FF5"/>
    <w:rsid w:val="003C1137"/>
    <w:rsid w:val="003C114F"/>
    <w:rsid w:val="003C1150"/>
    <w:rsid w:val="003C138C"/>
    <w:rsid w:val="003C15B6"/>
    <w:rsid w:val="003C1715"/>
    <w:rsid w:val="003C1B5C"/>
    <w:rsid w:val="003C25E6"/>
    <w:rsid w:val="003C26B6"/>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50AB"/>
    <w:rsid w:val="003C5177"/>
    <w:rsid w:val="003C526F"/>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EC4"/>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1E"/>
    <w:rsid w:val="003F1022"/>
    <w:rsid w:val="003F13E5"/>
    <w:rsid w:val="003F1590"/>
    <w:rsid w:val="003F17A4"/>
    <w:rsid w:val="003F1950"/>
    <w:rsid w:val="003F1CFD"/>
    <w:rsid w:val="003F1D4C"/>
    <w:rsid w:val="003F1E9E"/>
    <w:rsid w:val="003F231D"/>
    <w:rsid w:val="003F2328"/>
    <w:rsid w:val="003F238E"/>
    <w:rsid w:val="003F266F"/>
    <w:rsid w:val="003F28E9"/>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5055"/>
    <w:rsid w:val="003F525E"/>
    <w:rsid w:val="003F5285"/>
    <w:rsid w:val="003F534E"/>
    <w:rsid w:val="003F5407"/>
    <w:rsid w:val="003F59B8"/>
    <w:rsid w:val="003F5AB2"/>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379"/>
    <w:rsid w:val="00420425"/>
    <w:rsid w:val="004206B7"/>
    <w:rsid w:val="004206D9"/>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CB0"/>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F28"/>
    <w:rsid w:val="00433FDC"/>
    <w:rsid w:val="0043402C"/>
    <w:rsid w:val="00434159"/>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897"/>
    <w:rsid w:val="004368EB"/>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C15"/>
    <w:rsid w:val="00443D9D"/>
    <w:rsid w:val="00443DFD"/>
    <w:rsid w:val="00443E38"/>
    <w:rsid w:val="00443E67"/>
    <w:rsid w:val="00443F9A"/>
    <w:rsid w:val="00444216"/>
    <w:rsid w:val="0044424D"/>
    <w:rsid w:val="004446D0"/>
    <w:rsid w:val="00444779"/>
    <w:rsid w:val="004447EC"/>
    <w:rsid w:val="004448BA"/>
    <w:rsid w:val="004449C3"/>
    <w:rsid w:val="00444A41"/>
    <w:rsid w:val="00444B2C"/>
    <w:rsid w:val="00444F31"/>
    <w:rsid w:val="00444F35"/>
    <w:rsid w:val="00444FF3"/>
    <w:rsid w:val="00445072"/>
    <w:rsid w:val="0044550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F01"/>
    <w:rsid w:val="004521D5"/>
    <w:rsid w:val="004522BC"/>
    <w:rsid w:val="004523D3"/>
    <w:rsid w:val="004525AC"/>
    <w:rsid w:val="0045271C"/>
    <w:rsid w:val="004527A7"/>
    <w:rsid w:val="00452927"/>
    <w:rsid w:val="004529E6"/>
    <w:rsid w:val="00452C2F"/>
    <w:rsid w:val="00452C45"/>
    <w:rsid w:val="00452D01"/>
    <w:rsid w:val="004531E2"/>
    <w:rsid w:val="00453730"/>
    <w:rsid w:val="00453908"/>
    <w:rsid w:val="00453AEE"/>
    <w:rsid w:val="00453CCD"/>
    <w:rsid w:val="00453FA1"/>
    <w:rsid w:val="0045412B"/>
    <w:rsid w:val="004542B0"/>
    <w:rsid w:val="00454450"/>
    <w:rsid w:val="004546C7"/>
    <w:rsid w:val="00454CD4"/>
    <w:rsid w:val="00454D07"/>
    <w:rsid w:val="00454D4B"/>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508"/>
    <w:rsid w:val="004627CD"/>
    <w:rsid w:val="00462849"/>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738"/>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16"/>
    <w:rsid w:val="00485986"/>
    <w:rsid w:val="004859CB"/>
    <w:rsid w:val="00485B5C"/>
    <w:rsid w:val="004860CF"/>
    <w:rsid w:val="00486144"/>
    <w:rsid w:val="004863CB"/>
    <w:rsid w:val="00486A81"/>
    <w:rsid w:val="00486D84"/>
    <w:rsid w:val="00487655"/>
    <w:rsid w:val="00487751"/>
    <w:rsid w:val="00487843"/>
    <w:rsid w:val="004878BF"/>
    <w:rsid w:val="004878CF"/>
    <w:rsid w:val="00487A02"/>
    <w:rsid w:val="00487AD9"/>
    <w:rsid w:val="00487C08"/>
    <w:rsid w:val="00487C11"/>
    <w:rsid w:val="00487E50"/>
    <w:rsid w:val="004900A4"/>
    <w:rsid w:val="004904FE"/>
    <w:rsid w:val="0049096E"/>
    <w:rsid w:val="0049099C"/>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1FE"/>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F00"/>
    <w:rsid w:val="004B2F08"/>
    <w:rsid w:val="004B2F0D"/>
    <w:rsid w:val="004B2FA1"/>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6FE"/>
    <w:rsid w:val="004F0839"/>
    <w:rsid w:val="004F084B"/>
    <w:rsid w:val="004F08F1"/>
    <w:rsid w:val="004F08F4"/>
    <w:rsid w:val="004F0A0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4C35"/>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72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120"/>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CB3"/>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94"/>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F6"/>
    <w:rsid w:val="00530999"/>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6B45"/>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D38"/>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93D"/>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B1F"/>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92D"/>
    <w:rsid w:val="00574D0B"/>
    <w:rsid w:val="0057509E"/>
    <w:rsid w:val="005750AA"/>
    <w:rsid w:val="005750AC"/>
    <w:rsid w:val="005752D7"/>
    <w:rsid w:val="0057557E"/>
    <w:rsid w:val="00575611"/>
    <w:rsid w:val="005757C7"/>
    <w:rsid w:val="00575871"/>
    <w:rsid w:val="00575907"/>
    <w:rsid w:val="00575BB7"/>
    <w:rsid w:val="00575D28"/>
    <w:rsid w:val="00575F18"/>
    <w:rsid w:val="00576A5D"/>
    <w:rsid w:val="00576B2E"/>
    <w:rsid w:val="00576B92"/>
    <w:rsid w:val="00576CD3"/>
    <w:rsid w:val="00576CFE"/>
    <w:rsid w:val="00576E85"/>
    <w:rsid w:val="005772B4"/>
    <w:rsid w:val="0057750B"/>
    <w:rsid w:val="0057785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86C"/>
    <w:rsid w:val="00583975"/>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5C8"/>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6F9"/>
    <w:rsid w:val="005A397A"/>
    <w:rsid w:val="005A3B5C"/>
    <w:rsid w:val="005A3B9E"/>
    <w:rsid w:val="005A3CA0"/>
    <w:rsid w:val="005A447C"/>
    <w:rsid w:val="005A44C9"/>
    <w:rsid w:val="005A46EF"/>
    <w:rsid w:val="005A480D"/>
    <w:rsid w:val="005A4831"/>
    <w:rsid w:val="005A4A6C"/>
    <w:rsid w:val="005A501B"/>
    <w:rsid w:val="005A5067"/>
    <w:rsid w:val="005A51CB"/>
    <w:rsid w:val="005A52BF"/>
    <w:rsid w:val="005A5352"/>
    <w:rsid w:val="005A5447"/>
    <w:rsid w:val="005A564E"/>
    <w:rsid w:val="005A57C3"/>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52C"/>
    <w:rsid w:val="005B5958"/>
    <w:rsid w:val="005B596C"/>
    <w:rsid w:val="005B5C22"/>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A42"/>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83D"/>
    <w:rsid w:val="005C7E52"/>
    <w:rsid w:val="005D00F8"/>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183"/>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4A6"/>
    <w:rsid w:val="005F0A46"/>
    <w:rsid w:val="005F0CEF"/>
    <w:rsid w:val="005F0D2A"/>
    <w:rsid w:val="005F0D95"/>
    <w:rsid w:val="005F1152"/>
    <w:rsid w:val="005F11DE"/>
    <w:rsid w:val="005F153E"/>
    <w:rsid w:val="005F177F"/>
    <w:rsid w:val="005F18A7"/>
    <w:rsid w:val="005F1B3A"/>
    <w:rsid w:val="005F1DAD"/>
    <w:rsid w:val="005F1DD5"/>
    <w:rsid w:val="005F1E47"/>
    <w:rsid w:val="005F251D"/>
    <w:rsid w:val="005F2865"/>
    <w:rsid w:val="005F28F0"/>
    <w:rsid w:val="005F2B92"/>
    <w:rsid w:val="005F325D"/>
    <w:rsid w:val="005F33B6"/>
    <w:rsid w:val="005F34BC"/>
    <w:rsid w:val="005F356A"/>
    <w:rsid w:val="005F3723"/>
    <w:rsid w:val="005F3772"/>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4D"/>
    <w:rsid w:val="00601ED2"/>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1EEF"/>
    <w:rsid w:val="0061216F"/>
    <w:rsid w:val="0061219D"/>
    <w:rsid w:val="006125BA"/>
    <w:rsid w:val="0061262B"/>
    <w:rsid w:val="00612805"/>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DAF"/>
    <w:rsid w:val="00615F3D"/>
    <w:rsid w:val="0061647E"/>
    <w:rsid w:val="006164F4"/>
    <w:rsid w:val="0061654D"/>
    <w:rsid w:val="00616790"/>
    <w:rsid w:val="00616CE0"/>
    <w:rsid w:val="00616DF2"/>
    <w:rsid w:val="00617225"/>
    <w:rsid w:val="00617289"/>
    <w:rsid w:val="00617391"/>
    <w:rsid w:val="00617A94"/>
    <w:rsid w:val="00617B3D"/>
    <w:rsid w:val="00617BE0"/>
    <w:rsid w:val="00617E0D"/>
    <w:rsid w:val="006203C1"/>
    <w:rsid w:val="0062055F"/>
    <w:rsid w:val="0062066C"/>
    <w:rsid w:val="0062076B"/>
    <w:rsid w:val="006208D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869"/>
    <w:rsid w:val="0063498A"/>
    <w:rsid w:val="006349BE"/>
    <w:rsid w:val="00634A67"/>
    <w:rsid w:val="00634CDE"/>
    <w:rsid w:val="00634D04"/>
    <w:rsid w:val="00634E19"/>
    <w:rsid w:val="00635107"/>
    <w:rsid w:val="00635284"/>
    <w:rsid w:val="006353A5"/>
    <w:rsid w:val="00635C54"/>
    <w:rsid w:val="00635D7A"/>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7B5"/>
    <w:rsid w:val="00640A1F"/>
    <w:rsid w:val="00640B55"/>
    <w:rsid w:val="00640D19"/>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AFC"/>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5F5"/>
    <w:rsid w:val="00655758"/>
    <w:rsid w:val="006558B6"/>
    <w:rsid w:val="00655D4C"/>
    <w:rsid w:val="00655FE5"/>
    <w:rsid w:val="0065600F"/>
    <w:rsid w:val="006560D9"/>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594"/>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2"/>
    <w:rsid w:val="00665AB7"/>
    <w:rsid w:val="00665CC7"/>
    <w:rsid w:val="00665DFC"/>
    <w:rsid w:val="00665E9F"/>
    <w:rsid w:val="00665F37"/>
    <w:rsid w:val="006665B9"/>
    <w:rsid w:val="00666659"/>
    <w:rsid w:val="0066674E"/>
    <w:rsid w:val="006667BC"/>
    <w:rsid w:val="0066693F"/>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E3D"/>
    <w:rsid w:val="006F2F9B"/>
    <w:rsid w:val="006F355E"/>
    <w:rsid w:val="006F3609"/>
    <w:rsid w:val="006F3674"/>
    <w:rsid w:val="006F3A37"/>
    <w:rsid w:val="006F3AA4"/>
    <w:rsid w:val="006F3D3F"/>
    <w:rsid w:val="006F3E19"/>
    <w:rsid w:val="006F3EE3"/>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8A8"/>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4B4"/>
    <w:rsid w:val="007045A4"/>
    <w:rsid w:val="00704948"/>
    <w:rsid w:val="00704B92"/>
    <w:rsid w:val="00705520"/>
    <w:rsid w:val="007058EE"/>
    <w:rsid w:val="00705B08"/>
    <w:rsid w:val="00705B5A"/>
    <w:rsid w:val="00705BB6"/>
    <w:rsid w:val="00705E14"/>
    <w:rsid w:val="00705EA5"/>
    <w:rsid w:val="0070612C"/>
    <w:rsid w:val="007064E5"/>
    <w:rsid w:val="0070677F"/>
    <w:rsid w:val="00706C57"/>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116"/>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63A"/>
    <w:rsid w:val="007236E8"/>
    <w:rsid w:val="007238CE"/>
    <w:rsid w:val="00723A6A"/>
    <w:rsid w:val="00723B50"/>
    <w:rsid w:val="00723C82"/>
    <w:rsid w:val="00723CFD"/>
    <w:rsid w:val="00723D31"/>
    <w:rsid w:val="00723DF7"/>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72"/>
    <w:rsid w:val="00730B01"/>
    <w:rsid w:val="00730C4E"/>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BCE"/>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49"/>
    <w:rsid w:val="00743ADC"/>
    <w:rsid w:val="00743D31"/>
    <w:rsid w:val="00743E17"/>
    <w:rsid w:val="00743EFF"/>
    <w:rsid w:val="00743F98"/>
    <w:rsid w:val="00744316"/>
    <w:rsid w:val="0074451E"/>
    <w:rsid w:val="007445BE"/>
    <w:rsid w:val="007448D5"/>
    <w:rsid w:val="00744B1D"/>
    <w:rsid w:val="00744E93"/>
    <w:rsid w:val="00744F5A"/>
    <w:rsid w:val="00744F93"/>
    <w:rsid w:val="007451B3"/>
    <w:rsid w:val="00745332"/>
    <w:rsid w:val="007455D2"/>
    <w:rsid w:val="00745C69"/>
    <w:rsid w:val="00745CA6"/>
    <w:rsid w:val="00745D1F"/>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7D3"/>
    <w:rsid w:val="00750D65"/>
    <w:rsid w:val="00750E13"/>
    <w:rsid w:val="00751158"/>
    <w:rsid w:val="007513CF"/>
    <w:rsid w:val="007514D5"/>
    <w:rsid w:val="00751597"/>
    <w:rsid w:val="007515CF"/>
    <w:rsid w:val="0075192D"/>
    <w:rsid w:val="00751BD8"/>
    <w:rsid w:val="00751C1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6D5"/>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F22"/>
    <w:rsid w:val="00773FD0"/>
    <w:rsid w:val="0077413C"/>
    <w:rsid w:val="007744D0"/>
    <w:rsid w:val="00774703"/>
    <w:rsid w:val="0077475F"/>
    <w:rsid w:val="00774773"/>
    <w:rsid w:val="00774824"/>
    <w:rsid w:val="00774838"/>
    <w:rsid w:val="007748AA"/>
    <w:rsid w:val="0077494E"/>
    <w:rsid w:val="00775157"/>
    <w:rsid w:val="00775185"/>
    <w:rsid w:val="00775277"/>
    <w:rsid w:val="0077588C"/>
    <w:rsid w:val="00775968"/>
    <w:rsid w:val="00775F22"/>
    <w:rsid w:val="0077603B"/>
    <w:rsid w:val="007760FD"/>
    <w:rsid w:val="00776154"/>
    <w:rsid w:val="007761ED"/>
    <w:rsid w:val="00776205"/>
    <w:rsid w:val="007765E6"/>
    <w:rsid w:val="007765EA"/>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206"/>
    <w:rsid w:val="00787443"/>
    <w:rsid w:val="0078746A"/>
    <w:rsid w:val="00787512"/>
    <w:rsid w:val="00787914"/>
    <w:rsid w:val="00787925"/>
    <w:rsid w:val="00787B82"/>
    <w:rsid w:val="00787FB9"/>
    <w:rsid w:val="00787FEA"/>
    <w:rsid w:val="007901CD"/>
    <w:rsid w:val="007901EA"/>
    <w:rsid w:val="0079036A"/>
    <w:rsid w:val="0079048D"/>
    <w:rsid w:val="007904F7"/>
    <w:rsid w:val="007905BC"/>
    <w:rsid w:val="007906BC"/>
    <w:rsid w:val="007909D1"/>
    <w:rsid w:val="00790A29"/>
    <w:rsid w:val="00790A6E"/>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06C"/>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187"/>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89"/>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84B"/>
    <w:rsid w:val="007B58F1"/>
    <w:rsid w:val="007B5A0D"/>
    <w:rsid w:val="007B5A39"/>
    <w:rsid w:val="007B5B39"/>
    <w:rsid w:val="007B5B65"/>
    <w:rsid w:val="007B5F44"/>
    <w:rsid w:val="007B689C"/>
    <w:rsid w:val="007B6964"/>
    <w:rsid w:val="007B6A84"/>
    <w:rsid w:val="007B6C1F"/>
    <w:rsid w:val="007B6C70"/>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8BF"/>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521"/>
    <w:rsid w:val="007D3A8D"/>
    <w:rsid w:val="007D3CC6"/>
    <w:rsid w:val="007D3E6A"/>
    <w:rsid w:val="007D4038"/>
    <w:rsid w:val="007D412B"/>
    <w:rsid w:val="007D4289"/>
    <w:rsid w:val="007D4319"/>
    <w:rsid w:val="007D43EC"/>
    <w:rsid w:val="007D4457"/>
    <w:rsid w:val="007D45EF"/>
    <w:rsid w:val="007D471C"/>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9C6"/>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5A"/>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305"/>
    <w:rsid w:val="007F5592"/>
    <w:rsid w:val="007F55B4"/>
    <w:rsid w:val="007F569A"/>
    <w:rsid w:val="007F5B4F"/>
    <w:rsid w:val="007F5FAE"/>
    <w:rsid w:val="007F603A"/>
    <w:rsid w:val="007F61A7"/>
    <w:rsid w:val="007F63DE"/>
    <w:rsid w:val="007F64D0"/>
    <w:rsid w:val="007F64FF"/>
    <w:rsid w:val="007F6681"/>
    <w:rsid w:val="007F67E9"/>
    <w:rsid w:val="007F6C14"/>
    <w:rsid w:val="007F6C73"/>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38FC"/>
    <w:rsid w:val="00804285"/>
    <w:rsid w:val="00804294"/>
    <w:rsid w:val="008042C1"/>
    <w:rsid w:val="008044DA"/>
    <w:rsid w:val="0080453E"/>
    <w:rsid w:val="00804650"/>
    <w:rsid w:val="00804A23"/>
    <w:rsid w:val="00804D63"/>
    <w:rsid w:val="00804FB6"/>
    <w:rsid w:val="008052E8"/>
    <w:rsid w:val="0080535B"/>
    <w:rsid w:val="008053A5"/>
    <w:rsid w:val="00805472"/>
    <w:rsid w:val="008059E5"/>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8AE"/>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43"/>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6CA"/>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E97"/>
    <w:rsid w:val="0088556C"/>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8"/>
    <w:rsid w:val="008941CE"/>
    <w:rsid w:val="00894327"/>
    <w:rsid w:val="008943AD"/>
    <w:rsid w:val="008943E5"/>
    <w:rsid w:val="008945AF"/>
    <w:rsid w:val="00894639"/>
    <w:rsid w:val="00894712"/>
    <w:rsid w:val="00894802"/>
    <w:rsid w:val="0089482F"/>
    <w:rsid w:val="008949A8"/>
    <w:rsid w:val="00894A1A"/>
    <w:rsid w:val="00895254"/>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4FE"/>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C59"/>
    <w:rsid w:val="008A5EAC"/>
    <w:rsid w:val="008A60CA"/>
    <w:rsid w:val="008A64E0"/>
    <w:rsid w:val="008A662C"/>
    <w:rsid w:val="008A668A"/>
    <w:rsid w:val="008A674C"/>
    <w:rsid w:val="008A6913"/>
    <w:rsid w:val="008A6AE0"/>
    <w:rsid w:val="008A6BD3"/>
    <w:rsid w:val="008A6C26"/>
    <w:rsid w:val="008A6C75"/>
    <w:rsid w:val="008A7254"/>
    <w:rsid w:val="008A7471"/>
    <w:rsid w:val="008A74E1"/>
    <w:rsid w:val="008A7789"/>
    <w:rsid w:val="008A7CD9"/>
    <w:rsid w:val="008A7E89"/>
    <w:rsid w:val="008B0196"/>
    <w:rsid w:val="008B02E8"/>
    <w:rsid w:val="008B039E"/>
    <w:rsid w:val="008B0538"/>
    <w:rsid w:val="008B0848"/>
    <w:rsid w:val="008B08B0"/>
    <w:rsid w:val="008B09C2"/>
    <w:rsid w:val="008B0C23"/>
    <w:rsid w:val="008B0F5E"/>
    <w:rsid w:val="008B15E9"/>
    <w:rsid w:val="008B1609"/>
    <w:rsid w:val="008B16E6"/>
    <w:rsid w:val="008B1B33"/>
    <w:rsid w:val="008B1B71"/>
    <w:rsid w:val="008B1BF1"/>
    <w:rsid w:val="008B1CBF"/>
    <w:rsid w:val="008B2039"/>
    <w:rsid w:val="008B2114"/>
    <w:rsid w:val="008B24FD"/>
    <w:rsid w:val="008B2883"/>
    <w:rsid w:val="008B2A6F"/>
    <w:rsid w:val="008B2D80"/>
    <w:rsid w:val="008B2FBC"/>
    <w:rsid w:val="008B2FE3"/>
    <w:rsid w:val="008B3182"/>
    <w:rsid w:val="008B3222"/>
    <w:rsid w:val="008B35CA"/>
    <w:rsid w:val="008B3775"/>
    <w:rsid w:val="008B37A2"/>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71AA"/>
    <w:rsid w:val="008B7647"/>
    <w:rsid w:val="008B76EF"/>
    <w:rsid w:val="008B7DFC"/>
    <w:rsid w:val="008B7EEB"/>
    <w:rsid w:val="008B7F15"/>
    <w:rsid w:val="008C00AA"/>
    <w:rsid w:val="008C0165"/>
    <w:rsid w:val="008C0959"/>
    <w:rsid w:val="008C0A31"/>
    <w:rsid w:val="008C0CB0"/>
    <w:rsid w:val="008C0F60"/>
    <w:rsid w:val="008C0FA5"/>
    <w:rsid w:val="008C1387"/>
    <w:rsid w:val="008C13D1"/>
    <w:rsid w:val="008C149E"/>
    <w:rsid w:val="008C15FD"/>
    <w:rsid w:val="008C1805"/>
    <w:rsid w:val="008C1CB2"/>
    <w:rsid w:val="008C1E9E"/>
    <w:rsid w:val="008C207C"/>
    <w:rsid w:val="008C20D3"/>
    <w:rsid w:val="008C2285"/>
    <w:rsid w:val="008C22FD"/>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DF"/>
    <w:rsid w:val="008E496C"/>
    <w:rsid w:val="008E4B6E"/>
    <w:rsid w:val="008E4C31"/>
    <w:rsid w:val="008E5037"/>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4CC"/>
    <w:rsid w:val="008F36E0"/>
    <w:rsid w:val="008F37F9"/>
    <w:rsid w:val="008F3A42"/>
    <w:rsid w:val="008F3AAB"/>
    <w:rsid w:val="008F3BFB"/>
    <w:rsid w:val="008F3C1B"/>
    <w:rsid w:val="008F4011"/>
    <w:rsid w:val="008F4267"/>
    <w:rsid w:val="008F4275"/>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7FE"/>
    <w:rsid w:val="008F6899"/>
    <w:rsid w:val="008F6BF1"/>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15"/>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165"/>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9B"/>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77C"/>
    <w:rsid w:val="0092197F"/>
    <w:rsid w:val="009219C7"/>
    <w:rsid w:val="00921C35"/>
    <w:rsid w:val="00922085"/>
    <w:rsid w:val="0092249A"/>
    <w:rsid w:val="00922684"/>
    <w:rsid w:val="009226CE"/>
    <w:rsid w:val="00922739"/>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493"/>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6C"/>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4F14"/>
    <w:rsid w:val="00934F88"/>
    <w:rsid w:val="00935296"/>
    <w:rsid w:val="009353C9"/>
    <w:rsid w:val="009353CC"/>
    <w:rsid w:val="0093541A"/>
    <w:rsid w:val="009355E4"/>
    <w:rsid w:val="00935972"/>
    <w:rsid w:val="00935A37"/>
    <w:rsid w:val="00935C3C"/>
    <w:rsid w:val="0093609A"/>
    <w:rsid w:val="009362AE"/>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89A"/>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B0E"/>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E11"/>
    <w:rsid w:val="00963F76"/>
    <w:rsid w:val="009640E9"/>
    <w:rsid w:val="009642E5"/>
    <w:rsid w:val="009644A0"/>
    <w:rsid w:val="00964676"/>
    <w:rsid w:val="009647A8"/>
    <w:rsid w:val="00964CF3"/>
    <w:rsid w:val="009657C7"/>
    <w:rsid w:val="0096598A"/>
    <w:rsid w:val="00965AD7"/>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AF0"/>
    <w:rsid w:val="00967C19"/>
    <w:rsid w:val="00967DB3"/>
    <w:rsid w:val="00967FB2"/>
    <w:rsid w:val="00970189"/>
    <w:rsid w:val="0097024B"/>
    <w:rsid w:val="00970262"/>
    <w:rsid w:val="00970377"/>
    <w:rsid w:val="009703A5"/>
    <w:rsid w:val="00970834"/>
    <w:rsid w:val="009709AF"/>
    <w:rsid w:val="00970A33"/>
    <w:rsid w:val="00970AB0"/>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828"/>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13"/>
    <w:rsid w:val="00981C4B"/>
    <w:rsid w:val="00981E2A"/>
    <w:rsid w:val="00981EA2"/>
    <w:rsid w:val="00982317"/>
    <w:rsid w:val="009823FB"/>
    <w:rsid w:val="0098240C"/>
    <w:rsid w:val="00982605"/>
    <w:rsid w:val="0098263F"/>
    <w:rsid w:val="0098277F"/>
    <w:rsid w:val="009827E1"/>
    <w:rsid w:val="009829C5"/>
    <w:rsid w:val="00982CD4"/>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58B"/>
    <w:rsid w:val="00986649"/>
    <w:rsid w:val="0098674D"/>
    <w:rsid w:val="00986853"/>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7E2"/>
    <w:rsid w:val="00997B11"/>
    <w:rsid w:val="00997B63"/>
    <w:rsid w:val="00997CB0"/>
    <w:rsid w:val="00997FAF"/>
    <w:rsid w:val="009A02B6"/>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6D8"/>
    <w:rsid w:val="009A4899"/>
    <w:rsid w:val="009A499B"/>
    <w:rsid w:val="009A4B05"/>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55D"/>
    <w:rsid w:val="009B562B"/>
    <w:rsid w:val="009B5715"/>
    <w:rsid w:val="009B5943"/>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1E4"/>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300"/>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BE4"/>
    <w:rsid w:val="00A04C8D"/>
    <w:rsid w:val="00A04D82"/>
    <w:rsid w:val="00A04F91"/>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576"/>
    <w:rsid w:val="00A12812"/>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F0"/>
    <w:rsid w:val="00A3081D"/>
    <w:rsid w:val="00A30CA7"/>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924"/>
    <w:rsid w:val="00A33A41"/>
    <w:rsid w:val="00A33B3C"/>
    <w:rsid w:val="00A33BD8"/>
    <w:rsid w:val="00A33CD8"/>
    <w:rsid w:val="00A33F7E"/>
    <w:rsid w:val="00A3441B"/>
    <w:rsid w:val="00A34BAE"/>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5FD1"/>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35A"/>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3B"/>
    <w:rsid w:val="00A6764E"/>
    <w:rsid w:val="00A67839"/>
    <w:rsid w:val="00A67890"/>
    <w:rsid w:val="00A67A0D"/>
    <w:rsid w:val="00A70233"/>
    <w:rsid w:val="00A702CA"/>
    <w:rsid w:val="00A702D2"/>
    <w:rsid w:val="00A70425"/>
    <w:rsid w:val="00A704E8"/>
    <w:rsid w:val="00A70664"/>
    <w:rsid w:val="00A706CC"/>
    <w:rsid w:val="00A70763"/>
    <w:rsid w:val="00A707D5"/>
    <w:rsid w:val="00A70AB8"/>
    <w:rsid w:val="00A70B85"/>
    <w:rsid w:val="00A70E55"/>
    <w:rsid w:val="00A70F73"/>
    <w:rsid w:val="00A710C3"/>
    <w:rsid w:val="00A712F2"/>
    <w:rsid w:val="00A71510"/>
    <w:rsid w:val="00A715B0"/>
    <w:rsid w:val="00A71768"/>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518"/>
    <w:rsid w:val="00A7465D"/>
    <w:rsid w:val="00A74812"/>
    <w:rsid w:val="00A748F2"/>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4F"/>
    <w:rsid w:val="00A816B4"/>
    <w:rsid w:val="00A8177F"/>
    <w:rsid w:val="00A81976"/>
    <w:rsid w:val="00A81BC3"/>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5E79"/>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2F2"/>
    <w:rsid w:val="00A977A4"/>
    <w:rsid w:val="00A9798B"/>
    <w:rsid w:val="00A979D7"/>
    <w:rsid w:val="00A97D07"/>
    <w:rsid w:val="00A97D5B"/>
    <w:rsid w:val="00A97E42"/>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C3"/>
    <w:rsid w:val="00AA0D17"/>
    <w:rsid w:val="00AA0D3E"/>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5D01"/>
    <w:rsid w:val="00AB604B"/>
    <w:rsid w:val="00AB6288"/>
    <w:rsid w:val="00AB631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0EAE"/>
    <w:rsid w:val="00AC1289"/>
    <w:rsid w:val="00AC1510"/>
    <w:rsid w:val="00AC156E"/>
    <w:rsid w:val="00AC16CE"/>
    <w:rsid w:val="00AC1838"/>
    <w:rsid w:val="00AC1876"/>
    <w:rsid w:val="00AC1B6D"/>
    <w:rsid w:val="00AC1C82"/>
    <w:rsid w:val="00AC1CA6"/>
    <w:rsid w:val="00AC1E58"/>
    <w:rsid w:val="00AC20A7"/>
    <w:rsid w:val="00AC2249"/>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60FC"/>
    <w:rsid w:val="00AC62EE"/>
    <w:rsid w:val="00AC6402"/>
    <w:rsid w:val="00AC64DB"/>
    <w:rsid w:val="00AC6561"/>
    <w:rsid w:val="00AC6E2A"/>
    <w:rsid w:val="00AC7165"/>
    <w:rsid w:val="00AC7249"/>
    <w:rsid w:val="00AC74B2"/>
    <w:rsid w:val="00AC7765"/>
    <w:rsid w:val="00AC7D41"/>
    <w:rsid w:val="00AC7F86"/>
    <w:rsid w:val="00AC8BB2"/>
    <w:rsid w:val="00AD02CC"/>
    <w:rsid w:val="00AD044E"/>
    <w:rsid w:val="00AD04D8"/>
    <w:rsid w:val="00AD05B8"/>
    <w:rsid w:val="00AD0624"/>
    <w:rsid w:val="00AD0659"/>
    <w:rsid w:val="00AD1046"/>
    <w:rsid w:val="00AD10D4"/>
    <w:rsid w:val="00AD1152"/>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AC"/>
    <w:rsid w:val="00AD66DC"/>
    <w:rsid w:val="00AD6BD4"/>
    <w:rsid w:val="00AD6D0B"/>
    <w:rsid w:val="00AD6ED0"/>
    <w:rsid w:val="00AD6FD1"/>
    <w:rsid w:val="00AD7356"/>
    <w:rsid w:val="00AD736B"/>
    <w:rsid w:val="00AD7448"/>
    <w:rsid w:val="00AD7476"/>
    <w:rsid w:val="00AD76C8"/>
    <w:rsid w:val="00AD7833"/>
    <w:rsid w:val="00AD78F3"/>
    <w:rsid w:val="00AD7FE9"/>
    <w:rsid w:val="00AE0162"/>
    <w:rsid w:val="00AE059A"/>
    <w:rsid w:val="00AE0721"/>
    <w:rsid w:val="00AE095D"/>
    <w:rsid w:val="00AE0B01"/>
    <w:rsid w:val="00AE0B9F"/>
    <w:rsid w:val="00AE12C2"/>
    <w:rsid w:val="00AE1AE6"/>
    <w:rsid w:val="00AE1BA9"/>
    <w:rsid w:val="00AE1C07"/>
    <w:rsid w:val="00AE2253"/>
    <w:rsid w:val="00AE27EE"/>
    <w:rsid w:val="00AE29D9"/>
    <w:rsid w:val="00AE29DA"/>
    <w:rsid w:val="00AE2B23"/>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2C9"/>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8B3"/>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554"/>
    <w:rsid w:val="00B057FF"/>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4D6"/>
    <w:rsid w:val="00B166AA"/>
    <w:rsid w:val="00B167F8"/>
    <w:rsid w:val="00B169F9"/>
    <w:rsid w:val="00B16D29"/>
    <w:rsid w:val="00B1757C"/>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0B8"/>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67D"/>
    <w:rsid w:val="00B3086C"/>
    <w:rsid w:val="00B30935"/>
    <w:rsid w:val="00B30ADE"/>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077"/>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F3A"/>
    <w:rsid w:val="00B402DD"/>
    <w:rsid w:val="00B40335"/>
    <w:rsid w:val="00B40514"/>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D5E"/>
    <w:rsid w:val="00B50ED3"/>
    <w:rsid w:val="00B5111D"/>
    <w:rsid w:val="00B51149"/>
    <w:rsid w:val="00B512E1"/>
    <w:rsid w:val="00B518F9"/>
    <w:rsid w:val="00B519B0"/>
    <w:rsid w:val="00B51B06"/>
    <w:rsid w:val="00B521B2"/>
    <w:rsid w:val="00B5230F"/>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1BC"/>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60A"/>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5C2"/>
    <w:rsid w:val="00B8492C"/>
    <w:rsid w:val="00B84974"/>
    <w:rsid w:val="00B849B6"/>
    <w:rsid w:val="00B85121"/>
    <w:rsid w:val="00B85143"/>
    <w:rsid w:val="00B8554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9073C"/>
    <w:rsid w:val="00B90832"/>
    <w:rsid w:val="00B9098E"/>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68"/>
    <w:rsid w:val="00B92960"/>
    <w:rsid w:val="00B92D19"/>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B55"/>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B0D"/>
    <w:rsid w:val="00BB6BEE"/>
    <w:rsid w:val="00BB76C1"/>
    <w:rsid w:val="00BB79A2"/>
    <w:rsid w:val="00BB7D2E"/>
    <w:rsid w:val="00BB7F85"/>
    <w:rsid w:val="00BC0201"/>
    <w:rsid w:val="00BC04C8"/>
    <w:rsid w:val="00BC081F"/>
    <w:rsid w:val="00BC0BD0"/>
    <w:rsid w:val="00BC0C6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0A3"/>
    <w:rsid w:val="00BD41E0"/>
    <w:rsid w:val="00BD41F0"/>
    <w:rsid w:val="00BD4683"/>
    <w:rsid w:val="00BD49FA"/>
    <w:rsid w:val="00BD4A16"/>
    <w:rsid w:val="00BD4BC8"/>
    <w:rsid w:val="00BD4C18"/>
    <w:rsid w:val="00BD4C6A"/>
    <w:rsid w:val="00BD4E7C"/>
    <w:rsid w:val="00BD5071"/>
    <w:rsid w:val="00BD5249"/>
    <w:rsid w:val="00BD57E8"/>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27E"/>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AF4"/>
    <w:rsid w:val="00BF3CE8"/>
    <w:rsid w:val="00BF3E01"/>
    <w:rsid w:val="00BF42AA"/>
    <w:rsid w:val="00BF4529"/>
    <w:rsid w:val="00BF45EE"/>
    <w:rsid w:val="00BF46A8"/>
    <w:rsid w:val="00BF48A8"/>
    <w:rsid w:val="00BF4BC1"/>
    <w:rsid w:val="00BF4C4E"/>
    <w:rsid w:val="00BF5166"/>
    <w:rsid w:val="00BF55AA"/>
    <w:rsid w:val="00BF5A18"/>
    <w:rsid w:val="00BF5C2E"/>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CCB"/>
    <w:rsid w:val="00C04EE8"/>
    <w:rsid w:val="00C0513D"/>
    <w:rsid w:val="00C05147"/>
    <w:rsid w:val="00C0525F"/>
    <w:rsid w:val="00C054A3"/>
    <w:rsid w:val="00C05511"/>
    <w:rsid w:val="00C056CE"/>
    <w:rsid w:val="00C057C1"/>
    <w:rsid w:val="00C057E9"/>
    <w:rsid w:val="00C05A71"/>
    <w:rsid w:val="00C0604A"/>
    <w:rsid w:val="00C060B0"/>
    <w:rsid w:val="00C0622F"/>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36C9"/>
    <w:rsid w:val="00C14041"/>
    <w:rsid w:val="00C14134"/>
    <w:rsid w:val="00C141B9"/>
    <w:rsid w:val="00C14321"/>
    <w:rsid w:val="00C1439E"/>
    <w:rsid w:val="00C1464A"/>
    <w:rsid w:val="00C1466E"/>
    <w:rsid w:val="00C146E5"/>
    <w:rsid w:val="00C148F3"/>
    <w:rsid w:val="00C14AA8"/>
    <w:rsid w:val="00C14DC9"/>
    <w:rsid w:val="00C14DCF"/>
    <w:rsid w:val="00C14FF7"/>
    <w:rsid w:val="00C15173"/>
    <w:rsid w:val="00C154F0"/>
    <w:rsid w:val="00C155E9"/>
    <w:rsid w:val="00C1587F"/>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4D"/>
    <w:rsid w:val="00C37B74"/>
    <w:rsid w:val="00C37DC0"/>
    <w:rsid w:val="00C37F14"/>
    <w:rsid w:val="00C401C1"/>
    <w:rsid w:val="00C4023B"/>
    <w:rsid w:val="00C402A0"/>
    <w:rsid w:val="00C402F9"/>
    <w:rsid w:val="00C403B2"/>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77E"/>
    <w:rsid w:val="00C47A1A"/>
    <w:rsid w:val="00C47D4F"/>
    <w:rsid w:val="00C47ED2"/>
    <w:rsid w:val="00C47F7F"/>
    <w:rsid w:val="00C47F9F"/>
    <w:rsid w:val="00C4B7CF"/>
    <w:rsid w:val="00C50149"/>
    <w:rsid w:val="00C504F4"/>
    <w:rsid w:val="00C5056C"/>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BAF"/>
    <w:rsid w:val="00C54ED1"/>
    <w:rsid w:val="00C54FCF"/>
    <w:rsid w:val="00C554C8"/>
    <w:rsid w:val="00C55951"/>
    <w:rsid w:val="00C55B58"/>
    <w:rsid w:val="00C55EAE"/>
    <w:rsid w:val="00C55F4D"/>
    <w:rsid w:val="00C55FF0"/>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308F"/>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C6"/>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17F"/>
    <w:rsid w:val="00CA45E4"/>
    <w:rsid w:val="00CA4660"/>
    <w:rsid w:val="00CA489D"/>
    <w:rsid w:val="00CA4A25"/>
    <w:rsid w:val="00CA4A30"/>
    <w:rsid w:val="00CA4AB6"/>
    <w:rsid w:val="00CA4BA2"/>
    <w:rsid w:val="00CA4D55"/>
    <w:rsid w:val="00CA516A"/>
    <w:rsid w:val="00CA5260"/>
    <w:rsid w:val="00CA5402"/>
    <w:rsid w:val="00CA5B70"/>
    <w:rsid w:val="00CA5C09"/>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543"/>
    <w:rsid w:val="00CB56A7"/>
    <w:rsid w:val="00CB594B"/>
    <w:rsid w:val="00CB5B62"/>
    <w:rsid w:val="00CB5F40"/>
    <w:rsid w:val="00CB5F56"/>
    <w:rsid w:val="00CB6447"/>
    <w:rsid w:val="00CB6711"/>
    <w:rsid w:val="00CB685D"/>
    <w:rsid w:val="00CB6CE1"/>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827"/>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5E"/>
    <w:rsid w:val="00CC7F8B"/>
    <w:rsid w:val="00CD01EA"/>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9F7"/>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993"/>
    <w:rsid w:val="00CE1A2D"/>
    <w:rsid w:val="00CE1A70"/>
    <w:rsid w:val="00CE1B11"/>
    <w:rsid w:val="00CE1BF0"/>
    <w:rsid w:val="00CE1CEE"/>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6EE"/>
    <w:rsid w:val="00CF287F"/>
    <w:rsid w:val="00CF2AFB"/>
    <w:rsid w:val="00CF2D32"/>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840"/>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D3"/>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925"/>
    <w:rsid w:val="00D41A3F"/>
    <w:rsid w:val="00D42076"/>
    <w:rsid w:val="00D42233"/>
    <w:rsid w:val="00D422EA"/>
    <w:rsid w:val="00D42317"/>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5ED7"/>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125"/>
    <w:rsid w:val="00D60494"/>
    <w:rsid w:val="00D605D2"/>
    <w:rsid w:val="00D606F9"/>
    <w:rsid w:val="00D60864"/>
    <w:rsid w:val="00D6099B"/>
    <w:rsid w:val="00D60BE1"/>
    <w:rsid w:val="00D60CCB"/>
    <w:rsid w:val="00D60D01"/>
    <w:rsid w:val="00D61947"/>
    <w:rsid w:val="00D61A37"/>
    <w:rsid w:val="00D61DEB"/>
    <w:rsid w:val="00D61FB7"/>
    <w:rsid w:val="00D62242"/>
    <w:rsid w:val="00D62349"/>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1DF5"/>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767"/>
    <w:rsid w:val="00D87902"/>
    <w:rsid w:val="00D87A21"/>
    <w:rsid w:val="00D87A56"/>
    <w:rsid w:val="00D87AB7"/>
    <w:rsid w:val="00D87E8F"/>
    <w:rsid w:val="00D8E9F1"/>
    <w:rsid w:val="00D9014E"/>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6BD"/>
    <w:rsid w:val="00D92837"/>
    <w:rsid w:val="00D92AE2"/>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BDB"/>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A6B"/>
    <w:rsid w:val="00DB7AD2"/>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EB"/>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E7F59"/>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5A2"/>
    <w:rsid w:val="00E01774"/>
    <w:rsid w:val="00E01857"/>
    <w:rsid w:val="00E01929"/>
    <w:rsid w:val="00E01B36"/>
    <w:rsid w:val="00E01BC7"/>
    <w:rsid w:val="00E01C85"/>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85F"/>
    <w:rsid w:val="00E13AE6"/>
    <w:rsid w:val="00E13C04"/>
    <w:rsid w:val="00E13E23"/>
    <w:rsid w:val="00E13E37"/>
    <w:rsid w:val="00E140F6"/>
    <w:rsid w:val="00E141B9"/>
    <w:rsid w:val="00E14590"/>
    <w:rsid w:val="00E14E8F"/>
    <w:rsid w:val="00E15085"/>
    <w:rsid w:val="00E150C0"/>
    <w:rsid w:val="00E151DE"/>
    <w:rsid w:val="00E159FD"/>
    <w:rsid w:val="00E15B00"/>
    <w:rsid w:val="00E15D0D"/>
    <w:rsid w:val="00E15F50"/>
    <w:rsid w:val="00E16043"/>
    <w:rsid w:val="00E160A1"/>
    <w:rsid w:val="00E164BA"/>
    <w:rsid w:val="00E166B1"/>
    <w:rsid w:val="00E16B3B"/>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6343"/>
    <w:rsid w:val="00E363BD"/>
    <w:rsid w:val="00E36754"/>
    <w:rsid w:val="00E367F2"/>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6C7"/>
    <w:rsid w:val="00E547B9"/>
    <w:rsid w:val="00E548B8"/>
    <w:rsid w:val="00E548FE"/>
    <w:rsid w:val="00E54AC8"/>
    <w:rsid w:val="00E54B32"/>
    <w:rsid w:val="00E54ED2"/>
    <w:rsid w:val="00E54F26"/>
    <w:rsid w:val="00E55A53"/>
    <w:rsid w:val="00E55A59"/>
    <w:rsid w:val="00E55FC9"/>
    <w:rsid w:val="00E55FF5"/>
    <w:rsid w:val="00E562FA"/>
    <w:rsid w:val="00E564FF"/>
    <w:rsid w:val="00E567C8"/>
    <w:rsid w:val="00E568DE"/>
    <w:rsid w:val="00E569E9"/>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102A"/>
    <w:rsid w:val="00E61511"/>
    <w:rsid w:val="00E61A1B"/>
    <w:rsid w:val="00E61BA9"/>
    <w:rsid w:val="00E61BB9"/>
    <w:rsid w:val="00E61BDA"/>
    <w:rsid w:val="00E61C82"/>
    <w:rsid w:val="00E61DA7"/>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193"/>
    <w:rsid w:val="00E7028D"/>
    <w:rsid w:val="00E7032F"/>
    <w:rsid w:val="00E7069C"/>
    <w:rsid w:val="00E707FD"/>
    <w:rsid w:val="00E70856"/>
    <w:rsid w:val="00E70E6D"/>
    <w:rsid w:val="00E70F54"/>
    <w:rsid w:val="00E714D0"/>
    <w:rsid w:val="00E716FA"/>
    <w:rsid w:val="00E71808"/>
    <w:rsid w:val="00E71CDF"/>
    <w:rsid w:val="00E71F08"/>
    <w:rsid w:val="00E71F2D"/>
    <w:rsid w:val="00E72006"/>
    <w:rsid w:val="00E72109"/>
    <w:rsid w:val="00E7231F"/>
    <w:rsid w:val="00E723C8"/>
    <w:rsid w:val="00E723E4"/>
    <w:rsid w:val="00E7243F"/>
    <w:rsid w:val="00E72DF0"/>
    <w:rsid w:val="00E72EC5"/>
    <w:rsid w:val="00E7361F"/>
    <w:rsid w:val="00E7367A"/>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17D"/>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B18"/>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0D8"/>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927"/>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D7"/>
    <w:rsid w:val="00EA23E7"/>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35E"/>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5FB"/>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181"/>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3FC6"/>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FA7"/>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834"/>
    <w:rsid w:val="00F36B6E"/>
    <w:rsid w:val="00F36CFF"/>
    <w:rsid w:val="00F36F4D"/>
    <w:rsid w:val="00F37107"/>
    <w:rsid w:val="00F373E0"/>
    <w:rsid w:val="00F375E6"/>
    <w:rsid w:val="00F37681"/>
    <w:rsid w:val="00F37CE1"/>
    <w:rsid w:val="00F37D1B"/>
    <w:rsid w:val="00F37EE6"/>
    <w:rsid w:val="00F37EFD"/>
    <w:rsid w:val="00F40107"/>
    <w:rsid w:val="00F40134"/>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1"/>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CD5"/>
    <w:rsid w:val="00F57D7B"/>
    <w:rsid w:val="00F57E9C"/>
    <w:rsid w:val="00F603DE"/>
    <w:rsid w:val="00F60588"/>
    <w:rsid w:val="00F60E01"/>
    <w:rsid w:val="00F61144"/>
    <w:rsid w:val="00F611FF"/>
    <w:rsid w:val="00F6134D"/>
    <w:rsid w:val="00F614DC"/>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B42"/>
    <w:rsid w:val="00F83C3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66B"/>
    <w:rsid w:val="00F87861"/>
    <w:rsid w:val="00F8796E"/>
    <w:rsid w:val="00F87AD1"/>
    <w:rsid w:val="00F87B97"/>
    <w:rsid w:val="00F87F56"/>
    <w:rsid w:val="00F90133"/>
    <w:rsid w:val="00F901E7"/>
    <w:rsid w:val="00F9024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545"/>
    <w:rsid w:val="00F96675"/>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BB0"/>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C92"/>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804"/>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4D6"/>
    <w:rsid w:val="00FD4583"/>
    <w:rsid w:val="00FD4C4A"/>
    <w:rsid w:val="00FD4E16"/>
    <w:rsid w:val="00FD5094"/>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8A6"/>
    <w:rsid w:val="00FE493D"/>
    <w:rsid w:val="00FE4B2B"/>
    <w:rsid w:val="00FE5094"/>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D2EFC54-D3A3-4E8C-AEE7-6A9743DB0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val="fr-FR" w:eastAsia="en-GB"/>
    </w:rPr>
  </w:style>
  <w:style w:type="paragraph" w:customStyle="1" w:styleId="ListNumber1Level2">
    <w:name w:val="List Number 1 (Level 2)"/>
    <w:basedOn w:val="Text1"/>
    <w:rsid w:val="00007F85"/>
    <w:pPr>
      <w:numPr>
        <w:ilvl w:val="1"/>
        <w:numId w:val="6"/>
      </w:numPr>
    </w:pPr>
    <w:rPr>
      <w:rFonts w:eastAsia="Times New Roman"/>
      <w:lang w:val="fr-FR" w:eastAsia="en-GB"/>
    </w:rPr>
  </w:style>
  <w:style w:type="paragraph" w:customStyle="1" w:styleId="ListNumber1Level3">
    <w:name w:val="List Number 1 (Level 3)"/>
    <w:basedOn w:val="Text1"/>
    <w:rsid w:val="00007F85"/>
    <w:pPr>
      <w:numPr>
        <w:ilvl w:val="2"/>
        <w:numId w:val="6"/>
      </w:numPr>
    </w:pPr>
    <w:rPr>
      <w:rFonts w:eastAsia="Times New Roman"/>
      <w:lang w:val="fr-FR" w:eastAsia="en-GB"/>
    </w:rPr>
  </w:style>
  <w:style w:type="paragraph" w:customStyle="1" w:styleId="ListNumber1Level4">
    <w:name w:val="List Number 1 (Level 4)"/>
    <w:basedOn w:val="Text1"/>
    <w:rsid w:val="00007F85"/>
    <w:pPr>
      <w:numPr>
        <w:ilvl w:val="3"/>
        <w:numId w:val="6"/>
      </w:numPr>
    </w:pPr>
    <w:rPr>
      <w:rFonts w:eastAsia="Times New Roman"/>
      <w:lang w:val="fr-FR" w:eastAsia="en-GB"/>
    </w:rPr>
  </w:style>
  <w:style w:type="character" w:styleId="FollowedHyperlink">
    <w:name w:val="FollowedHyperlink"/>
    <w:basedOn w:val="DefaultParagraphFont"/>
    <w:uiPriority w:val="99"/>
    <w:semiHidden/>
    <w:unhideWhenUsed/>
    <w:rsid w:val="002D72C8"/>
    <w:rPr>
      <w:color w:val="800080" w:themeColor="followedHyperlink"/>
      <w:u w:val="single"/>
    </w:rPr>
  </w:style>
  <w:style w:type="character" w:customStyle="1" w:styleId="HeaderChar">
    <w:name w:val="Header Char"/>
    <w:basedOn w:val="DefaultParagraphFont"/>
    <w:link w:val="Header"/>
    <w:uiPriority w:val="99"/>
    <w:rsid w:val="00D45ED7"/>
    <w:rPr>
      <w:rFonts w:ascii="Times New Roman" w:hAnsi="Times New Roman" w:cs="Times New Roman"/>
      <w:sz w:val="24"/>
      <w:lang w:val="en-GB"/>
    </w:rPr>
  </w:style>
  <w:style w:type="character" w:customStyle="1" w:styleId="FooterChar">
    <w:name w:val="Footer Char"/>
    <w:basedOn w:val="DefaultParagraphFont"/>
    <w:link w:val="Footer"/>
    <w:uiPriority w:val="99"/>
    <w:rsid w:val="00D45ED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45ED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45ED7"/>
    <w:pPr>
      <w:spacing w:before="0"/>
      <w:jc w:val="right"/>
    </w:pPr>
    <w:rPr>
      <w:sz w:val="28"/>
    </w:rPr>
  </w:style>
  <w:style w:type="paragraph" w:customStyle="1" w:styleId="FooterSensitivity">
    <w:name w:val="Footer Sensitivity"/>
    <w:basedOn w:val="Normal"/>
    <w:rsid w:val="00D45ED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45ED7"/>
    <w:pPr>
      <w:tabs>
        <w:tab w:val="center" w:pos="4535"/>
        <w:tab w:val="right" w:pos="9071"/>
      </w:tabs>
      <w:spacing w:before="0"/>
    </w:pPr>
  </w:style>
  <w:style w:type="paragraph" w:customStyle="1" w:styleId="HeaderLandscape">
    <w:name w:val="HeaderLandscape"/>
    <w:basedOn w:val="Normal"/>
    <w:rsid w:val="00D45ED7"/>
    <w:pPr>
      <w:tabs>
        <w:tab w:val="center" w:pos="7285"/>
        <w:tab w:val="right" w:pos="14003"/>
      </w:tabs>
      <w:spacing w:before="0"/>
    </w:pPr>
  </w:style>
  <w:style w:type="paragraph" w:styleId="Footer">
    <w:name w:val="footer"/>
    <w:basedOn w:val="Normal"/>
    <w:link w:val="FooterChar"/>
    <w:uiPriority w:val="99"/>
    <w:unhideWhenUsed/>
    <w:rsid w:val="00D45ED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45ED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e24e5f9d28a913f4a00109341596f40f">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76716379868a497ae9674f157111505d"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90e2cb7-5117-486c-a80c-66d1b02d57f7}"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DC5D9D7D-66FB-437D-99BD-73E9F57ED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7F297B-541D-4086-9563-90816FB22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87</TotalTime>
  <Pages>6</Pages>
  <Words>2074</Words>
  <Characters>11828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13875</CharactersWithSpaces>
  <SharedDoc>false</SharedDoc>
  <HLinks>
    <vt:vector size="24" baseType="variant">
      <vt:variant>
        <vt:i4>7143534</vt:i4>
      </vt:variant>
      <vt:variant>
        <vt:i4>9</vt:i4>
      </vt:variant>
      <vt:variant>
        <vt:i4>0</vt:i4>
      </vt:variant>
      <vt:variant>
        <vt:i4>5</vt:i4>
      </vt:variant>
      <vt:variant>
        <vt:lpwstr>http://data.europa.eu/eli/reg/2021/1755/oj</vt:lpwstr>
      </vt:variant>
      <vt:variant>
        <vt:lpwstr/>
      </vt:variant>
      <vt:variant>
        <vt:i4>7733349</vt:i4>
      </vt:variant>
      <vt:variant>
        <vt:i4>6</vt:i4>
      </vt:variant>
      <vt:variant>
        <vt:i4>0</vt:i4>
      </vt:variant>
      <vt:variant>
        <vt:i4>5</vt:i4>
      </vt:variant>
      <vt:variant>
        <vt:lpwstr>https://eur-lex.europa.eu/eli/reg/2020/2092/oj/eng</vt:lpwstr>
      </vt:variant>
      <vt:variant>
        <vt:lpwstr/>
      </vt:variant>
      <vt:variant>
        <vt:i4>1966172</vt:i4>
      </vt:variant>
      <vt:variant>
        <vt:i4>3</vt:i4>
      </vt:variant>
      <vt:variant>
        <vt:i4>0</vt:i4>
      </vt:variant>
      <vt:variant>
        <vt:i4>5</vt:i4>
      </vt:variant>
      <vt:variant>
        <vt:lpwstr>https://eur-lex.europa.eu/eli/reg/2020/852/oj/eng</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58</cp:revision>
  <dcterms:created xsi:type="dcterms:W3CDTF">2026-07-24T04:43:00Z</dcterms:created>
  <dcterms:modified xsi:type="dcterms:W3CDTF">2026-07-29T06:03:00Z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