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BD1C8" w14:textId="2BCCD230" w:rsidR="00F74E13" w:rsidRDefault="00F75C64" w:rsidP="00F75C64">
      <w:pPr>
        <w:pStyle w:val="Pagedecouverture"/>
        <w:rPr>
          <w:noProof/>
        </w:rPr>
      </w:pPr>
      <w:bookmarkStart w:id="0" w:name="LW_BM_COVERPAGE"/>
      <w:r>
        <w:rPr>
          <w:noProof/>
        </w:rPr>
        <w:pict w14:anchorId="445F7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D939C2-6126-43C2-8F84-AF206622889D" style="width:455.25pt;height:372.75pt">
            <v:imagedata r:id="rId11" o:title=""/>
          </v:shape>
        </w:pict>
      </w:r>
    </w:p>
    <w:bookmarkEnd w:id="0"/>
    <w:p w14:paraId="66777DD4" w14:textId="77777777" w:rsidR="00F74E13" w:rsidRDefault="00F74E13">
      <w:pPr>
        <w:rPr>
          <w:noProof/>
        </w:rPr>
        <w:sectPr w:rsidR="00F74E13" w:rsidSect="00F75C6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CEBD1CC" w14:textId="77777777" w:rsidR="00F74E13" w:rsidRDefault="009274FC">
      <w:pPr>
        <w:pStyle w:val="Annex"/>
        <w:jc w:val="center"/>
        <w:rPr>
          <w:noProof/>
        </w:rPr>
      </w:pPr>
      <w:bookmarkStart w:id="1" w:name="_GoBack"/>
      <w:bookmarkEnd w:id="1"/>
      <w:r>
        <w:rPr>
          <w:noProof/>
        </w:rPr>
        <w:lastRenderedPageBreak/>
        <w:t>ANNEXE</w:t>
      </w:r>
    </w:p>
    <w:p w14:paraId="1CEBD1CD" w14:textId="77777777" w:rsidR="00F74E13" w:rsidRDefault="009274FC">
      <w:pPr>
        <w:pStyle w:val="P68B1DB1-Normal1"/>
        <w:keepNext/>
        <w:spacing w:before="360" w:after="120" w:line="240" w:lineRule="auto"/>
        <w:jc w:val="both"/>
        <w:rPr>
          <w:rFonts w:eastAsia="Times New Roman" w:cs="Times New Roman"/>
          <w:bCs/>
          <w:noProof/>
        </w:rPr>
      </w:pPr>
      <w:r>
        <w:rPr>
          <w:noProof/>
        </w:rPr>
        <w:t>SECTION 1 : RÉFORMES ET INVESTISSEMENTS DANS LE CADRE DU PLAN DE RÉCUPÉRATION ET DE RESILIENCE</w:t>
      </w:r>
    </w:p>
    <w:p w14:paraId="1CEBD1CE" w14:textId="5D4D4690" w:rsidR="00F74E13" w:rsidRDefault="009274FC">
      <w:pPr>
        <w:pStyle w:val="P68B1DB1-Normal2"/>
        <w:keepNext/>
        <w:spacing w:before="360" w:after="120" w:line="240" w:lineRule="auto"/>
        <w:jc w:val="both"/>
        <w:rPr>
          <w:bCs/>
          <w:noProof/>
        </w:rPr>
      </w:pPr>
      <w:r>
        <w:rPr>
          <w:noProof/>
        </w:rPr>
        <w:t>1. Description des réformes et des investissements</w:t>
      </w:r>
    </w:p>
    <w:p w14:paraId="1CEBD1CF" w14:textId="77777777" w:rsidR="00F74E13" w:rsidRDefault="009274FC">
      <w:pPr>
        <w:pStyle w:val="P68B1DB1-Normal5"/>
        <w:keepNext/>
        <w:spacing w:before="360" w:after="120" w:line="240" w:lineRule="auto"/>
        <w:jc w:val="both"/>
        <w:outlineLvl w:val="0"/>
        <w:rPr>
          <w:noProof/>
        </w:rPr>
      </w:pPr>
      <w:r>
        <w:rPr>
          <w:noProof/>
        </w:rPr>
        <w:t xml:space="preserve">A. Élément 1: Éducation et compétences </w:t>
      </w:r>
    </w:p>
    <w:p w14:paraId="1CEBD1D0" w14:textId="77777777" w:rsidR="00F74E13" w:rsidRDefault="009274FC">
      <w:pPr>
        <w:pStyle w:val="P68B1DB1-Normal6"/>
        <w:spacing w:before="120" w:after="0" w:line="240" w:lineRule="auto"/>
        <w:ind w:left="425"/>
        <w:jc w:val="both"/>
        <w:rPr>
          <w:noProof/>
        </w:rPr>
      </w:pPr>
      <w:r>
        <w:rPr>
          <w:noProof/>
        </w:rPr>
        <w:t xml:space="preserve">Ce volet du plan bulgare pour la reprise et la résilience vise à améliorer la qualité et l’efficacité des systèmes d’éducation et de formation. Il comprend deux réformes et quatre investissements, couvrant les domaines suivants: </w:t>
      </w:r>
    </w:p>
    <w:p w14:paraId="1CEBD1D1" w14:textId="77777777" w:rsidR="00F74E13" w:rsidRDefault="009274FC">
      <w:pPr>
        <w:pStyle w:val="P68B1DB1-ListParagraph7"/>
        <w:numPr>
          <w:ilvl w:val="0"/>
          <w:numId w:val="2"/>
        </w:numPr>
        <w:spacing w:before="120" w:after="120" w:line="240" w:lineRule="auto"/>
        <w:ind w:left="851"/>
        <w:jc w:val="both"/>
        <w:rPr>
          <w:noProof/>
        </w:rPr>
      </w:pPr>
      <w:r>
        <w:rPr>
          <w:noProof/>
        </w:rPr>
        <w:t xml:space="preserve">l'accès à l'éducation: la construction et la rénovation d’infrastructures éducatives et de centres pour la jeunesse sur l’ensemble du territoire, la mise en œuvre de formes d’apprentissage à distance et hybrides et l’inclusion progressive des enfants de quatre ans dans le système éducatif; </w:t>
      </w:r>
    </w:p>
    <w:p w14:paraId="1CEBD1D2" w14:textId="77777777" w:rsidR="00F74E13" w:rsidRDefault="009274FC">
      <w:pPr>
        <w:pStyle w:val="P68B1DB1-ListParagraph7"/>
        <w:numPr>
          <w:ilvl w:val="0"/>
          <w:numId w:val="2"/>
        </w:numPr>
        <w:spacing w:before="120" w:after="120" w:line="240" w:lineRule="auto"/>
        <w:ind w:left="851"/>
        <w:jc w:val="both"/>
        <w:rPr>
          <w:noProof/>
        </w:rPr>
      </w:pPr>
      <w:r>
        <w:rPr>
          <w:noProof/>
        </w:rPr>
        <w:t>le développement des compétences numériques et la promotion des domaines des sciences, des technologies, de l’ingénierie et des mathématiques (STIM) dans les écoles bulgares: mise à jour des programmes et construction de centres STEM, y compris de laboratoires scolaires;</w:t>
      </w:r>
    </w:p>
    <w:p w14:paraId="1CEBD1D3" w14:textId="77777777" w:rsidR="00F74E13" w:rsidRDefault="009274FC">
      <w:pPr>
        <w:pStyle w:val="P68B1DB1-ListParagraph7"/>
        <w:numPr>
          <w:ilvl w:val="0"/>
          <w:numId w:val="2"/>
        </w:numPr>
        <w:spacing w:before="120" w:after="0" w:line="240" w:lineRule="auto"/>
        <w:ind w:left="850" w:hanging="357"/>
        <w:jc w:val="both"/>
        <w:rPr>
          <w:noProof/>
        </w:rPr>
      </w:pPr>
      <w:r>
        <w:rPr>
          <w:noProof/>
        </w:rPr>
        <w:t xml:space="preserve">la pertinence des compétences et l’éducation et la formation des adultes: la réforme des cadres réglementaires de l'enseignement et de la formation supérieurs et professionnels. </w:t>
      </w:r>
    </w:p>
    <w:p w14:paraId="1CEBD1D4" w14:textId="77777777" w:rsidR="00F74E13" w:rsidRDefault="009274FC">
      <w:pPr>
        <w:pStyle w:val="P68B1DB1-Normal6"/>
        <w:spacing w:before="120" w:after="0" w:line="240" w:lineRule="auto"/>
        <w:ind w:left="425"/>
        <w:jc w:val="both"/>
        <w:rPr>
          <w:noProof/>
        </w:rPr>
      </w:pPr>
      <w:r>
        <w:rPr>
          <w:noProof/>
        </w:rPr>
        <w:t>Ce volet contribue à relever les défis recensés dans les recommandations par pays visant à améliorer l’employabilité en renforçant les compétences, y compris les compétences numériques, à améliorer l’égalité d’accès et à accroître la qualité, l’adéquation au marché du travail et l’inclusivité de l’éducation et de la formation (recommandation par pays no 4 de 2019 et no 2 de 2020).</w:t>
      </w:r>
    </w:p>
    <w:p w14:paraId="1CEBD1D5" w14:textId="77777777" w:rsidR="00F74E13" w:rsidRDefault="009274FC">
      <w:pPr>
        <w:pStyle w:val="P68B1DB1-Normal6"/>
        <w:spacing w:before="120" w:after="120" w:line="240" w:lineRule="auto"/>
        <w:ind w:left="426"/>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CEBD1D7" w14:textId="77777777" w:rsidR="00F74E13" w:rsidRDefault="009274FC">
      <w:pPr>
        <w:pStyle w:val="P68B1DB1-Normal8"/>
        <w:spacing w:before="120" w:after="120" w:line="360" w:lineRule="auto"/>
        <w:ind w:left="425"/>
        <w:jc w:val="both"/>
        <w:rPr>
          <w:bCs/>
          <w:i/>
          <w:iCs/>
          <w:noProof/>
          <w:color w:val="4F81BD"/>
        </w:rPr>
      </w:pPr>
      <w:r>
        <w:rPr>
          <w:noProof/>
        </w:rPr>
        <w:t>A.1. Description des réformes et des investissements pour le soutien financier non remboursable</w:t>
      </w:r>
    </w:p>
    <w:p w14:paraId="1CEBD1D8" w14:textId="77777777" w:rsidR="00F74E13" w:rsidRDefault="009274FC">
      <w:pPr>
        <w:pStyle w:val="P68B1DB1-Normal9"/>
        <w:spacing w:before="120" w:after="120" w:line="240" w:lineRule="auto"/>
        <w:ind w:left="426"/>
        <w:jc w:val="both"/>
        <w:rPr>
          <w:noProof/>
        </w:rPr>
      </w:pPr>
      <w:r>
        <w:rPr>
          <w:noProof/>
        </w:rPr>
        <w:t>Réforme 1 (C1.R1): Réforme de l'enseignement préscolaire et scolaire et de l'enseignement et de la formation professionnels</w:t>
      </w:r>
    </w:p>
    <w:p w14:paraId="1CEBD1D9" w14:textId="77777777" w:rsidR="00F74E13" w:rsidRDefault="009274FC">
      <w:pPr>
        <w:pStyle w:val="P68B1DB1-Normal6"/>
        <w:spacing w:before="120" w:after="0" w:line="240" w:lineRule="auto"/>
        <w:ind w:left="425"/>
        <w:jc w:val="both"/>
        <w:rPr>
          <w:noProof/>
        </w:rPr>
      </w:pPr>
      <w:r>
        <w:rPr>
          <w:noProof/>
        </w:rPr>
        <w:t xml:space="preserve">L'objectif de cette réforme est d'améliorer la qualité et l'accès à l'éducation et à la formation. </w:t>
      </w:r>
    </w:p>
    <w:p w14:paraId="1CEBD1DA" w14:textId="77777777" w:rsidR="00F74E13" w:rsidRDefault="009274FC">
      <w:pPr>
        <w:pStyle w:val="P68B1DB1-Normal6"/>
        <w:spacing w:before="120" w:after="120" w:line="240" w:lineRule="auto"/>
        <w:ind w:left="426"/>
        <w:jc w:val="both"/>
        <w:rPr>
          <w:noProof/>
        </w:rPr>
      </w:pPr>
      <w:r>
        <w:rPr>
          <w:noProof/>
        </w:rPr>
        <w:t xml:space="preserve">La réforme consiste en l'entrée en vigueur d'un ou de plusieurs actes juridiques concernant l'enseignement préscolaire et scolaire et l'enseignement et la formation professionnels. </w:t>
      </w:r>
    </w:p>
    <w:p w14:paraId="1CEBD1DC" w14:textId="77777777" w:rsidR="00F74E13" w:rsidRDefault="009274FC">
      <w:pPr>
        <w:pStyle w:val="P68B1DB1-Normal9"/>
        <w:spacing w:before="120" w:after="120" w:line="240" w:lineRule="auto"/>
        <w:ind w:left="426"/>
        <w:jc w:val="both"/>
        <w:rPr>
          <w:noProof/>
        </w:rPr>
      </w:pPr>
      <w:r>
        <w:rPr>
          <w:noProof/>
        </w:rPr>
        <w:t xml:space="preserve">Réforme 2 (C1.R2): Réforme de l'enseignement supérieur </w:t>
      </w:r>
    </w:p>
    <w:p w14:paraId="1CEBD1DD" w14:textId="77777777" w:rsidR="00F74E13" w:rsidRDefault="009274FC">
      <w:pPr>
        <w:pStyle w:val="P68B1DB1-Normal6"/>
        <w:spacing w:before="120" w:after="0" w:line="240" w:lineRule="auto"/>
        <w:ind w:left="425"/>
        <w:jc w:val="both"/>
        <w:rPr>
          <w:noProof/>
        </w:rPr>
      </w:pPr>
      <w:r>
        <w:rPr>
          <w:noProof/>
        </w:rPr>
        <w:t xml:space="preserve">L'objectif de la réforme est de renforcer l'efficacité de l'enseignement supérieur sur l'ensemble du territoire bulgare. </w:t>
      </w:r>
    </w:p>
    <w:p w14:paraId="1CEBD1DE" w14:textId="77777777" w:rsidR="00F74E13" w:rsidRDefault="009274FC">
      <w:pPr>
        <w:pStyle w:val="P68B1DB1-Normal6"/>
        <w:spacing w:before="120" w:after="120" w:line="240" w:lineRule="auto"/>
        <w:ind w:left="426"/>
        <w:jc w:val="both"/>
        <w:rPr>
          <w:noProof/>
        </w:rPr>
      </w:pPr>
      <w:r>
        <w:rPr>
          <w:noProof/>
        </w:rPr>
        <w:t xml:space="preserve">La réforme comprend: </w:t>
      </w:r>
    </w:p>
    <w:p w14:paraId="1CEBD1DF" w14:textId="77777777" w:rsidR="00F74E13" w:rsidRDefault="009274FC">
      <w:pPr>
        <w:pStyle w:val="P68B1DB1-ListParagraph7"/>
        <w:numPr>
          <w:ilvl w:val="0"/>
          <w:numId w:val="3"/>
        </w:numPr>
        <w:spacing w:before="120" w:after="120" w:line="240" w:lineRule="auto"/>
        <w:ind w:left="993"/>
        <w:jc w:val="both"/>
        <w:rPr>
          <w:noProof/>
        </w:rPr>
      </w:pPr>
      <w:r>
        <w:rPr>
          <w:noProof/>
        </w:rPr>
        <w:lastRenderedPageBreak/>
        <w:t>l'entrée en vigueur des modifications apportées à la loi sur l'enseignement supérieur. Les modifications comprennent l’introduction d’une exemption de frais pour les étudiants qui signent une convention de stage avec un employeur; de nouveaux programmes ciblant les secteurs qui devraient connaître des pénuries sur le marché du travail; ainsi qu’un système actualisé d’accréditation des établissements d’enseignement supérieur;</w:t>
      </w:r>
    </w:p>
    <w:p w14:paraId="1CEBD1E0" w14:textId="77777777" w:rsidR="00F74E13" w:rsidRDefault="009274FC">
      <w:pPr>
        <w:pStyle w:val="P68B1DB1-ListParagraph7"/>
        <w:numPr>
          <w:ilvl w:val="0"/>
          <w:numId w:val="3"/>
        </w:numPr>
        <w:spacing w:before="120" w:after="120" w:line="240" w:lineRule="auto"/>
        <w:ind w:left="993"/>
        <w:jc w:val="both"/>
        <w:rPr>
          <w:noProof/>
        </w:rPr>
      </w:pPr>
      <w:r>
        <w:rPr>
          <w:noProof/>
        </w:rPr>
        <w:t>l’adoption de la carte nationale de l’enseignement supérieur, qui fournit une analyse de l’offre d’enseignement supérieur et des ressources disponibles sur l’ensemble du territoire;</w:t>
      </w:r>
    </w:p>
    <w:p w14:paraId="1CEBD1E1" w14:textId="77777777" w:rsidR="00F74E13" w:rsidRDefault="009274FC">
      <w:pPr>
        <w:pStyle w:val="P68B1DB1-ListParagraph7"/>
        <w:numPr>
          <w:ilvl w:val="0"/>
          <w:numId w:val="3"/>
        </w:numPr>
        <w:spacing w:before="120" w:after="0" w:line="240" w:lineRule="auto"/>
        <w:ind w:left="998" w:hanging="573"/>
        <w:jc w:val="both"/>
        <w:rPr>
          <w:noProof/>
        </w:rPr>
      </w:pPr>
      <w:r>
        <w:rPr>
          <w:noProof/>
        </w:rPr>
        <w:t>l’adoption d’un plan d’action contenant les mesures répondant aux recommandations de la stratégie pour le développement de l’enseignement supérieur en République de Bulgarie 2021-2030. La stratégie fixe des objectifs clés et formule des recommandations visant à favoriser l'accès à un enseignement supérieur de qualité, à accroître l'adéquation de l'enseignement supérieur au marché du travail et à promouvoir la recherche, y compris par le développement de réseaux internationaux de recherche.</w:t>
      </w:r>
    </w:p>
    <w:p w14:paraId="1CEBD1E2" w14:textId="77777777" w:rsidR="00F74E13" w:rsidRDefault="009274FC">
      <w:pPr>
        <w:pStyle w:val="P68B1DB1-Normal6"/>
        <w:spacing w:before="120" w:after="120" w:line="360" w:lineRule="auto"/>
        <w:ind w:left="425"/>
        <w:jc w:val="both"/>
        <w:rPr>
          <w:noProof/>
        </w:rPr>
      </w:pPr>
      <w:r>
        <w:rPr>
          <w:noProof/>
        </w:rPr>
        <w:t>La mise en œuvre de la réforme est achevée au plus tard le 31 décembre 2022.</w:t>
      </w:r>
    </w:p>
    <w:p w14:paraId="1CEBD1E3" w14:textId="77777777" w:rsidR="00F74E13" w:rsidRDefault="009274FC">
      <w:pPr>
        <w:pStyle w:val="P68B1DB1-Normal9"/>
        <w:spacing w:before="120" w:after="0" w:line="240" w:lineRule="auto"/>
        <w:ind w:left="425"/>
        <w:jc w:val="both"/>
        <w:rPr>
          <w:noProof/>
        </w:rPr>
      </w:pPr>
      <w:r>
        <w:rPr>
          <w:noProof/>
        </w:rPr>
        <w:t>Investissement 1 (C1.I1): Les centres STEM et l'innovation dans l'éducation</w:t>
      </w:r>
    </w:p>
    <w:p w14:paraId="1CEBD1E4" w14:textId="77777777" w:rsidR="00F74E13" w:rsidRDefault="009274FC">
      <w:pPr>
        <w:pStyle w:val="P68B1DB1-Normal6"/>
        <w:spacing w:before="120" w:after="0" w:line="240" w:lineRule="auto"/>
        <w:ind w:left="425"/>
        <w:jc w:val="both"/>
        <w:rPr>
          <w:noProof/>
          <w:u w:val="single"/>
        </w:rPr>
      </w:pPr>
      <w:r>
        <w:rPr>
          <w:noProof/>
        </w:rPr>
        <w:t xml:space="preserve">L’objectif de cet investissement est de moderniser les outils pédagogiques et d’améliorer l’apprentissage dans les domaines des sciences, de la technologie, de l’ingénierie et des mathématiques (STIM) dans les écoles bulgares. </w:t>
      </w:r>
    </w:p>
    <w:p w14:paraId="1CEBD1E5" w14:textId="29FD1F5E" w:rsidR="00F74E13" w:rsidRDefault="009274FC">
      <w:pPr>
        <w:pStyle w:val="P68B1DB1-Normal10"/>
        <w:spacing w:before="120" w:after="240" w:line="240" w:lineRule="auto"/>
        <w:ind w:left="425"/>
        <w:jc w:val="both"/>
        <w:rPr>
          <w:noProof/>
          <w:u w:val="single"/>
        </w:rPr>
      </w:pPr>
      <w:r>
        <w:rPr>
          <w:noProof/>
        </w:rPr>
        <w:t xml:space="preserve">L’investissement consiste en la construction et/ou la rénovation du centre national STEM, des installations de formation pour les centres STEM régionaux et des laboratoires STEM dans les écoles. </w:t>
      </w:r>
    </w:p>
    <w:p w14:paraId="1CEBD1E7" w14:textId="77777777" w:rsidR="00F74E13" w:rsidRDefault="009274FC">
      <w:pPr>
        <w:pStyle w:val="P68B1DB1-Normal9"/>
        <w:spacing w:before="120" w:after="0" w:line="240" w:lineRule="auto"/>
        <w:ind w:left="425"/>
        <w:jc w:val="both"/>
        <w:rPr>
          <w:noProof/>
        </w:rPr>
      </w:pPr>
      <w:r>
        <w:rPr>
          <w:noProof/>
        </w:rPr>
        <w:t>Investissement 2 (C1.I2): Travaux d'infrastructure dans les établissements d'enseignement</w:t>
      </w:r>
    </w:p>
    <w:p w14:paraId="1CEBD1E8" w14:textId="77777777" w:rsidR="00F74E13" w:rsidRDefault="009274FC">
      <w:pPr>
        <w:pStyle w:val="P68B1DB1-Normal6"/>
        <w:spacing w:before="120" w:after="0" w:line="240" w:lineRule="auto"/>
        <w:ind w:left="425"/>
        <w:jc w:val="both"/>
        <w:rPr>
          <w:noProof/>
          <w:u w:val="single"/>
        </w:rPr>
      </w:pPr>
      <w:r>
        <w:rPr>
          <w:noProof/>
        </w:rPr>
        <w:t xml:space="preserve">L'objectif de cet investissement est la modernisation des infrastructures éducatives. </w:t>
      </w:r>
    </w:p>
    <w:p w14:paraId="1CEBD1E9" w14:textId="67E5B5D2" w:rsidR="00F74E13" w:rsidRDefault="009274FC">
      <w:pPr>
        <w:pStyle w:val="P68B1DB1-Normal6"/>
        <w:spacing w:before="120" w:after="240" w:line="240" w:lineRule="auto"/>
        <w:ind w:left="425"/>
        <w:jc w:val="both"/>
        <w:rPr>
          <w:noProof/>
          <w:u w:val="single"/>
        </w:rPr>
      </w:pPr>
      <w:r>
        <w:rPr>
          <w:noProof/>
        </w:rPr>
        <w:t>L'investissement consiste en la construction et/ou la rénovation de jardins d'enfants, d'écoles, d'écoles professionnelles, de dortoirs d'étudiants et de campus universitaires.</w:t>
      </w:r>
    </w:p>
    <w:p w14:paraId="1CEBD1EB" w14:textId="77777777" w:rsidR="00F74E13" w:rsidRDefault="009274FC">
      <w:pPr>
        <w:pStyle w:val="P68B1DB1-Normal9"/>
        <w:spacing w:before="120" w:after="0" w:line="240" w:lineRule="auto"/>
        <w:ind w:left="425"/>
        <w:jc w:val="both"/>
        <w:rPr>
          <w:noProof/>
        </w:rPr>
      </w:pPr>
      <w:r>
        <w:rPr>
          <w:noProof/>
        </w:rPr>
        <w:t>Investissement 3 (C1.I3): Compétences numériques</w:t>
      </w:r>
    </w:p>
    <w:p w14:paraId="1CEBD1EC" w14:textId="77777777" w:rsidR="00F74E13" w:rsidRDefault="009274FC">
      <w:pPr>
        <w:pStyle w:val="P68B1DB1-Normal6"/>
        <w:spacing w:before="120" w:after="0" w:line="240" w:lineRule="auto"/>
        <w:ind w:left="425"/>
        <w:jc w:val="both"/>
        <w:rPr>
          <w:noProof/>
        </w:rPr>
      </w:pPr>
      <w:r>
        <w:rPr>
          <w:noProof/>
        </w:rPr>
        <w:t xml:space="preserve">L’objectif de cet investissement est de renforcer et de requalifier la main-d’œuvre, en mettant l’accent sur les compétences numériques. </w:t>
      </w:r>
    </w:p>
    <w:p w14:paraId="1CEBD1ED" w14:textId="144CDC99" w:rsidR="00F74E13" w:rsidRDefault="009274FC">
      <w:pPr>
        <w:pStyle w:val="P68B1DB1-Normal6"/>
        <w:spacing w:before="120" w:after="240" w:line="240" w:lineRule="auto"/>
        <w:ind w:left="425"/>
        <w:jc w:val="both"/>
        <w:rPr>
          <w:noProof/>
        </w:rPr>
      </w:pPr>
      <w:r>
        <w:rPr>
          <w:noProof/>
        </w:rPr>
        <w:t xml:space="preserve">L’investissement consiste en la fourniture de formations aux compétences numériques, d’une plateforme d’apprentissage en ligne pour les adultes, ainsi que la construction et/ou la rénovation de clubs numériques et la livraison d’équipements aux clubs numériques. </w:t>
      </w:r>
    </w:p>
    <w:p w14:paraId="1CEBD1EF" w14:textId="77777777" w:rsidR="00F74E13" w:rsidRDefault="009274FC">
      <w:pPr>
        <w:pStyle w:val="P68B1DB1-Normal9"/>
        <w:spacing w:before="120" w:after="0" w:line="240" w:lineRule="auto"/>
        <w:ind w:left="425"/>
        <w:jc w:val="both"/>
        <w:rPr>
          <w:noProof/>
        </w:rPr>
      </w:pPr>
      <w:r>
        <w:rPr>
          <w:noProof/>
        </w:rPr>
        <w:t>Investissement 4 (C1.I4): Centres pour la jeunesse</w:t>
      </w:r>
    </w:p>
    <w:p w14:paraId="1CEBD1F0" w14:textId="77777777" w:rsidR="00F74E13" w:rsidRDefault="009274FC">
      <w:pPr>
        <w:pStyle w:val="P68B1DB1-Normal6"/>
        <w:spacing w:before="120" w:after="0" w:line="240" w:lineRule="auto"/>
        <w:ind w:left="425"/>
        <w:jc w:val="both"/>
        <w:rPr>
          <w:noProof/>
        </w:rPr>
      </w:pPr>
      <w:r>
        <w:rPr>
          <w:noProof/>
        </w:rPr>
        <w:t xml:space="preserve">L’objectif de l’investissement est de soutenir l’inclusion sociale et de fournir des formations professionnelles aux jeunes, y compris aux Roms et aux jeunes d’autres groupes vulnérables. </w:t>
      </w:r>
    </w:p>
    <w:p w14:paraId="1CEBD1F1" w14:textId="68075780" w:rsidR="00F74E13" w:rsidRDefault="009274FC">
      <w:pPr>
        <w:pStyle w:val="P68B1DB1-Normal6"/>
        <w:spacing w:before="120" w:after="120" w:line="240" w:lineRule="auto"/>
        <w:ind w:left="426"/>
        <w:jc w:val="both"/>
        <w:rPr>
          <w:noProof/>
        </w:rPr>
      </w:pPr>
      <w:r>
        <w:rPr>
          <w:noProof/>
        </w:rPr>
        <w:t xml:space="preserve">L'investissement consiste en la construction et/ou la rénovation de centres de jeunesse. </w:t>
      </w:r>
    </w:p>
    <w:p w14:paraId="1CEBD1F2" w14:textId="77777777" w:rsidR="00F74E13" w:rsidRDefault="00F74E13">
      <w:pPr>
        <w:spacing w:before="120" w:after="120" w:line="240" w:lineRule="auto"/>
        <w:ind w:left="850"/>
        <w:jc w:val="both"/>
        <w:rPr>
          <w:rFonts w:ascii="Times New Roman" w:hAnsi="Times New Roman"/>
          <w:b/>
          <w:noProof/>
          <w:u w:val="single"/>
        </w:rPr>
        <w:sectPr w:rsidR="00F74E13" w:rsidSect="005232A1">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1CEBD1F3" w14:textId="77777777" w:rsidR="00F74E13" w:rsidRDefault="009274FC">
      <w:pPr>
        <w:pStyle w:val="P68B1DB1-Normal8"/>
        <w:spacing w:before="120" w:after="120" w:line="240" w:lineRule="auto"/>
        <w:ind w:left="850"/>
        <w:jc w:val="both"/>
        <w:rPr>
          <w:noProof/>
        </w:rPr>
      </w:pPr>
      <w:r>
        <w:rPr>
          <w:noProof/>
        </w:rPr>
        <w:t xml:space="preserve">A.2. </w:t>
      </w:r>
      <w:r>
        <w:rPr>
          <w:noProof/>
        </w:rPr>
        <w:tab/>
        <w:t>Étapes, cibles, indicateurs et calendrier pour le suivi et la mise en œuvre du soutien financier non remboursable</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88"/>
        <w:gridCol w:w="1423"/>
        <w:gridCol w:w="1128"/>
        <w:gridCol w:w="2154"/>
        <w:gridCol w:w="1387"/>
        <w:gridCol w:w="848"/>
        <w:gridCol w:w="877"/>
        <w:gridCol w:w="835"/>
        <w:gridCol w:w="987"/>
        <w:gridCol w:w="850"/>
        <w:gridCol w:w="3686"/>
      </w:tblGrid>
      <w:tr w:rsidR="00F74E13" w14:paraId="1CEBD1FC" w14:textId="77777777" w:rsidTr="00C24F7E">
        <w:trPr>
          <w:trHeight w:val="30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4" w14:textId="77777777" w:rsidR="00F74E13" w:rsidRDefault="009274FC">
            <w:pPr>
              <w:spacing w:after="0"/>
              <w:jc w:val="center"/>
              <w:rPr>
                <w:rFonts w:ascii="Times New Roman" w:eastAsia="Calibri" w:hAnsi="Times New Roman" w:cs="Times New Roman"/>
                <w:b/>
                <w:bCs/>
                <w:noProof/>
                <w:color w:val="000000"/>
                <w:sz w:val="20"/>
                <w:szCs w:val="20"/>
              </w:rPr>
            </w:pPr>
            <w:r>
              <w:rPr>
                <w:noProof/>
              </w:rPr>
              <w:br w:type="page"/>
            </w:r>
            <w:r>
              <w:rPr>
                <w:rFonts w:ascii="Times New Roman" w:hAnsi="Times New Roman"/>
                <w:b/>
                <w:noProof/>
                <w:sz w:val="20"/>
              </w:rPr>
              <w:t>Numéro de série</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5" w14:textId="77777777" w:rsidR="00F74E13" w:rsidRDefault="009274FC">
            <w:pPr>
              <w:pStyle w:val="P68B1DB1-Normal11"/>
              <w:spacing w:after="0"/>
              <w:jc w:val="center"/>
              <w:rPr>
                <w:noProof/>
                <w:color w:val="000000"/>
              </w:rPr>
            </w:pPr>
            <w:r>
              <w:rPr>
                <w:noProof/>
              </w:rPr>
              <w:t>Mesure connexe (réforme ou investissement)</w:t>
            </w:r>
          </w:p>
        </w:tc>
        <w:tc>
          <w:tcPr>
            <w:tcW w:w="1128"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6" w14:textId="77777777" w:rsidR="00F74E13" w:rsidRDefault="009274FC">
            <w:pPr>
              <w:pStyle w:val="P68B1DB1-Normal11"/>
              <w:spacing w:after="0"/>
              <w:jc w:val="center"/>
              <w:rPr>
                <w:rFonts w:eastAsia="Calibri" w:cs="Times New Roman"/>
                <w:bCs/>
                <w:noProof/>
                <w:color w:val="000000"/>
                <w:szCs w:val="20"/>
              </w:rPr>
            </w:pPr>
            <w:r>
              <w:rPr>
                <w:noProof/>
              </w:rPr>
              <w:t>Étape/cible</w:t>
            </w:r>
          </w:p>
        </w:tc>
        <w:tc>
          <w:tcPr>
            <w:tcW w:w="21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7" w14:textId="77777777" w:rsidR="00F74E13" w:rsidRDefault="009274FC">
            <w:pPr>
              <w:pStyle w:val="P68B1DB1-Normal11"/>
              <w:spacing w:after="0"/>
              <w:jc w:val="center"/>
              <w:rPr>
                <w:rFonts w:eastAsia="Calibri" w:cs="Times New Roman"/>
                <w:bCs/>
                <w:noProof/>
                <w:color w:val="000000"/>
                <w:szCs w:val="20"/>
              </w:rPr>
            </w:pPr>
            <w:r>
              <w:rPr>
                <w:noProof/>
              </w:rPr>
              <w:t>Nom</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8" w14:textId="77777777" w:rsidR="00F74E13" w:rsidRDefault="009274FC">
            <w:pPr>
              <w:pStyle w:val="P68B1DB1-Normal11"/>
              <w:spacing w:after="0"/>
              <w:jc w:val="center"/>
              <w:rPr>
                <w:rFonts w:eastAsia="Calibri" w:cs="Times New Roman"/>
                <w:bCs/>
                <w:noProof/>
                <w:color w:val="000000"/>
                <w:szCs w:val="20"/>
              </w:rPr>
            </w:pPr>
            <w:r>
              <w:rPr>
                <w:noProof/>
              </w:rPr>
              <w:t xml:space="preserve">Indicateurs qualitatifs </w:t>
            </w:r>
            <w:r>
              <w:rPr>
                <w:noProof/>
              </w:rPr>
              <w:br/>
              <w:t>(pour les jalons)</w:t>
            </w:r>
          </w:p>
        </w:tc>
        <w:tc>
          <w:tcPr>
            <w:tcW w:w="25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D1F9" w14:textId="77777777" w:rsidR="00F74E13" w:rsidRDefault="009274FC">
            <w:pPr>
              <w:pStyle w:val="P68B1DB1-Normal11"/>
              <w:spacing w:after="0"/>
              <w:jc w:val="center"/>
              <w:rPr>
                <w:rFonts w:eastAsia="Calibri" w:cs="Times New Roman"/>
                <w:bCs/>
                <w:noProof/>
                <w:color w:val="000000"/>
                <w:szCs w:val="20"/>
              </w:rPr>
            </w:pPr>
            <w:r>
              <w:rPr>
                <w:noProof/>
              </w:rPr>
              <w:t xml:space="preserve">Indicateurs quantitatifs </w:t>
            </w:r>
            <w:r>
              <w:rPr>
                <w:noProof/>
              </w:rPr>
              <w:br/>
              <w:t>(pour les objectifs)</w:t>
            </w:r>
          </w:p>
        </w:tc>
        <w:tc>
          <w:tcPr>
            <w:tcW w:w="1837"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D1FA" w14:textId="77777777" w:rsidR="00F74E13" w:rsidRDefault="009274FC">
            <w:pPr>
              <w:pStyle w:val="P68B1DB1-Normal11"/>
              <w:spacing w:after="0"/>
              <w:jc w:val="center"/>
              <w:rPr>
                <w:rFonts w:eastAsia="Calibri" w:cs="Times New Roman"/>
                <w:bCs/>
                <w:noProof/>
                <w:color w:val="000000"/>
                <w:szCs w:val="20"/>
              </w:rPr>
            </w:pPr>
            <w:r>
              <w:rPr>
                <w:noProof/>
              </w:rPr>
              <w:t>Calendrier indicatif d'achèvement</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B" w14:textId="77777777" w:rsidR="00F74E13" w:rsidRDefault="009274FC">
            <w:pPr>
              <w:pStyle w:val="P68B1DB1-Normal11"/>
              <w:spacing w:after="0"/>
              <w:ind w:left="57" w:right="57"/>
              <w:jc w:val="center"/>
              <w:rPr>
                <w:noProof/>
                <w:color w:val="000000"/>
              </w:rPr>
            </w:pPr>
            <w:r>
              <w:rPr>
                <w:noProof/>
              </w:rPr>
              <w:t>Description de chaque jalon et cible</w:t>
            </w:r>
          </w:p>
        </w:tc>
      </w:tr>
      <w:tr w:rsidR="00F74E13" w14:paraId="1CEBD208" w14:textId="77777777" w:rsidTr="00C24F7E">
        <w:trPr>
          <w:trHeight w:val="300"/>
          <w:tblHeader/>
          <w:jc w:val="center"/>
        </w:trPr>
        <w:tc>
          <w:tcPr>
            <w:tcW w:w="988" w:type="dxa"/>
            <w:vMerge/>
            <w:noWrap/>
          </w:tcPr>
          <w:p w14:paraId="1CEBD1FD" w14:textId="77777777" w:rsidR="00F74E13" w:rsidRDefault="00F74E13">
            <w:pPr>
              <w:spacing w:after="0"/>
              <w:jc w:val="center"/>
              <w:rPr>
                <w:rFonts w:ascii="Times New Roman" w:hAnsi="Times New Roman"/>
                <w:b/>
                <w:noProof/>
                <w:color w:val="000000"/>
                <w:sz w:val="20"/>
              </w:rPr>
            </w:pPr>
          </w:p>
        </w:tc>
        <w:tc>
          <w:tcPr>
            <w:tcW w:w="1423" w:type="dxa"/>
            <w:vMerge/>
            <w:noWrap/>
          </w:tcPr>
          <w:p w14:paraId="1CEBD1FE" w14:textId="77777777" w:rsidR="00F74E13" w:rsidRDefault="00F74E13">
            <w:pPr>
              <w:spacing w:after="0"/>
              <w:rPr>
                <w:rFonts w:ascii="Times New Roman" w:hAnsi="Times New Roman"/>
                <w:b/>
                <w:noProof/>
                <w:color w:val="000000"/>
                <w:sz w:val="20"/>
              </w:rPr>
            </w:pPr>
          </w:p>
        </w:tc>
        <w:tc>
          <w:tcPr>
            <w:tcW w:w="1128" w:type="dxa"/>
            <w:vMerge/>
            <w:noWrap/>
          </w:tcPr>
          <w:p w14:paraId="1CEBD1FF" w14:textId="77777777" w:rsidR="00F74E13" w:rsidRDefault="00F74E13">
            <w:pPr>
              <w:spacing w:after="0"/>
              <w:rPr>
                <w:rFonts w:ascii="Times New Roman" w:hAnsi="Times New Roman"/>
                <w:b/>
                <w:noProof/>
                <w:color w:val="000000"/>
                <w:sz w:val="20"/>
              </w:rPr>
            </w:pPr>
          </w:p>
        </w:tc>
        <w:tc>
          <w:tcPr>
            <w:tcW w:w="2154" w:type="dxa"/>
            <w:vMerge/>
            <w:noWrap/>
          </w:tcPr>
          <w:p w14:paraId="1CEBD200" w14:textId="77777777" w:rsidR="00F74E13" w:rsidRDefault="00F74E13">
            <w:pPr>
              <w:spacing w:after="0"/>
              <w:rPr>
                <w:rFonts w:ascii="Times New Roman" w:hAnsi="Times New Roman"/>
                <w:b/>
                <w:noProof/>
                <w:color w:val="000000"/>
                <w:sz w:val="20"/>
              </w:rPr>
            </w:pPr>
          </w:p>
        </w:tc>
        <w:tc>
          <w:tcPr>
            <w:tcW w:w="1387" w:type="dxa"/>
            <w:vMerge/>
            <w:noWrap/>
          </w:tcPr>
          <w:p w14:paraId="1CEBD201" w14:textId="77777777" w:rsidR="00F74E13" w:rsidRDefault="00F74E13">
            <w:pPr>
              <w:spacing w:after="0"/>
              <w:rPr>
                <w:rFonts w:ascii="Times New Roman" w:hAnsi="Times New Roman"/>
                <w:b/>
                <w:noProof/>
                <w:color w:val="0000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D9F1"/>
            <w:noWrap/>
          </w:tcPr>
          <w:p w14:paraId="1CEBD202" w14:textId="77777777" w:rsidR="00F74E13" w:rsidRDefault="009274FC">
            <w:pPr>
              <w:pStyle w:val="P68B1DB1-Normal11"/>
              <w:spacing w:after="0"/>
              <w:jc w:val="center"/>
              <w:rPr>
                <w:rFonts w:eastAsia="Calibri" w:cs="Times New Roman"/>
                <w:bCs/>
                <w:noProof/>
                <w:color w:val="000000"/>
                <w:szCs w:val="20"/>
              </w:rPr>
            </w:pPr>
            <w:r>
              <w:rPr>
                <w:noProof/>
              </w:rPr>
              <w:t>Unité de mesure</w:t>
            </w:r>
          </w:p>
        </w:tc>
        <w:tc>
          <w:tcPr>
            <w:tcW w:w="877" w:type="dxa"/>
            <w:tcBorders>
              <w:top w:val="single" w:sz="4" w:space="0" w:color="auto"/>
              <w:left w:val="single" w:sz="4" w:space="0" w:color="auto"/>
              <w:bottom w:val="single" w:sz="4" w:space="0" w:color="auto"/>
              <w:right w:val="single" w:sz="4" w:space="0" w:color="auto"/>
            </w:tcBorders>
            <w:shd w:val="clear" w:color="auto" w:fill="C6D9F1"/>
            <w:noWrap/>
          </w:tcPr>
          <w:p w14:paraId="1CEBD203" w14:textId="77777777" w:rsidR="00F74E13" w:rsidRDefault="009274FC">
            <w:pPr>
              <w:pStyle w:val="P68B1DB1-Normal11"/>
              <w:spacing w:after="0"/>
              <w:jc w:val="center"/>
              <w:rPr>
                <w:rFonts w:eastAsia="Calibri" w:cs="Times New Roman"/>
                <w:bCs/>
                <w:noProof/>
                <w:color w:val="000000"/>
                <w:szCs w:val="20"/>
              </w:rPr>
            </w:pPr>
            <w:r>
              <w:rPr>
                <w:noProof/>
              </w:rPr>
              <w:t>Données de référence</w:t>
            </w:r>
          </w:p>
        </w:tc>
        <w:tc>
          <w:tcPr>
            <w:tcW w:w="835" w:type="dxa"/>
            <w:tcBorders>
              <w:top w:val="single" w:sz="4" w:space="0" w:color="auto"/>
              <w:left w:val="single" w:sz="4" w:space="0" w:color="auto"/>
              <w:bottom w:val="single" w:sz="4" w:space="0" w:color="auto"/>
              <w:right w:val="single" w:sz="4" w:space="0" w:color="auto"/>
            </w:tcBorders>
            <w:shd w:val="clear" w:color="auto" w:fill="C6D9F1"/>
            <w:noWrap/>
          </w:tcPr>
          <w:p w14:paraId="1CEBD204" w14:textId="77777777" w:rsidR="00F74E13" w:rsidRDefault="009274FC">
            <w:pPr>
              <w:pStyle w:val="P68B1DB1-Normal11"/>
              <w:spacing w:after="0"/>
              <w:jc w:val="center"/>
              <w:rPr>
                <w:rFonts w:eastAsia="Calibri" w:cs="Times New Roman"/>
                <w:bCs/>
                <w:noProof/>
                <w:color w:val="000000"/>
                <w:szCs w:val="20"/>
              </w:rPr>
            </w:pPr>
            <w:r>
              <w:rPr>
                <w:noProof/>
              </w:rPr>
              <w:t>Objectif</w:t>
            </w:r>
          </w:p>
        </w:tc>
        <w:tc>
          <w:tcPr>
            <w:tcW w:w="987" w:type="dxa"/>
            <w:tcBorders>
              <w:top w:val="single" w:sz="4" w:space="0" w:color="auto"/>
              <w:left w:val="single" w:sz="4" w:space="0" w:color="auto"/>
              <w:bottom w:val="single" w:sz="4" w:space="0" w:color="auto"/>
              <w:right w:val="single" w:sz="4" w:space="0" w:color="auto"/>
            </w:tcBorders>
            <w:shd w:val="clear" w:color="auto" w:fill="C6D9F1"/>
            <w:noWrap/>
          </w:tcPr>
          <w:p w14:paraId="1CEBD205" w14:textId="77777777" w:rsidR="00F74E13" w:rsidRDefault="009274FC">
            <w:pPr>
              <w:pStyle w:val="P68B1DB1-Normal11"/>
              <w:spacing w:after="0"/>
              <w:jc w:val="center"/>
              <w:rPr>
                <w:rFonts w:eastAsia="Calibri" w:cs="Times New Roman"/>
                <w:bCs/>
                <w:noProof/>
                <w:color w:val="000000"/>
                <w:szCs w:val="20"/>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C6D9F1"/>
            <w:noWrap/>
          </w:tcPr>
          <w:p w14:paraId="1CEBD206" w14:textId="77777777" w:rsidR="00F74E13" w:rsidRDefault="009274FC">
            <w:pPr>
              <w:pStyle w:val="P68B1DB1-Normal11"/>
              <w:spacing w:after="0"/>
              <w:jc w:val="center"/>
              <w:rPr>
                <w:rFonts w:eastAsia="Calibri" w:cs="Times New Roman"/>
                <w:bCs/>
                <w:noProof/>
                <w:color w:val="000000"/>
                <w:szCs w:val="20"/>
              </w:rPr>
            </w:pPr>
            <w:r>
              <w:rPr>
                <w:noProof/>
              </w:rPr>
              <w:t>Année</w:t>
            </w:r>
          </w:p>
        </w:tc>
        <w:tc>
          <w:tcPr>
            <w:tcW w:w="3686" w:type="dxa"/>
            <w:vMerge/>
            <w:noWrap/>
          </w:tcPr>
          <w:p w14:paraId="1CEBD207" w14:textId="77777777" w:rsidR="00F74E13" w:rsidRDefault="00F74E13">
            <w:pPr>
              <w:spacing w:after="0"/>
              <w:ind w:left="57" w:right="57"/>
              <w:jc w:val="both"/>
              <w:rPr>
                <w:rFonts w:ascii="Times New Roman" w:eastAsia="Calibri" w:hAnsi="Times New Roman" w:cs="Times New Roman"/>
                <w:b/>
                <w:noProof/>
                <w:color w:val="000000"/>
                <w:sz w:val="20"/>
                <w:szCs w:val="20"/>
              </w:rPr>
            </w:pPr>
          </w:p>
        </w:tc>
      </w:tr>
      <w:tr w:rsidR="00F74E13" w14:paraId="1CEBD218"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09" w14:textId="77777777" w:rsidR="00F74E13" w:rsidRDefault="009274FC">
            <w:pPr>
              <w:pStyle w:val="P68B1DB1-Normal12"/>
              <w:spacing w:after="0"/>
              <w:jc w:val="center"/>
              <w:rPr>
                <w:rFonts w:eastAsia="Times New Roman"/>
                <w:noProof/>
              </w:rPr>
            </w:pPr>
            <w:r>
              <w:rPr>
                <w:noProof/>
              </w:rPr>
              <w:t>1</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0A" w14:textId="77777777" w:rsidR="00F74E13" w:rsidRDefault="009274FC">
            <w:pPr>
              <w:pStyle w:val="P68B1DB1-Normal13"/>
              <w:spacing w:after="0" w:line="240" w:lineRule="auto"/>
              <w:ind w:left="57" w:right="57"/>
              <w:rPr>
                <w:noProof/>
              </w:rPr>
            </w:pPr>
            <w:r>
              <w:rPr>
                <w:noProof/>
              </w:rPr>
              <w:t xml:space="preserve">C1.R1 : </w:t>
            </w:r>
          </w:p>
          <w:p w14:paraId="1CEBD20B" w14:textId="77777777" w:rsidR="00F74E13" w:rsidRDefault="009274FC">
            <w:pPr>
              <w:pStyle w:val="P68B1DB1-Normal13"/>
              <w:spacing w:after="0" w:line="240" w:lineRule="auto"/>
              <w:ind w:left="57" w:right="57"/>
              <w:rPr>
                <w:noProof/>
              </w:rPr>
            </w:pPr>
            <w:r>
              <w:rPr>
                <w:noProof/>
              </w:rPr>
              <w:t>Réforme de l'enseignement préscolaire et scolaire et de l'enseignement 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0C" w14:textId="77777777" w:rsidR="00F74E13" w:rsidRDefault="009274FC">
            <w:pPr>
              <w:pStyle w:val="P68B1DB1-Normal13"/>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0D" w14:textId="77777777" w:rsidR="00F74E13" w:rsidRDefault="009274FC">
            <w:pPr>
              <w:pStyle w:val="P68B1DB1-Normal13"/>
              <w:spacing w:after="0" w:line="240" w:lineRule="auto"/>
              <w:ind w:left="57" w:right="57"/>
              <w:rPr>
                <w:noProof/>
              </w:rPr>
            </w:pPr>
            <w:r>
              <w:rPr>
                <w:noProof/>
              </w:rPr>
              <w:t>Entrée en vigueur des modifications apportées à la loi sur l'enseignement préscolaire et scolaire et au droit dérivé.</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0E" w14:textId="77777777" w:rsidR="00F74E13" w:rsidRDefault="009274FC">
            <w:pPr>
              <w:pStyle w:val="P68B1DB1-Normal13"/>
              <w:spacing w:after="0" w:line="240" w:lineRule="auto"/>
              <w:ind w:left="57" w:right="57"/>
              <w:rPr>
                <w:noProof/>
              </w:rPr>
            </w:pPr>
            <w:r>
              <w:rPr>
                <w:noProof/>
              </w:rPr>
              <w:t>Disposition de la loi indiquant l'entrée en vigueur des modifications apportées à la loi sur l'enseignement préscolaire et scolaire et au droit dérivé</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0F" w14:textId="77777777" w:rsidR="00F74E13" w:rsidRDefault="00F74E13">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10" w14:textId="77777777" w:rsidR="00F74E13" w:rsidRDefault="00F74E13">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11" w14:textId="77777777" w:rsidR="00F74E13" w:rsidRDefault="00F74E13">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12" w14:textId="77777777" w:rsidR="00F74E13" w:rsidRDefault="009274FC">
            <w:pPr>
              <w:pStyle w:val="P68B1DB1-Normal12"/>
              <w:spacing w:after="0"/>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13" w14:textId="77777777" w:rsidR="00F74E13" w:rsidRDefault="009274FC">
            <w:pPr>
              <w:pStyle w:val="P68B1DB1-Normal12"/>
              <w:spacing w:after="0"/>
              <w:jc w:val="center"/>
              <w:rPr>
                <w:rFonts w:eastAsia="Times New Roman"/>
                <w:noProof/>
              </w:rPr>
            </w:pPr>
            <w:r>
              <w:rPr>
                <w:noProof/>
              </w:rPr>
              <w:t>2020</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14" w14:textId="77777777" w:rsidR="00F74E13" w:rsidRDefault="009274FC">
            <w:pPr>
              <w:pStyle w:val="P68B1DB1-Normal13"/>
              <w:spacing w:after="0" w:line="240" w:lineRule="auto"/>
              <w:ind w:left="57" w:right="57"/>
              <w:jc w:val="both"/>
              <w:rPr>
                <w:noProof/>
              </w:rPr>
            </w:pPr>
            <w:r>
              <w:rPr>
                <w:noProof/>
              </w:rPr>
              <w:t>Les modifications apportées à la loi sur l'enseignement préscolaire et scolaire et au droit dérivé comprennent:</w:t>
            </w:r>
          </w:p>
          <w:p w14:paraId="35EBAD8F" w14:textId="77777777" w:rsidR="00F74E13" w:rsidRDefault="009274FC">
            <w:pPr>
              <w:pStyle w:val="P68B1DB1-ListParagraph14"/>
              <w:numPr>
                <w:ilvl w:val="0"/>
                <w:numId w:val="4"/>
              </w:numPr>
              <w:spacing w:after="0" w:line="240" w:lineRule="auto"/>
              <w:ind w:left="250" w:right="57" w:hanging="232"/>
              <w:jc w:val="both"/>
              <w:rPr>
                <w:noProof/>
              </w:rPr>
            </w:pPr>
            <w:r>
              <w:rPr>
                <w:noProof/>
              </w:rPr>
              <w:t>la mise à jour des programmes et programmes de base STEM comme suit: introduction de nouvelles compétences informatiques (encodage) dans les classes cinq à sept; augmentation des heures de mathématiques dans les classes cinq à sept; augmentation des heures de géographie et d'économie en classe six;</w:t>
            </w:r>
          </w:p>
          <w:p w14:paraId="6B843DE2" w14:textId="77777777" w:rsidR="00F74E13" w:rsidRDefault="009274FC">
            <w:pPr>
              <w:pStyle w:val="P68B1DB1-ListParagraph14"/>
              <w:numPr>
                <w:ilvl w:val="0"/>
                <w:numId w:val="4"/>
              </w:numPr>
              <w:spacing w:after="0" w:line="240" w:lineRule="auto"/>
              <w:ind w:left="250" w:right="57" w:hanging="232"/>
              <w:jc w:val="both"/>
              <w:rPr>
                <w:noProof/>
              </w:rPr>
            </w:pPr>
            <w:r>
              <w:rPr>
                <w:noProof/>
              </w:rPr>
              <w:t>des possibilités supplémentaires d’apprentissage à distance, y compris des formes hybrides d’apprentissage combinant l’apprentissage en présentiel et l’apprentissage en ligne;</w:t>
            </w:r>
          </w:p>
          <w:p w14:paraId="1CEBD217" w14:textId="6A842B76" w:rsidR="00F74E13" w:rsidRDefault="009274FC">
            <w:pPr>
              <w:pStyle w:val="P68B1DB1-ListParagraph14"/>
              <w:numPr>
                <w:ilvl w:val="0"/>
                <w:numId w:val="4"/>
              </w:numPr>
              <w:spacing w:after="0" w:line="240" w:lineRule="auto"/>
              <w:ind w:left="250" w:right="57" w:hanging="232"/>
              <w:jc w:val="both"/>
              <w:rPr>
                <w:noProof/>
              </w:rPr>
            </w:pPr>
            <w:r>
              <w:rPr>
                <w:noProof/>
              </w:rPr>
              <w:t>l'inclusion des enfants de quatre ans dans le programme préscolaire obligatoire. La modification prévoit une introduction progressive de l’inclusion obligatoire, qui doit être achevée au plus tard pour l’année scolaire 2023/2024.</w:t>
            </w:r>
          </w:p>
        </w:tc>
      </w:tr>
      <w:tr w:rsidR="00F74E13" w14:paraId="1CEBD228"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19" w14:textId="77777777" w:rsidR="00F74E13" w:rsidRDefault="009274FC">
            <w:pPr>
              <w:pStyle w:val="P68B1DB1-Normal12"/>
              <w:spacing w:after="0"/>
              <w:jc w:val="center"/>
              <w:rPr>
                <w:noProof/>
              </w:rPr>
            </w:pPr>
            <w:r>
              <w:rPr>
                <w:noProof/>
              </w:rPr>
              <w:t>2</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1A" w14:textId="77777777" w:rsidR="00F74E13" w:rsidRDefault="009274FC">
            <w:pPr>
              <w:pStyle w:val="P68B1DB1-Normal13"/>
              <w:spacing w:after="0" w:line="240" w:lineRule="auto"/>
              <w:ind w:left="57" w:right="57"/>
              <w:rPr>
                <w:noProof/>
              </w:rPr>
            </w:pPr>
            <w:r>
              <w:rPr>
                <w:noProof/>
              </w:rPr>
              <w:t xml:space="preserve">C1.R1 : </w:t>
            </w:r>
          </w:p>
          <w:p w14:paraId="1CEBD21B" w14:textId="77777777" w:rsidR="00F74E13" w:rsidRDefault="009274FC">
            <w:pPr>
              <w:pStyle w:val="P68B1DB1-Normal13"/>
              <w:spacing w:after="0" w:line="240" w:lineRule="auto"/>
              <w:ind w:left="57" w:right="57"/>
              <w:rPr>
                <w:noProof/>
              </w:rPr>
            </w:pPr>
            <w:r>
              <w:rPr>
                <w:noProof/>
              </w:rPr>
              <w:t>Réforme de l'enseignement préscolaire et scolaire et de l'enseignement 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1C"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1D" w14:textId="77777777" w:rsidR="00F74E13" w:rsidRDefault="009274FC">
            <w:pPr>
              <w:pStyle w:val="P68B1DB1-Normal13"/>
              <w:spacing w:after="0" w:line="240" w:lineRule="auto"/>
              <w:ind w:left="57" w:right="57"/>
              <w:rPr>
                <w:noProof/>
              </w:rPr>
            </w:pPr>
            <w:r>
              <w:rPr>
                <w:noProof/>
              </w:rPr>
              <w:t>Entrée en vigueur des modifications apportées à la loi sur la promotion de l'emploi</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1E" w14:textId="77777777" w:rsidR="00F74E13" w:rsidRDefault="009274FC">
            <w:pPr>
              <w:pStyle w:val="P68B1DB1-Normal13"/>
              <w:spacing w:after="0" w:line="240" w:lineRule="auto"/>
              <w:ind w:left="57" w:right="57"/>
              <w:rPr>
                <w:noProof/>
              </w:rPr>
            </w:pPr>
            <w:r>
              <w:rPr>
                <w:noProof/>
              </w:rPr>
              <w:t xml:space="preserve">Disposition de la loi indiquant l'entrée en vigueur des modifications apportées à la loi sur la promotion de l'emploi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1F" w14:textId="77777777" w:rsidR="00F74E13" w:rsidRDefault="00F74E13">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20" w14:textId="77777777" w:rsidR="00F74E13" w:rsidRDefault="00F74E13">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21" w14:textId="77777777" w:rsidR="00F74E13" w:rsidRDefault="00F74E13">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22" w14:textId="77777777" w:rsidR="00F74E13" w:rsidRDefault="009274FC">
            <w:pPr>
              <w:pStyle w:val="P68B1DB1-Normal12"/>
              <w:spacing w:after="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23" w14:textId="77777777" w:rsidR="00F74E13" w:rsidRDefault="009274FC">
            <w:pPr>
              <w:pStyle w:val="P68B1DB1-Normal12"/>
              <w:spacing w:after="0"/>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24" w14:textId="1709A310" w:rsidR="00F74E13" w:rsidRDefault="009274FC">
            <w:pPr>
              <w:pStyle w:val="P68B1DB1-Normal13"/>
              <w:spacing w:after="0"/>
              <w:ind w:left="57" w:right="57"/>
              <w:jc w:val="both"/>
              <w:rPr>
                <w:noProof/>
              </w:rPr>
            </w:pPr>
            <w:r>
              <w:rPr>
                <w:noProof/>
              </w:rPr>
              <w:t>Les modifications apportées à la loi sur la promotion de l'emploi:</w:t>
            </w:r>
          </w:p>
          <w:p w14:paraId="12BB2D60" w14:textId="77777777" w:rsidR="00F74E13" w:rsidRDefault="009274FC">
            <w:pPr>
              <w:pStyle w:val="P68B1DB1-ListParagraph14"/>
              <w:numPr>
                <w:ilvl w:val="0"/>
                <w:numId w:val="4"/>
              </w:numPr>
              <w:spacing w:after="0" w:line="240" w:lineRule="auto"/>
              <w:ind w:left="392" w:right="57" w:hanging="284"/>
              <w:jc w:val="both"/>
              <w:rPr>
                <w:noProof/>
              </w:rPr>
            </w:pPr>
            <w:r>
              <w:rPr>
                <w:noProof/>
              </w:rPr>
              <w:t>introduire la possibilité de combiner la formation professionnelle avec la participation à un cours de formation pour les personnes de plus de 16 ans;</w:t>
            </w:r>
          </w:p>
          <w:p w14:paraId="3C9633B2" w14:textId="77777777" w:rsidR="00F74E13" w:rsidRDefault="009274FC">
            <w:pPr>
              <w:pStyle w:val="P68B1DB1-ListParagraph14"/>
              <w:numPr>
                <w:ilvl w:val="0"/>
                <w:numId w:val="4"/>
              </w:numPr>
              <w:spacing w:after="0" w:line="240" w:lineRule="auto"/>
              <w:ind w:left="392" w:right="57" w:hanging="284"/>
              <w:jc w:val="both"/>
              <w:rPr>
                <w:noProof/>
              </w:rPr>
            </w:pPr>
            <w:r>
              <w:rPr>
                <w:noProof/>
              </w:rPr>
              <w:t xml:space="preserve">introduire la possibilité de valider les aptitudes professionnelles et les compétences clés acquises dans le cadre de l’apprentissage non formel ou de l’auto-apprentissage; </w:t>
            </w:r>
          </w:p>
          <w:p w14:paraId="1CEBD227" w14:textId="53B0B17F" w:rsidR="00F74E13" w:rsidRDefault="009274FC">
            <w:pPr>
              <w:pStyle w:val="P68B1DB1-ListParagraph14"/>
              <w:numPr>
                <w:ilvl w:val="0"/>
                <w:numId w:val="4"/>
              </w:numPr>
              <w:spacing w:after="0" w:line="240" w:lineRule="auto"/>
              <w:ind w:left="392" w:right="57" w:hanging="284"/>
              <w:jc w:val="both"/>
              <w:rPr>
                <w:noProof/>
              </w:rPr>
            </w:pPr>
            <w:r>
              <w:rPr>
                <w:noProof/>
              </w:rPr>
              <w:t>accroître la flexibilité des possibilités de formation, notamment en augmentant l’offre de formations en ligne.</w:t>
            </w:r>
          </w:p>
        </w:tc>
      </w:tr>
      <w:tr w:rsidR="00F74E13" w14:paraId="1CEBD23A"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29" w14:textId="77777777" w:rsidR="00F74E13" w:rsidRDefault="009274FC">
            <w:pPr>
              <w:pStyle w:val="P68B1DB1-Normal13"/>
              <w:spacing w:after="0"/>
              <w:jc w:val="center"/>
              <w:rPr>
                <w:rFonts w:cs="Times New Roman"/>
                <w:noProof/>
              </w:rPr>
            </w:pPr>
            <w:r>
              <w:rPr>
                <w:noProof/>
              </w:rPr>
              <w:t>3</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2A" w14:textId="77777777" w:rsidR="00F74E13" w:rsidRDefault="009274FC">
            <w:pPr>
              <w:pStyle w:val="P68B1DB1-Normal13"/>
              <w:spacing w:after="0" w:line="240" w:lineRule="auto"/>
              <w:ind w:left="57" w:right="57"/>
              <w:rPr>
                <w:noProof/>
              </w:rPr>
            </w:pPr>
            <w:r>
              <w:rPr>
                <w:noProof/>
              </w:rPr>
              <w:t xml:space="preserve">C1.R1 : </w:t>
            </w:r>
          </w:p>
          <w:p w14:paraId="1CEBD22B" w14:textId="77777777" w:rsidR="00F74E13" w:rsidRDefault="009274FC">
            <w:pPr>
              <w:pStyle w:val="P68B1DB1-Normal13"/>
              <w:spacing w:after="0" w:line="240" w:lineRule="auto"/>
              <w:ind w:left="57" w:right="57"/>
              <w:rPr>
                <w:noProof/>
              </w:rPr>
            </w:pPr>
            <w:r>
              <w:rPr>
                <w:noProof/>
              </w:rPr>
              <w:t>Réforme de l'enseignement préscolaire et scolaire et de l'enseignement 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2C" w14:textId="77777777" w:rsidR="00F74E13" w:rsidRDefault="009274FC">
            <w:pPr>
              <w:pStyle w:val="P68B1DB1-Normal13"/>
              <w:spacing w:after="0" w:line="240" w:lineRule="auto"/>
              <w:ind w:left="57" w:right="57"/>
              <w:rPr>
                <w:rFonts w:cs="Times New Roman"/>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2D" w14:textId="77777777" w:rsidR="00F74E13" w:rsidRDefault="009274FC">
            <w:pPr>
              <w:pStyle w:val="P68B1DB1-Normal13"/>
              <w:spacing w:after="0" w:line="240" w:lineRule="auto"/>
              <w:ind w:left="57" w:right="57"/>
              <w:rPr>
                <w:noProof/>
              </w:rPr>
            </w:pPr>
            <w:r>
              <w:rPr>
                <w:noProof/>
              </w:rPr>
              <w:t>Plan(s) d’action pour la période de mise en œuvre 2023-2027 du cadre stratégique pour le développement de l’éducation, de la formation et de l’apprentissage en République de Bulgarie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2E" w14:textId="77777777" w:rsidR="00F74E13" w:rsidRDefault="009274FC">
            <w:pPr>
              <w:pStyle w:val="P68B1DB1-Normal13"/>
              <w:spacing w:after="0"/>
              <w:ind w:left="57" w:right="57"/>
              <w:rPr>
                <w:noProof/>
              </w:rPr>
            </w:pPr>
            <w:r>
              <w:rPr>
                <w:noProof/>
              </w:rPr>
              <w:t xml:space="preserve">Adoption par le Conseil des ministres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2F" w14:textId="77777777" w:rsidR="00F74E13" w:rsidRDefault="00F74E13">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30" w14:textId="77777777" w:rsidR="00F74E13" w:rsidRDefault="00F74E13">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31" w14:textId="77777777" w:rsidR="00F74E13" w:rsidRDefault="00F74E13">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32" w14:textId="77777777" w:rsidR="00F74E13" w:rsidRDefault="009274FC">
            <w:pPr>
              <w:pStyle w:val="P68B1DB1-Normal12"/>
              <w:spacing w:after="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33" w14:textId="77777777" w:rsidR="00F74E13" w:rsidRDefault="009274FC">
            <w:pPr>
              <w:pStyle w:val="P68B1DB1-Normal12"/>
              <w:spacing w:after="0"/>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34" w14:textId="77777777" w:rsidR="00F74E13" w:rsidRDefault="009274FC">
            <w:pPr>
              <w:pStyle w:val="P68B1DB1-Normal13"/>
              <w:spacing w:after="0" w:line="240" w:lineRule="auto"/>
              <w:ind w:left="57" w:right="57"/>
              <w:jc w:val="both"/>
              <w:rPr>
                <w:noProof/>
              </w:rPr>
            </w:pPr>
            <w:r>
              <w:rPr>
                <w:noProof/>
              </w:rPr>
              <w:t>Au moins un plan d’action couvrant la période de mise en œuvre 2023-2027 du cadre stratégique pour le développement de l’éducation, de la formation et de l’apprentissage en République de Bulgarie (2021-2030) définit des mesures et des actions, y compris leur calendrier, pour atteindre les objectifs du cadre stratégique.</w:t>
            </w:r>
          </w:p>
          <w:p w14:paraId="1CEBD235" w14:textId="77777777" w:rsidR="00F74E13" w:rsidRDefault="009274FC">
            <w:pPr>
              <w:pStyle w:val="P68B1DB1-Normal13"/>
              <w:spacing w:after="0" w:line="240" w:lineRule="auto"/>
              <w:ind w:left="57" w:right="57"/>
              <w:jc w:val="both"/>
              <w:rPr>
                <w:noProof/>
              </w:rPr>
            </w:pPr>
            <w:r>
              <w:rPr>
                <w:noProof/>
              </w:rPr>
              <w:t>Les objectifs du cadre stratégique comprennent:</w:t>
            </w:r>
          </w:p>
          <w:p w14:paraId="77F647DE" w14:textId="77777777" w:rsidR="00F74E13" w:rsidRDefault="009274FC">
            <w:pPr>
              <w:pStyle w:val="P68B1DB1-ListParagraph14"/>
              <w:numPr>
                <w:ilvl w:val="0"/>
                <w:numId w:val="4"/>
              </w:numPr>
              <w:spacing w:after="0" w:line="240" w:lineRule="auto"/>
              <w:ind w:left="392" w:right="57" w:hanging="284"/>
              <w:jc w:val="both"/>
              <w:rPr>
                <w:noProof/>
              </w:rPr>
            </w:pPr>
            <w:r>
              <w:rPr>
                <w:noProof/>
              </w:rPr>
              <w:t>un meilleur accès à une éducation de qualité pour les enfants issus de groupes vulnérables, y compris les Roms;</w:t>
            </w:r>
          </w:p>
          <w:p w14:paraId="2A4CD3AB" w14:textId="77777777" w:rsidR="00F74E13" w:rsidRDefault="009274FC">
            <w:pPr>
              <w:pStyle w:val="P68B1DB1-ListParagraph14"/>
              <w:numPr>
                <w:ilvl w:val="0"/>
                <w:numId w:val="4"/>
              </w:numPr>
              <w:spacing w:after="0" w:line="240" w:lineRule="auto"/>
              <w:ind w:left="392" w:right="57" w:hanging="284"/>
              <w:jc w:val="both"/>
              <w:rPr>
                <w:noProof/>
              </w:rPr>
            </w:pPr>
            <w:r>
              <w:rPr>
                <w:noProof/>
              </w:rPr>
              <w:t>une plus grande couverture des enfants dans le système éducatif;</w:t>
            </w:r>
          </w:p>
          <w:p w14:paraId="19E9B9A9" w14:textId="77777777" w:rsidR="00F74E13" w:rsidRDefault="009274FC">
            <w:pPr>
              <w:pStyle w:val="P68B1DB1-ListParagraph14"/>
              <w:numPr>
                <w:ilvl w:val="0"/>
                <w:numId w:val="4"/>
              </w:numPr>
              <w:spacing w:after="0" w:line="240" w:lineRule="auto"/>
              <w:ind w:left="392" w:right="57" w:hanging="284"/>
              <w:jc w:val="both"/>
              <w:rPr>
                <w:noProof/>
              </w:rPr>
            </w:pPr>
            <w:r>
              <w:rPr>
                <w:noProof/>
              </w:rPr>
              <w:t>l'introduction d'un système révisé de qualifications des enseignants et de pratiques de gestion efficaces des établissements d'enseignement;</w:t>
            </w:r>
          </w:p>
          <w:p w14:paraId="1CEBD239" w14:textId="4884637E" w:rsidR="00F74E13" w:rsidRDefault="009274FC">
            <w:pPr>
              <w:pStyle w:val="P68B1DB1-ListParagraph14"/>
              <w:numPr>
                <w:ilvl w:val="0"/>
                <w:numId w:val="4"/>
              </w:numPr>
              <w:spacing w:after="0" w:line="240" w:lineRule="auto"/>
              <w:ind w:left="392" w:right="57" w:hanging="284"/>
              <w:jc w:val="both"/>
              <w:rPr>
                <w:noProof/>
              </w:rPr>
            </w:pPr>
            <w:r>
              <w:rPr>
                <w:noProof/>
              </w:rPr>
              <w:t>l’innovation dans les écoles, en mettant l’accent sur la transformation numérique et le développement durable.</w:t>
            </w:r>
          </w:p>
        </w:tc>
      </w:tr>
      <w:tr w:rsidR="00F74E13" w14:paraId="1CEBD24B"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3B" w14:textId="77777777" w:rsidR="00F74E13" w:rsidRDefault="009274FC">
            <w:pPr>
              <w:pStyle w:val="P68B1DB1-Normal12"/>
              <w:spacing w:after="0"/>
              <w:jc w:val="center"/>
              <w:rPr>
                <w:noProof/>
              </w:rPr>
            </w:pPr>
            <w:r>
              <w:rPr>
                <w:noProof/>
              </w:rPr>
              <w:t>4</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3C" w14:textId="77777777" w:rsidR="00F74E13" w:rsidRDefault="009274FC">
            <w:pPr>
              <w:pStyle w:val="P68B1DB1-Normal15"/>
              <w:spacing w:after="0" w:line="240" w:lineRule="auto"/>
              <w:ind w:left="57" w:right="57"/>
              <w:rPr>
                <w:noProof/>
              </w:rPr>
            </w:pPr>
            <w:r>
              <w:rPr>
                <w:noProof/>
              </w:rPr>
              <w:t xml:space="preserve">C1.R1 : </w:t>
            </w:r>
          </w:p>
          <w:p w14:paraId="1CEBD23D" w14:textId="77777777" w:rsidR="00F74E13" w:rsidRDefault="009274FC">
            <w:pPr>
              <w:pStyle w:val="P68B1DB1-Normal15"/>
              <w:spacing w:after="0" w:line="240" w:lineRule="auto"/>
              <w:ind w:left="57" w:right="57"/>
              <w:rPr>
                <w:noProof/>
              </w:rPr>
            </w:pPr>
            <w:r>
              <w:rPr>
                <w:noProof/>
              </w:rPr>
              <w:t xml:space="preserve">Réforme de l'enseignement préscolaire et scolaire et de l'enseignement </w:t>
            </w:r>
            <w:r>
              <w:rPr>
                <w:noProof/>
                <w:szCs w:val="20"/>
              </w:rPr>
              <w:t>et de la formation professionnels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3E"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3F" w14:textId="77777777" w:rsidR="00F74E13" w:rsidRDefault="009274FC">
            <w:pPr>
              <w:pStyle w:val="P68B1DB1-Normal13"/>
              <w:spacing w:after="0" w:line="240" w:lineRule="auto"/>
              <w:ind w:left="57" w:right="57"/>
              <w:rPr>
                <w:noProof/>
              </w:rPr>
            </w:pPr>
            <w:r>
              <w:rPr>
                <w:noProof/>
              </w:rPr>
              <w:t xml:space="preserve">Entrée en vigueur d'un ou de plusieurs actes juridiques dans le domaine de l'enseignement et de la formation professionnels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40" w14:textId="77777777" w:rsidR="00F74E13" w:rsidRDefault="009274FC">
            <w:pPr>
              <w:pStyle w:val="P68B1DB1-Normal13"/>
              <w:spacing w:after="0" w:line="240" w:lineRule="auto"/>
              <w:ind w:left="57" w:right="57"/>
              <w:rPr>
                <w:noProof/>
              </w:rPr>
            </w:pPr>
            <w:r>
              <w:rPr>
                <w:noProof/>
              </w:rPr>
              <w:t xml:space="preserve">Disposition du ou des actes juridiques indiquant l’entrée en vigueur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41" w14:textId="77777777" w:rsidR="00F74E13" w:rsidRDefault="00F74E13">
            <w:pPr>
              <w:spacing w:after="0" w:line="240" w:lineRule="auto"/>
              <w:rPr>
                <w:rFonts w:ascii="Times New Roman" w:hAnsi="Times New Roman"/>
                <w:noProof/>
                <w:color w:val="006100"/>
                <w:sz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42" w14:textId="77777777" w:rsidR="00F74E13" w:rsidRDefault="00F74E13">
            <w:pPr>
              <w:spacing w:after="0" w:line="240" w:lineRule="auto"/>
              <w:rPr>
                <w:rFonts w:ascii="Times New Roman" w:hAnsi="Times New Roman"/>
                <w:noProof/>
                <w:color w:val="006100"/>
                <w:sz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43" w14:textId="77777777" w:rsidR="00F74E13" w:rsidRDefault="00F74E13">
            <w:pPr>
              <w:spacing w:after="0" w:line="240" w:lineRule="auto"/>
              <w:rPr>
                <w:rFonts w:ascii="Times New Roman" w:hAnsi="Times New Roman"/>
                <w:noProof/>
                <w:color w:val="006100"/>
                <w:sz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44" w14:textId="77777777" w:rsidR="00F74E13" w:rsidRDefault="009274FC">
            <w:pPr>
              <w:pStyle w:val="P68B1DB1-Normal12"/>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45" w14:textId="77777777" w:rsidR="00F74E13" w:rsidRDefault="009274FC">
            <w:pPr>
              <w:pStyle w:val="P68B1DB1-Normal13"/>
              <w:spacing w:after="0" w:line="240" w:lineRule="auto"/>
              <w:jc w:val="center"/>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46" w14:textId="77777777" w:rsidR="00F74E13" w:rsidRDefault="009274FC">
            <w:pPr>
              <w:pStyle w:val="P68B1DB1-Normal13"/>
              <w:spacing w:after="0" w:line="240" w:lineRule="auto"/>
              <w:ind w:left="57" w:right="57"/>
              <w:jc w:val="both"/>
              <w:rPr>
                <w:noProof/>
              </w:rPr>
            </w:pPr>
            <w:r>
              <w:rPr>
                <w:noProof/>
              </w:rPr>
              <w:t>Le ou les actes juridiques prévoient:</w:t>
            </w:r>
          </w:p>
          <w:p w14:paraId="47E162D4" w14:textId="77777777" w:rsidR="00F74E13" w:rsidRDefault="009274FC">
            <w:pPr>
              <w:pStyle w:val="P68B1DB1-ListParagraph14"/>
              <w:numPr>
                <w:ilvl w:val="0"/>
                <w:numId w:val="5"/>
              </w:numPr>
              <w:spacing w:after="0" w:line="240" w:lineRule="auto"/>
              <w:ind w:left="392" w:right="57"/>
              <w:jc w:val="both"/>
              <w:rPr>
                <w:noProof/>
              </w:rPr>
            </w:pPr>
            <w:r>
              <w:rPr>
                <w:noProof/>
              </w:rPr>
              <w:t>l'approbation de la liste des professions de l'enseignement et de la formation professionnels (EFP);</w:t>
            </w:r>
          </w:p>
          <w:p w14:paraId="2B9035BF" w14:textId="77777777" w:rsidR="00F74E13" w:rsidRDefault="009274FC">
            <w:pPr>
              <w:pStyle w:val="P68B1DB1-ListParagraph14"/>
              <w:numPr>
                <w:ilvl w:val="0"/>
                <w:numId w:val="5"/>
              </w:numPr>
              <w:spacing w:after="0" w:line="240" w:lineRule="auto"/>
              <w:ind w:left="392" w:right="57"/>
              <w:jc w:val="both"/>
              <w:rPr>
                <w:noProof/>
              </w:rPr>
            </w:pPr>
            <w:r>
              <w:rPr>
                <w:noProof/>
              </w:rPr>
              <w:t>approbation d’au moins 250 des éléments suivants: les normes, plans et programmes d'enseignement de l'État pour l'acquisition d'une qualification professionnelle;</w:t>
            </w:r>
          </w:p>
          <w:p w14:paraId="3F8C0C58" w14:textId="77777777" w:rsidR="00F74E13" w:rsidRDefault="009274FC">
            <w:pPr>
              <w:pStyle w:val="P68B1DB1-ListParagraph14"/>
              <w:numPr>
                <w:ilvl w:val="0"/>
                <w:numId w:val="5"/>
              </w:numPr>
              <w:spacing w:after="0" w:line="240" w:lineRule="auto"/>
              <w:ind w:left="392" w:right="57"/>
              <w:jc w:val="both"/>
              <w:rPr>
                <w:noProof/>
              </w:rPr>
            </w:pPr>
            <w:r>
              <w:rPr>
                <w:noProof/>
              </w:rPr>
              <w:t>l’élargissement du rôle des employeurs dans la modification de la liste des professions de l’EFP;</w:t>
            </w:r>
          </w:p>
          <w:p w14:paraId="1CEBD24A" w14:textId="5A7B1972" w:rsidR="00F74E13" w:rsidRDefault="009274FC">
            <w:pPr>
              <w:pStyle w:val="P68B1DB1-ListParagraph14"/>
              <w:numPr>
                <w:ilvl w:val="0"/>
                <w:numId w:val="5"/>
              </w:numPr>
              <w:spacing w:after="0" w:line="240" w:lineRule="auto"/>
              <w:ind w:left="392" w:right="57"/>
              <w:jc w:val="both"/>
              <w:rPr>
                <w:noProof/>
              </w:rPr>
            </w:pPr>
            <w:r>
              <w:rPr>
                <w:noProof/>
              </w:rPr>
              <w:t xml:space="preserve">des offres de formation en ligne. </w:t>
            </w:r>
          </w:p>
        </w:tc>
      </w:tr>
      <w:tr w:rsidR="00F74E13" w14:paraId="1CEBD25C"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4C" w14:textId="77777777" w:rsidR="00F74E13" w:rsidRDefault="009274FC">
            <w:pPr>
              <w:pStyle w:val="P68B1DB1-Normal12"/>
              <w:spacing w:after="0"/>
              <w:jc w:val="center"/>
              <w:rPr>
                <w:noProof/>
              </w:rPr>
            </w:pPr>
            <w:r>
              <w:rPr>
                <w:noProof/>
              </w:rPr>
              <w:t>5</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4D" w14:textId="77777777" w:rsidR="00F74E13" w:rsidRDefault="009274FC">
            <w:pPr>
              <w:pStyle w:val="P68B1DB1-Normal13"/>
              <w:spacing w:after="0" w:line="240" w:lineRule="auto"/>
              <w:ind w:left="57" w:right="57"/>
              <w:rPr>
                <w:noProof/>
              </w:rPr>
            </w:pPr>
            <w:r>
              <w:rPr>
                <w:noProof/>
              </w:rPr>
              <w:t xml:space="preserve">C1.R2 : </w:t>
            </w:r>
          </w:p>
          <w:p w14:paraId="1CEBD24E" w14:textId="77777777" w:rsidR="00F74E13" w:rsidRDefault="009274FC">
            <w:pPr>
              <w:pStyle w:val="P68B1DB1-Normal13"/>
              <w:spacing w:after="0" w:line="240" w:lineRule="auto"/>
              <w:ind w:left="57" w:right="57"/>
              <w:rPr>
                <w:noProof/>
              </w:rPr>
            </w:pPr>
            <w:r>
              <w:rPr>
                <w:noProof/>
              </w:rPr>
              <w:t>Réforme de l'enseignement supérieur</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4F"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50" w14:textId="77777777" w:rsidR="00F74E13" w:rsidRDefault="009274FC">
            <w:pPr>
              <w:pStyle w:val="P68B1DB1-Normal13"/>
              <w:spacing w:after="0" w:line="240" w:lineRule="auto"/>
              <w:ind w:left="57" w:right="57"/>
              <w:rPr>
                <w:noProof/>
              </w:rPr>
            </w:pPr>
            <w:r>
              <w:rPr>
                <w:noProof/>
              </w:rPr>
              <w:t>Entrée en vigueur des amendements à la loi sur l'enseignement supérieur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51" w14:textId="77777777" w:rsidR="00F74E13" w:rsidRDefault="009274FC">
            <w:pPr>
              <w:pStyle w:val="P68B1DB1-Normal13"/>
              <w:spacing w:after="0" w:line="240" w:lineRule="auto"/>
              <w:ind w:left="57" w:right="57"/>
              <w:rPr>
                <w:noProof/>
              </w:rPr>
            </w:pPr>
            <w:r>
              <w:rPr>
                <w:noProof/>
              </w:rPr>
              <w:t xml:space="preserve">Disposition de la loi indiquant l'entrée en vigueur des modifications apportées à la loi sur l'enseignement supérieur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52" w14:textId="77777777" w:rsidR="00F74E13" w:rsidRDefault="00F74E13">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53" w14:textId="77777777" w:rsidR="00F74E13" w:rsidRDefault="00F74E13">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54" w14:textId="77777777" w:rsidR="00F74E13" w:rsidRDefault="00F74E13">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55" w14:textId="77777777" w:rsidR="00F74E13" w:rsidRDefault="009274FC">
            <w:pPr>
              <w:pStyle w:val="P68B1DB1-Normal12"/>
              <w:spacing w:after="0"/>
              <w:jc w:val="center"/>
              <w:rPr>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56" w14:textId="77777777" w:rsidR="00F74E13" w:rsidRDefault="009274FC">
            <w:pPr>
              <w:pStyle w:val="P68B1DB1-Normal12"/>
              <w:spacing w:after="0"/>
              <w:jc w:val="center"/>
              <w:rPr>
                <w:noProof/>
              </w:rPr>
            </w:pPr>
            <w:r>
              <w:rPr>
                <w:noProof/>
              </w:rPr>
              <w:t>2020</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57" w14:textId="77777777" w:rsidR="00F74E13" w:rsidRDefault="009274FC">
            <w:pPr>
              <w:pStyle w:val="P68B1DB1-Normal13"/>
              <w:spacing w:after="0" w:line="240" w:lineRule="auto"/>
              <w:ind w:left="57" w:right="57"/>
              <w:jc w:val="both"/>
              <w:rPr>
                <w:noProof/>
              </w:rPr>
            </w:pPr>
            <w:r>
              <w:rPr>
                <w:noProof/>
              </w:rPr>
              <w:t>Les modifications apportées à la loi sur l'enseignement supérieur:</w:t>
            </w:r>
          </w:p>
          <w:p w14:paraId="59CBF7B6" w14:textId="77777777" w:rsidR="00F74E13" w:rsidRDefault="009274FC">
            <w:pPr>
              <w:pStyle w:val="P68B1DB1-ListParagraph14"/>
              <w:numPr>
                <w:ilvl w:val="0"/>
                <w:numId w:val="4"/>
              </w:numPr>
              <w:spacing w:after="0" w:line="240" w:lineRule="auto"/>
              <w:ind w:left="392" w:right="57" w:hanging="284"/>
              <w:jc w:val="both"/>
              <w:rPr>
                <w:noProof/>
              </w:rPr>
            </w:pPr>
            <w:r>
              <w:rPr>
                <w:noProof/>
              </w:rPr>
              <w:t xml:space="preserve">introduire un système révisé d’accréditation des établissements d’enseignement supérieur, ainsi que le statut d’«université de recherche»; </w:t>
            </w:r>
          </w:p>
          <w:p w14:paraId="2B6D488F" w14:textId="77777777" w:rsidR="00F74E13" w:rsidRDefault="009274FC">
            <w:pPr>
              <w:pStyle w:val="P68B1DB1-ListParagraph14"/>
              <w:numPr>
                <w:ilvl w:val="0"/>
                <w:numId w:val="4"/>
              </w:numPr>
              <w:spacing w:after="0" w:line="240" w:lineRule="auto"/>
              <w:ind w:left="392" w:right="57" w:hanging="284"/>
              <w:jc w:val="both"/>
              <w:rPr>
                <w:noProof/>
              </w:rPr>
            </w:pPr>
            <w:r>
              <w:rPr>
                <w:noProof/>
              </w:rPr>
              <w:t xml:space="preserve">permettre l’exonération des frais dans les établissements d’enseignement supérieur publics pour les étudiants ou les diplômés récents qui signent un accord de stage avec un employeur; </w:t>
            </w:r>
          </w:p>
          <w:p w14:paraId="67430681" w14:textId="77777777" w:rsidR="00F74E13" w:rsidRDefault="009274FC">
            <w:pPr>
              <w:pStyle w:val="P68B1DB1-ListParagraph14"/>
              <w:numPr>
                <w:ilvl w:val="0"/>
                <w:numId w:val="4"/>
              </w:numPr>
              <w:spacing w:after="0" w:line="240" w:lineRule="auto"/>
              <w:ind w:left="392" w:right="57" w:hanging="284"/>
              <w:jc w:val="both"/>
              <w:rPr>
                <w:noProof/>
              </w:rPr>
            </w:pPr>
            <w:r>
              <w:rPr>
                <w:noProof/>
              </w:rPr>
              <w:t xml:space="preserve">mettre à jour la liste des «spécialisations protégées» en fonction des pénuries attendues sur le marché du travail; </w:t>
            </w:r>
          </w:p>
          <w:p w14:paraId="1CEBD25B" w14:textId="40325DBE" w:rsidR="00F74E13" w:rsidRDefault="009274FC">
            <w:pPr>
              <w:pStyle w:val="P68B1DB1-ListParagraph14"/>
              <w:numPr>
                <w:ilvl w:val="0"/>
                <w:numId w:val="4"/>
              </w:numPr>
              <w:spacing w:after="0" w:line="240" w:lineRule="auto"/>
              <w:ind w:left="392" w:right="57" w:hanging="284"/>
              <w:jc w:val="both"/>
              <w:rPr>
                <w:noProof/>
              </w:rPr>
            </w:pPr>
            <w:r>
              <w:rPr>
                <w:noProof/>
              </w:rPr>
              <w:t>introduire la possibilité de conclure jusqu'à deux accords entre les écoles supérieures publiques et les écoles publiques ou municipales dans le système d'enseignement préscolaire et scolaire. Ces accords devraient favoriser l'acquisition d'une formation spécialisée dans l'enseignement secondaire.</w:t>
            </w:r>
          </w:p>
        </w:tc>
      </w:tr>
      <w:tr w:rsidR="00F74E13" w14:paraId="1CEBD26D"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5D" w14:textId="77777777" w:rsidR="00F74E13" w:rsidRDefault="009274FC">
            <w:pPr>
              <w:pStyle w:val="P68B1DB1-Normal13"/>
              <w:spacing w:after="0"/>
              <w:jc w:val="center"/>
              <w:rPr>
                <w:noProof/>
              </w:rPr>
            </w:pPr>
            <w:r>
              <w:rPr>
                <w:noProof/>
              </w:rPr>
              <w:t>6</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5E" w14:textId="77777777" w:rsidR="00F74E13" w:rsidRDefault="009274FC">
            <w:pPr>
              <w:pStyle w:val="P68B1DB1-Normal13"/>
              <w:spacing w:after="0" w:line="240" w:lineRule="auto"/>
              <w:ind w:left="57" w:right="57"/>
              <w:rPr>
                <w:noProof/>
              </w:rPr>
            </w:pPr>
            <w:r>
              <w:rPr>
                <w:noProof/>
              </w:rPr>
              <w:t xml:space="preserve">C1.R2 : </w:t>
            </w:r>
          </w:p>
          <w:p w14:paraId="1CEBD25F" w14:textId="77777777" w:rsidR="00F74E13" w:rsidRDefault="009274FC">
            <w:pPr>
              <w:pStyle w:val="P68B1DB1-Normal13"/>
              <w:spacing w:after="0" w:line="240" w:lineRule="auto"/>
              <w:ind w:left="57" w:right="57"/>
              <w:rPr>
                <w:noProof/>
              </w:rPr>
            </w:pPr>
            <w:r>
              <w:rPr>
                <w:noProof/>
              </w:rPr>
              <w:t>Réforme de l'enseignement supérieur</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60"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61" w14:textId="77777777" w:rsidR="00F74E13" w:rsidRDefault="009274FC">
            <w:pPr>
              <w:pStyle w:val="P68B1DB1-Normal13"/>
              <w:spacing w:after="0" w:line="240" w:lineRule="auto"/>
              <w:ind w:left="57" w:right="57"/>
              <w:rPr>
                <w:noProof/>
              </w:rPr>
            </w:pPr>
            <w:r>
              <w:rPr>
                <w:noProof/>
              </w:rPr>
              <w:t>Carte nationale de l'enseignement supérieur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62" w14:textId="77777777" w:rsidR="00F74E13" w:rsidRDefault="009274FC">
            <w:pPr>
              <w:pStyle w:val="P68B1DB1-Normal13"/>
              <w:spacing w:after="0" w:line="240" w:lineRule="auto"/>
              <w:ind w:left="57" w:right="57"/>
              <w:rPr>
                <w:noProof/>
              </w:rPr>
            </w:pPr>
            <w:r>
              <w:rPr>
                <w:noProof/>
              </w:rPr>
              <w:t xml:space="preserve">Adoption par le Conseil des ministres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63" w14:textId="77777777" w:rsidR="00F74E13" w:rsidRDefault="00F74E13">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64" w14:textId="77777777" w:rsidR="00F74E13" w:rsidRDefault="00F74E13">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65" w14:textId="77777777" w:rsidR="00F74E13" w:rsidRDefault="00F74E13">
            <w:pPr>
              <w:spacing w:after="0" w:line="240" w:lineRule="auto"/>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66" w14:textId="77777777" w:rsidR="00F74E13" w:rsidRDefault="009274FC">
            <w:pPr>
              <w:pStyle w:val="P68B1DB1-Normal12"/>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67" w14:textId="77777777" w:rsidR="00F74E13" w:rsidRDefault="009274FC">
            <w:pPr>
              <w:pStyle w:val="P68B1DB1-Normal12"/>
              <w:spacing w:after="0" w:line="240" w:lineRule="auto"/>
              <w:jc w:val="center"/>
              <w:rPr>
                <w:noProof/>
              </w:rPr>
            </w:pPr>
            <w:r>
              <w:rPr>
                <w:noProof/>
              </w:rPr>
              <w:t>2021</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68" w14:textId="77777777" w:rsidR="00F74E13" w:rsidRDefault="009274FC">
            <w:pPr>
              <w:pStyle w:val="P68B1DB1-Normal13"/>
              <w:spacing w:after="0" w:line="240" w:lineRule="auto"/>
              <w:ind w:left="57" w:right="57"/>
              <w:jc w:val="both"/>
              <w:rPr>
                <w:noProof/>
              </w:rPr>
            </w:pPr>
            <w:r>
              <w:rPr>
                <w:noProof/>
              </w:rPr>
              <w:t>La carte nationale de l’enseignement supérieur soutient la formulation de recommandations visant à promouvoir une répartition plus équilibrée de l’offre d’enseignement supérieur sur l’ensemble du territoire.</w:t>
            </w:r>
          </w:p>
          <w:p w14:paraId="1CEBD26A" w14:textId="77777777" w:rsidR="00F74E13" w:rsidRDefault="009274FC">
            <w:pPr>
              <w:pStyle w:val="P68B1DB1-Normal13"/>
              <w:spacing w:before="120" w:after="0" w:line="240" w:lineRule="auto"/>
              <w:ind w:left="57" w:right="57"/>
              <w:jc w:val="both"/>
              <w:rPr>
                <w:noProof/>
              </w:rPr>
            </w:pPr>
            <w:r>
              <w:rPr>
                <w:noProof/>
              </w:rPr>
              <w:t>La carte fournit une analyse couvrant:</w:t>
            </w:r>
          </w:p>
          <w:p w14:paraId="79BDCF7C" w14:textId="77777777" w:rsidR="00F74E13" w:rsidRDefault="009274FC">
            <w:pPr>
              <w:pStyle w:val="P68B1DB1-ListParagraph14"/>
              <w:numPr>
                <w:ilvl w:val="0"/>
                <w:numId w:val="4"/>
              </w:numPr>
              <w:spacing w:after="0" w:line="240" w:lineRule="auto"/>
              <w:ind w:left="392" w:right="57" w:hanging="283"/>
              <w:jc w:val="both"/>
              <w:rPr>
                <w:noProof/>
              </w:rPr>
            </w:pPr>
            <w:r>
              <w:rPr>
                <w:noProof/>
              </w:rPr>
              <w:t>la répartition territoriale de l’offre d’enseignement supérieur en République de Bulgarie, y compris des informations sur l’évolution socio-économique et du marché du travail aux niveaux national et régional;</w:t>
            </w:r>
          </w:p>
          <w:p w14:paraId="1CEBD26C" w14:textId="4BF4646F" w:rsidR="00F74E13" w:rsidRDefault="009274FC">
            <w:pPr>
              <w:pStyle w:val="P68B1DB1-ListParagraph14"/>
              <w:numPr>
                <w:ilvl w:val="0"/>
                <w:numId w:val="4"/>
              </w:numPr>
              <w:spacing w:after="0" w:line="240" w:lineRule="auto"/>
              <w:ind w:left="392" w:right="57" w:hanging="283"/>
              <w:jc w:val="both"/>
              <w:rPr>
                <w:noProof/>
              </w:rPr>
            </w:pPr>
            <w:r>
              <w:rPr>
                <w:noProof/>
              </w:rPr>
              <w:t>les ressources disponibles dans les établissements d’enseignement supérieur, y compris le personnel universitaire et les étudiants.</w:t>
            </w:r>
          </w:p>
        </w:tc>
      </w:tr>
      <w:tr w:rsidR="00F74E13" w14:paraId="1CEBD280"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6E" w14:textId="77777777" w:rsidR="00F74E13" w:rsidRDefault="009274FC">
            <w:pPr>
              <w:pStyle w:val="P68B1DB1-Normal13"/>
              <w:spacing w:after="0"/>
              <w:jc w:val="center"/>
              <w:rPr>
                <w:noProof/>
              </w:rPr>
            </w:pPr>
            <w:r>
              <w:rPr>
                <w:noProof/>
              </w:rPr>
              <w:t>7</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6F" w14:textId="77777777" w:rsidR="00F74E13" w:rsidRDefault="009274FC">
            <w:pPr>
              <w:pStyle w:val="P68B1DB1-Normal13"/>
              <w:spacing w:after="0" w:line="240" w:lineRule="auto"/>
              <w:ind w:left="57" w:right="57"/>
              <w:rPr>
                <w:noProof/>
              </w:rPr>
            </w:pPr>
            <w:r>
              <w:rPr>
                <w:noProof/>
              </w:rPr>
              <w:t xml:space="preserve">C1.R2 : </w:t>
            </w:r>
          </w:p>
          <w:p w14:paraId="1CEBD270" w14:textId="77777777" w:rsidR="00F74E13" w:rsidRDefault="009274FC">
            <w:pPr>
              <w:pStyle w:val="P68B1DB1-Normal13"/>
              <w:spacing w:after="0" w:line="240" w:lineRule="auto"/>
              <w:ind w:left="57" w:right="57"/>
              <w:rPr>
                <w:noProof/>
              </w:rPr>
            </w:pPr>
            <w:r>
              <w:rPr>
                <w:noProof/>
              </w:rPr>
              <w:t>Réforme de l'enseignement supérieur</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71"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72" w14:textId="77777777" w:rsidR="00F74E13" w:rsidRDefault="009274FC">
            <w:pPr>
              <w:pStyle w:val="P68B1DB1-Normal13"/>
              <w:spacing w:after="0" w:line="240" w:lineRule="auto"/>
              <w:ind w:left="57" w:right="57"/>
              <w:rPr>
                <w:noProof/>
              </w:rPr>
            </w:pPr>
            <w:r>
              <w:rPr>
                <w:noProof/>
              </w:rPr>
              <w:t>Plan d’action pour la mise en œuvre de la stratégie pour le développement de l’enseignement supérieur en République de Bulgarie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73" w14:textId="77777777" w:rsidR="00F74E13" w:rsidRDefault="009274FC">
            <w:pPr>
              <w:pStyle w:val="P68B1DB1-Normal13"/>
              <w:spacing w:after="0" w:line="240" w:lineRule="auto"/>
              <w:ind w:left="57" w:right="57"/>
              <w:rPr>
                <w:noProof/>
              </w:rPr>
            </w:pPr>
            <w:r>
              <w:rPr>
                <w:noProof/>
              </w:rPr>
              <w:t xml:space="preserve">Adoption par le Conseil des ministres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74" w14:textId="77777777" w:rsidR="00F74E13" w:rsidRDefault="00F74E13">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75" w14:textId="77777777" w:rsidR="00F74E13" w:rsidRDefault="00F74E13">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76" w14:textId="77777777" w:rsidR="00F74E13" w:rsidRDefault="00F74E13">
            <w:pPr>
              <w:spacing w:after="0"/>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77" w14:textId="77777777" w:rsidR="00F74E13" w:rsidRDefault="009274FC">
            <w:pPr>
              <w:pStyle w:val="P68B1DB1-Normal12"/>
              <w:spacing w:after="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78" w14:textId="77777777" w:rsidR="00F74E13" w:rsidRDefault="009274FC">
            <w:pPr>
              <w:pStyle w:val="P68B1DB1-Normal12"/>
              <w:spacing w:after="0"/>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79" w14:textId="77777777" w:rsidR="00F74E13" w:rsidRDefault="009274FC">
            <w:pPr>
              <w:pStyle w:val="P68B1DB1-Normal13"/>
              <w:spacing w:after="0" w:line="240" w:lineRule="auto"/>
              <w:ind w:left="57" w:right="57"/>
              <w:jc w:val="both"/>
              <w:rPr>
                <w:noProof/>
              </w:rPr>
            </w:pPr>
            <w:r>
              <w:rPr>
                <w:noProof/>
              </w:rPr>
              <w:t>Le plan d’action pour la mise en œuvre de la stratégie pour le développement de l’enseignement supérieur en République de Bulgarie (2021-2030) formule des mesures et des actions, y compris leur calendrier, pour atteindre les objectifs de la stratégie.</w:t>
            </w:r>
          </w:p>
          <w:p w14:paraId="1CEBD27A" w14:textId="77777777" w:rsidR="00F74E13" w:rsidRDefault="009274FC">
            <w:pPr>
              <w:pStyle w:val="P68B1DB1-Normal13"/>
              <w:spacing w:after="0" w:line="240" w:lineRule="auto"/>
              <w:ind w:left="57" w:right="57"/>
              <w:jc w:val="both"/>
              <w:rPr>
                <w:noProof/>
              </w:rPr>
            </w:pPr>
            <w:r>
              <w:rPr>
                <w:noProof/>
              </w:rPr>
              <w:t>Les objectifs de la stratégie couvrent:</w:t>
            </w:r>
          </w:p>
          <w:p w14:paraId="572F0754" w14:textId="77777777" w:rsidR="00F74E13" w:rsidRDefault="009274FC">
            <w:pPr>
              <w:pStyle w:val="P68B1DB1-ListParagraph14"/>
              <w:numPr>
                <w:ilvl w:val="0"/>
                <w:numId w:val="6"/>
              </w:numPr>
              <w:spacing w:after="0" w:line="240" w:lineRule="auto"/>
              <w:ind w:left="392" w:right="57"/>
              <w:jc w:val="both"/>
              <w:rPr>
                <w:noProof/>
              </w:rPr>
            </w:pPr>
            <w:r>
              <w:rPr>
                <w:noProof/>
              </w:rPr>
              <w:t>l'élaboration d'un mécanisme de mise à jour des programmes existants et d'élaboration de nouveaux programmes;</w:t>
            </w:r>
          </w:p>
          <w:p w14:paraId="54A3AE04" w14:textId="77777777" w:rsidR="00F74E13" w:rsidRDefault="009274FC">
            <w:pPr>
              <w:pStyle w:val="P68B1DB1-ListParagraph14"/>
              <w:numPr>
                <w:ilvl w:val="0"/>
                <w:numId w:val="6"/>
              </w:numPr>
              <w:spacing w:after="0" w:line="240" w:lineRule="auto"/>
              <w:ind w:left="392" w:right="57"/>
              <w:jc w:val="both"/>
              <w:rPr>
                <w:noProof/>
              </w:rPr>
            </w:pPr>
            <w:r>
              <w:rPr>
                <w:noProof/>
              </w:rPr>
              <w:t>une révision des dispositions existantes concernant l'admission subventionnée contrôlée par l'État dans les établissements publics d'enseignement supérieur. Les modifications sont apportées en fonction de l'évolution du marché du travail aux niveaux national et régional;</w:t>
            </w:r>
          </w:p>
          <w:p w14:paraId="4C3BDFF2" w14:textId="77777777" w:rsidR="00F74E13" w:rsidRDefault="009274FC">
            <w:pPr>
              <w:pStyle w:val="P68B1DB1-ListParagraph14"/>
              <w:numPr>
                <w:ilvl w:val="0"/>
                <w:numId w:val="6"/>
              </w:numPr>
              <w:spacing w:after="0" w:line="240" w:lineRule="auto"/>
              <w:ind w:left="392" w:right="57"/>
              <w:jc w:val="both"/>
              <w:rPr>
                <w:noProof/>
              </w:rPr>
            </w:pPr>
            <w:r>
              <w:rPr>
                <w:noProof/>
              </w:rPr>
              <w:t>l'amélioration de la recherche et la promotion de l'enseignement supérieur par le développement de réseaux scientifiques;</w:t>
            </w:r>
          </w:p>
          <w:p w14:paraId="52AB524C" w14:textId="77777777" w:rsidR="00F74E13" w:rsidRDefault="009274FC">
            <w:pPr>
              <w:pStyle w:val="P68B1DB1-ListParagraph14"/>
              <w:numPr>
                <w:ilvl w:val="0"/>
                <w:numId w:val="6"/>
              </w:numPr>
              <w:spacing w:after="0" w:line="240" w:lineRule="auto"/>
              <w:ind w:left="392" w:right="57"/>
              <w:jc w:val="both"/>
              <w:rPr>
                <w:noProof/>
              </w:rPr>
            </w:pPr>
            <w:r>
              <w:rPr>
                <w:noProof/>
              </w:rPr>
              <w:t>l'introduction de spécialisations et de programmes supplémentaires dans l'enseignement supérieur avec double diplôme;</w:t>
            </w:r>
          </w:p>
          <w:p w14:paraId="1CEBD27F" w14:textId="5E85EB93" w:rsidR="00F74E13" w:rsidRDefault="009274FC">
            <w:pPr>
              <w:pStyle w:val="P68B1DB1-ListParagraph14"/>
              <w:numPr>
                <w:ilvl w:val="0"/>
                <w:numId w:val="6"/>
              </w:numPr>
              <w:spacing w:after="0" w:line="240" w:lineRule="auto"/>
              <w:ind w:left="392" w:right="57"/>
              <w:jc w:val="both"/>
              <w:rPr>
                <w:noProof/>
              </w:rPr>
            </w:pPr>
            <w:r>
              <w:rPr>
                <w:noProof/>
              </w:rPr>
              <w:t>la création de centres de formation pour l'apprentissage tout au long de la vie dans les établissements d'enseignement supérieur;</w:t>
            </w:r>
          </w:p>
        </w:tc>
      </w:tr>
      <w:tr w:rsidR="00F74E13" w14:paraId="1CEBD290"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81" w14:textId="77777777" w:rsidR="00F74E13" w:rsidRDefault="009274FC">
            <w:pPr>
              <w:pStyle w:val="P68B1DB1-Normal12"/>
              <w:spacing w:after="0"/>
              <w:jc w:val="center"/>
              <w:rPr>
                <w:noProof/>
              </w:rPr>
            </w:pPr>
            <w:r>
              <w:rPr>
                <w:noProof/>
              </w:rPr>
              <w:t>8</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82" w14:textId="77777777" w:rsidR="00F74E13" w:rsidRDefault="009274FC">
            <w:pPr>
              <w:pStyle w:val="P68B1DB1-Normal13"/>
              <w:spacing w:after="0" w:line="240" w:lineRule="auto"/>
              <w:ind w:left="57" w:right="57"/>
              <w:rPr>
                <w:noProof/>
              </w:rPr>
            </w:pPr>
            <w:r>
              <w:rPr>
                <w:noProof/>
              </w:rPr>
              <w:t xml:space="preserve">C1.I1 : </w:t>
            </w:r>
          </w:p>
          <w:p w14:paraId="1CEBD283" w14:textId="77777777" w:rsidR="00F74E13" w:rsidRDefault="009274FC">
            <w:pPr>
              <w:pStyle w:val="P68B1DB1-Normal13"/>
              <w:spacing w:after="0" w:line="240" w:lineRule="auto"/>
              <w:ind w:left="57" w:right="57"/>
              <w:rPr>
                <w:noProof/>
              </w:rPr>
            </w:pPr>
            <w:r>
              <w:rPr>
                <w:noProof/>
              </w:rPr>
              <w:t>Les centres STEM et l'innovation dans l'éducation</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84"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85" w14:textId="44C8B0C6" w:rsidR="00F74E13" w:rsidRDefault="009274FC">
            <w:pPr>
              <w:pStyle w:val="P68B1DB1-Normal13"/>
              <w:spacing w:after="0" w:line="240" w:lineRule="auto"/>
              <w:ind w:left="57" w:right="57"/>
              <w:rPr>
                <w:noProof/>
              </w:rPr>
            </w:pPr>
            <w:r>
              <w:rPr>
                <w:noProof/>
              </w:rPr>
              <w:t xml:space="preserve">Création du centre national STEM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86" w14:textId="623278C4" w:rsidR="00F74E13" w:rsidRDefault="009274FC">
            <w:pPr>
              <w:pStyle w:val="P68B1DB1-Normal13"/>
              <w:spacing w:after="0" w:line="240" w:lineRule="auto"/>
              <w:ind w:left="57" w:right="57"/>
              <w:rPr>
                <w:noProof/>
              </w:rPr>
            </w:pPr>
            <w:r>
              <w:rPr>
                <w:noProof/>
              </w:rPr>
              <w:t>Disposition de la législation nationale indiquant la création du centre national STEM</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87" w14:textId="77777777" w:rsidR="00F74E13" w:rsidRDefault="00F74E13">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88" w14:textId="77777777" w:rsidR="00F74E13" w:rsidRDefault="00F74E13">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89" w14:textId="77777777" w:rsidR="00F74E13" w:rsidRDefault="00F74E13">
            <w:pPr>
              <w:spacing w:after="0" w:line="240" w:lineRule="auto"/>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8A" w14:textId="77777777" w:rsidR="00F74E13" w:rsidRDefault="009274FC">
            <w:pPr>
              <w:pStyle w:val="P68B1DB1-Normal12"/>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8B" w14:textId="77777777" w:rsidR="00F74E13" w:rsidRDefault="009274FC">
            <w:pPr>
              <w:pStyle w:val="P68B1DB1-Normal12"/>
              <w:spacing w:after="0" w:line="240" w:lineRule="auto"/>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8C" w14:textId="77777777" w:rsidR="00F74E13" w:rsidRDefault="009274FC">
            <w:pPr>
              <w:pStyle w:val="P68B1DB1-Normal13"/>
              <w:spacing w:after="0" w:line="240" w:lineRule="auto"/>
              <w:ind w:left="57" w:right="57"/>
              <w:jc w:val="both"/>
              <w:rPr>
                <w:noProof/>
              </w:rPr>
            </w:pPr>
            <w:r>
              <w:rPr>
                <w:noProof/>
              </w:rPr>
              <w:t xml:space="preserve">Les principales responsabilités du centre national STEM comprennent: </w:t>
            </w:r>
          </w:p>
          <w:p w14:paraId="4747E7B5" w14:textId="77777777" w:rsidR="00F74E13" w:rsidRDefault="009274FC">
            <w:pPr>
              <w:pStyle w:val="P68B1DB1-ListParagraph14"/>
              <w:numPr>
                <w:ilvl w:val="0"/>
                <w:numId w:val="7"/>
              </w:numPr>
              <w:spacing w:after="0" w:line="240" w:lineRule="auto"/>
              <w:ind w:left="392" w:right="57"/>
              <w:jc w:val="both"/>
              <w:rPr>
                <w:noProof/>
              </w:rPr>
            </w:pPr>
            <w:r>
              <w:rPr>
                <w:noProof/>
              </w:rPr>
              <w:t>l'organisation de formations pour les enseignants et autres professionnels de la pédagogie;</w:t>
            </w:r>
          </w:p>
          <w:p w14:paraId="28D4FFAA" w14:textId="77777777" w:rsidR="00F74E13" w:rsidRDefault="009274FC">
            <w:pPr>
              <w:pStyle w:val="P68B1DB1-ListParagraph14"/>
              <w:numPr>
                <w:ilvl w:val="0"/>
                <w:numId w:val="7"/>
              </w:numPr>
              <w:spacing w:after="0" w:line="240" w:lineRule="auto"/>
              <w:ind w:left="392" w:right="57"/>
              <w:jc w:val="both"/>
              <w:rPr>
                <w:noProof/>
              </w:rPr>
            </w:pPr>
            <w:r>
              <w:rPr>
                <w:noProof/>
              </w:rPr>
              <w:t>le développement de matériel pédagogique et la mise en place et la maintenance d'un portail électronique et d'une bibliothèque avec des ressources éducatives accessibles au public;</w:t>
            </w:r>
          </w:p>
          <w:p w14:paraId="1CEBD28F" w14:textId="5FED2C9A" w:rsidR="00F74E13" w:rsidRDefault="009274FC">
            <w:pPr>
              <w:pStyle w:val="P68B1DB1-ListParagraph14"/>
              <w:numPr>
                <w:ilvl w:val="0"/>
                <w:numId w:val="7"/>
              </w:numPr>
              <w:spacing w:after="0" w:line="240" w:lineRule="auto"/>
              <w:ind w:left="392" w:right="57"/>
              <w:jc w:val="both"/>
              <w:rPr>
                <w:noProof/>
              </w:rPr>
            </w:pPr>
            <w:r>
              <w:rPr>
                <w:noProof/>
              </w:rPr>
              <w:t>la coordination et le soutien des activités des étudiants dans les domaines des STIM, y compris la participation à des concours olympiques scientifiques.</w:t>
            </w:r>
          </w:p>
        </w:tc>
      </w:tr>
      <w:tr w:rsidR="00F74E13" w14:paraId="1CEBD2A3"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91" w14:textId="77777777" w:rsidR="00F74E13" w:rsidRDefault="009274FC">
            <w:pPr>
              <w:pStyle w:val="P68B1DB1-Normal15"/>
              <w:spacing w:after="0"/>
              <w:jc w:val="center"/>
              <w:rPr>
                <w:noProof/>
              </w:rPr>
            </w:pPr>
            <w:r>
              <w:rPr>
                <w:noProof/>
              </w:rPr>
              <w:t>10</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92" w14:textId="77777777" w:rsidR="00F74E13" w:rsidRDefault="009274FC">
            <w:pPr>
              <w:pStyle w:val="P68B1DB1-Normal15"/>
              <w:spacing w:after="0" w:line="240" w:lineRule="auto"/>
              <w:ind w:left="57" w:right="57"/>
              <w:rPr>
                <w:noProof/>
              </w:rPr>
            </w:pPr>
            <w:r>
              <w:rPr>
                <w:noProof/>
              </w:rPr>
              <w:t xml:space="preserve">C1.I1 : </w:t>
            </w:r>
          </w:p>
          <w:p w14:paraId="1CEBD293" w14:textId="77777777" w:rsidR="00F74E13" w:rsidRDefault="009274FC">
            <w:pPr>
              <w:pStyle w:val="P68B1DB1-Normal15"/>
              <w:spacing w:after="0" w:line="240" w:lineRule="auto"/>
              <w:ind w:left="57" w:right="57"/>
              <w:rPr>
                <w:noProof/>
              </w:rPr>
            </w:pPr>
            <w:r>
              <w:rPr>
                <w:noProof/>
              </w:rPr>
              <w:t>Les centres STEM et l'innovation dans l'éducation</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94" w14:textId="77777777" w:rsidR="00F74E13" w:rsidRDefault="009274FC">
            <w:pPr>
              <w:pStyle w:val="P68B1DB1-Normal12"/>
              <w:spacing w:after="0" w:line="240" w:lineRule="auto"/>
              <w:ind w:left="57" w:right="57"/>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95" w14:textId="7CB4C953" w:rsidR="00F74E13" w:rsidRDefault="009274FC">
            <w:pPr>
              <w:pStyle w:val="P68B1DB1-Normal15"/>
              <w:spacing w:after="0" w:line="240" w:lineRule="auto"/>
              <w:ind w:left="57" w:right="57"/>
              <w:rPr>
                <w:noProof/>
              </w:rPr>
            </w:pPr>
            <w:r>
              <w:rPr>
                <w:noProof/>
              </w:rPr>
              <w:t>Construction et/ou rénovation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96" w14:textId="77777777" w:rsidR="00F74E13" w:rsidRDefault="009274FC">
            <w:pPr>
              <w:pStyle w:val="P68B1DB1-Normal15"/>
              <w:spacing w:after="0" w:line="240" w:lineRule="auto"/>
              <w:ind w:left="57" w:right="57"/>
              <w:rPr>
                <w:noProof/>
              </w:rPr>
            </w:pPr>
            <w:r>
              <w:rPr>
                <w:noProof/>
              </w:rPr>
              <w: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97" w14:textId="77777777" w:rsidR="00F74E13" w:rsidRDefault="009274FC">
            <w:pPr>
              <w:pStyle w:val="P68B1DB1-Normal13"/>
              <w:spacing w:after="0" w:line="240" w:lineRule="auto"/>
              <w:rPr>
                <w:noProof/>
              </w:rPr>
            </w:pPr>
            <w:r>
              <w:rPr>
                <w:noProof/>
              </w:rPr>
              <w:t xml:space="preserve">Numéro </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98" w14:textId="77777777" w:rsidR="00F74E13" w:rsidRDefault="009274FC">
            <w:pPr>
              <w:pStyle w:val="P68B1DB1-Normal12"/>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99" w14:textId="77777777" w:rsidR="00F74E13" w:rsidRDefault="009274FC">
            <w:pPr>
              <w:pStyle w:val="P68B1DB1-Normal12"/>
              <w:spacing w:after="0" w:line="240" w:lineRule="auto"/>
              <w:jc w:val="center"/>
              <w:rPr>
                <w:noProof/>
              </w:rPr>
            </w:pPr>
            <w:r>
              <w:rPr>
                <w:noProof/>
              </w:rPr>
              <w:t>2 008</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9A" w14:textId="77777777" w:rsidR="00F74E13" w:rsidRDefault="009274FC">
            <w:pPr>
              <w:pStyle w:val="P68B1DB1-Normal12"/>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9B" w14:textId="77777777" w:rsidR="00F74E13" w:rsidRDefault="009274FC">
            <w:pPr>
              <w:pStyle w:val="P68B1DB1-Normal12"/>
              <w:spacing w:after="0"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9C" w14:textId="222B1AFA" w:rsidR="00F74E13" w:rsidRDefault="009274FC">
            <w:pPr>
              <w:pStyle w:val="P68B1DB1-Normal13"/>
              <w:spacing w:after="0" w:line="240" w:lineRule="auto"/>
              <w:ind w:left="57" w:right="57"/>
              <w:jc w:val="both"/>
              <w:rPr>
                <w:noProof/>
              </w:rPr>
            </w:pPr>
            <w:r>
              <w:rPr>
                <w:noProof/>
              </w:rPr>
              <w:t>Le centre STEM national et les installations de formation de trois centres STEM régionaux sont construits et/ou rénovés. En outre, la ou les preuves de la livraison et/ou de l’installation d’équipements dans chaque centre doivent être fournies.</w:t>
            </w:r>
          </w:p>
          <w:p w14:paraId="1CEBD2A0" w14:textId="0698CF15" w:rsidR="00F74E13" w:rsidRDefault="009274FC">
            <w:pPr>
              <w:pStyle w:val="P68B1DB1-Normal13"/>
              <w:spacing w:before="120" w:after="0" w:line="240" w:lineRule="auto"/>
              <w:ind w:left="57" w:right="57"/>
              <w:jc w:val="both"/>
              <w:rPr>
                <w:rFonts w:cs="Times New Roman"/>
                <w:noProof/>
              </w:rPr>
            </w:pPr>
            <w:r>
              <w:rPr>
                <w:noProof/>
              </w:rPr>
              <w:t xml:space="preserve">2 004 Les laboratoires STEM des écoles doivent être construits et/ou rénovés. </w:t>
            </w:r>
          </w:p>
          <w:p w14:paraId="1CEBD2A2" w14:textId="60BAD39F" w:rsidR="00F74E13" w:rsidRDefault="009274FC">
            <w:pPr>
              <w:pStyle w:val="P68B1DB1-Normal13"/>
              <w:spacing w:before="120" w:after="0" w:line="240" w:lineRule="auto"/>
              <w:ind w:left="57" w:right="57"/>
              <w:jc w:val="both"/>
              <w:rPr>
                <w:noProof/>
              </w:rPr>
            </w:pPr>
            <w:r>
              <w:rPr>
                <w:noProof/>
              </w:rPr>
              <w:t>En outre, la ou les preuves de la livraison et/ou de l’installation d’équipements pour chacun des laboratoires STEM doivent être fournies.</w:t>
            </w:r>
          </w:p>
        </w:tc>
      </w:tr>
      <w:tr w:rsidR="00F74E13" w14:paraId="1CEBD2B5"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A4" w14:textId="77777777" w:rsidR="00F74E13" w:rsidRDefault="009274FC">
            <w:pPr>
              <w:pStyle w:val="P68B1DB1-Normal15"/>
              <w:spacing w:after="0"/>
              <w:jc w:val="center"/>
              <w:rPr>
                <w:noProof/>
              </w:rPr>
            </w:pPr>
            <w:r>
              <w:rPr>
                <w:noProof/>
              </w:rPr>
              <w:t>13</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A5" w14:textId="77777777" w:rsidR="00F74E13" w:rsidRDefault="009274FC">
            <w:pPr>
              <w:pStyle w:val="P68B1DB1-Normal15"/>
              <w:spacing w:after="0" w:line="240" w:lineRule="auto"/>
              <w:ind w:left="57" w:right="57"/>
              <w:rPr>
                <w:noProof/>
              </w:rPr>
            </w:pPr>
            <w:bookmarkStart w:id="2" w:name="_Hlk212230861"/>
            <w:r>
              <w:rPr>
                <w:noProof/>
              </w:rPr>
              <w:t xml:space="preserve">C1.I2 : </w:t>
            </w:r>
          </w:p>
          <w:bookmarkEnd w:id="2"/>
          <w:p w14:paraId="1CEBD2A6" w14:textId="77777777" w:rsidR="00F74E13" w:rsidRDefault="009274FC">
            <w:pPr>
              <w:pStyle w:val="P68B1DB1-Normal15"/>
              <w:spacing w:after="0" w:line="240" w:lineRule="auto"/>
              <w:ind w:left="57" w:right="57"/>
              <w:rPr>
                <w:noProof/>
              </w:rPr>
            </w:pPr>
            <w:r>
              <w:rPr>
                <w:noProof/>
                <w:szCs w:val="20"/>
              </w:rPr>
              <w:t xml:space="preserve">Travaux d'infrastructure dans les </w:t>
            </w:r>
            <w:r>
              <w:rPr>
                <w:noProof/>
              </w:rPr>
              <w:t xml:space="preserve"> </w:t>
            </w:r>
            <w:r>
              <w:rPr>
                <w:noProof/>
                <w:szCs w:val="20"/>
              </w:rPr>
              <w:t>établissements</w:t>
            </w:r>
            <w:r>
              <w:rPr>
                <w:noProof/>
              </w:rPr>
              <w:t xml:space="preserve"> d'enseignement</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A7" w14:textId="77777777" w:rsidR="00F74E13" w:rsidRDefault="009274FC">
            <w:pPr>
              <w:pStyle w:val="P68B1DB1-Normal15"/>
              <w:spacing w:after="0" w:line="240" w:lineRule="auto"/>
              <w:ind w:left="57" w:right="57"/>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A8" w14:textId="3183C2CA" w:rsidR="00F74E13" w:rsidRDefault="009274FC">
            <w:pPr>
              <w:pStyle w:val="P68B1DB1-Normal15"/>
              <w:spacing w:after="0" w:line="240" w:lineRule="auto"/>
              <w:ind w:left="57" w:right="57"/>
              <w:rPr>
                <w:noProof/>
              </w:rPr>
            </w:pPr>
            <w:r>
              <w:rPr>
                <w:noProof/>
              </w:rPr>
              <w:t>Rénovation et/ou construction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A9" w14:textId="77777777" w:rsidR="00F74E13" w:rsidRDefault="00F74E13">
            <w:pPr>
              <w:spacing w:after="0" w:line="240" w:lineRule="auto"/>
              <w:ind w:left="57" w:right="57"/>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AA" w14:textId="77777777" w:rsidR="00F74E13" w:rsidRDefault="009274FC">
            <w:pPr>
              <w:pStyle w:val="P68B1DB1-Normal15"/>
              <w:spacing w:after="0" w:line="240" w:lineRule="auto"/>
              <w:rPr>
                <w:noProof/>
              </w:rPr>
            </w:pPr>
            <w:r>
              <w:rPr>
                <w:noProof/>
              </w:rPr>
              <w:t>Numéro</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AB" w14:textId="77777777" w:rsidR="00F74E13" w:rsidRDefault="009274FC">
            <w:pPr>
              <w:pStyle w:val="P68B1DB1-Normal15"/>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AC" w14:textId="77777777" w:rsidR="00F74E13" w:rsidRDefault="009274FC">
            <w:pPr>
              <w:pStyle w:val="P68B1DB1-Normal12"/>
              <w:spacing w:after="0" w:line="240" w:lineRule="auto"/>
              <w:jc w:val="center"/>
              <w:rPr>
                <w:noProof/>
              </w:rPr>
            </w:pPr>
            <w:r>
              <w:rPr>
                <w:noProof/>
              </w:rPr>
              <w:t>174</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AD" w14:textId="77777777" w:rsidR="00F74E13" w:rsidRDefault="009274FC">
            <w:pPr>
              <w:pStyle w:val="P68B1DB1-Normal12"/>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AE" w14:textId="77777777" w:rsidR="00F74E13" w:rsidRDefault="009274FC">
            <w:pPr>
              <w:pStyle w:val="P68B1DB1-Normal12"/>
              <w:spacing w:after="0"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5A937346" w14:textId="1A9ABDB0" w:rsidR="00F74E13" w:rsidRDefault="009274FC">
            <w:pPr>
              <w:pStyle w:val="P68B1DB1-Normal12"/>
              <w:spacing w:after="0" w:line="240" w:lineRule="auto"/>
              <w:ind w:left="57" w:right="57"/>
              <w:jc w:val="both"/>
              <w:rPr>
                <w:noProof/>
              </w:rPr>
            </w:pPr>
            <w:r>
              <w:rPr>
                <w:noProof/>
              </w:rPr>
              <w:t>174 des éléments suivants doivent être rénovés et/ou construits: jardins d'enfants, écoles, écoles professionnelles, dortoirs d'étudiants et campus universitaires.</w:t>
            </w:r>
          </w:p>
          <w:p w14:paraId="1CEBD2AF" w14:textId="3283894C" w:rsidR="00F74E13" w:rsidRDefault="009274FC">
            <w:pPr>
              <w:pStyle w:val="P68B1DB1-Normal12"/>
              <w:spacing w:after="0" w:line="240" w:lineRule="auto"/>
              <w:ind w:left="57" w:right="57"/>
              <w:jc w:val="both"/>
              <w:rPr>
                <w:noProof/>
              </w:rPr>
            </w:pPr>
            <w:r>
              <w:rPr>
                <w:noProof/>
              </w:rPr>
              <w:t>En outre, la ou les preuves de la livraison du matériel et/ou du mobilier doivent être fournies pour un total de 40 écoles/jardins d’enfants/écoles professionnelles.</w:t>
            </w:r>
          </w:p>
          <w:p w14:paraId="0E51A1E8" w14:textId="2BF0711A" w:rsidR="00F74E13" w:rsidRDefault="009274FC">
            <w:pPr>
              <w:pStyle w:val="P68B1DB1-Normal12"/>
              <w:spacing w:before="120" w:after="0" w:line="240" w:lineRule="auto"/>
              <w:ind w:left="57" w:right="57"/>
              <w:jc w:val="both"/>
              <w:rPr>
                <w:noProof/>
              </w:rPr>
            </w:pPr>
            <w:r>
              <w:rPr>
                <w:noProof/>
              </w:rPr>
              <w:t>Un certificat de performance énergétique est délivré pour un total de neuf jardins d’enfants et/ou écoles, attestant que:</w:t>
            </w:r>
          </w:p>
          <w:p w14:paraId="14C11568" w14:textId="77777777" w:rsidR="00F74E13" w:rsidRDefault="009274FC">
            <w:pPr>
              <w:pStyle w:val="P68B1DB1-ListParagraph16"/>
              <w:numPr>
                <w:ilvl w:val="0"/>
                <w:numId w:val="93"/>
              </w:numPr>
              <w:spacing w:before="120" w:after="0" w:line="240" w:lineRule="auto"/>
              <w:ind w:left="250" w:right="57" w:hanging="142"/>
              <w:jc w:val="both"/>
              <w:rPr>
                <w:noProof/>
              </w:rPr>
            </w:pPr>
            <w:r>
              <w:rPr>
                <w:noProof/>
              </w:rPr>
              <w:t>la demande d’énergie primaire du bâtiment ne dépasse pas:</w:t>
            </w:r>
          </w:p>
          <w:p w14:paraId="0E418DA7" w14:textId="4590EB2C" w:rsidR="00F74E13" w:rsidRDefault="009274FC">
            <w:pPr>
              <w:pStyle w:val="P68B1DB1-ListParagraph16"/>
              <w:numPr>
                <w:ilvl w:val="0"/>
                <w:numId w:val="94"/>
              </w:numPr>
              <w:spacing w:before="120" w:after="0" w:line="240" w:lineRule="auto"/>
              <w:ind w:right="57"/>
              <w:jc w:val="both"/>
              <w:rPr>
                <w:noProof/>
              </w:rPr>
            </w:pPr>
            <w:r>
              <w:rPr>
                <w:noProof/>
              </w:rPr>
              <w:t>28 kWh/m² par an pour un bâtiment scolaire; ou</w:t>
            </w:r>
          </w:p>
          <w:p w14:paraId="4713A05E" w14:textId="4452CB72" w:rsidR="00F74E13" w:rsidRDefault="009274FC">
            <w:pPr>
              <w:pStyle w:val="P68B1DB1-ListParagraph16"/>
              <w:numPr>
                <w:ilvl w:val="0"/>
                <w:numId w:val="94"/>
              </w:numPr>
              <w:spacing w:before="120" w:after="0" w:line="240" w:lineRule="auto"/>
              <w:ind w:right="57"/>
              <w:jc w:val="both"/>
              <w:rPr>
                <w:noProof/>
              </w:rPr>
            </w:pPr>
            <w:r>
              <w:rPr>
                <w:noProof/>
              </w:rPr>
              <w:t>48 kWh/m² par an pour un bâtiment de jardin d'enfants; ou</w:t>
            </w:r>
          </w:p>
          <w:p w14:paraId="7CC3297E" w14:textId="219E3649" w:rsidR="00F74E13" w:rsidRDefault="009274FC">
            <w:pPr>
              <w:pStyle w:val="P68B1DB1-ListParagraph16"/>
              <w:numPr>
                <w:ilvl w:val="0"/>
                <w:numId w:val="94"/>
              </w:numPr>
              <w:spacing w:before="120" w:after="0" w:line="240" w:lineRule="auto"/>
              <w:ind w:right="57"/>
              <w:jc w:val="both"/>
              <w:rPr>
                <w:noProof/>
              </w:rPr>
            </w:pPr>
            <w:r>
              <w:rPr>
                <w:noProof/>
              </w:rPr>
              <w:t>140 kWh/m² par an pour un bâtiment sportif scolaire; et</w:t>
            </w:r>
          </w:p>
          <w:p w14:paraId="1CEBD2B4" w14:textId="6686DDD9" w:rsidR="00F74E13" w:rsidRDefault="009274FC">
            <w:pPr>
              <w:pStyle w:val="P68B1DB1-ListParagraph16"/>
              <w:numPr>
                <w:ilvl w:val="0"/>
                <w:numId w:val="93"/>
              </w:numPr>
              <w:spacing w:before="120" w:after="0" w:line="240" w:lineRule="auto"/>
              <w:ind w:left="250" w:right="57" w:hanging="142"/>
              <w:jc w:val="both"/>
              <w:rPr>
                <w:noProof/>
              </w:rPr>
            </w:pPr>
            <w:r>
              <w:rPr>
                <w:noProof/>
              </w:rPr>
              <w:t>au moins 55 % de l’énergie consommée pour le chauffage, le refroidissement, la ventilation, l’eau chaude sanitaire et l’éclairage provient de sources d’énergie renouvelables.</w:t>
            </w:r>
          </w:p>
        </w:tc>
      </w:tr>
      <w:tr w:rsidR="00F74E13" w14:paraId="1CEBD2C5"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B6" w14:textId="77777777" w:rsidR="00F74E13" w:rsidRDefault="009274FC">
            <w:pPr>
              <w:pStyle w:val="P68B1DB1-Normal13"/>
              <w:spacing w:after="0"/>
              <w:jc w:val="center"/>
              <w:rPr>
                <w:noProof/>
              </w:rPr>
            </w:pPr>
            <w:r>
              <w:rPr>
                <w:noProof/>
              </w:rPr>
              <w:t>18</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B7" w14:textId="77777777" w:rsidR="00F74E13" w:rsidRDefault="009274FC">
            <w:pPr>
              <w:pStyle w:val="P68B1DB1-Normal15"/>
              <w:spacing w:after="0" w:line="240" w:lineRule="auto"/>
              <w:ind w:left="57" w:right="57"/>
              <w:rPr>
                <w:noProof/>
              </w:rPr>
            </w:pPr>
            <w:r>
              <w:rPr>
                <w:noProof/>
              </w:rPr>
              <w:t xml:space="preserve">C1.I3 : </w:t>
            </w:r>
          </w:p>
          <w:p w14:paraId="1CEBD2B8" w14:textId="77777777" w:rsidR="00F74E13" w:rsidRDefault="009274FC">
            <w:pPr>
              <w:pStyle w:val="P68B1DB1-Normal13"/>
              <w:spacing w:after="0" w:line="240" w:lineRule="auto"/>
              <w:ind w:left="57" w:right="57"/>
              <w:rPr>
                <w:noProof/>
              </w:rPr>
            </w:pPr>
            <w:r>
              <w:rPr>
                <w:noProof/>
              </w:rPr>
              <w:t>Compétences numériques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B9" w14:textId="77777777" w:rsidR="00F74E13" w:rsidRDefault="009274FC">
            <w:pPr>
              <w:pStyle w:val="P68B1DB1-Normal13"/>
              <w:spacing w:after="0" w:line="240" w:lineRule="auto"/>
              <w:ind w:left="57" w:right="57"/>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BA" w14:textId="77777777" w:rsidR="00F74E13" w:rsidRDefault="009274FC">
            <w:pPr>
              <w:pStyle w:val="P68B1DB1-Normal13"/>
              <w:spacing w:after="0" w:line="240" w:lineRule="auto"/>
              <w:ind w:left="57" w:right="57"/>
              <w:rPr>
                <w:noProof/>
              </w:rPr>
            </w:pPr>
            <w:r>
              <w:rPr>
                <w:noProof/>
              </w:rPr>
              <w:t xml:space="preserve">Clubs numériques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BB" w14:textId="77777777" w:rsidR="00F74E13" w:rsidRDefault="00F74E13">
            <w:pPr>
              <w:spacing w:after="0" w:line="240" w:lineRule="auto"/>
              <w:ind w:left="57" w:right="57"/>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BC" w14:textId="77777777" w:rsidR="00F74E13" w:rsidRDefault="009274FC">
            <w:pPr>
              <w:pStyle w:val="P68B1DB1-Normal15"/>
              <w:spacing w:after="0" w:line="240" w:lineRule="auto"/>
              <w:rPr>
                <w:noProof/>
              </w:rPr>
            </w:pPr>
            <w:r>
              <w:rPr>
                <w:noProof/>
              </w:rPr>
              <w:t>Numéro</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BD" w14:textId="77777777" w:rsidR="00F74E13" w:rsidRDefault="009274FC">
            <w:pPr>
              <w:pStyle w:val="P68B1DB1-Normal15"/>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BE" w14:textId="77777777" w:rsidR="00F74E13" w:rsidRDefault="009274FC">
            <w:pPr>
              <w:pStyle w:val="P68B1DB1-Normal13"/>
              <w:spacing w:after="0" w:line="240" w:lineRule="auto"/>
              <w:jc w:val="center"/>
              <w:rPr>
                <w:noProof/>
              </w:rPr>
            </w:pPr>
            <w:r>
              <w:rPr>
                <w:noProof/>
              </w:rPr>
              <w:t>760</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BF" w14:textId="77777777" w:rsidR="00F74E13" w:rsidRDefault="009274FC">
            <w:pPr>
              <w:pStyle w:val="P68B1DB1-Normal12"/>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C0" w14:textId="77777777" w:rsidR="00F74E13" w:rsidRDefault="009274FC">
            <w:pPr>
              <w:pStyle w:val="P68B1DB1-Normal12"/>
              <w:spacing w:after="0"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C1" w14:textId="5DE86049" w:rsidR="00F74E13" w:rsidRDefault="009274FC">
            <w:pPr>
              <w:pStyle w:val="P68B1DB1-Normal13"/>
              <w:spacing w:after="0" w:line="240" w:lineRule="auto"/>
              <w:ind w:left="57" w:right="57"/>
              <w:jc w:val="both"/>
              <w:rPr>
                <w:noProof/>
              </w:rPr>
            </w:pPr>
            <w:r>
              <w:rPr>
                <w:noProof/>
              </w:rPr>
              <w:t>760 clubs numériques sont construits et/ou rénovés.</w:t>
            </w:r>
          </w:p>
          <w:p w14:paraId="1CEBD2C2" w14:textId="24FA416D" w:rsidR="00F74E13" w:rsidRDefault="009274FC">
            <w:pPr>
              <w:pStyle w:val="P68B1DB1-Normal13"/>
              <w:spacing w:after="0" w:line="240" w:lineRule="auto"/>
              <w:ind w:left="57" w:right="57"/>
              <w:jc w:val="both"/>
              <w:rPr>
                <w:noProof/>
              </w:rPr>
            </w:pPr>
            <w:r>
              <w:rPr>
                <w:noProof/>
              </w:rPr>
              <w:t>La ou les preuves de la livraison de l'équipement doivent être fournies.</w:t>
            </w:r>
          </w:p>
          <w:p w14:paraId="1CEBD2C3" w14:textId="296F32DC" w:rsidR="00F74E13" w:rsidRDefault="009274FC">
            <w:pPr>
              <w:pStyle w:val="P68B1DB1-Normal13"/>
              <w:spacing w:after="0" w:line="240" w:lineRule="auto"/>
              <w:ind w:left="57" w:right="57"/>
              <w:jc w:val="both"/>
              <w:rPr>
                <w:noProof/>
              </w:rPr>
            </w:pPr>
            <w:r>
              <w:rPr>
                <w:noProof/>
              </w:rPr>
              <w:t>L’appel à propositions pour la sélection de clubs numériques exige qu’ils fournissent un accès gratuit aux cours de formation pour l’éducation et la formation des adultes.</w:t>
            </w:r>
          </w:p>
          <w:p w14:paraId="1CEBD2C4" w14:textId="77777777" w:rsidR="00F74E13" w:rsidRDefault="009274FC">
            <w:pPr>
              <w:pStyle w:val="P68B1DB1-Normal13"/>
              <w:spacing w:after="0" w:line="240" w:lineRule="auto"/>
              <w:ind w:left="57" w:right="57"/>
              <w:jc w:val="both"/>
              <w:rPr>
                <w:noProof/>
              </w:rPr>
            </w:pPr>
            <w:bookmarkStart w:id="3" w:name="_Hlk212230974"/>
            <w:r>
              <w:rPr>
                <w:noProof/>
              </w:rPr>
              <w:t>Une plateforme d’apprentissage en ligne pour adultes est accessible en ligne.</w:t>
            </w:r>
            <w:bookmarkEnd w:id="3"/>
          </w:p>
        </w:tc>
      </w:tr>
      <w:tr w:rsidR="00F74E13" w14:paraId="1CEBD2D3" w14:textId="77777777" w:rsidTr="00C24F7E">
        <w:trPr>
          <w:trHeight w:val="562"/>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C6" w14:textId="76769EE1" w:rsidR="00F74E13" w:rsidRDefault="009274FC">
            <w:pPr>
              <w:pStyle w:val="P68B1DB1-Normal15"/>
              <w:spacing w:after="0"/>
              <w:jc w:val="center"/>
              <w:rPr>
                <w:noProof/>
              </w:rPr>
            </w:pPr>
            <w:r>
              <w:rPr>
                <w:noProof/>
              </w:rPr>
              <w:t>21</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C7" w14:textId="77777777" w:rsidR="00F74E13" w:rsidRDefault="009274FC">
            <w:pPr>
              <w:pStyle w:val="P68B1DB1-Normal15"/>
              <w:spacing w:after="0" w:line="240" w:lineRule="auto"/>
              <w:ind w:left="57" w:right="57"/>
              <w:rPr>
                <w:noProof/>
              </w:rPr>
            </w:pPr>
            <w:r>
              <w:rPr>
                <w:noProof/>
              </w:rPr>
              <w:t xml:space="preserve">C1.I3 : </w:t>
            </w:r>
          </w:p>
          <w:p w14:paraId="1CEBD2C8" w14:textId="77777777" w:rsidR="00F74E13" w:rsidRDefault="009274FC">
            <w:pPr>
              <w:pStyle w:val="P68B1DB1-Normal13"/>
              <w:spacing w:after="0" w:line="240" w:lineRule="auto"/>
              <w:ind w:left="57" w:right="57"/>
              <w:rPr>
                <w:noProof/>
              </w:rPr>
            </w:pPr>
            <w:r>
              <w:rPr>
                <w:noProof/>
              </w:rPr>
              <w:t>Compétences numériques</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C9" w14:textId="77777777" w:rsidR="00F74E13" w:rsidRDefault="009274FC">
            <w:pPr>
              <w:pStyle w:val="P68B1DB1-Normal15"/>
              <w:spacing w:after="0" w:line="240" w:lineRule="auto"/>
              <w:ind w:left="57" w:right="57"/>
              <w:rPr>
                <w:noProof/>
              </w:rPr>
            </w:pPr>
            <w:r>
              <w:rPr>
                <w:noProof/>
              </w:rPr>
              <w:t>Objectif</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CA" w14:textId="3C33FE2D" w:rsidR="00F74E13" w:rsidRDefault="009274FC">
            <w:pPr>
              <w:pStyle w:val="P68B1DB1-Normal13"/>
              <w:spacing w:after="0" w:line="240" w:lineRule="auto"/>
              <w:ind w:left="57" w:right="57"/>
              <w:rPr>
                <w:noProof/>
              </w:rPr>
            </w:pPr>
            <w:r>
              <w:rPr>
                <w:noProof/>
              </w:rPr>
              <w:t>Certificats pour le niveau de compétences numériques acquises</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CB" w14:textId="1CCA2351" w:rsidR="00F74E13" w:rsidRDefault="00F74E13">
            <w:pPr>
              <w:spacing w:after="0" w:line="240" w:lineRule="auto"/>
              <w:ind w:left="57" w:right="57"/>
              <w:rPr>
                <w:rFonts w:ascii="Times New Roman" w:hAnsi="Times New Roman"/>
                <w:noProof/>
                <w:color w:val="006100"/>
                <w:sz w:val="20"/>
                <w:szCs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CC" w14:textId="77777777" w:rsidR="00F74E13" w:rsidRDefault="009274FC">
            <w:pPr>
              <w:pStyle w:val="P68B1DB1-Normal12"/>
              <w:spacing w:after="0" w:line="240" w:lineRule="auto"/>
              <w:rPr>
                <w:noProof/>
              </w:rPr>
            </w:pPr>
            <w:r>
              <w:rPr>
                <w:noProof/>
              </w:rPr>
              <w:t>Numéro</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CD" w14:textId="77777777" w:rsidR="00F74E13" w:rsidRDefault="009274FC">
            <w:pPr>
              <w:pStyle w:val="P68B1DB1-Normal15"/>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CF" w14:textId="73A1E613" w:rsidR="00F74E13" w:rsidRDefault="009274FC">
            <w:pPr>
              <w:pStyle w:val="P68B1DB1-Normal12"/>
              <w:spacing w:after="0" w:line="240" w:lineRule="auto"/>
              <w:jc w:val="center"/>
              <w:rPr>
                <w:noProof/>
              </w:rPr>
            </w:pPr>
            <w:r>
              <w:rPr>
                <w:noProof/>
              </w:rPr>
              <w:t>260 000</w:t>
            </w: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D0" w14:textId="77777777" w:rsidR="00F74E13" w:rsidRDefault="009274FC">
            <w:pPr>
              <w:pStyle w:val="P68B1DB1-Normal12"/>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D1" w14:textId="77777777" w:rsidR="00F74E13" w:rsidRDefault="009274FC">
            <w:pPr>
              <w:pStyle w:val="P68B1DB1-Normal12"/>
              <w:spacing w:after="0"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D2D2" w14:textId="77777777" w:rsidR="00F74E13" w:rsidRDefault="009274FC">
            <w:pPr>
              <w:pStyle w:val="P68B1DB1-Normal13"/>
              <w:spacing w:after="0" w:line="240" w:lineRule="auto"/>
              <w:ind w:left="57" w:right="57"/>
              <w:jc w:val="both"/>
              <w:rPr>
                <w:noProof/>
              </w:rPr>
            </w:pPr>
            <w:r>
              <w:rPr>
                <w:noProof/>
              </w:rPr>
              <w:t xml:space="preserve">Des certificats pour le niveau de compétences numériques acquis, pour le niveau de base ou moyen, sont fournis. </w:t>
            </w:r>
          </w:p>
        </w:tc>
      </w:tr>
      <w:tr w:rsidR="00F74E13" w14:paraId="1CEBD2E4" w14:textId="77777777" w:rsidTr="00C24F7E">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2D4" w14:textId="3FBA2103" w:rsidR="00F74E13" w:rsidRDefault="009274FC">
            <w:pPr>
              <w:pStyle w:val="P68B1DB1-Normal12"/>
              <w:spacing w:after="0"/>
              <w:jc w:val="center"/>
              <w:rPr>
                <w:noProof/>
              </w:rPr>
            </w:pPr>
            <w:r>
              <w:rPr>
                <w:noProof/>
              </w:rPr>
              <w:t>22</w:t>
            </w:r>
          </w:p>
        </w:tc>
        <w:tc>
          <w:tcPr>
            <w:tcW w:w="1423" w:type="dxa"/>
            <w:tcBorders>
              <w:top w:val="single" w:sz="4" w:space="0" w:color="auto"/>
              <w:left w:val="single" w:sz="4" w:space="0" w:color="auto"/>
              <w:bottom w:val="single" w:sz="4" w:space="0" w:color="auto"/>
              <w:right w:val="single" w:sz="4" w:space="0" w:color="auto"/>
            </w:tcBorders>
            <w:shd w:val="clear" w:color="auto" w:fill="C6EFCE"/>
            <w:noWrap/>
          </w:tcPr>
          <w:p w14:paraId="1CEBD2D5" w14:textId="77777777" w:rsidR="00F74E13" w:rsidRDefault="009274FC">
            <w:pPr>
              <w:pStyle w:val="P68B1DB1-Normal15"/>
              <w:spacing w:after="0" w:line="240" w:lineRule="auto"/>
              <w:ind w:left="57" w:right="57"/>
              <w:rPr>
                <w:noProof/>
              </w:rPr>
            </w:pPr>
            <w:r>
              <w:rPr>
                <w:noProof/>
              </w:rPr>
              <w:t xml:space="preserve">C1.I4 : </w:t>
            </w:r>
          </w:p>
          <w:p w14:paraId="1CEBD2D6" w14:textId="77777777" w:rsidR="00F74E13" w:rsidRDefault="009274FC">
            <w:pPr>
              <w:pStyle w:val="P68B1DB1-Normal15"/>
              <w:spacing w:after="0" w:line="240" w:lineRule="auto"/>
              <w:ind w:left="57" w:right="57"/>
              <w:rPr>
                <w:noProof/>
              </w:rPr>
            </w:pPr>
            <w:r>
              <w:rPr>
                <w:noProof/>
              </w:rPr>
              <w:t>Centres pour la jeunesse</w:t>
            </w:r>
          </w:p>
        </w:tc>
        <w:tc>
          <w:tcPr>
            <w:tcW w:w="1128" w:type="dxa"/>
            <w:tcBorders>
              <w:top w:val="single" w:sz="4" w:space="0" w:color="auto"/>
              <w:left w:val="single" w:sz="4" w:space="0" w:color="auto"/>
              <w:bottom w:val="single" w:sz="4" w:space="0" w:color="auto"/>
              <w:right w:val="single" w:sz="4" w:space="0" w:color="auto"/>
            </w:tcBorders>
            <w:shd w:val="clear" w:color="auto" w:fill="C6EFCE"/>
            <w:noWrap/>
          </w:tcPr>
          <w:p w14:paraId="1CEBD2D7" w14:textId="77777777" w:rsidR="00F74E13" w:rsidRDefault="009274FC">
            <w:pPr>
              <w:pStyle w:val="P68B1DB1-Normal12"/>
              <w:spacing w:after="0" w:line="240" w:lineRule="auto"/>
              <w:ind w:left="57" w:right="57"/>
              <w:rPr>
                <w:noProof/>
              </w:rPr>
            </w:pPr>
            <w:r>
              <w:rPr>
                <w:noProof/>
              </w:rPr>
              <w:t>Étape</w:t>
            </w:r>
          </w:p>
        </w:tc>
        <w:tc>
          <w:tcPr>
            <w:tcW w:w="2154" w:type="dxa"/>
            <w:tcBorders>
              <w:top w:val="single" w:sz="4" w:space="0" w:color="auto"/>
              <w:left w:val="single" w:sz="4" w:space="0" w:color="auto"/>
              <w:bottom w:val="single" w:sz="4" w:space="0" w:color="auto"/>
              <w:right w:val="single" w:sz="4" w:space="0" w:color="auto"/>
            </w:tcBorders>
            <w:shd w:val="clear" w:color="auto" w:fill="C6EFCE"/>
            <w:noWrap/>
          </w:tcPr>
          <w:p w14:paraId="1CEBD2D8" w14:textId="3FAFA3DA" w:rsidR="00F74E13" w:rsidRDefault="009274FC">
            <w:pPr>
              <w:pStyle w:val="P68B1DB1-Normal13"/>
              <w:spacing w:after="0" w:line="240" w:lineRule="auto"/>
              <w:ind w:left="57" w:right="57"/>
              <w:rPr>
                <w:rFonts w:cs="Times New Roman"/>
                <w:noProof/>
              </w:rPr>
            </w:pPr>
            <w:r>
              <w:rPr>
                <w:noProof/>
              </w:rPr>
              <w:t>Construction et/ou rénovation</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D9" w14:textId="61B48B9D" w:rsidR="00F74E13" w:rsidRDefault="009274FC">
            <w:pPr>
              <w:pStyle w:val="P68B1DB1-Normal13"/>
              <w:spacing w:after="0" w:line="240" w:lineRule="auto"/>
              <w:ind w:left="57" w:right="57"/>
              <w:rPr>
                <w:noProof/>
              </w:rPr>
            </w:pPr>
            <w:r>
              <w:rPr>
                <w:noProof/>
              </w:rPr>
              <w:t xml:space="preserve">Centres pour jeunes construits et/ou rénovés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DA" w14:textId="77777777" w:rsidR="00F74E13" w:rsidRDefault="00F74E13">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DB" w14:textId="77777777" w:rsidR="00F74E13" w:rsidRDefault="00F74E13">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DC" w14:textId="77777777" w:rsidR="00F74E13" w:rsidRDefault="00F74E13">
            <w:pPr>
              <w:spacing w:after="0" w:line="240" w:lineRule="auto"/>
              <w:rPr>
                <w:rFonts w:ascii="Times New Roman" w:hAnsi="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2DD" w14:textId="77777777" w:rsidR="00F74E13" w:rsidRDefault="009274FC">
            <w:pPr>
              <w:pStyle w:val="P68B1DB1-Normal12"/>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2DE" w14:textId="77777777" w:rsidR="00F74E13" w:rsidRDefault="009274FC">
            <w:pPr>
              <w:pStyle w:val="P68B1DB1-Normal12"/>
              <w:spacing w:after="0"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45FF830A" w14:textId="4D95563A" w:rsidR="00F74E13" w:rsidRDefault="009274FC">
            <w:pPr>
              <w:pStyle w:val="P68B1DB1-Normal13"/>
              <w:spacing w:after="0"/>
              <w:ind w:left="57" w:right="57"/>
              <w:jc w:val="both"/>
              <w:rPr>
                <w:noProof/>
              </w:rPr>
            </w:pPr>
            <w:r>
              <w:rPr>
                <w:noProof/>
              </w:rPr>
              <w:t>18 centres de jeunesse seront construits et/ou rénovés. L'appel à propositions pour la sélection des centres de jeunesse comprend les activités suivantes:</w:t>
            </w:r>
          </w:p>
          <w:p w14:paraId="496FB24F" w14:textId="77777777" w:rsidR="00F74E13" w:rsidRDefault="009274FC">
            <w:pPr>
              <w:pStyle w:val="P68B1DB1-ListParagraph16"/>
              <w:numPr>
                <w:ilvl w:val="0"/>
                <w:numId w:val="7"/>
              </w:numPr>
              <w:spacing w:after="0" w:line="240" w:lineRule="auto"/>
              <w:ind w:left="392" w:right="57"/>
              <w:jc w:val="both"/>
              <w:rPr>
                <w:noProof/>
              </w:rPr>
            </w:pPr>
            <w:r>
              <w:rPr>
                <w:noProof/>
              </w:rPr>
              <w:t>Sensibilisation active auprès des jeunes et avec eux afin de les activer et de leur donner les moyens d’agir;</w:t>
            </w:r>
          </w:p>
          <w:p w14:paraId="1CEBD2E3" w14:textId="344B57AF" w:rsidR="00F74E13" w:rsidRDefault="009274FC">
            <w:pPr>
              <w:pStyle w:val="P68B1DB1-ListParagraph16"/>
              <w:numPr>
                <w:ilvl w:val="0"/>
                <w:numId w:val="7"/>
              </w:numPr>
              <w:spacing w:after="0" w:line="240" w:lineRule="auto"/>
              <w:ind w:left="392" w:right="57"/>
              <w:jc w:val="both"/>
              <w:rPr>
                <w:noProof/>
              </w:rPr>
            </w:pPr>
            <w:r>
              <w:rPr>
                <w:noProof/>
              </w:rPr>
              <w:t>Travail de terrain actif avec des représentants des groupes et communautés vulnérables et défavorisés, en particulier dans la communauté rom.</w:t>
            </w:r>
          </w:p>
        </w:tc>
      </w:tr>
    </w:tbl>
    <w:p w14:paraId="1CEBD2E5" w14:textId="77777777" w:rsidR="00F74E13" w:rsidRDefault="009274FC">
      <w:pPr>
        <w:pStyle w:val="P68B1DB1-Normal6"/>
        <w:spacing w:before="120" w:after="120" w:line="240" w:lineRule="auto"/>
        <w:jc w:val="both"/>
        <w:rPr>
          <w:noProof/>
        </w:rPr>
        <w:sectPr w:rsidR="00F74E13">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Pr>
          <w:noProof/>
        </w:rPr>
        <w:br/>
      </w:r>
    </w:p>
    <w:p w14:paraId="1CEBD2E6" w14:textId="77777777" w:rsidR="00F74E13" w:rsidRDefault="009274FC">
      <w:pPr>
        <w:pStyle w:val="P68B1DB1-Normal5"/>
        <w:keepNext/>
        <w:spacing w:before="360" w:after="120" w:line="240" w:lineRule="auto"/>
        <w:ind w:left="850" w:hanging="850"/>
        <w:jc w:val="both"/>
        <w:outlineLvl w:val="0"/>
        <w:rPr>
          <w:bCs/>
          <w:noProof/>
        </w:rPr>
      </w:pPr>
      <w:r>
        <w:rPr>
          <w:noProof/>
        </w:rPr>
        <w:t>B. Élément 2: Recherche et innovation</w:t>
      </w:r>
    </w:p>
    <w:p w14:paraId="1CEBD2E7" w14:textId="7519C263" w:rsidR="00F74E13" w:rsidRDefault="009274FC">
      <w:pPr>
        <w:pStyle w:val="paragraph"/>
        <w:spacing w:before="0" w:beforeAutospacing="0" w:after="0" w:afterAutospacing="0"/>
        <w:ind w:left="425"/>
        <w:jc w:val="both"/>
        <w:textAlignment w:val="baseline"/>
        <w:rPr>
          <w:rStyle w:val="normaltextrun"/>
          <w:rFonts w:eastAsiaTheme="minorHAnsi"/>
          <w:noProof/>
          <w:color w:val="000000" w:themeColor="text1"/>
        </w:rPr>
      </w:pPr>
      <w:r>
        <w:rPr>
          <w:rStyle w:val="normaltextrun"/>
          <w:rFonts w:eastAsiaTheme="minorHAnsi"/>
          <w:noProof/>
          <w:color w:val="000000" w:themeColor="text1"/>
        </w:rPr>
        <w:t>Le volet «recherche et innovation» du PRR bulgare contient des mesures visant à améliorer la production d’innovation de la Bulgarie, stimulant ainsi sa croissance économique à moyen et à long terme. Ce volet comprend une réforme visant à faire de la recherche et de l’innovation une priorité claire du développement futur du pays et de la mise en commun des ressources nationales et de l’UE afin de surmonter la fragmentation actuelle de l’écosystème. Les principaux éléments de la réforme sont les suivants: l'adoption d'une loi sur</w:t>
      </w:r>
      <w:r>
        <w:rPr>
          <w:rStyle w:val="normaltextrun"/>
          <w:rFonts w:eastAsiaTheme="minorHAnsi"/>
          <w:noProof/>
          <w:bdr w:val="none" w:sz="0" w:space="0" w:color="auto" w:frame="1"/>
        </w:rPr>
        <w:t xml:space="preserve"> la recherche et l'innovation </w:t>
      </w:r>
      <w:r>
        <w:rPr>
          <w:rStyle w:val="normaltextrun"/>
          <w:rFonts w:eastAsiaTheme="minorHAnsi"/>
          <w:noProof/>
          <w:color w:val="000000" w:themeColor="text1"/>
        </w:rPr>
        <w:t>et la création du</w:t>
      </w:r>
      <w:r>
        <w:rPr>
          <w:rStyle w:val="normaltextrun"/>
          <w:rFonts w:eastAsiaTheme="minorHAnsi"/>
          <w:noProof/>
          <w:bdr w:val="none" w:sz="0" w:space="0" w:color="auto" w:frame="1"/>
        </w:rPr>
        <w:t xml:space="preserve"> Conseil pour l'innovation</w:t>
      </w:r>
      <w:r>
        <w:rPr>
          <w:rStyle w:val="normaltextrun"/>
          <w:rFonts w:eastAsiaTheme="minorHAnsi"/>
          <w:noProof/>
        </w:rPr>
        <w:t xml:space="preserve"> et la recherche. </w:t>
      </w:r>
      <w:r>
        <w:rPr>
          <w:rStyle w:val="normaltextrun"/>
          <w:rFonts w:eastAsiaTheme="minorHAnsi"/>
          <w:noProof/>
          <w:color w:val="000000" w:themeColor="text1"/>
        </w:rPr>
        <w:t>Le volet comprend également des investissements visant à favoriser les performances en matière de recherche et d’innovation des établissements publics de recherche et des entreprises innovantes. Les investissements introduisent de nouveaux canaux de financement pour soutenir les activités de recherche et d’innovation et renforcer la capacité d’innovation de l’Académie bulgare des sciences.</w:t>
      </w:r>
    </w:p>
    <w:p w14:paraId="1CEBD2E9" w14:textId="77777777" w:rsidR="00F74E13" w:rsidRDefault="009274FC">
      <w:pPr>
        <w:pStyle w:val="paragraph"/>
        <w:spacing w:before="120" w:beforeAutospacing="0" w:after="0" w:afterAutospacing="0"/>
        <w:ind w:left="425"/>
        <w:jc w:val="both"/>
        <w:textAlignment w:val="baseline"/>
        <w:rPr>
          <w:rStyle w:val="normaltextrun"/>
          <w:rFonts w:eastAsiaTheme="minorHAnsi"/>
          <w:noProof/>
          <w:color w:val="000000" w:themeColor="text1"/>
        </w:rPr>
      </w:pPr>
      <w:r>
        <w:rPr>
          <w:rStyle w:val="normaltextrun"/>
          <w:rFonts w:eastAsiaTheme="minorHAnsi"/>
          <w:noProof/>
          <w:color w:val="000000" w:themeColor="text1"/>
        </w:rPr>
        <w:t>Les mesures incluses dans le volet contribuent à donner suite à la recommandation par pays no 3 de 2019 («axer</w:t>
      </w:r>
      <w:r>
        <w:rPr>
          <w:noProof/>
        </w:rPr>
        <w:t xml:space="preserve"> la politique économique liée à l’investissement sur la recherche et l’innovation»)</w:t>
      </w:r>
      <w:r>
        <w:rPr>
          <w:rStyle w:val="normaltextrun"/>
          <w:rFonts w:eastAsiaTheme="minorHAnsi"/>
          <w:noProof/>
          <w:color w:val="000000" w:themeColor="text1"/>
        </w:rPr>
        <w:t xml:space="preserve"> et à la recommandation par pays no 3 de 2020 («</w:t>
      </w:r>
      <w:r>
        <w:rPr>
          <w:noProof/>
        </w:rPr>
        <w:t>Rationaliser et accélérer les procédures visant à apporter un soutien efficace aux petites et moyennes entreprises et aux travailleurs indépendants»).</w:t>
      </w:r>
    </w:p>
    <w:p w14:paraId="1CEBD2EA" w14:textId="77777777" w:rsidR="00F74E13" w:rsidRDefault="00F74E13">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1CEBD2EB" w14:textId="77777777" w:rsidR="00F74E13" w:rsidRDefault="009274FC">
      <w:pPr>
        <w:pStyle w:val="P68B1DB1-paragraph17"/>
        <w:spacing w:before="0" w:beforeAutospacing="0" w:after="0" w:afterAutospacing="0"/>
        <w:ind w:left="426"/>
        <w:jc w:val="both"/>
        <w:textAlignment w:val="baseline"/>
        <w:rPr>
          <w:rFonts w:eastAsiaTheme="minorHAnsi"/>
          <w:noProof/>
          <w:color w:val="000000" w:themeColor="text1"/>
        </w:rPr>
      </w:pPr>
      <w:r>
        <w:rPr>
          <w:noProof/>
        </w:rPr>
        <w:t>B.1. Description des réformes et des investissements pour le soutien financier non remboursable</w:t>
      </w:r>
    </w:p>
    <w:p w14:paraId="1CEBD2ED" w14:textId="77777777" w:rsidR="00F74E13" w:rsidRDefault="009274FC">
      <w:pPr>
        <w:pStyle w:val="paragraph"/>
        <w:spacing w:before="240" w:beforeAutospacing="0" w:after="0" w:afterAutospacing="0"/>
        <w:ind w:left="425"/>
        <w:jc w:val="both"/>
        <w:textAlignment w:val="baseline"/>
        <w:rPr>
          <w:rStyle w:val="normaltextrun"/>
          <w:rFonts w:eastAsiaTheme="minorHAnsi"/>
          <w:noProof/>
          <w:color w:val="000000" w:themeColor="text1"/>
          <w:u w:val="single"/>
        </w:rPr>
      </w:pPr>
      <w:r>
        <w:rPr>
          <w:rStyle w:val="normaltextrun"/>
          <w:rFonts w:eastAsiaTheme="minorHAnsi"/>
          <w:noProof/>
          <w:color w:val="000000" w:themeColor="text1"/>
          <w:u w:val="single"/>
        </w:rPr>
        <w:t>Réforme 1 (C2.R1): Politique commune de la recherche et de l'innovation</w:t>
      </w:r>
    </w:p>
    <w:p w14:paraId="1CEBD2F0" w14:textId="45168AD5" w:rsidR="00F74E13" w:rsidRDefault="009274FC">
      <w:pPr>
        <w:pStyle w:val="paragraph"/>
        <w:spacing w:before="120" w:beforeAutospacing="0" w:after="0" w:afterAutospacing="0"/>
        <w:ind w:left="425"/>
        <w:jc w:val="both"/>
        <w:textAlignment w:val="baseline"/>
        <w:rPr>
          <w:rStyle w:val="normaltextrun"/>
          <w:rFonts w:eastAsiaTheme="minorEastAsia"/>
          <w:noProof/>
          <w:color w:val="000000" w:themeColor="text1"/>
        </w:rPr>
      </w:pPr>
      <w:r>
        <w:rPr>
          <w:rStyle w:val="normaltextrun"/>
          <w:rFonts w:eastAsiaTheme="minorEastAsia"/>
          <w:noProof/>
          <w:color w:val="000000" w:themeColor="text1"/>
        </w:rPr>
        <w:t xml:space="preserve">L'objectif de cette réforme est de soutenir la </w:t>
      </w:r>
      <w:r>
        <w:rPr>
          <w:noProof/>
        </w:rPr>
        <w:t xml:space="preserve">coordination des politiques dans le domaine de la recherche et de l'innovation. </w:t>
      </w:r>
    </w:p>
    <w:p w14:paraId="1CEBD2F1" w14:textId="77777777" w:rsidR="00F74E13" w:rsidRDefault="009274FC">
      <w:pPr>
        <w:pStyle w:val="paragraph"/>
        <w:spacing w:before="0" w:beforeAutospacing="0" w:after="120" w:afterAutospacing="0"/>
        <w:ind w:left="425"/>
        <w:jc w:val="both"/>
        <w:textAlignment w:val="baseline"/>
        <w:rPr>
          <w:rStyle w:val="normaltextrun"/>
          <w:rFonts w:eastAsiaTheme="minorEastAsia"/>
          <w:noProof/>
          <w:color w:val="000000" w:themeColor="text1"/>
        </w:rPr>
      </w:pPr>
      <w:r>
        <w:rPr>
          <w:rStyle w:val="normaltextrun"/>
          <w:rFonts w:eastAsiaTheme="minorEastAsia"/>
          <w:noProof/>
          <w:color w:val="000000" w:themeColor="text1"/>
        </w:rPr>
        <w:t>Cette mesure consiste en l’entrée en vigueur d’un ou de plusieurs actes juridiques relatifs à la recherche et à l’innovation.</w:t>
      </w:r>
    </w:p>
    <w:p w14:paraId="1CEBD2F2" w14:textId="77777777" w:rsidR="00F74E13" w:rsidRDefault="00F74E13">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1CEBD2F3" w14:textId="77777777" w:rsidR="00F74E13" w:rsidRDefault="009274FC">
      <w:pPr>
        <w:pStyle w:val="paragraph"/>
        <w:spacing w:before="0" w:beforeAutospacing="0" w:after="120" w:afterAutospacing="0"/>
        <w:ind w:left="425"/>
        <w:jc w:val="both"/>
        <w:textAlignment w:val="baseline"/>
        <w:rPr>
          <w:rFonts w:eastAsiaTheme="minorHAnsi"/>
          <w:noProof/>
          <w:color w:val="000000" w:themeColor="text1"/>
          <w:u w:val="single"/>
        </w:rPr>
      </w:pPr>
      <w:r>
        <w:rPr>
          <w:rStyle w:val="normaltextrun"/>
          <w:rFonts w:eastAsiaTheme="minorEastAsia"/>
          <w:noProof/>
          <w:color w:val="000000" w:themeColor="text1"/>
          <w:u w:val="single"/>
        </w:rPr>
        <w:t>Investissement 1 (C2.I1): Programme de soutien à la recherche et à l'innovation</w:t>
      </w:r>
    </w:p>
    <w:p w14:paraId="1CEBD2F6" w14:textId="78434F91" w:rsidR="00F74E13" w:rsidRDefault="009274FC">
      <w:pPr>
        <w:pStyle w:val="paragraph"/>
        <w:spacing w:before="0" w:beforeAutospacing="0" w:after="120" w:afterAutospacing="0"/>
        <w:ind w:left="425"/>
        <w:jc w:val="both"/>
        <w:textAlignment w:val="baseline"/>
        <w:rPr>
          <w:rStyle w:val="normaltextrun"/>
          <w:rFonts w:eastAsiaTheme="minorHAnsi"/>
          <w:noProof/>
          <w:color w:val="000000" w:themeColor="text1"/>
        </w:rPr>
      </w:pPr>
      <w:r>
        <w:rPr>
          <w:rStyle w:val="normaltextrun"/>
          <w:rFonts w:eastAsiaTheme="minorHAnsi"/>
          <w:noProof/>
          <w:color w:val="000000" w:themeColor="text1"/>
        </w:rPr>
        <w:t>L’objectif de l’investissement est de soutenir les performances de la Bulgarie en matière de recherche et d’innovation, le transfert de technologies et le partage d’informations.</w:t>
      </w:r>
    </w:p>
    <w:p w14:paraId="1CEBD2F7" w14:textId="49505467" w:rsidR="00F74E13" w:rsidRDefault="009274FC">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L’investissement consiste en des lettres acceptant les rapports finaux pour les projets bénéficiant d’un certificat «label d’excellence» et les rapports finaux des établissements d’enseignement supérieur/de recherche, ainsi que les programmes d’innovation des établissements d’enseignement supérieur.</w:t>
      </w:r>
    </w:p>
    <w:p w14:paraId="1CEBD2F8" w14:textId="77777777" w:rsidR="00F74E13" w:rsidRDefault="00F74E13">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1CEBD2F9" w14:textId="77777777" w:rsidR="00F74E13" w:rsidRDefault="009274FC">
      <w:pPr>
        <w:pStyle w:val="paragraph"/>
        <w:spacing w:before="0" w:beforeAutospacing="0" w:after="0" w:afterAutospacing="0"/>
        <w:ind w:left="426"/>
        <w:jc w:val="both"/>
        <w:textAlignment w:val="baseline"/>
        <w:rPr>
          <w:rStyle w:val="normaltextrun"/>
          <w:rFonts w:eastAsiaTheme="minorHAnsi"/>
          <w:noProof/>
          <w:color w:val="000000" w:themeColor="text1"/>
          <w:u w:val="single"/>
        </w:rPr>
      </w:pPr>
      <w:r>
        <w:rPr>
          <w:rStyle w:val="normaltextrun"/>
          <w:rFonts w:eastAsiaTheme="minorEastAsia"/>
          <w:noProof/>
          <w:color w:val="000000" w:themeColor="text1"/>
          <w:u w:val="single"/>
        </w:rPr>
        <w:t>Investissement 2 (C2.I2): Investissement dans</w:t>
      </w:r>
      <w:r>
        <w:rPr>
          <w:rStyle w:val="normaltextrun"/>
          <w:rFonts w:eastAsiaTheme="minorEastAsia"/>
          <w:noProof/>
          <w:u w:val="single"/>
        </w:rPr>
        <w:t xml:space="preserve"> l'Académie bulgare des sciences</w:t>
      </w:r>
    </w:p>
    <w:p w14:paraId="1CEBD2FC" w14:textId="29C2CE75" w:rsidR="00F74E13" w:rsidRDefault="009274FC">
      <w:pPr>
        <w:pStyle w:val="paragraph"/>
        <w:spacing w:before="120" w:beforeAutospacing="0" w:after="120" w:afterAutospacing="0"/>
        <w:ind w:left="425"/>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L’objectif de l’investissement est de soutenir la capacité d’innovation de l’Académie bulgare des sciences (BAS).</w:t>
      </w:r>
    </w:p>
    <w:p w14:paraId="1CEBD2FD" w14:textId="77777777" w:rsidR="00F74E13" w:rsidRDefault="009274FC">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Cet investissement consiste à rénover le SCA, à prendre des mesures pour le Centre commun d’innovation et à mettre en place une voie optique de distribution des clés quantiques. </w:t>
      </w:r>
    </w:p>
    <w:p w14:paraId="1CEBD2FE" w14:textId="77777777" w:rsidR="00F74E13" w:rsidRDefault="00F74E13">
      <w:pPr>
        <w:pStyle w:val="paragraph"/>
        <w:spacing w:before="0" w:beforeAutospacing="0" w:after="0" w:afterAutospacing="0"/>
        <w:ind w:left="840"/>
        <w:jc w:val="both"/>
        <w:rPr>
          <w:rFonts w:asciiTheme="minorHAnsi" w:eastAsiaTheme="minorEastAsia" w:hAnsiTheme="minorHAnsi" w:cstheme="minorBidi"/>
          <w:noProof/>
          <w:color w:val="000000" w:themeColor="text1"/>
        </w:rPr>
        <w:sectPr w:rsidR="00F74E13">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567" w:footer="567" w:gutter="0"/>
          <w:cols w:space="720"/>
          <w:docGrid w:linePitch="360"/>
        </w:sectPr>
      </w:pPr>
    </w:p>
    <w:p w14:paraId="1CEBD2FF" w14:textId="77777777" w:rsidR="00F74E13" w:rsidRDefault="009274FC">
      <w:pPr>
        <w:pStyle w:val="P68B1DB1-Normal18"/>
        <w:pageBreakBefore/>
        <w:spacing w:before="120" w:after="120" w:line="240" w:lineRule="auto"/>
        <w:ind w:left="851"/>
        <w:jc w:val="center"/>
        <w:rPr>
          <w:rFonts w:ascii="Times New Roman" w:hAnsi="Times New Roman"/>
          <w:b/>
          <w:noProof/>
        </w:rPr>
      </w:pPr>
      <w:r>
        <w:rPr>
          <w:rFonts w:ascii="Times New Roman" w:hAnsi="Times New Roman"/>
          <w:b/>
          <w:noProof/>
        </w:rPr>
        <w:t xml:space="preserve">B.2. </w:t>
      </w:r>
      <w:r>
        <w:rPr>
          <w:noProof/>
        </w:rPr>
        <w:t xml:space="preserve"> </w:t>
      </w:r>
      <w:r>
        <w:rPr>
          <w:rFonts w:ascii="Times New Roman" w:hAnsi="Times New Roman"/>
          <w:b/>
          <w:noProof/>
        </w:rPr>
        <w:t>Étapes, cibles, indicateurs et calendrier pour le suivi et la mise en œuvre du soutien financier non remboursable</w:t>
      </w:r>
    </w:p>
    <w:tbl>
      <w:tblPr>
        <w:tblW w:w="15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276"/>
        <w:gridCol w:w="1275"/>
        <w:gridCol w:w="1276"/>
        <w:gridCol w:w="1134"/>
        <w:gridCol w:w="1134"/>
        <w:gridCol w:w="992"/>
        <w:gridCol w:w="1134"/>
        <w:gridCol w:w="993"/>
        <w:gridCol w:w="4148"/>
      </w:tblGrid>
      <w:tr w:rsidR="00F74E13" w14:paraId="1CEBD309" w14:textId="77777777" w:rsidTr="0054438B">
        <w:trPr>
          <w:trHeight w:val="30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0" w14:textId="77777777" w:rsidR="00F74E13" w:rsidRDefault="009274FC">
            <w:pPr>
              <w:spacing w:after="0" w:line="240" w:lineRule="auto"/>
              <w:jc w:val="center"/>
              <w:rPr>
                <w:rFonts w:ascii="Times New Roman" w:eastAsia="Times New Roman" w:hAnsi="Times New Roman" w:cs="Times New Roman"/>
                <w:b/>
                <w:bCs/>
                <w:noProof/>
                <w:color w:val="000000" w:themeColor="text1"/>
                <w:sz w:val="20"/>
                <w:szCs w:val="20"/>
              </w:rPr>
            </w:pPr>
            <w:r>
              <w:rPr>
                <w:noProof/>
              </w:rPr>
              <w:br w:type="page"/>
            </w:r>
            <w:r>
              <w:rPr>
                <w:rFonts w:ascii="Times New Roman" w:hAnsi="Times New Roman"/>
                <w:b/>
                <w:noProof/>
                <w:sz w:val="20"/>
              </w:rPr>
              <w:t>Numéro de série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1" w14:textId="77777777" w:rsidR="00F74E13" w:rsidRDefault="009274FC">
            <w:pPr>
              <w:pStyle w:val="P68B1DB1-Normal11"/>
              <w:spacing w:after="0" w:line="240" w:lineRule="auto"/>
              <w:jc w:val="center"/>
              <w:rPr>
                <w:noProof/>
                <w:color w:val="000000" w:themeColor="text1"/>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2" w14:textId="77777777" w:rsidR="00F74E13" w:rsidRDefault="009274FC">
            <w:pPr>
              <w:pStyle w:val="P68B1DB1-Normal11"/>
              <w:spacing w:after="0" w:line="240" w:lineRule="auto"/>
              <w:jc w:val="center"/>
              <w:rPr>
                <w:noProof/>
                <w:color w:val="000000" w:themeColor="text1"/>
              </w:rPr>
            </w:pPr>
            <w:r>
              <w:rPr>
                <w:noProof/>
              </w:rPr>
              <w:t>Étape/cible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3" w14:textId="77777777" w:rsidR="00F74E13" w:rsidRDefault="009274FC">
            <w:pPr>
              <w:pStyle w:val="P68B1DB1-Normal11"/>
              <w:spacing w:after="0" w:line="240" w:lineRule="auto"/>
              <w:jc w:val="center"/>
              <w:rPr>
                <w:noProof/>
                <w:color w:val="000000" w:themeColor="text1"/>
              </w:rPr>
            </w:pPr>
            <w:r>
              <w:rPr>
                <w:noProof/>
              </w:rPr>
              <w:t>Nom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4" w14:textId="77777777" w:rsidR="00F74E13" w:rsidRDefault="009274FC">
            <w:pPr>
              <w:pStyle w:val="P68B1DB1-Normal11"/>
              <w:spacing w:after="0" w:line="240" w:lineRule="auto"/>
              <w:jc w:val="center"/>
              <w:rPr>
                <w:noProof/>
                <w:color w:val="000000" w:themeColor="text1"/>
              </w:rPr>
            </w:pPr>
            <w:r>
              <w:rPr>
                <w:noProof/>
              </w:rPr>
              <w:t xml:space="preserve">Indicateurs qualitatifs </w:t>
            </w:r>
            <w:r>
              <w:rPr>
                <w:noProof/>
              </w:rPr>
              <w:b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8FF"/>
            <w:vAlign w:val="center"/>
          </w:tcPr>
          <w:p w14:paraId="1CEBD305" w14:textId="77777777" w:rsidR="00F74E13" w:rsidRDefault="009274FC">
            <w:pPr>
              <w:pStyle w:val="P68B1DB1-Normal11"/>
              <w:spacing w:after="0" w:line="240" w:lineRule="auto"/>
              <w:jc w:val="center"/>
              <w:rPr>
                <w:noProof/>
                <w:color w:val="000000" w:themeColor="text1"/>
              </w:rPr>
            </w:pPr>
            <w:r>
              <w:rPr>
                <w:noProof/>
              </w:rPr>
              <w:t xml:space="preserve">Indicateurs quantitatifs </w:t>
            </w:r>
            <w:r>
              <w:rPr>
                <w:noProof/>
              </w:rPr>
              <w:br/>
              <w:t>(pour les objectifs)</w:t>
            </w:r>
          </w:p>
        </w:tc>
        <w:tc>
          <w:tcPr>
            <w:tcW w:w="2127" w:type="dxa"/>
            <w:gridSpan w:val="2"/>
            <w:tcBorders>
              <w:top w:val="single" w:sz="4" w:space="0" w:color="auto"/>
              <w:left w:val="single" w:sz="4" w:space="0" w:color="auto"/>
              <w:bottom w:val="single" w:sz="4" w:space="0" w:color="auto"/>
              <w:right w:val="single" w:sz="4" w:space="0" w:color="auto"/>
            </w:tcBorders>
            <w:shd w:val="clear" w:color="auto" w:fill="BDD8FF"/>
            <w:vAlign w:val="center"/>
          </w:tcPr>
          <w:p w14:paraId="1CEBD306" w14:textId="77777777" w:rsidR="00F74E13" w:rsidRDefault="009274FC">
            <w:pPr>
              <w:pStyle w:val="P68B1DB1-Normal11"/>
              <w:spacing w:after="0" w:line="240" w:lineRule="auto"/>
              <w:jc w:val="center"/>
              <w:rPr>
                <w:noProof/>
                <w:color w:val="000000" w:themeColor="text1"/>
              </w:rPr>
            </w:pPr>
            <w:r>
              <w:rPr>
                <w:noProof/>
              </w:rPr>
              <w:t>Calendrier indicatif d'achèvement</w:t>
            </w:r>
          </w:p>
        </w:tc>
        <w:tc>
          <w:tcPr>
            <w:tcW w:w="4148" w:type="dxa"/>
            <w:vMerge w:val="restart"/>
            <w:tcBorders>
              <w:top w:val="single" w:sz="4" w:space="0" w:color="auto"/>
              <w:left w:val="single" w:sz="4" w:space="0" w:color="auto"/>
              <w:bottom w:val="single" w:sz="4" w:space="0" w:color="auto"/>
              <w:right w:val="single" w:sz="4" w:space="0" w:color="auto"/>
            </w:tcBorders>
            <w:shd w:val="clear" w:color="auto" w:fill="BDD8FF"/>
            <w:vAlign w:val="center"/>
          </w:tcPr>
          <w:p w14:paraId="1CEBD307" w14:textId="77777777" w:rsidR="00F74E13" w:rsidRDefault="009274FC">
            <w:pPr>
              <w:pStyle w:val="P68B1DB1-Normal11"/>
              <w:spacing w:after="0" w:line="240" w:lineRule="auto"/>
              <w:jc w:val="center"/>
              <w:rPr>
                <w:noProof/>
              </w:rPr>
            </w:pPr>
            <w:r>
              <w:rPr>
                <w:noProof/>
              </w:rPr>
              <w:t>Description de chaque jalon et cible</w:t>
            </w:r>
          </w:p>
          <w:p w14:paraId="1CEBD308" w14:textId="77777777" w:rsidR="00F74E13" w:rsidRDefault="00F74E13">
            <w:pPr>
              <w:jc w:val="both"/>
              <w:rPr>
                <w:rFonts w:ascii="Times New Roman" w:hAnsi="Times New Roman"/>
                <w:noProof/>
                <w:sz w:val="20"/>
              </w:rPr>
            </w:pPr>
          </w:p>
        </w:tc>
      </w:tr>
      <w:tr w:rsidR="00F74E13" w14:paraId="1CEBD315" w14:textId="77777777" w:rsidTr="0054438B">
        <w:trPr>
          <w:trHeight w:val="300"/>
          <w:tblHeader/>
          <w:jc w:val="center"/>
        </w:trPr>
        <w:tc>
          <w:tcPr>
            <w:tcW w:w="988" w:type="dxa"/>
            <w:vMerge/>
            <w:hideMark/>
          </w:tcPr>
          <w:p w14:paraId="1CEBD30A" w14:textId="77777777" w:rsidR="00F74E13" w:rsidRDefault="00F74E13">
            <w:pPr>
              <w:spacing w:after="0" w:line="240" w:lineRule="auto"/>
              <w:jc w:val="center"/>
              <w:rPr>
                <w:rFonts w:ascii="Times New Roman" w:hAnsi="Times New Roman"/>
                <w:b/>
                <w:noProof/>
                <w:color w:val="000000" w:themeColor="text1"/>
                <w:sz w:val="20"/>
              </w:rPr>
            </w:pPr>
          </w:p>
        </w:tc>
        <w:tc>
          <w:tcPr>
            <w:tcW w:w="1559" w:type="dxa"/>
            <w:vMerge/>
            <w:hideMark/>
          </w:tcPr>
          <w:p w14:paraId="1CEBD30B" w14:textId="77777777" w:rsidR="00F74E13" w:rsidRDefault="00F74E13">
            <w:pPr>
              <w:spacing w:after="0" w:line="240" w:lineRule="auto"/>
              <w:rPr>
                <w:rFonts w:ascii="Times New Roman" w:hAnsi="Times New Roman"/>
                <w:b/>
                <w:noProof/>
                <w:color w:val="000000" w:themeColor="text1"/>
                <w:sz w:val="20"/>
              </w:rPr>
            </w:pPr>
          </w:p>
        </w:tc>
        <w:tc>
          <w:tcPr>
            <w:tcW w:w="1276" w:type="dxa"/>
            <w:vMerge/>
            <w:hideMark/>
          </w:tcPr>
          <w:p w14:paraId="1CEBD30C" w14:textId="77777777" w:rsidR="00F74E13" w:rsidRDefault="00F74E13">
            <w:pPr>
              <w:spacing w:after="0" w:line="240" w:lineRule="auto"/>
              <w:jc w:val="center"/>
              <w:rPr>
                <w:rFonts w:ascii="Times New Roman" w:hAnsi="Times New Roman"/>
                <w:b/>
                <w:noProof/>
                <w:color w:val="000000" w:themeColor="text1"/>
                <w:sz w:val="20"/>
              </w:rPr>
            </w:pPr>
          </w:p>
        </w:tc>
        <w:tc>
          <w:tcPr>
            <w:tcW w:w="1275" w:type="dxa"/>
            <w:vMerge/>
            <w:hideMark/>
          </w:tcPr>
          <w:p w14:paraId="1CEBD30D" w14:textId="77777777" w:rsidR="00F74E13" w:rsidRDefault="00F74E13">
            <w:pPr>
              <w:spacing w:after="0" w:line="240" w:lineRule="auto"/>
              <w:rPr>
                <w:rFonts w:ascii="Times New Roman" w:hAnsi="Times New Roman"/>
                <w:b/>
                <w:noProof/>
                <w:color w:val="000000" w:themeColor="text1"/>
                <w:sz w:val="20"/>
              </w:rPr>
            </w:pPr>
          </w:p>
        </w:tc>
        <w:tc>
          <w:tcPr>
            <w:tcW w:w="1276" w:type="dxa"/>
            <w:vMerge/>
            <w:hideMark/>
          </w:tcPr>
          <w:p w14:paraId="1CEBD30E" w14:textId="77777777" w:rsidR="00F74E13" w:rsidRDefault="00F74E13">
            <w:pPr>
              <w:spacing w:after="0" w:line="240" w:lineRule="auto"/>
              <w:rPr>
                <w:rFonts w:ascii="Times New Roman" w:hAnsi="Times New Roman"/>
                <w:b/>
                <w:noProof/>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1CEBD30F" w14:textId="77777777" w:rsidR="00F74E13" w:rsidRDefault="009274FC">
            <w:pPr>
              <w:pStyle w:val="P68B1DB1-Normal19"/>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8FF"/>
          </w:tcPr>
          <w:p w14:paraId="1CEBD310" w14:textId="77777777" w:rsidR="00F74E13" w:rsidRDefault="009274FC">
            <w:pPr>
              <w:pStyle w:val="P68B1DB1-Normal19"/>
              <w:spacing w:after="0" w:line="240"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8FF"/>
          </w:tcPr>
          <w:p w14:paraId="1CEBD311" w14:textId="77777777" w:rsidR="00F74E13" w:rsidRDefault="009274FC">
            <w:pPr>
              <w:pStyle w:val="P68B1DB1-Normal19"/>
              <w:spacing w:after="0" w:line="240" w:lineRule="auto"/>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1CEBD312" w14:textId="77777777" w:rsidR="00F74E13" w:rsidRDefault="009274FC">
            <w:pPr>
              <w:pStyle w:val="P68B1DB1-Normal19"/>
              <w:spacing w:after="0" w:line="240" w:lineRule="auto"/>
              <w:jc w:val="center"/>
              <w:rPr>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DD8FF"/>
          </w:tcPr>
          <w:p w14:paraId="1CEBD313" w14:textId="77777777" w:rsidR="00F74E13" w:rsidRDefault="009274FC">
            <w:pPr>
              <w:pStyle w:val="P68B1DB1-Normal19"/>
              <w:spacing w:after="0" w:line="240" w:lineRule="auto"/>
              <w:jc w:val="center"/>
              <w:rPr>
                <w:noProof/>
              </w:rPr>
            </w:pPr>
            <w:r>
              <w:rPr>
                <w:noProof/>
              </w:rPr>
              <w:t>Année</w:t>
            </w:r>
          </w:p>
        </w:tc>
        <w:tc>
          <w:tcPr>
            <w:tcW w:w="4148" w:type="dxa"/>
            <w:vMerge/>
            <w:hideMark/>
          </w:tcPr>
          <w:p w14:paraId="1CEBD314" w14:textId="77777777" w:rsidR="00F74E13" w:rsidRDefault="00F74E13">
            <w:pPr>
              <w:spacing w:after="0" w:line="240" w:lineRule="auto"/>
              <w:jc w:val="both"/>
              <w:rPr>
                <w:rFonts w:ascii="Times New Roman" w:hAnsi="Times New Roman"/>
                <w:b/>
                <w:noProof/>
                <w:color w:val="000000" w:themeColor="text1"/>
                <w:sz w:val="20"/>
              </w:rPr>
            </w:pPr>
          </w:p>
        </w:tc>
      </w:tr>
      <w:tr w:rsidR="00F74E13" w14:paraId="1CEBD327"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316" w14:textId="77777777" w:rsidR="00F74E13" w:rsidRDefault="009274FC">
            <w:pPr>
              <w:pStyle w:val="P68B1DB1-Normal15"/>
              <w:spacing w:after="0" w:line="240" w:lineRule="auto"/>
              <w:jc w:val="center"/>
              <w:rPr>
                <w:noProof/>
              </w:rPr>
            </w:pPr>
            <w:r>
              <w:rPr>
                <w:noProof/>
              </w:rPr>
              <w:t>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317" w14:textId="77777777" w:rsidR="00F74E13" w:rsidRDefault="009274FC">
            <w:pPr>
              <w:pStyle w:val="P68B1DB1-Normal15"/>
              <w:spacing w:after="0" w:line="240" w:lineRule="auto"/>
              <w:rPr>
                <w:noProof/>
              </w:rPr>
            </w:pPr>
            <w:r>
              <w:rPr>
                <w:noProof/>
              </w:rPr>
              <w:t xml:space="preserve">C2.R1 : </w:t>
            </w:r>
          </w:p>
          <w:p w14:paraId="1CEBD318" w14:textId="77777777" w:rsidR="00F74E13" w:rsidRDefault="009274FC">
            <w:pPr>
              <w:pStyle w:val="P68B1DB1-Normal15"/>
              <w:spacing w:after="0" w:line="240" w:lineRule="auto"/>
              <w:rPr>
                <w:noProof/>
              </w:rPr>
            </w:pPr>
            <w:r>
              <w:rPr>
                <w:noProof/>
              </w:rPr>
              <w:t xml:space="preserve">Politique commune de la recherche et de l'innovation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319" w14:textId="77777777" w:rsidR="00F74E13" w:rsidRDefault="009274FC">
            <w:pPr>
              <w:pStyle w:val="P68B1DB1-Normal15"/>
              <w:spacing w:after="0" w:line="240" w:lineRule="auto"/>
              <w:jc w:val="center"/>
              <w:rPr>
                <w:noProof/>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31A" w14:textId="31772C95" w:rsidR="00F74E13" w:rsidRDefault="009274FC">
            <w:pPr>
              <w:pStyle w:val="P68B1DB1-Normal13"/>
              <w:spacing w:after="0" w:line="240" w:lineRule="auto"/>
              <w:rPr>
                <w:noProof/>
              </w:rPr>
            </w:pPr>
            <w:r>
              <w:rPr>
                <w:noProof/>
              </w:rPr>
              <w:t>Entrée en vigueur du ou des actes juridiques relatifs à la recherche et à l’innovation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31B" w14:textId="77777777" w:rsidR="00F74E13" w:rsidRDefault="009274FC">
            <w:pPr>
              <w:pStyle w:val="P68B1DB1-Normal13"/>
              <w:spacing w:after="0" w:line="240" w:lineRule="auto"/>
              <w:rPr>
                <w:noProof/>
              </w:rPr>
            </w:pPr>
            <w:r>
              <w:rPr>
                <w:noProof/>
              </w:rPr>
              <w:t xml:space="preserve">Dispositions de l’acte ou des actes juridiques indiquant l’entrée en vigueur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1C"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1D" w14:textId="77777777" w:rsidR="00F74E13" w:rsidRDefault="00F74E13">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1E"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1F" w14:textId="77777777" w:rsidR="00F74E13" w:rsidRDefault="009274FC">
            <w:pPr>
              <w:pStyle w:val="P68B1DB1-Normal15"/>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20" w14:textId="77777777" w:rsidR="00F74E13" w:rsidRDefault="009274FC">
            <w:pPr>
              <w:pStyle w:val="P68B1DB1-Normal15"/>
              <w:spacing w:after="0" w:line="240" w:lineRule="auto"/>
              <w:jc w:val="center"/>
              <w:rPr>
                <w:noProof/>
              </w:rPr>
            </w:pPr>
            <w:r>
              <w:rPr>
                <w:noProof/>
              </w:rPr>
              <w:t>2025</w:t>
            </w:r>
          </w:p>
        </w:tc>
        <w:tc>
          <w:tcPr>
            <w:tcW w:w="4148" w:type="dxa"/>
            <w:tcBorders>
              <w:top w:val="single" w:sz="4" w:space="0" w:color="auto"/>
              <w:left w:val="single" w:sz="4" w:space="0" w:color="auto"/>
              <w:bottom w:val="single" w:sz="4" w:space="0" w:color="auto"/>
              <w:right w:val="single" w:sz="4" w:space="0" w:color="auto"/>
            </w:tcBorders>
            <w:shd w:val="clear" w:color="auto" w:fill="C6EFCE"/>
            <w:noWrap/>
            <w:hideMark/>
          </w:tcPr>
          <w:p w14:paraId="14F7F579" w14:textId="77777777" w:rsidR="00F74E13" w:rsidRDefault="009274FC">
            <w:pPr>
              <w:pStyle w:val="P68B1DB1-Normal15"/>
              <w:spacing w:after="0" w:line="240" w:lineRule="auto"/>
              <w:jc w:val="both"/>
              <w:rPr>
                <w:noProof/>
              </w:rPr>
            </w:pPr>
            <w:r>
              <w:rPr>
                <w:noProof/>
                <w:szCs w:val="20"/>
              </w:rPr>
              <w:t>Le ou les actes juridiques:</w:t>
            </w:r>
          </w:p>
          <w:p w14:paraId="6FC31672" w14:textId="77777777" w:rsidR="00F74E13" w:rsidRDefault="009274FC">
            <w:pPr>
              <w:pStyle w:val="P68B1DB1-ListParagraph14"/>
              <w:numPr>
                <w:ilvl w:val="0"/>
                <w:numId w:val="95"/>
              </w:numPr>
              <w:spacing w:after="0" w:line="240" w:lineRule="auto"/>
              <w:ind w:left="368"/>
              <w:jc w:val="both"/>
              <w:rPr>
                <w:noProof/>
              </w:rPr>
            </w:pPr>
            <w:r>
              <w:rPr>
                <w:noProof/>
              </w:rPr>
              <w:t>définir l'objectif, les principes et la portée de la politique de l'État en matière de recherche et d'innovation, ainsi que ses sources de financement;</w:t>
            </w:r>
          </w:p>
          <w:p w14:paraId="0185FE58" w14:textId="77777777" w:rsidR="00F74E13" w:rsidRDefault="009274FC">
            <w:pPr>
              <w:pStyle w:val="P68B1DB1-ListParagraph14"/>
              <w:numPr>
                <w:ilvl w:val="0"/>
                <w:numId w:val="95"/>
              </w:numPr>
              <w:spacing w:after="0" w:line="240" w:lineRule="auto"/>
              <w:ind w:left="368"/>
              <w:jc w:val="both"/>
              <w:rPr>
                <w:noProof/>
              </w:rPr>
            </w:pPr>
            <w:r>
              <w:rPr>
                <w:noProof/>
              </w:rPr>
              <w:t>réglementer les responsabilités du ministère de l’éducation et des sciences, du ministère de l’innovation et de la croissance, du Conseil des ministres, du Conseil de l’innovation et de la recherche, du Fonds pour la recherche scientifique et du Fonds national pour l’innovation dans le domaine de la recherche et de l’innovation;</w:t>
            </w:r>
          </w:p>
          <w:p w14:paraId="1CEBD324" w14:textId="36B2B993" w:rsidR="00F74E13" w:rsidRDefault="009274FC">
            <w:pPr>
              <w:pStyle w:val="P68B1DB1-ListParagraph14"/>
              <w:numPr>
                <w:ilvl w:val="0"/>
                <w:numId w:val="95"/>
              </w:numPr>
              <w:spacing w:after="0" w:line="240" w:lineRule="auto"/>
              <w:ind w:left="368"/>
              <w:jc w:val="both"/>
              <w:rPr>
                <w:noProof/>
              </w:rPr>
            </w:pPr>
            <w:r>
              <w:rPr>
                <w:noProof/>
              </w:rPr>
              <w:t>définir les instruments ou mécanismes de la politique dans le domaine de la recherche et de l'innovation.</w:t>
            </w:r>
          </w:p>
          <w:p w14:paraId="1CEBD326" w14:textId="4AD99C45" w:rsidR="00F74E13" w:rsidRDefault="009274FC">
            <w:pPr>
              <w:pStyle w:val="P68B1DB1-Normal15"/>
              <w:spacing w:before="120" w:after="0" w:line="240" w:lineRule="auto"/>
              <w:jc w:val="both"/>
              <w:rPr>
                <w:noProof/>
              </w:rPr>
            </w:pPr>
            <w:r>
              <w:rPr>
                <w:noProof/>
              </w:rPr>
              <w:t>En ce qui concerne la politique de transfert de technologie, le ou les actes juridiques définissent</w:t>
            </w:r>
            <w:r>
              <w:rPr>
                <w:noProof/>
                <w:szCs w:val="20"/>
              </w:rPr>
              <w:t xml:space="preserve"> les principes applicables aux activités et au financement soutenant le transfert de technologie.</w:t>
            </w:r>
          </w:p>
        </w:tc>
      </w:tr>
      <w:tr w:rsidR="00F74E13" w14:paraId="1CEBD33C"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328" w14:textId="77777777" w:rsidR="00F74E13" w:rsidRDefault="009274FC">
            <w:pPr>
              <w:pStyle w:val="P68B1DB1-Normal13"/>
              <w:spacing w:after="0" w:line="240" w:lineRule="auto"/>
              <w:jc w:val="center"/>
              <w:rPr>
                <w:noProof/>
              </w:rPr>
            </w:pPr>
            <w:r>
              <w:rPr>
                <w:noProof/>
              </w:rPr>
              <w:t>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329" w14:textId="77777777" w:rsidR="00F74E13" w:rsidRDefault="009274FC">
            <w:pPr>
              <w:pStyle w:val="P68B1DB1-Normal13"/>
              <w:spacing w:after="0" w:line="240" w:lineRule="auto"/>
              <w:rPr>
                <w:noProof/>
              </w:rPr>
            </w:pPr>
            <w:r>
              <w:rPr>
                <w:noProof/>
              </w:rPr>
              <w:t xml:space="preserve">C2.R1 : </w:t>
            </w:r>
          </w:p>
          <w:p w14:paraId="1CEBD32A" w14:textId="77777777" w:rsidR="00F74E13" w:rsidRDefault="009274FC">
            <w:pPr>
              <w:pStyle w:val="P68B1DB1-Normal13"/>
              <w:spacing w:after="0" w:line="240" w:lineRule="auto"/>
              <w:rPr>
                <w:noProof/>
              </w:rPr>
            </w:pPr>
            <w:r>
              <w:rPr>
                <w:noProof/>
              </w:rPr>
              <w:t xml:space="preserve">Politique commune de la recherche et de l'innovation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2B" w14:textId="77777777" w:rsidR="00F74E13" w:rsidRDefault="009274FC">
            <w:pPr>
              <w:pStyle w:val="P68B1DB1-Normal15"/>
              <w:spacing w:after="0" w:line="240" w:lineRule="auto"/>
              <w:jc w:val="center"/>
              <w:rPr>
                <w:noProof/>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32C" w14:textId="77777777" w:rsidR="00F74E13" w:rsidRDefault="009274FC">
            <w:pPr>
              <w:pStyle w:val="P68B1DB1-Normal13"/>
              <w:spacing w:after="0" w:line="240" w:lineRule="auto"/>
              <w:rPr>
                <w:rFonts w:cs="Times New Roman"/>
                <w:noProof/>
              </w:rPr>
            </w:pPr>
            <w:r>
              <w:rPr>
                <w:noProof/>
              </w:rPr>
              <w:t>Acte(s) juridique(s) lié(s) à la recherche et à l’innovation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2D" w14:textId="77777777" w:rsidR="00F74E13" w:rsidRDefault="009274FC">
            <w:pPr>
              <w:pStyle w:val="P68B1DB1-Normal12"/>
              <w:spacing w:after="0" w:line="240" w:lineRule="auto"/>
              <w:rPr>
                <w:noProof/>
              </w:rPr>
            </w:pPr>
            <w:r>
              <w:rPr>
                <w:noProof/>
              </w:rPr>
              <w:t>Entrée en vigueur du ou des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2E"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2F" w14:textId="77777777" w:rsidR="00F74E13" w:rsidRDefault="00F74E13">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30" w14:textId="77777777" w:rsidR="00F74E13" w:rsidRDefault="00F74E13">
            <w:pPr>
              <w:spacing w:after="0" w:line="240" w:lineRule="auto"/>
              <w:jc w:val="center"/>
              <w:rPr>
                <w:noProof/>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31" w14:textId="77777777" w:rsidR="00F74E13" w:rsidRDefault="009274FC">
            <w:pPr>
              <w:pStyle w:val="P68B1DB1-Normal12"/>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32" w14:textId="77777777" w:rsidR="00F74E13" w:rsidRDefault="009274FC">
            <w:pPr>
              <w:pStyle w:val="P68B1DB1-Normal15"/>
              <w:spacing w:after="0" w:line="240" w:lineRule="auto"/>
              <w:jc w:val="center"/>
              <w:rPr>
                <w:noProof/>
              </w:rPr>
            </w:pPr>
            <w:r>
              <w:rPr>
                <w:noProof/>
              </w:rPr>
              <w:t>2025</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1CEBD333" w14:textId="194CF153" w:rsidR="00F74E13" w:rsidRDefault="009274FC">
            <w:pPr>
              <w:pStyle w:val="P68B1DB1-Normal13"/>
              <w:spacing w:after="0" w:line="240" w:lineRule="auto"/>
              <w:jc w:val="both"/>
              <w:rPr>
                <w:noProof/>
              </w:rPr>
            </w:pPr>
            <w:r>
              <w:rPr>
                <w:noProof/>
              </w:rPr>
              <w:t>Le ou les actes juridiques entrent en vigueur:</w:t>
            </w:r>
          </w:p>
          <w:p w14:paraId="1CEBD334" w14:textId="37D2CEAD" w:rsidR="00F74E13" w:rsidRDefault="009274FC">
            <w:pPr>
              <w:pStyle w:val="P68B1DB1-ListParagraph20"/>
              <w:numPr>
                <w:ilvl w:val="0"/>
                <w:numId w:val="9"/>
              </w:numPr>
              <w:spacing w:after="0" w:line="240" w:lineRule="auto"/>
              <w:ind w:left="379"/>
              <w:jc w:val="both"/>
              <w:rPr>
                <w:noProof/>
              </w:rPr>
            </w:pPr>
            <w:r>
              <w:rPr>
                <w:noProof/>
              </w:rPr>
              <w:t>l'organisation et la procédure du Conseil de l'innovation et de la recherche;</w:t>
            </w:r>
          </w:p>
          <w:p w14:paraId="1CEBD335" w14:textId="2D4F8E4D" w:rsidR="00F74E13" w:rsidRDefault="009274FC">
            <w:pPr>
              <w:pStyle w:val="P68B1DB1-ListParagraph20"/>
              <w:numPr>
                <w:ilvl w:val="0"/>
                <w:numId w:val="10"/>
              </w:numPr>
              <w:spacing w:after="0" w:line="240" w:lineRule="auto"/>
              <w:ind w:left="379"/>
              <w:jc w:val="both"/>
              <w:rPr>
                <w:noProof/>
              </w:rPr>
            </w:pPr>
            <w:r>
              <w:rPr>
                <w:noProof/>
              </w:rPr>
              <w:t>le Fonds pour la recherche scientifique;</w:t>
            </w:r>
          </w:p>
          <w:p w14:paraId="1CEBD336" w14:textId="6012F670" w:rsidR="00F74E13" w:rsidRDefault="009274FC">
            <w:pPr>
              <w:pStyle w:val="P68B1DB1-ListParagraph20"/>
              <w:numPr>
                <w:ilvl w:val="0"/>
                <w:numId w:val="10"/>
              </w:numPr>
              <w:spacing w:after="0" w:line="240" w:lineRule="auto"/>
              <w:ind w:left="379"/>
              <w:jc w:val="both"/>
              <w:rPr>
                <w:noProof/>
              </w:rPr>
            </w:pPr>
            <w:r>
              <w:rPr>
                <w:noProof/>
              </w:rPr>
              <w:t>le Fonds national pour l’innovation;</w:t>
            </w:r>
          </w:p>
          <w:p w14:paraId="1CEBD337" w14:textId="5285180E" w:rsidR="00F74E13" w:rsidRDefault="009274FC">
            <w:pPr>
              <w:pStyle w:val="P68B1DB1-ListParagraph20"/>
              <w:numPr>
                <w:ilvl w:val="0"/>
                <w:numId w:val="10"/>
              </w:numPr>
              <w:spacing w:after="0" w:line="240" w:lineRule="auto"/>
              <w:ind w:left="379"/>
              <w:jc w:val="both"/>
              <w:rPr>
                <w:noProof/>
              </w:rPr>
            </w:pPr>
            <w:r>
              <w:rPr>
                <w:noProof/>
              </w:rPr>
              <w:t>la procédure de publication et de stockage des données et des publications sur le portail bulgare de la science ouverte;</w:t>
            </w:r>
          </w:p>
          <w:p w14:paraId="1CEBD338" w14:textId="56F8A41B" w:rsidR="00F74E13" w:rsidRDefault="009274FC">
            <w:pPr>
              <w:pStyle w:val="P68B1DB1-ListParagraph20"/>
              <w:numPr>
                <w:ilvl w:val="0"/>
                <w:numId w:val="10"/>
              </w:numPr>
              <w:spacing w:after="0" w:line="240" w:lineRule="auto"/>
              <w:ind w:left="379"/>
              <w:jc w:val="both"/>
              <w:rPr>
                <w:noProof/>
              </w:rPr>
            </w:pPr>
            <w:r>
              <w:rPr>
                <w:noProof/>
              </w:rPr>
              <w:t>les conditions et modalités de tenue du registre des activités de recherche en République de Bulgarie;</w:t>
            </w:r>
          </w:p>
          <w:p w14:paraId="1CEBD339" w14:textId="1BBC838A" w:rsidR="00F74E13" w:rsidRDefault="009274FC">
            <w:pPr>
              <w:pStyle w:val="P68B1DB1-ListParagraph20"/>
              <w:numPr>
                <w:ilvl w:val="0"/>
                <w:numId w:val="10"/>
              </w:numPr>
              <w:spacing w:after="0" w:line="240" w:lineRule="auto"/>
              <w:ind w:left="379"/>
              <w:jc w:val="both"/>
              <w:rPr>
                <w:noProof/>
              </w:rPr>
            </w:pPr>
            <w:r>
              <w:rPr>
                <w:noProof/>
              </w:rPr>
              <w:t>le suivi et l'évaluation des activités de recherche menées par les établissements d'enseignement supérieur et les organisations scientifiques, ainsi que des activités du Fonds pour la recherche scientifique;</w:t>
            </w:r>
          </w:p>
          <w:p w14:paraId="1CEBD33B" w14:textId="5B6FA3AB" w:rsidR="00F74E13" w:rsidRDefault="009274FC">
            <w:pPr>
              <w:pStyle w:val="P68B1DB1-ListParagraph20"/>
              <w:numPr>
                <w:ilvl w:val="0"/>
                <w:numId w:val="10"/>
              </w:numPr>
              <w:spacing w:after="0" w:line="240" w:lineRule="auto"/>
              <w:ind w:left="379"/>
              <w:jc w:val="both"/>
              <w:rPr>
                <w:noProof/>
              </w:rPr>
            </w:pPr>
            <w:r>
              <w:rPr>
                <w:noProof/>
              </w:rPr>
              <w:t>le suivi et l’évaluation des activités du Fonds national pour l’innovation.</w:t>
            </w:r>
          </w:p>
        </w:tc>
      </w:tr>
      <w:tr w:rsidR="00F74E13" w14:paraId="1CEBD34B"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33D" w14:textId="77777777" w:rsidR="00F74E13" w:rsidRDefault="009274FC">
            <w:pPr>
              <w:pStyle w:val="P68B1DB1-Normal15"/>
              <w:spacing w:after="0" w:line="240" w:lineRule="auto"/>
              <w:jc w:val="center"/>
              <w:rPr>
                <w:noProof/>
              </w:rPr>
            </w:pPr>
            <w:r>
              <w:rPr>
                <w:noProof/>
              </w:rPr>
              <w:t>28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33E" w14:textId="77777777" w:rsidR="00F74E13" w:rsidRDefault="009274FC">
            <w:pPr>
              <w:pStyle w:val="P68B1DB1-Normal13"/>
              <w:spacing w:after="0" w:line="240" w:lineRule="auto"/>
              <w:rPr>
                <w:noProof/>
              </w:rPr>
            </w:pPr>
            <w:r>
              <w:rPr>
                <w:noProof/>
              </w:rPr>
              <w:t>C2.I1 : Programme de soutien à la recherche et à l'innovation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33F" w14:textId="77777777" w:rsidR="00F74E13" w:rsidRDefault="009274FC">
            <w:pPr>
              <w:pStyle w:val="P68B1DB1-Normal15"/>
              <w:spacing w:after="0" w:line="240" w:lineRule="auto"/>
              <w:jc w:val="center"/>
              <w:rPr>
                <w:noProof/>
              </w:rPr>
            </w:pPr>
            <w:r>
              <w:rPr>
                <w:noProof/>
              </w:rPr>
              <w:t>Objectif</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340" w14:textId="5FBD5F56" w:rsidR="00F74E13" w:rsidRDefault="009274FC">
            <w:pPr>
              <w:pStyle w:val="P68B1DB1-Normal15"/>
              <w:spacing w:after="0" w:line="240" w:lineRule="auto"/>
              <w:rPr>
                <w:noProof/>
              </w:rPr>
            </w:pPr>
            <w:r>
              <w:rPr>
                <w:noProof/>
              </w:rPr>
              <w:t xml:space="preserve">Lettres acceptant les rapports finaux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341" w14:textId="77777777" w:rsidR="00F74E13" w:rsidRDefault="00F74E13">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42" w14:textId="77777777" w:rsidR="00F74E13" w:rsidRDefault="009274FC">
            <w:pPr>
              <w:pStyle w:val="P68B1DB1-Normal1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43"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44" w14:textId="77777777" w:rsidR="00F74E13" w:rsidRDefault="009274FC">
            <w:pPr>
              <w:pStyle w:val="P68B1DB1-Normal12"/>
              <w:spacing w:after="0" w:line="240" w:lineRule="auto"/>
              <w:jc w:val="center"/>
              <w:rPr>
                <w:noProof/>
              </w:rPr>
            </w:pPr>
            <w:r>
              <w:rPr>
                <w:noProof/>
              </w:rPr>
              <w:t>15</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45" w14:textId="77777777" w:rsidR="00F74E13" w:rsidRDefault="009274FC">
            <w:pPr>
              <w:pStyle w:val="P68B1DB1-Normal15"/>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46" w14:textId="77777777" w:rsidR="00F74E13" w:rsidRDefault="009274FC">
            <w:pPr>
              <w:pStyle w:val="P68B1DB1-Normal15"/>
              <w:spacing w:after="0" w:line="240" w:lineRule="auto"/>
              <w:jc w:val="center"/>
              <w:rPr>
                <w:noProof/>
              </w:rPr>
            </w:pPr>
            <w:r>
              <w:rPr>
                <w:noProof/>
              </w:rPr>
              <w:t>2026</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658965EE" w14:textId="77777777" w:rsidR="00F74E13" w:rsidRDefault="009274FC">
            <w:pPr>
              <w:pStyle w:val="P68B1DB1-Normal12"/>
              <w:spacing w:after="0" w:line="240" w:lineRule="auto"/>
              <w:jc w:val="both"/>
              <w:rPr>
                <w:noProof/>
              </w:rPr>
            </w:pPr>
            <w:r>
              <w:rPr>
                <w:noProof/>
              </w:rPr>
              <w:t>12 lettres des autorités acceptant les rapports finaux pour les projets ayant obtenu un certificat «label d’excellence» de la Commission européenne.</w:t>
            </w:r>
          </w:p>
          <w:p w14:paraId="1CEBD34A" w14:textId="0A7C81BA" w:rsidR="00F74E13" w:rsidRDefault="009274FC">
            <w:pPr>
              <w:pStyle w:val="P68B1DB1-Normal21"/>
              <w:spacing w:after="0" w:line="240" w:lineRule="auto"/>
              <w:jc w:val="both"/>
              <w:rPr>
                <w:rFonts w:ascii="Times New Roman" w:hAnsi="Times New Roman"/>
                <w:noProof/>
                <w:color w:val="006100"/>
              </w:rPr>
            </w:pPr>
            <w:r>
              <w:rPr>
                <w:rFonts w:ascii="Times New Roman" w:hAnsi="Times New Roman" w:cs="Times New Roman"/>
                <w:noProof/>
                <w:color w:val="006100"/>
              </w:rPr>
              <w:t xml:space="preserve">3 lettres des autorités acceptant les rapports finaux des </w:t>
            </w:r>
            <w:r>
              <w:rPr>
                <w:rFonts w:ascii="Times New Roman" w:hAnsi="Times New Roman"/>
                <w:noProof/>
                <w:color w:val="006100"/>
              </w:rPr>
              <w:t>établissements d’enseignement</w:t>
            </w:r>
            <w:r>
              <w:rPr>
                <w:rFonts w:ascii="Times New Roman" w:hAnsi="Times New Roman" w:cs="Times New Roman"/>
                <w:noProof/>
                <w:color w:val="006100"/>
              </w:rPr>
              <w:t xml:space="preserve"> supérieur ou des organismes de recherche bulgares sur des projets liés à la recherche et à l’innovation.</w:t>
            </w:r>
          </w:p>
        </w:tc>
      </w:tr>
      <w:tr w:rsidR="00F74E13" w14:paraId="1CEBD35B"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34C" w14:textId="77777777" w:rsidR="00F74E13" w:rsidRDefault="009274FC">
            <w:pPr>
              <w:pStyle w:val="P68B1DB1-Normal13"/>
              <w:spacing w:after="0" w:line="240" w:lineRule="auto"/>
              <w:jc w:val="center"/>
              <w:rPr>
                <w:noProof/>
              </w:rPr>
            </w:pPr>
            <w:r>
              <w:rPr>
                <w:noProof/>
              </w:rPr>
              <w:t>29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34D" w14:textId="77777777" w:rsidR="00F74E13" w:rsidRDefault="009274FC">
            <w:pPr>
              <w:pStyle w:val="P68B1DB1-Normal13"/>
              <w:spacing w:after="0" w:line="240" w:lineRule="auto"/>
              <w:rPr>
                <w:noProof/>
              </w:rPr>
            </w:pPr>
            <w:r>
              <w:rPr>
                <w:noProof/>
              </w:rPr>
              <w:t>C2.I1 : Programme de soutien à la recherche et à l'innovation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4E" w14:textId="77777777" w:rsidR="00F74E13" w:rsidRDefault="009274FC">
            <w:pPr>
              <w:pStyle w:val="P68B1DB1-Normal13"/>
              <w:spacing w:after="0" w:line="240" w:lineRule="auto"/>
              <w:jc w:val="center"/>
              <w:rPr>
                <w:noProof/>
              </w:rPr>
            </w:pPr>
            <w:r>
              <w:rPr>
                <w:noProof/>
              </w:rPr>
              <w:t>Objectif</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34F" w14:textId="77777777" w:rsidR="00F74E13" w:rsidRDefault="009274FC">
            <w:pPr>
              <w:pStyle w:val="P68B1DB1-Normal13"/>
              <w:spacing w:after="0" w:line="240" w:lineRule="auto"/>
              <w:rPr>
                <w:noProof/>
              </w:rPr>
            </w:pPr>
            <w:r>
              <w:rPr>
                <w:noProof/>
              </w:rPr>
              <w:t xml:space="preserve">Signature de contrats avec des établissements d'enseignement supérieur de la recherche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50" w14:textId="77777777" w:rsidR="00F74E13" w:rsidRDefault="00F74E13">
            <w:pPr>
              <w:spacing w:after="0" w:line="240" w:lineRule="auto"/>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51" w14:textId="77777777" w:rsidR="00F74E13" w:rsidRDefault="009274FC">
            <w:pPr>
              <w:pStyle w:val="P68B1DB1-Normal13"/>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52" w14:textId="77777777" w:rsidR="00F74E13" w:rsidRDefault="009274FC">
            <w:pPr>
              <w:pStyle w:val="P68B1DB1-Normal13"/>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53" w14:textId="77777777" w:rsidR="00F74E13" w:rsidRDefault="009274FC">
            <w:pPr>
              <w:pStyle w:val="P68B1DB1-Normal13"/>
              <w:spacing w:after="0" w:line="240" w:lineRule="auto"/>
              <w:jc w:val="center"/>
              <w:rPr>
                <w:noProof/>
              </w:rPr>
            </w:pPr>
            <w:r>
              <w:rPr>
                <w:noProof/>
              </w:rPr>
              <w:t>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54" w14:textId="77777777" w:rsidR="00F74E13" w:rsidRDefault="009274FC">
            <w:pPr>
              <w:pStyle w:val="P68B1DB1-Normal13"/>
              <w:spacing w:after="0" w:line="240" w:lineRule="auto"/>
              <w:jc w:val="center"/>
              <w:rPr>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55" w14:textId="77777777" w:rsidR="00F74E13" w:rsidRDefault="009274FC">
            <w:pPr>
              <w:pStyle w:val="P68B1DB1-Normal13"/>
              <w:spacing w:after="0" w:line="240" w:lineRule="auto"/>
              <w:jc w:val="center"/>
              <w:rPr>
                <w:noProof/>
              </w:rPr>
            </w:pPr>
            <w:r>
              <w:rPr>
                <w:noProof/>
              </w:rPr>
              <w:t>2022</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1CEBD356" w14:textId="2A0F15E8" w:rsidR="00F74E13" w:rsidRDefault="009274FC">
            <w:pPr>
              <w:pStyle w:val="P68B1DB1-Normal13"/>
              <w:spacing w:after="0" w:line="240" w:lineRule="auto"/>
              <w:jc w:val="both"/>
              <w:rPr>
                <w:noProof/>
              </w:rPr>
            </w:pPr>
            <w:r>
              <w:rPr>
                <w:noProof/>
              </w:rPr>
              <w:t>Signature de contrats avec 9 établissements d'enseignement supérieur de recherche sur décision du Conseil des ministres.</w:t>
            </w:r>
          </w:p>
          <w:p w14:paraId="1CEBD358" w14:textId="77777777" w:rsidR="00F74E13" w:rsidRDefault="009274FC">
            <w:pPr>
              <w:pStyle w:val="P68B1DB1-Normal13"/>
              <w:spacing w:before="120" w:after="0" w:line="240" w:lineRule="auto"/>
              <w:jc w:val="both"/>
              <w:rPr>
                <w:noProof/>
              </w:rPr>
            </w:pPr>
            <w:r>
              <w:rPr>
                <w:noProof/>
              </w:rPr>
              <w:t>La procédure de sélection des programmes d'innovation est effectuée par un comité d'évaluation et le suivi ultérieur des programmes d'innovation est assuré par un comité de suivi. Les deux comités sont établis au sein du ministère de l’éducation et des sciences et fonctionnent sur la base d’un processus d’évaluation par les pairs.</w:t>
            </w:r>
          </w:p>
          <w:p w14:paraId="1CEBD35A" w14:textId="77777777" w:rsidR="00F74E13" w:rsidRDefault="009274FC">
            <w:pPr>
              <w:pStyle w:val="P68B1DB1-Normal13"/>
              <w:spacing w:before="120" w:after="0" w:line="240" w:lineRule="auto"/>
              <w:jc w:val="both"/>
              <w:rPr>
                <w:noProof/>
              </w:rPr>
            </w:pPr>
            <w:r>
              <w:rPr>
                <w:noProof/>
              </w:rPr>
              <w:t>Chaque contrat fixe les conditions des activités à réaliser avec les fonds, sur la base des programmes d'innovation présentés par les établissements d'enseignement supérieur. Celles-ci déterminent un plan concret pour le développement de la recherche et le transfert de technologies et précisent la participation à un réseau entre les neuf établissements d’enseignement supérieur de la recherche, en tenant compte de l’égalité entre les hommes et les femmes et de l’importance des innovations vertes.</w:t>
            </w:r>
          </w:p>
        </w:tc>
      </w:tr>
      <w:tr w:rsidR="00F74E13" w14:paraId="1CEBD368"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35C" w14:textId="77777777" w:rsidR="00F74E13" w:rsidRDefault="009274FC">
            <w:pPr>
              <w:pStyle w:val="P68B1DB1-Normal13"/>
              <w:spacing w:after="0" w:line="240" w:lineRule="auto"/>
              <w:jc w:val="center"/>
              <w:rPr>
                <w:noProof/>
              </w:rPr>
            </w:pPr>
            <w:r>
              <w:rPr>
                <w:noProof/>
              </w:rPr>
              <w:t>29 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35D" w14:textId="77777777" w:rsidR="00F74E13" w:rsidRDefault="009274FC">
            <w:pPr>
              <w:pStyle w:val="P68B1DB1-Normal13"/>
              <w:spacing w:after="0" w:line="240" w:lineRule="auto"/>
              <w:rPr>
                <w:noProof/>
              </w:rPr>
            </w:pPr>
            <w:r>
              <w:rPr>
                <w:noProof/>
              </w:rPr>
              <w:t>C2.I1 : Programme de soutien à la recherche et à l'innovation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5E" w14:textId="77777777" w:rsidR="00F74E13" w:rsidRDefault="009274FC">
            <w:pPr>
              <w:pStyle w:val="P68B1DB1-Normal15"/>
              <w:spacing w:after="0" w:line="240" w:lineRule="auto"/>
              <w:jc w:val="center"/>
              <w:rPr>
                <w:noProof/>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35F" w14:textId="77777777" w:rsidR="00F74E13" w:rsidRDefault="009274FC">
            <w:pPr>
              <w:pStyle w:val="P68B1DB1-Normal15"/>
              <w:spacing w:after="0" w:line="240" w:lineRule="auto"/>
              <w:rPr>
                <w:noProof/>
              </w:rPr>
            </w:pPr>
            <w:r>
              <w:rPr>
                <w:noProof/>
              </w:rPr>
              <w:t xml:space="preserve">Signature du contrat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60" w14:textId="77777777" w:rsidR="00F74E13" w:rsidRDefault="009274FC">
            <w:pPr>
              <w:pStyle w:val="P68B1DB1-Normal15"/>
              <w:spacing w:after="0" w:line="240" w:lineRule="auto"/>
              <w:rPr>
                <w:noProof/>
              </w:rPr>
            </w:pPr>
            <w:r>
              <w:rPr>
                <w:noProof/>
              </w:rPr>
              <w:t>Contrat signé</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6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62"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6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64" w14:textId="77777777" w:rsidR="00F74E13" w:rsidRDefault="009274FC">
            <w:pPr>
              <w:pStyle w:val="P68B1DB1-Normal22"/>
              <w:spacing w:after="0" w:line="240" w:lineRule="auto"/>
              <w:jc w:val="center"/>
              <w:rPr>
                <w:rFonts w:ascii="Times New Roman" w:hAnsi="Times New Roman"/>
                <w:noProof/>
              </w:rPr>
            </w:pPr>
            <w:r>
              <w:rPr>
                <w:rFonts w:ascii="Times New Roman" w:hAnsi="Times New Roman"/>
                <w:noProof/>
              </w:rPr>
              <w:t>Q</w:t>
            </w:r>
            <w:r>
              <w:rPr>
                <w:rFonts w:ascii="Times New Roman" w:hAnsi="Times New Roman" w:cs="Times New Roman"/>
                <w:noProof/>
                <w:szCs w:val="20"/>
              </w:rPr>
              <w:t xml:space="preserve"> 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65" w14:textId="77777777" w:rsidR="00F74E13" w:rsidRDefault="009274FC">
            <w:pPr>
              <w:pStyle w:val="P68B1DB1-Normal12"/>
              <w:spacing w:after="0" w:line="240" w:lineRule="auto"/>
              <w:jc w:val="center"/>
              <w:rPr>
                <w:noProof/>
              </w:rPr>
            </w:pPr>
            <w:r>
              <w:rPr>
                <w:noProof/>
              </w:rPr>
              <w:t>2025</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1CEBD367" w14:textId="4AAA8ABE" w:rsidR="00F74E13" w:rsidRDefault="009274FC">
            <w:pPr>
              <w:pStyle w:val="P68B1DB1-Normal13"/>
              <w:spacing w:after="0" w:line="240" w:lineRule="auto"/>
              <w:jc w:val="both"/>
              <w:rPr>
                <w:noProof/>
              </w:rPr>
            </w:pPr>
            <w:r>
              <w:rPr>
                <w:noProof/>
              </w:rPr>
              <w:t>Signature du contrat avec une université.</w:t>
            </w:r>
          </w:p>
        </w:tc>
      </w:tr>
      <w:tr w:rsidR="00F74E13" w14:paraId="1CEBD374"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369" w14:textId="77777777" w:rsidR="00F74E13" w:rsidRDefault="009274FC">
            <w:pPr>
              <w:pStyle w:val="P68B1DB1-Normal15"/>
              <w:spacing w:after="0" w:line="240" w:lineRule="auto"/>
              <w:jc w:val="center"/>
              <w:rPr>
                <w:noProof/>
              </w:rPr>
            </w:pPr>
            <w:r>
              <w:rPr>
                <w:noProof/>
              </w:rPr>
              <w:t>30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36A" w14:textId="77777777" w:rsidR="00F74E13" w:rsidRDefault="009274FC">
            <w:pPr>
              <w:pStyle w:val="P68B1DB1-Normal13"/>
              <w:spacing w:after="0" w:line="240" w:lineRule="auto"/>
              <w:rPr>
                <w:noProof/>
              </w:rPr>
            </w:pPr>
            <w:r>
              <w:rPr>
                <w:noProof/>
              </w:rPr>
              <w:t>C2.I1 : Programme de soutien à la recherche et à l'innovation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36B" w14:textId="77777777" w:rsidR="00F74E13" w:rsidRDefault="009274FC">
            <w:pPr>
              <w:pStyle w:val="P68B1DB1-Normal15"/>
              <w:spacing w:after="0" w:line="240" w:lineRule="auto"/>
              <w:jc w:val="center"/>
              <w:rPr>
                <w:noProof/>
              </w:rPr>
            </w:pPr>
            <w:r>
              <w:rPr>
                <w:noProof/>
              </w:rPr>
              <w:t>Objectif</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36C" w14:textId="77777777" w:rsidR="00F74E13" w:rsidRDefault="009274FC">
            <w:pPr>
              <w:pStyle w:val="P68B1DB1-Normal13"/>
              <w:spacing w:after="0" w:line="240" w:lineRule="auto"/>
              <w:rPr>
                <w:noProof/>
              </w:rPr>
            </w:pPr>
            <w:r>
              <w:rPr>
                <w:noProof/>
              </w:rPr>
              <w:t>Rapports approuvés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36D" w14:textId="77777777" w:rsidR="00F74E13" w:rsidRDefault="00F74E13">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6E" w14:textId="77777777" w:rsidR="00F74E13" w:rsidRDefault="009274FC">
            <w:pPr>
              <w:pStyle w:val="P68B1DB1-Normal1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6F"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70" w14:textId="77777777" w:rsidR="00F74E13" w:rsidRDefault="009274FC">
            <w:pPr>
              <w:pStyle w:val="P68B1DB1-Normal15"/>
              <w:spacing w:after="0" w:line="240" w:lineRule="auto"/>
              <w:jc w:val="center"/>
              <w:rPr>
                <w:noProof/>
              </w:rPr>
            </w:pPr>
            <w:r>
              <w:rPr>
                <w:noProof/>
              </w:rPr>
              <w:t>10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71" w14:textId="77777777" w:rsidR="00F74E13" w:rsidRDefault="009274FC">
            <w:pPr>
              <w:pStyle w:val="P68B1DB1-Normal12"/>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72" w14:textId="77777777" w:rsidR="00F74E13" w:rsidRDefault="009274FC">
            <w:pPr>
              <w:pStyle w:val="P68B1DB1-Normal15"/>
              <w:spacing w:after="0" w:line="240" w:lineRule="auto"/>
              <w:jc w:val="center"/>
              <w:rPr>
                <w:noProof/>
              </w:rPr>
            </w:pPr>
            <w:r>
              <w:rPr>
                <w:noProof/>
              </w:rPr>
              <w:t>2026</w:t>
            </w:r>
          </w:p>
        </w:tc>
        <w:tc>
          <w:tcPr>
            <w:tcW w:w="4148" w:type="dxa"/>
            <w:tcBorders>
              <w:top w:val="single" w:sz="4" w:space="0" w:color="auto"/>
              <w:left w:val="single" w:sz="4" w:space="0" w:color="auto"/>
              <w:bottom w:val="single" w:sz="4" w:space="0" w:color="auto"/>
              <w:right w:val="single" w:sz="4" w:space="0" w:color="auto"/>
            </w:tcBorders>
            <w:shd w:val="clear" w:color="auto" w:fill="C6EFCE"/>
            <w:noWrap/>
            <w:hideMark/>
          </w:tcPr>
          <w:p w14:paraId="1CEBD373" w14:textId="5F10A69B" w:rsidR="00F74E13" w:rsidRDefault="009274FC">
            <w:pPr>
              <w:pStyle w:val="P68B1DB1-Normal13"/>
              <w:spacing w:after="0" w:line="240" w:lineRule="auto"/>
              <w:jc w:val="both"/>
              <w:rPr>
                <w:noProof/>
              </w:rPr>
            </w:pPr>
            <w:r>
              <w:rPr>
                <w:noProof/>
              </w:rPr>
              <w:t>Le comité de suivi et d'évaluation approuve dix rapports finaux de dix établissements d'enseignement supérieur de recherche sur leurs programmes respectifs.</w:t>
            </w:r>
          </w:p>
        </w:tc>
      </w:tr>
      <w:tr w:rsidR="00F74E13" w14:paraId="1CEBD38A"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375" w14:textId="77777777" w:rsidR="00F74E13" w:rsidRDefault="009274FC">
            <w:pPr>
              <w:pStyle w:val="P68B1DB1-Normal13"/>
              <w:spacing w:after="0" w:line="240" w:lineRule="auto"/>
              <w:jc w:val="center"/>
              <w:rPr>
                <w:noProof/>
              </w:rPr>
            </w:pPr>
            <w:r>
              <w:rPr>
                <w:noProof/>
              </w:rPr>
              <w:t>31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376" w14:textId="77777777" w:rsidR="00F74E13" w:rsidRDefault="009274FC">
            <w:pPr>
              <w:pStyle w:val="P68B1DB1-Normal13"/>
              <w:spacing w:after="0" w:line="240" w:lineRule="auto"/>
              <w:rPr>
                <w:noProof/>
              </w:rPr>
            </w:pPr>
            <w:r>
              <w:rPr>
                <w:noProof/>
              </w:rPr>
              <w:t xml:space="preserve">C2.I2 : </w:t>
            </w:r>
          </w:p>
          <w:p w14:paraId="1CEBD377" w14:textId="77777777" w:rsidR="00F74E13" w:rsidRDefault="009274FC">
            <w:pPr>
              <w:pStyle w:val="P68B1DB1-Normal13"/>
              <w:spacing w:after="0" w:line="240" w:lineRule="auto"/>
              <w:rPr>
                <w:noProof/>
              </w:rPr>
            </w:pPr>
            <w:r>
              <w:rPr>
                <w:noProof/>
              </w:rPr>
              <w:t>Investissement dans l'Académie bulgare des sciences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78" w14:textId="77777777" w:rsidR="00F74E13" w:rsidRDefault="009274FC">
            <w:pPr>
              <w:pStyle w:val="P68B1DB1-Normal15"/>
              <w:spacing w:after="0" w:line="240" w:lineRule="auto"/>
              <w:jc w:val="center"/>
              <w:rPr>
                <w:noProof/>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379" w14:textId="77777777" w:rsidR="00F74E13" w:rsidRDefault="009274FC">
            <w:pPr>
              <w:pStyle w:val="P68B1DB1-Normal13"/>
              <w:spacing w:after="0" w:line="240" w:lineRule="auto"/>
              <w:rPr>
                <w:noProof/>
              </w:rPr>
            </w:pPr>
            <w:r>
              <w:rPr>
                <w:noProof/>
              </w:rPr>
              <w:t xml:space="preserve">Mesures en faveur du Centre commun d'innovation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7A" w14:textId="77777777" w:rsidR="00F74E13" w:rsidRDefault="009274FC">
            <w:pPr>
              <w:pStyle w:val="P68B1DB1-Normal13"/>
              <w:spacing w:after="0" w:line="240" w:lineRule="auto"/>
              <w:rPr>
                <w:noProof/>
              </w:rPr>
            </w:pPr>
            <w:r>
              <w:rPr>
                <w:noProof/>
              </w:rPr>
              <w:t>Contrats de travail signés; Ordonnance signée par le président du BAS; lien vers le portail électronique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7B"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7C" w14:textId="77777777" w:rsidR="00F74E13" w:rsidRDefault="00F74E13">
            <w:pPr>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7D"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7E" w14:textId="77777777" w:rsidR="00F74E13" w:rsidRDefault="009274FC">
            <w:pPr>
              <w:pStyle w:val="P68B1DB1-Normal12"/>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7F" w14:textId="77777777" w:rsidR="00F74E13" w:rsidRDefault="009274FC">
            <w:pPr>
              <w:pStyle w:val="P68B1DB1-Normal15"/>
              <w:spacing w:after="0" w:line="240" w:lineRule="auto"/>
              <w:jc w:val="center"/>
              <w:rPr>
                <w:noProof/>
              </w:rPr>
            </w:pPr>
            <w:r>
              <w:rPr>
                <w:noProof/>
              </w:rPr>
              <w:t>2025</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1CEBD380" w14:textId="77777777" w:rsidR="00F74E13" w:rsidRDefault="009274FC">
            <w:pPr>
              <w:pStyle w:val="P68B1DB1-Normal13"/>
              <w:spacing w:after="0" w:line="240" w:lineRule="auto"/>
              <w:jc w:val="both"/>
              <w:rPr>
                <w:noProof/>
              </w:rPr>
            </w:pPr>
            <w:r>
              <w:rPr>
                <w:noProof/>
              </w:rPr>
              <w:t>Les mesures relatives au Centre commun d'innovation couvrent:</w:t>
            </w:r>
          </w:p>
          <w:p w14:paraId="1CEBD381" w14:textId="1CD475EE" w:rsidR="00F74E13" w:rsidRDefault="009274FC">
            <w:pPr>
              <w:pStyle w:val="P68B1DB1-Normal13"/>
              <w:spacing w:after="0" w:line="240" w:lineRule="auto"/>
              <w:jc w:val="both"/>
              <w:rPr>
                <w:noProof/>
              </w:rPr>
            </w:pPr>
            <w:r>
              <w:rPr>
                <w:noProof/>
              </w:rPr>
              <w:t>a) Cinq contrats de travail signés, un pour chacun des domaines d'expertise suivants:</w:t>
            </w:r>
          </w:p>
          <w:p w14:paraId="1CEBD382" w14:textId="1DBCFB56" w:rsidR="00F74E13" w:rsidRDefault="009274FC">
            <w:pPr>
              <w:pStyle w:val="P68B1DB1-Normal13"/>
              <w:spacing w:after="0" w:line="240" w:lineRule="auto"/>
              <w:jc w:val="both"/>
              <w:rPr>
                <w:noProof/>
              </w:rPr>
            </w:pPr>
            <w:r>
              <w:rPr>
                <w:noProof/>
              </w:rPr>
              <w:t>- la commercialisation;</w:t>
            </w:r>
          </w:p>
          <w:p w14:paraId="1CEBD383" w14:textId="7602DDD8" w:rsidR="00F74E13" w:rsidRDefault="009274FC">
            <w:pPr>
              <w:pStyle w:val="P68B1DB1-Normal13"/>
              <w:spacing w:after="0" w:line="240" w:lineRule="auto"/>
              <w:jc w:val="both"/>
              <w:rPr>
                <w:noProof/>
              </w:rPr>
            </w:pPr>
            <w:r>
              <w:rPr>
                <w:noProof/>
              </w:rPr>
              <w:t>- la propriété intellectuelle;</w:t>
            </w:r>
          </w:p>
          <w:p w14:paraId="1CEBD384" w14:textId="77777777" w:rsidR="00F74E13" w:rsidRDefault="009274FC">
            <w:pPr>
              <w:pStyle w:val="P68B1DB1-Normal13"/>
              <w:spacing w:after="0" w:line="240" w:lineRule="auto"/>
              <w:jc w:val="both"/>
              <w:rPr>
                <w:noProof/>
              </w:rPr>
            </w:pPr>
            <w:r>
              <w:rPr>
                <w:noProof/>
              </w:rPr>
              <w:t>- le transfert de technologies en mettant l'accent sur les technologies vertes et numériques;</w:t>
            </w:r>
          </w:p>
          <w:p w14:paraId="1CEBD385" w14:textId="67058BDF" w:rsidR="00F74E13" w:rsidRDefault="009274FC">
            <w:pPr>
              <w:pStyle w:val="P68B1DB1-Normal13"/>
              <w:spacing w:after="0" w:line="240" w:lineRule="auto"/>
              <w:jc w:val="both"/>
              <w:rPr>
                <w:noProof/>
              </w:rPr>
            </w:pPr>
            <w:r>
              <w:rPr>
                <w:noProof/>
              </w:rPr>
              <w:t>- les technologies de l'information;</w:t>
            </w:r>
          </w:p>
          <w:p w14:paraId="1CEBD386" w14:textId="5AD3D323" w:rsidR="00F74E13" w:rsidRDefault="009274FC">
            <w:pPr>
              <w:pStyle w:val="P68B1DB1-Normal13"/>
              <w:spacing w:after="0" w:line="240" w:lineRule="auto"/>
              <w:jc w:val="both"/>
              <w:rPr>
                <w:noProof/>
              </w:rPr>
            </w:pPr>
            <w:r>
              <w:rPr>
                <w:noProof/>
              </w:rPr>
              <w:t>- coordinateur des relations avec les entreprises et les représentants de l'écosystème de l'innovation;</w:t>
            </w:r>
          </w:p>
          <w:p w14:paraId="1CEBD387" w14:textId="77777777" w:rsidR="00F74E13" w:rsidRDefault="009274FC">
            <w:pPr>
              <w:pStyle w:val="P68B1DB1-Normal13"/>
              <w:spacing w:after="0" w:line="240" w:lineRule="auto"/>
              <w:jc w:val="both"/>
              <w:rPr>
                <w:noProof/>
              </w:rPr>
            </w:pPr>
            <w:r>
              <w:rPr>
                <w:noProof/>
              </w:rPr>
              <w:t>b) Un arrêté doit être signé par le président du BAS sur les membres de trois conseils de la science et de l'innovation;</w:t>
            </w:r>
          </w:p>
          <w:p w14:paraId="1CEBD389" w14:textId="0B9974CB" w:rsidR="00F74E13" w:rsidRDefault="009274FC">
            <w:pPr>
              <w:pStyle w:val="P68B1DB1-Normal13"/>
              <w:spacing w:after="0" w:line="240" w:lineRule="auto"/>
              <w:jc w:val="both"/>
              <w:rPr>
                <w:noProof/>
              </w:rPr>
            </w:pPr>
            <w:r>
              <w:rPr>
                <w:noProof/>
              </w:rPr>
              <w:t>c) Un portail électronique pour le BAS est accessible et en ligne.</w:t>
            </w:r>
          </w:p>
        </w:tc>
      </w:tr>
      <w:tr w:rsidR="00F74E13" w14:paraId="1CEBD398"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38B" w14:textId="77777777" w:rsidR="00F74E13" w:rsidRDefault="009274FC">
            <w:pPr>
              <w:pStyle w:val="P68B1DB1-Normal13"/>
              <w:spacing w:after="0" w:line="240" w:lineRule="auto"/>
              <w:jc w:val="center"/>
              <w:rPr>
                <w:noProof/>
              </w:rPr>
            </w:pPr>
            <w:r>
              <w:rPr>
                <w:noProof/>
              </w:rPr>
              <w:t>32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38C" w14:textId="77777777" w:rsidR="00F74E13" w:rsidRDefault="009274FC">
            <w:pPr>
              <w:pStyle w:val="P68B1DB1-Normal13"/>
              <w:spacing w:after="0" w:line="240" w:lineRule="auto"/>
              <w:rPr>
                <w:noProof/>
              </w:rPr>
            </w:pPr>
            <w:r>
              <w:rPr>
                <w:noProof/>
              </w:rPr>
              <w:t xml:space="preserve">C2.I2 : </w:t>
            </w:r>
          </w:p>
          <w:p w14:paraId="1CEBD38D" w14:textId="77777777" w:rsidR="00F74E13" w:rsidRDefault="009274FC">
            <w:pPr>
              <w:pStyle w:val="P68B1DB1-Normal15"/>
              <w:spacing w:after="0" w:line="240" w:lineRule="auto"/>
              <w:rPr>
                <w:noProof/>
              </w:rPr>
            </w:pPr>
            <w:r>
              <w:rPr>
                <w:noProof/>
              </w:rPr>
              <w:t>Investissement dans l'Académie bulgare des sciences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8E" w14:textId="77777777" w:rsidR="00F74E13" w:rsidRDefault="009274FC">
            <w:pPr>
              <w:pStyle w:val="P68B1DB1-Normal15"/>
              <w:spacing w:after="0" w:line="240" w:lineRule="auto"/>
              <w:jc w:val="center"/>
              <w:rPr>
                <w:noProof/>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390" w14:textId="1922341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Voie optique de distribution des clés quantiques</w:t>
            </w:r>
            <w:r>
              <w:rPr>
                <w:rFonts w:ascii="Times New Roman" w:hAnsi="Times New Roman"/>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91" w14:textId="77777777" w:rsidR="00F74E13" w:rsidRDefault="009274FC">
            <w:pPr>
              <w:pStyle w:val="P68B1DB1-Normal13"/>
              <w:spacing w:after="0" w:line="240" w:lineRule="auto"/>
              <w:rPr>
                <w:noProof/>
              </w:rPr>
            </w:pPr>
            <w:r>
              <w:rPr>
                <w:noProof/>
              </w:rPr>
              <w:t xml:space="preserve">Travaux sur la voie optique de distribution des clés quantiques réalisés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2"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93" w14:textId="77777777" w:rsidR="00F74E13" w:rsidRDefault="00F74E13">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94" w14:textId="77777777" w:rsidR="00F74E13" w:rsidRDefault="00F74E13">
            <w:pPr>
              <w:spacing w:after="0" w:line="240" w:lineRule="auto"/>
              <w:jc w:val="center"/>
              <w:rPr>
                <w:noProof/>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5" w14:textId="77777777" w:rsidR="00F74E13" w:rsidRDefault="009274FC">
            <w:pPr>
              <w:pStyle w:val="P68B1DB1-Normal15"/>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96" w14:textId="77777777" w:rsidR="00F74E13" w:rsidRDefault="009274FC">
            <w:pPr>
              <w:pStyle w:val="P68B1DB1-Normal15"/>
              <w:spacing w:after="0" w:line="240" w:lineRule="auto"/>
              <w:jc w:val="center"/>
              <w:rPr>
                <w:noProof/>
              </w:rPr>
            </w:pPr>
            <w:r>
              <w:rPr>
                <w:noProof/>
              </w:rPr>
              <w:t>2025</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1CEBD397" w14:textId="77777777" w:rsidR="00F74E13" w:rsidRDefault="009274FC">
            <w:pPr>
              <w:pStyle w:val="P68B1DB1-Normal13"/>
              <w:spacing w:after="0" w:line="240" w:lineRule="auto"/>
              <w:jc w:val="both"/>
              <w:rPr>
                <w:noProof/>
              </w:rPr>
            </w:pPr>
            <w:r>
              <w:rPr>
                <w:noProof/>
              </w:rPr>
              <w:t>Des travaux sur la voie optique de distribution des clés quantiques entre l'ascenseur du centre de données A1 et l'Institut de robotique de l'Académie bulgare des sciences (IR-BAS) ont été réalisés.</w:t>
            </w:r>
          </w:p>
        </w:tc>
      </w:tr>
      <w:tr w:rsidR="00F74E13" w14:paraId="1CEBD3A8" w14:textId="77777777" w:rsidTr="0054438B">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399" w14:textId="77777777" w:rsidR="00F74E13" w:rsidRDefault="009274FC">
            <w:pPr>
              <w:pStyle w:val="P68B1DB1-Normal15"/>
              <w:spacing w:after="0" w:line="240" w:lineRule="auto"/>
              <w:jc w:val="center"/>
              <w:rPr>
                <w:noProof/>
              </w:rPr>
            </w:pPr>
            <w:r>
              <w:rPr>
                <w:noProof/>
              </w:rPr>
              <w:t>33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39A" w14:textId="77777777" w:rsidR="00F74E13" w:rsidRDefault="009274FC">
            <w:pPr>
              <w:pStyle w:val="P68B1DB1-Normal15"/>
              <w:spacing w:after="0" w:line="240" w:lineRule="auto"/>
              <w:rPr>
                <w:noProof/>
              </w:rPr>
            </w:pPr>
            <w:r>
              <w:rPr>
                <w:noProof/>
              </w:rPr>
              <w:t xml:space="preserve">C2.I2 : </w:t>
            </w:r>
          </w:p>
          <w:p w14:paraId="1CEBD39B" w14:textId="77777777" w:rsidR="00F74E13" w:rsidRDefault="009274FC">
            <w:pPr>
              <w:pStyle w:val="P68B1DB1-Normal15"/>
              <w:spacing w:after="0" w:line="240" w:lineRule="auto"/>
              <w:rPr>
                <w:noProof/>
                <w:szCs w:val="20"/>
              </w:rPr>
            </w:pPr>
            <w:r>
              <w:rPr>
                <w:noProof/>
              </w:rPr>
              <w:t>Investissement dans l'Académie bulgare des sciences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9C" w14:textId="77777777" w:rsidR="00F74E13" w:rsidRDefault="009274FC">
            <w:pPr>
              <w:pStyle w:val="P68B1DB1-Normal15"/>
              <w:spacing w:after="0" w:line="240" w:lineRule="auto"/>
              <w:jc w:val="center"/>
              <w:rPr>
                <w:noProof/>
              </w:rPr>
            </w:pPr>
            <w:r>
              <w:rPr>
                <w:noProof/>
              </w:rPr>
              <w:t>Étape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39D" w14:textId="77777777" w:rsidR="00F74E13" w:rsidRDefault="009274FC">
            <w:pPr>
              <w:pStyle w:val="P68B1DB1-Normal13"/>
              <w:spacing w:after="0" w:line="240" w:lineRule="auto"/>
              <w:rPr>
                <w:noProof/>
              </w:rPr>
            </w:pPr>
            <w:r>
              <w:rPr>
                <w:noProof/>
              </w:rPr>
              <w:t>Rénovation de l’Académie bulgare des sciences et du ou des projets de recherche dans le domaine de la transition écologique et numérique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39E" w14:textId="77777777" w:rsidR="00F74E13" w:rsidRDefault="009274FC">
            <w:pPr>
              <w:pStyle w:val="P68B1DB1-Normal13"/>
              <w:spacing w:after="0" w:line="240" w:lineRule="auto"/>
              <w:rPr>
                <w:noProof/>
              </w:rPr>
            </w:pPr>
            <w:r>
              <w:rPr>
                <w:noProof/>
              </w:rPr>
              <w:t>déclaration(s) des constatations; protocole(s) de livraison et protocole(s) d’inspection sur place délivré(s) et décision(s) du(des) conseil(s) de la science et de l’innovation délivré(s)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F"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EBD3A0"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A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A2" w14:textId="77777777" w:rsidR="00F74E13" w:rsidRDefault="009274FC">
            <w:pPr>
              <w:pStyle w:val="P68B1DB1-Normal12"/>
              <w:spacing w:after="0" w:line="240" w:lineRule="auto"/>
              <w:jc w:val="center"/>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CEBD3A3" w14:textId="77777777" w:rsidR="00F74E13" w:rsidRDefault="009274FC">
            <w:pPr>
              <w:pStyle w:val="P68B1DB1-Normal12"/>
              <w:spacing w:after="0" w:line="240" w:lineRule="auto"/>
              <w:jc w:val="center"/>
              <w:rPr>
                <w:noProof/>
              </w:rPr>
            </w:pPr>
            <w:r>
              <w:rPr>
                <w:noProof/>
              </w:rPr>
              <w:t>2026</w:t>
            </w:r>
          </w:p>
        </w:tc>
        <w:tc>
          <w:tcPr>
            <w:tcW w:w="4148" w:type="dxa"/>
            <w:tcBorders>
              <w:top w:val="single" w:sz="4" w:space="0" w:color="auto"/>
              <w:left w:val="single" w:sz="4" w:space="0" w:color="auto"/>
              <w:bottom w:val="single" w:sz="4" w:space="0" w:color="auto"/>
              <w:right w:val="single" w:sz="4" w:space="0" w:color="auto"/>
            </w:tcBorders>
            <w:shd w:val="clear" w:color="auto" w:fill="C6EFCE"/>
            <w:noWrap/>
          </w:tcPr>
          <w:p w14:paraId="1CEBD3A4" w14:textId="0C7BF086" w:rsidR="00F74E13" w:rsidRDefault="009274FC">
            <w:pPr>
              <w:pStyle w:val="P68B1DB1-Normal13"/>
              <w:spacing w:after="0" w:line="240" w:lineRule="auto"/>
              <w:jc w:val="both"/>
              <w:rPr>
                <w:rFonts w:cs="Times New Roman"/>
                <w:noProof/>
              </w:rPr>
            </w:pPr>
            <w:r>
              <w:rPr>
                <w:noProof/>
              </w:rPr>
              <w:t>Un ou plusieurs relevés de constatations sont délivrés pour la rénovation d’un bâtiment de recherche (bloc 12) et d’un bâtiment de centre de démonstration (bloc 29a).</w:t>
            </w:r>
          </w:p>
          <w:p w14:paraId="1CEBD3A7" w14:textId="5181D122" w:rsidR="00F74E13" w:rsidRDefault="009274FC">
            <w:pPr>
              <w:pStyle w:val="P68B1DB1-Normal13"/>
              <w:spacing w:before="120" w:after="0" w:line="240" w:lineRule="auto"/>
              <w:jc w:val="both"/>
              <w:rPr>
                <w:noProof/>
              </w:rPr>
            </w:pPr>
            <w:r>
              <w:rPr>
                <w:noProof/>
              </w:rPr>
              <w:t xml:space="preserve">Un ou plusieurs protocoles de livraison sont délivrés pour les équipements de recherche et un ou plusieurs protocoles d'inspection sur place sont délivrés pour la rénovation d'une superficie de 4 000 m². Décision(s) du(des) conseil(s) de la science et de l’innovation émise(s) pour 38 projets de recherche dans le domaine de la transition écologique et numérique à un niveau de maturité technologique compris entre 5 et 7. </w:t>
            </w:r>
          </w:p>
        </w:tc>
      </w:tr>
    </w:tbl>
    <w:p w14:paraId="1CEBD3A9" w14:textId="77777777" w:rsidR="00F74E13" w:rsidRDefault="00F74E13">
      <w:pPr>
        <w:rPr>
          <w:noProof/>
        </w:rPr>
        <w:sectPr w:rsidR="00F74E13">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CEBD3AA" w14:textId="77777777" w:rsidR="00F74E13" w:rsidRDefault="009274FC">
      <w:pPr>
        <w:pStyle w:val="P68B1DB1-Normal5"/>
        <w:keepNext/>
        <w:pageBreakBefore/>
        <w:tabs>
          <w:tab w:val="left" w:pos="850"/>
        </w:tabs>
        <w:spacing w:before="360" w:after="120" w:line="240" w:lineRule="auto"/>
        <w:ind w:left="851" w:hanging="851"/>
        <w:jc w:val="both"/>
        <w:outlineLvl w:val="0"/>
        <w:rPr>
          <w:noProof/>
        </w:rPr>
      </w:pPr>
      <w:r>
        <w:rPr>
          <w:noProof/>
        </w:rPr>
        <w:t>C. Élément 3: Industrie intelligente</w:t>
      </w:r>
    </w:p>
    <w:p w14:paraId="1CEBD3AB" w14:textId="7C40E57B" w:rsidR="00F74E13" w:rsidRDefault="009274FC">
      <w:pPr>
        <w:pStyle w:val="P68B1DB1-Normal6"/>
        <w:spacing w:before="120" w:after="0" w:line="240" w:lineRule="auto"/>
        <w:ind w:left="425"/>
        <w:jc w:val="both"/>
        <w:rPr>
          <w:noProof/>
        </w:rPr>
      </w:pPr>
      <w:r>
        <w:rPr>
          <w:noProof/>
        </w:rPr>
        <w:t>Le volet «Industrie intelligente» du plan pour la reprise et la résilience de la Bulgarie vise à créer des conditions favorables et à fournir des incitations à l’investissement privé en Bulgarie. En particulier, le volet vise à attirer les investissements industriels et à développer les écosystèmes industriels, ainsi qu’à soutenir les petites et moyennes entreprises (PME) et les entreprises à moyenne capitalisation (ETI) dans la modernisation de leurs technologies et la transition vers des pratiques commerciales vertes, circulaires et numériques.</w:t>
      </w:r>
    </w:p>
    <w:p w14:paraId="1CEBD3AC" w14:textId="77777777" w:rsidR="00F74E13" w:rsidRDefault="009274FC">
      <w:pPr>
        <w:pStyle w:val="P68B1DB1-Normal6"/>
        <w:spacing w:before="120" w:after="0" w:line="240" w:lineRule="auto"/>
        <w:ind w:left="425"/>
        <w:jc w:val="both"/>
        <w:rPr>
          <w:noProof/>
        </w:rPr>
      </w:pPr>
      <w:r w:rsidRPr="00CC46DC">
        <w:rPr>
          <w:noProof/>
          <w:lang w:val="en-GB"/>
        </w:rPr>
        <w:t xml:space="preserve">Les mesures incluses dans le volet contribuent à donner suite à la recommandation par pays no 3 de 2019 («Focus investment-related economic policy on research and innovation, […] and improving the business environment») et à la recommandation par pays no 3 de 2020 («Streamline and accelerate the procedures to provide effective support to small and medium-sized enterprises and self-employed, also ensure theircontinu access to finance and flexible payment arrangements» […] </w:t>
      </w:r>
      <w:r>
        <w:rPr>
          <w:noProof/>
        </w:rPr>
        <w:t xml:space="preserve">Concentrer les investissements sur la transition écologique et numérique, en particulier sur la production et l’utilisation propres et efficaces de l’énergie et des ressources). </w:t>
      </w:r>
    </w:p>
    <w:p w14:paraId="1CEBD3AD" w14:textId="77777777" w:rsidR="00F74E13" w:rsidRDefault="009274FC">
      <w:pPr>
        <w:pStyle w:val="P68B1DB1-Normal6"/>
        <w:spacing w:before="120" w:after="240" w:line="240" w:lineRule="auto"/>
        <w:ind w:left="425"/>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CEBD3AF" w14:textId="77777777" w:rsidR="00F74E13" w:rsidRDefault="009274FC">
      <w:pPr>
        <w:pStyle w:val="P68B1DB1-Normal8"/>
        <w:spacing w:after="0" w:line="480" w:lineRule="auto"/>
        <w:ind w:left="425"/>
        <w:jc w:val="both"/>
        <w:rPr>
          <w:i/>
          <w:noProof/>
          <w:color w:val="4F81BD"/>
        </w:rPr>
      </w:pPr>
      <w:r>
        <w:rPr>
          <w:noProof/>
        </w:rPr>
        <w:t>C.1. Description des réformes et des investissements pour le soutien financier non remboursable</w:t>
      </w:r>
    </w:p>
    <w:p w14:paraId="1CEBD3B0" w14:textId="77777777" w:rsidR="00F74E13" w:rsidRDefault="009274FC">
      <w:pPr>
        <w:pStyle w:val="P68B1DB1-Normal9"/>
        <w:spacing w:before="120" w:after="120" w:line="240" w:lineRule="auto"/>
        <w:ind w:left="426"/>
        <w:jc w:val="both"/>
        <w:rPr>
          <w:noProof/>
        </w:rPr>
      </w:pPr>
      <w:r>
        <w:rPr>
          <w:noProof/>
        </w:rPr>
        <w:t>Réforme 1 (C3.R1): Cadre juridique pour attirer les investissements industriels et développer les écosystèmes industriels</w:t>
      </w:r>
    </w:p>
    <w:p w14:paraId="586EB211" w14:textId="77777777" w:rsidR="00F74E13" w:rsidRDefault="009274FC">
      <w:pPr>
        <w:pStyle w:val="P68B1DB1-Normal6"/>
        <w:spacing w:after="120" w:line="240" w:lineRule="auto"/>
        <w:ind w:left="425"/>
        <w:jc w:val="both"/>
        <w:rPr>
          <w:noProof/>
        </w:rPr>
      </w:pPr>
      <w:r>
        <w:rPr>
          <w:noProof/>
        </w:rPr>
        <w:t>L'objectif de la réforme est de créer des conditions favorables pour les entrepreneurs, les investisseurs et les instituts de recherche dans les parcs industriels en établissant un cadre pour le développement des écosystèmes industriels.</w:t>
      </w:r>
    </w:p>
    <w:p w14:paraId="5A071779" w14:textId="77777777" w:rsidR="00F74E13" w:rsidRDefault="009274FC">
      <w:pPr>
        <w:pStyle w:val="P68B1DB1-Normal6"/>
        <w:spacing w:after="120" w:line="240" w:lineRule="auto"/>
        <w:ind w:left="425"/>
        <w:jc w:val="both"/>
        <w:rPr>
          <w:noProof/>
        </w:rPr>
      </w:pPr>
      <w:r>
        <w:rPr>
          <w:noProof/>
        </w:rPr>
        <w:t>Cet objectif est atteint par l’entrée en vigueur de la loi sur les parcs industriels, qui réglemente les aides et incitations éventuelles de l’État pour attirer les investissements dans les parcs industriels; prévoir une réduction des procédures requises pour les investissements industriels; et fixer les normes minimales pour que les investissements dans les parcs industriels bénéficient d’un soutien de l’État.</w:t>
      </w:r>
    </w:p>
    <w:p w14:paraId="1CEBD3B3" w14:textId="309B89ED" w:rsidR="00F74E13" w:rsidRDefault="009274FC">
      <w:pPr>
        <w:pStyle w:val="P68B1DB1-Normal6"/>
        <w:spacing w:after="240" w:line="240" w:lineRule="auto"/>
        <w:ind w:left="425"/>
        <w:jc w:val="both"/>
        <w:rPr>
          <w:noProof/>
        </w:rPr>
      </w:pPr>
      <w:r>
        <w:rPr>
          <w:noProof/>
        </w:rPr>
        <w:t xml:space="preserve">La mise en œuvre de cette réforme est achevée au plus tard le 31 mars 2021. </w:t>
      </w:r>
    </w:p>
    <w:p w14:paraId="1CEBD3B5" w14:textId="60B0A19C" w:rsidR="00F74E13" w:rsidRDefault="009274FC">
      <w:pPr>
        <w:pStyle w:val="P68B1DB1-Normal9"/>
        <w:spacing w:before="120" w:after="120" w:line="240" w:lineRule="auto"/>
        <w:ind w:left="426"/>
        <w:jc w:val="both"/>
        <w:rPr>
          <w:noProof/>
        </w:rPr>
      </w:pPr>
      <w:r>
        <w:rPr>
          <w:noProof/>
        </w:rPr>
        <w:t>Investissement 1 (C3.I1): Programme pour les zones/parcs industriels («AttractInvestBG»)</w:t>
      </w:r>
    </w:p>
    <w:p w14:paraId="1CEBD3B6" w14:textId="3BD80EC2" w:rsidR="00F74E13" w:rsidRDefault="009274FC">
      <w:pPr>
        <w:pStyle w:val="P68B1DB1-Normal6"/>
        <w:spacing w:after="120" w:line="240" w:lineRule="auto"/>
        <w:ind w:left="425"/>
        <w:jc w:val="both"/>
        <w:rPr>
          <w:noProof/>
        </w:rPr>
      </w:pPr>
      <w:r>
        <w:rPr>
          <w:noProof/>
        </w:rPr>
        <w:t xml:space="preserve">L'objectif de cet investissement est de créer des conditions favorables pour les investisseurs dans les parcs industriels ou les zones industrielles. </w:t>
      </w:r>
    </w:p>
    <w:p w14:paraId="1CEBD3B7" w14:textId="7334B64F" w:rsidR="00F74E13" w:rsidRDefault="009274FC">
      <w:pPr>
        <w:pStyle w:val="P68B1DB1-Normal6"/>
        <w:spacing w:after="240" w:line="240" w:lineRule="auto"/>
        <w:ind w:left="425"/>
        <w:jc w:val="both"/>
        <w:rPr>
          <w:noProof/>
        </w:rPr>
      </w:pPr>
      <w:r>
        <w:rPr>
          <w:noProof/>
        </w:rPr>
        <w:t>L'investissement consiste en un programme de subventions pour les parcs industriels ou les zones industrielles.</w:t>
      </w:r>
    </w:p>
    <w:p w14:paraId="1CEBD3B9" w14:textId="77777777" w:rsidR="00F74E13" w:rsidRDefault="009274FC">
      <w:pPr>
        <w:pStyle w:val="P68B1DB1-Normal9"/>
        <w:spacing w:before="120" w:after="0" w:line="240" w:lineRule="auto"/>
        <w:ind w:left="425"/>
        <w:jc w:val="both"/>
        <w:rPr>
          <w:noProof/>
        </w:rPr>
      </w:pPr>
      <w:r>
        <w:rPr>
          <w:noProof/>
        </w:rPr>
        <w:t xml:space="preserve">Investissement 2 (C3.I2): Programme de transformation économique </w:t>
      </w:r>
    </w:p>
    <w:p w14:paraId="1CEBD3BA" w14:textId="4842F055" w:rsidR="00F74E13" w:rsidRDefault="009274FC">
      <w:pPr>
        <w:pStyle w:val="P68B1DB1-Normal6"/>
        <w:spacing w:before="120" w:after="0" w:line="240" w:lineRule="auto"/>
        <w:ind w:left="425"/>
        <w:jc w:val="both"/>
        <w:rPr>
          <w:noProof/>
        </w:rPr>
      </w:pPr>
      <w:r>
        <w:rPr>
          <w:noProof/>
        </w:rPr>
        <w:t>L’objectif du programme de transformation économique est de soutenir l’innovation et la croissance des entreprises bulgares, notamment en favorisant leur transition écologique et numérique.</w:t>
      </w:r>
    </w:p>
    <w:p w14:paraId="1CEBD3BB" w14:textId="4B0ABBA1" w:rsidR="00F74E13" w:rsidRDefault="009274FC">
      <w:pPr>
        <w:pStyle w:val="P68B1DB1-Normal6"/>
        <w:spacing w:before="120" w:after="0" w:line="240" w:lineRule="auto"/>
        <w:ind w:left="425"/>
        <w:jc w:val="both"/>
        <w:rPr>
          <w:noProof/>
        </w:rPr>
      </w:pPr>
      <w:r>
        <w:rPr>
          <w:noProof/>
        </w:rPr>
        <w:t>Le programme soutient les petites et moyennes entreprises et les entreprises à moyenne capitalisation bulgares au moyen d’instruments financiers et de subventions. Le programme se compose de trois fonds:</w:t>
      </w:r>
    </w:p>
    <w:p w14:paraId="1CEBD3BC" w14:textId="77777777" w:rsidR="00F74E13" w:rsidRDefault="00F74E13">
      <w:pPr>
        <w:spacing w:before="120" w:after="120" w:line="240" w:lineRule="auto"/>
        <w:ind w:left="426"/>
        <w:jc w:val="both"/>
        <w:rPr>
          <w:rFonts w:ascii="Times New Roman" w:hAnsi="Times New Roman"/>
          <w:noProof/>
        </w:rPr>
      </w:pPr>
    </w:p>
    <w:p w14:paraId="1CEBD3BD" w14:textId="77777777" w:rsidR="00F74E13" w:rsidRDefault="009274FC">
      <w:pPr>
        <w:pStyle w:val="P68B1DB1-Normal6"/>
        <w:spacing w:after="120" w:line="240" w:lineRule="auto"/>
        <w:ind w:left="425"/>
        <w:jc w:val="both"/>
        <w:rPr>
          <w:noProof/>
        </w:rPr>
      </w:pPr>
      <w:r>
        <w:rPr>
          <w:noProof/>
        </w:rPr>
        <w:t xml:space="preserve">Fonds 1 - Croissance et innovation; </w:t>
      </w:r>
    </w:p>
    <w:p w14:paraId="1CEBD3BE" w14:textId="75CCE5A7" w:rsidR="00F74E13" w:rsidRDefault="009274FC">
      <w:pPr>
        <w:pStyle w:val="P68B1DB1-Normal6"/>
        <w:spacing w:after="120" w:line="240" w:lineRule="auto"/>
        <w:ind w:left="425"/>
        <w:jc w:val="both"/>
        <w:rPr>
          <w:noProof/>
        </w:rPr>
      </w:pPr>
      <w:r>
        <w:rPr>
          <w:noProof/>
        </w:rPr>
        <w:t>Fonds 2 – Transition verte et économie circulaire;</w:t>
      </w:r>
    </w:p>
    <w:p w14:paraId="1CEBD3BF" w14:textId="77777777" w:rsidR="00F74E13" w:rsidRDefault="009274FC">
      <w:pPr>
        <w:pStyle w:val="P68B1DB1-Normal6"/>
        <w:spacing w:after="240" w:line="240" w:lineRule="auto"/>
        <w:ind w:left="425"/>
        <w:jc w:val="both"/>
        <w:rPr>
          <w:noProof/>
        </w:rPr>
      </w:pPr>
      <w:r>
        <w:rPr>
          <w:noProof/>
        </w:rPr>
        <w:t>Fonds 3 - Neutralité climatique et transformation numérique.</w:t>
      </w:r>
    </w:p>
    <w:p w14:paraId="1CEBD3C1" w14:textId="77777777" w:rsidR="00F74E13" w:rsidRDefault="009274FC">
      <w:pPr>
        <w:pStyle w:val="P68B1DB1-Normal6"/>
        <w:spacing w:before="120" w:after="120" w:line="240" w:lineRule="auto"/>
        <w:ind w:left="426"/>
        <w:jc w:val="both"/>
        <w:rPr>
          <w:noProof/>
        </w:rPr>
      </w:pPr>
      <w:r>
        <w:rPr>
          <w:b/>
          <w:noProof/>
        </w:rPr>
        <w:t>Le Fonds 1</w:t>
      </w:r>
      <w:r>
        <w:rPr>
          <w:noProof/>
        </w:rPr>
        <w:t xml:space="preserve"> se compose des instruments suivants: </w:t>
      </w:r>
    </w:p>
    <w:p w14:paraId="1CEBD3C2" w14:textId="77777777" w:rsidR="00F74E13" w:rsidRDefault="009274FC">
      <w:pPr>
        <w:pStyle w:val="P68B1DB1-ListParagraph23"/>
        <w:numPr>
          <w:ilvl w:val="0"/>
          <w:numId w:val="11"/>
        </w:numPr>
        <w:spacing w:before="120" w:after="120" w:line="240" w:lineRule="auto"/>
        <w:jc w:val="both"/>
        <w:rPr>
          <w:noProof/>
        </w:rPr>
      </w:pPr>
      <w:r>
        <w:rPr>
          <w:noProof/>
        </w:rPr>
        <w:t xml:space="preserve">Investissement 2.1.a - Instrument de garantie pour la croissance </w:t>
      </w:r>
    </w:p>
    <w:p w14:paraId="1CEBD3C3" w14:textId="77777777" w:rsidR="00F74E13" w:rsidRDefault="009274FC">
      <w:pPr>
        <w:pStyle w:val="P68B1DB1-Normal6"/>
        <w:spacing w:before="120" w:after="120" w:line="240" w:lineRule="auto"/>
        <w:ind w:left="426"/>
        <w:jc w:val="both"/>
        <w:rPr>
          <w:noProof/>
        </w:rPr>
      </w:pPr>
      <w:r>
        <w:rPr>
          <w:noProof/>
        </w:rPr>
        <w:t>L’instrument de garantie est mis en œuvre à titre de contribution à InvestEU avec le Fonds européen d’investissement (FEI) en tant que partenaire chargé de la mise en œuvre. En fournissant une garantie de portefeuille, l’instrument vise à atténuer les difficultés rencontrées par les entreprises pour obtenir un financement par crédit afin de se remettre rapidement de la crise de la COVID-19 et de créer des possibilités d’expansion des entreprises pour parvenir à la croissance et au développement durable. L'instrument de garantie cible les PME et les petites entreprises à moyenne capitalisation et couvre divers produits financiers, y compris les fonds de roulement, les lignes de crédit renouvelables, les prêts à l'investissement et le crédit-bail.</w:t>
      </w:r>
    </w:p>
    <w:p w14:paraId="1CEBD3C4" w14:textId="77777777" w:rsidR="00F74E13" w:rsidRDefault="009274FC">
      <w:pPr>
        <w:pStyle w:val="P68B1DB1-Normal6"/>
        <w:spacing w:before="120" w:after="120" w:line="240" w:lineRule="auto"/>
        <w:ind w:left="426"/>
        <w:jc w:val="both"/>
        <w:rPr>
          <w:noProof/>
        </w:rPr>
      </w:pPr>
      <w:r>
        <w:rPr>
          <w:noProof/>
        </w:rPr>
        <w:t xml:space="preserve">Afin de garantir que l’investissement est conforme aux orientations techniques «Ne pas causer de préjudice important» (2021/C58/01), la convention de contribution entre la Commission européenne et le gouvernement bulgare: </w:t>
      </w:r>
    </w:p>
    <w:p w14:paraId="1CEBD3C5" w14:textId="77777777" w:rsidR="00F74E13" w:rsidRDefault="009274FC">
      <w:pPr>
        <w:pStyle w:val="P68B1DB1-ListParagraph7"/>
        <w:numPr>
          <w:ilvl w:val="0"/>
          <w:numId w:val="12"/>
        </w:numPr>
        <w:spacing w:before="120" w:after="120" w:line="240" w:lineRule="auto"/>
        <w:ind w:left="1267"/>
        <w:jc w:val="both"/>
        <w:rPr>
          <w:noProof/>
        </w:rPr>
      </w:pPr>
      <w:r>
        <w:rPr>
          <w:noProof/>
        </w:rPr>
        <w:t xml:space="preserve">exiger l’application des orientations techniques de la Commission sur l’évaluation de la durabilité pour le Fonds InvestEU; et </w:t>
      </w:r>
    </w:p>
    <w:p w14:paraId="1CEBD3C6" w14:textId="77777777" w:rsidR="00F74E13" w:rsidRDefault="009274FC">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exclure de l’éligibilité la liste d’activités et d’actifs suivante: i) les activités et les actifs liés aux combustibles fossiles, y compris leur utilisation en aval;</w:t>
      </w:r>
      <w:r>
        <w:rPr>
          <w:rStyle w:val="FootnoteReference"/>
          <w:rFonts w:ascii="Times New Roman" w:hAnsi="Times New Roman"/>
          <w:noProof/>
        </w:rPr>
        <w:footnoteReference w:id="2"/>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noProof/>
        </w:rPr>
        <w:footnoteReference w:id="3"/>
      </w:r>
      <w:r>
        <w:rPr>
          <w:rFonts w:ascii="Times New Roman" w:hAnsi="Times New Roman"/>
          <w:noProof/>
        </w:rPr>
        <w:t xml:space="preserve"> </w:t>
      </w:r>
    </w:p>
    <w:p w14:paraId="1CEBD3C7" w14:textId="77777777" w:rsidR="00F74E13" w:rsidRDefault="009274FC">
      <w:pPr>
        <w:pStyle w:val="P68B1DB1-Normal6"/>
        <w:spacing w:before="120" w:after="120" w:line="240" w:lineRule="auto"/>
        <w:ind w:left="426"/>
        <w:jc w:val="both"/>
        <w:rPr>
          <w:noProof/>
        </w:rPr>
      </w:pPr>
      <w:r>
        <w:rPr>
          <w:noProof/>
        </w:rPr>
        <w:t>La mise en œuvre de cet investissement est achevée au plus tard le 30 juin 2026, lorsque le comité d’investissement InvestEU approuve des opérations de financement ou d’investissement représentant 100 % du montant total des financements ou des investissements ciblés.</w:t>
      </w:r>
    </w:p>
    <w:p w14:paraId="1CEBD3C8" w14:textId="77777777" w:rsidR="00F74E13" w:rsidRDefault="009274FC">
      <w:pPr>
        <w:pStyle w:val="P68B1DB1-ListParagraph23"/>
        <w:numPr>
          <w:ilvl w:val="0"/>
          <w:numId w:val="11"/>
        </w:numPr>
        <w:spacing w:before="120" w:after="120" w:line="240" w:lineRule="auto"/>
        <w:jc w:val="both"/>
        <w:rPr>
          <w:noProof/>
        </w:rPr>
      </w:pPr>
      <w:r>
        <w:rPr>
          <w:noProof/>
        </w:rPr>
        <w:t xml:space="preserve">Investissement 2.1.b - Instruments de fonds propres pour la croissance </w:t>
      </w:r>
    </w:p>
    <w:p w14:paraId="1CEBD3C9" w14:textId="77777777" w:rsidR="00F74E13" w:rsidRDefault="009274FC">
      <w:pPr>
        <w:pStyle w:val="P68B1DB1-Normal6"/>
        <w:spacing w:before="120" w:after="0" w:line="240" w:lineRule="auto"/>
        <w:ind w:left="425"/>
        <w:jc w:val="both"/>
        <w:rPr>
          <w:noProof/>
        </w:rPr>
      </w:pPr>
      <w:r>
        <w:rPr>
          <w:noProof/>
        </w:rPr>
        <w:t>L’objectif de cette mesure est d’atténuer les répercussions économiques négatives à long terme de la crise de la COVID-19 sur les entreprises bulgares. Des instruments de croissance des fonds propres, y compris des fonds de capital-risque, des fonds de croissance, des fonds mezzanine, des fonds de remboursement et des fonds de dette privée, seront fournis aux PME et aux entreprises à moyenne capitalisation.</w:t>
      </w:r>
    </w:p>
    <w:p w14:paraId="1CEBD3CA" w14:textId="77777777" w:rsidR="00F74E13" w:rsidRDefault="009274FC">
      <w:pPr>
        <w:pStyle w:val="P68B1DB1-Normal6"/>
        <w:spacing w:before="120" w:after="0" w:line="240" w:lineRule="auto"/>
        <w:ind w:left="425"/>
        <w:jc w:val="both"/>
        <w:rPr>
          <w:noProof/>
        </w:rPr>
      </w:pPr>
      <w:r>
        <w:rPr>
          <w:noProof/>
        </w:rPr>
        <w:t xml:space="preserve">Les instruments de fonds propres sont mis en œuvre par le FEI en tant que partenaire financier (partenaire chargé de la mise en œuvre) au moyen d’une attribution directe au FEI au moyen d’un accord de financement spécifique au titre de la FRR à signer entre la République de Bulgarie et le FEI pour la gestion des opérations de fonds propres soutenues par la FRR. </w:t>
      </w:r>
    </w:p>
    <w:p w14:paraId="1CEBD3CB" w14:textId="77777777" w:rsidR="00F74E13" w:rsidRDefault="009274FC">
      <w:pPr>
        <w:pStyle w:val="P68B1DB1-Normal6"/>
        <w:spacing w:before="120" w:after="0" w:line="240" w:lineRule="auto"/>
        <w:ind w:left="425"/>
        <w:jc w:val="both"/>
        <w:rPr>
          <w:noProof/>
        </w:rPr>
      </w:pPr>
      <w:r>
        <w:rPr>
          <w:noProof/>
        </w:rPr>
        <w:t>Pour les instruments de financement des entreprises à usage général, la politique d'investissement:</w:t>
      </w:r>
    </w:p>
    <w:p w14:paraId="1CEBD3CC" w14:textId="77777777" w:rsidR="00F74E13" w:rsidRDefault="009274FC">
      <w:pPr>
        <w:pStyle w:val="P68B1DB1-ListParagraph7"/>
        <w:numPr>
          <w:ilvl w:val="0"/>
          <w:numId w:val="12"/>
        </w:numPr>
        <w:spacing w:before="120" w:after="120" w:line="240" w:lineRule="auto"/>
        <w:ind w:left="1267"/>
        <w:jc w:val="both"/>
        <w:rPr>
          <w:noProof/>
        </w:rPr>
      </w:pPr>
      <w:r>
        <w:rPr>
          <w:noProof/>
        </w:rPr>
        <w:t>être adoptées par les organes directeurs de l'instrument financier;</w:t>
      </w:r>
    </w:p>
    <w:p w14:paraId="1CEBD3CD" w14:textId="77777777" w:rsidR="00F74E13" w:rsidRDefault="009274FC">
      <w:pPr>
        <w:pStyle w:val="P68B1DB1-ListParagraph7"/>
        <w:numPr>
          <w:ilvl w:val="0"/>
          <w:numId w:val="12"/>
        </w:numPr>
        <w:spacing w:before="120" w:after="120" w:line="240" w:lineRule="auto"/>
        <w:ind w:left="1267"/>
        <w:jc w:val="both"/>
        <w:rPr>
          <w:noProof/>
        </w:rPr>
      </w:pPr>
      <w:r>
        <w:rPr>
          <w:noProof/>
        </w:rPr>
        <w:t>être conforme à la note d’orientation de la Commission du 22 janvier 2021 [SWD(2021) 12 final] relative aux instruments financiers;</w:t>
      </w:r>
    </w:p>
    <w:p w14:paraId="1CEBD3CE" w14:textId="77777777" w:rsidR="00F74E13" w:rsidRDefault="009274FC">
      <w:pPr>
        <w:pStyle w:val="P68B1DB1-ListParagraph7"/>
        <w:numPr>
          <w:ilvl w:val="0"/>
          <w:numId w:val="12"/>
        </w:numPr>
        <w:spacing w:before="120" w:after="120" w:line="240" w:lineRule="auto"/>
        <w:ind w:left="1267"/>
        <w:jc w:val="both"/>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1CEBD3CF" w14:textId="77777777" w:rsidR="00F74E13" w:rsidRDefault="009274FC">
      <w:pPr>
        <w:pStyle w:val="P68B1DB1-ListParagraph7"/>
        <w:numPr>
          <w:ilvl w:val="1"/>
          <w:numId w:val="12"/>
        </w:numPr>
        <w:spacing w:before="120" w:after="120" w:line="240" w:lineRule="auto"/>
        <w:ind w:left="1607"/>
        <w:jc w:val="both"/>
        <w:rPr>
          <w:noProof/>
        </w:rPr>
      </w:pPr>
      <w:r>
        <w:rPr>
          <w:noProof/>
        </w:rPr>
        <w:t xml:space="preserve">par le recours à l’évaluation de la durabilité; </w:t>
      </w:r>
    </w:p>
    <w:p w14:paraId="1CEBD3D0" w14:textId="77777777" w:rsidR="00F74E13" w:rsidRDefault="009274FC">
      <w:pPr>
        <w:pStyle w:val="P68B1DB1-ListParagraph7"/>
        <w:numPr>
          <w:ilvl w:val="1"/>
          <w:numId w:val="12"/>
        </w:numPr>
        <w:spacing w:before="120" w:after="120" w:line="240" w:lineRule="auto"/>
        <w:ind w:left="1607"/>
        <w:jc w:val="both"/>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w:t>
      </w:r>
      <w:r w:rsidRPr="00CC46DC">
        <w:rPr>
          <w:noProof/>
          <w:vertAlign w:val="superscript"/>
        </w:rPr>
        <w:footnoteReference w:id="4"/>
      </w:r>
      <w:r>
        <w:rPr>
          <w:noProof/>
        </w:rPr>
        <w:t xml:space="preserve"> ii) les activités menées dans le cadre du système d’échange de quotas d’émission de l’UE (SEQE) pour atteindre des émissions de gaz à effet de serre prévues qui ne sont pas inférieures aux référentiels pertinents;</w:t>
      </w:r>
      <w:r w:rsidRPr="00CC46DC">
        <w:rPr>
          <w:noProof/>
          <w:vertAlign w:val="superscript"/>
        </w:rPr>
        <w:footnoteReference w:id="5"/>
      </w:r>
      <w:r>
        <w:rPr>
          <w:noProof/>
        </w:rPr>
        <w:t xml:space="preserve"> et iii) les activités liées aux décharges de déchets, aux incinérateurs</w:t>
      </w:r>
      <w:r w:rsidRPr="00CC46DC">
        <w:rPr>
          <w:noProof/>
          <w:vertAlign w:val="superscript"/>
        </w:rPr>
        <w:footnoteReference w:id="6"/>
      </w:r>
      <w:r>
        <w:rPr>
          <w:noProof/>
        </w:rPr>
        <w:t xml:space="preserve"> et aux usines de traitement biologique mécanique.</w:t>
      </w:r>
      <w:r w:rsidRPr="00CC46DC">
        <w:rPr>
          <w:noProof/>
          <w:vertAlign w:val="superscript"/>
        </w:rPr>
        <w:footnoteReference w:id="7"/>
      </w:r>
      <w:r>
        <w:rPr>
          <w:noProof/>
        </w:rPr>
        <w:t xml:space="preserv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w:t>
      </w:r>
    </w:p>
    <w:p w14:paraId="1CEBD3D1" w14:textId="77777777" w:rsidR="00F74E13" w:rsidRDefault="009274FC">
      <w:pPr>
        <w:pStyle w:val="P68B1DB1-ListParagraph7"/>
        <w:numPr>
          <w:ilvl w:val="1"/>
          <w:numId w:val="12"/>
        </w:numPr>
        <w:spacing w:before="120" w:after="120" w:line="240" w:lineRule="auto"/>
        <w:ind w:left="1607"/>
        <w:jc w:val="both"/>
        <w:rPr>
          <w:noProof/>
        </w:rPr>
      </w:pPr>
      <w:r>
        <w:rPr>
          <w:noProof/>
        </w:rPr>
        <w:t>en exigeant du FEI qu’il vérifie la conformité juridique avec la législation environnementale pertinente de l’UE et des États membres du bénéficiaire pour toutes les transactions, y compris celles exemptées de l’évaluation de la durabilité.</w:t>
      </w:r>
    </w:p>
    <w:p w14:paraId="1CEBD3D2" w14:textId="1C7CC917" w:rsidR="00F74E13" w:rsidRDefault="009274FC">
      <w:pPr>
        <w:pStyle w:val="P68B1DB1-Normal6"/>
        <w:spacing w:before="120" w:after="120" w:line="240" w:lineRule="auto"/>
        <w:ind w:left="426"/>
        <w:jc w:val="both"/>
        <w:rPr>
          <w:noProof/>
        </w:rPr>
      </w:pPr>
      <w:r>
        <w:rPr>
          <w:noProof/>
        </w:rPr>
        <w:t>La mise en œuvre de cet investissement doit être achevée au plus tard le 30 juin 2026 (approbation des opérations par le comité d’investissement responsable représentant 100 % du montant total du financement alloué aux instruments de fonds propres pour la croissance).</w:t>
      </w:r>
    </w:p>
    <w:p w14:paraId="1CEBD3D3" w14:textId="77777777" w:rsidR="00F74E13" w:rsidRDefault="009274FC">
      <w:pPr>
        <w:pStyle w:val="P68B1DB1-ListParagraph23"/>
        <w:numPr>
          <w:ilvl w:val="0"/>
          <w:numId w:val="11"/>
        </w:numPr>
        <w:spacing w:after="120" w:line="240" w:lineRule="auto"/>
        <w:ind w:left="1565" w:hanging="357"/>
        <w:jc w:val="both"/>
        <w:rPr>
          <w:noProof/>
        </w:rPr>
      </w:pPr>
      <w:r>
        <w:rPr>
          <w:noProof/>
        </w:rPr>
        <w:t>Investissement 2.1.c - Programme de subventions pour la modernisation technologique</w:t>
      </w:r>
    </w:p>
    <w:p w14:paraId="1CEBD3D4" w14:textId="77777777" w:rsidR="00F74E13" w:rsidRDefault="009274FC">
      <w:pPr>
        <w:pStyle w:val="P68B1DB1-Normal6"/>
        <w:spacing w:before="120" w:after="0" w:line="240" w:lineRule="auto"/>
        <w:ind w:left="425"/>
        <w:jc w:val="both"/>
        <w:rPr>
          <w:noProof/>
        </w:rPr>
      </w:pPr>
      <w:r>
        <w:rPr>
          <w:noProof/>
        </w:rPr>
        <w:t>L'objectif de l'investissement est d'accorder des subventions aux PME pour la modernisation technologique.</w:t>
      </w:r>
    </w:p>
    <w:p w14:paraId="1CEBD3D5" w14:textId="77777777" w:rsidR="00F74E13" w:rsidRDefault="009274FC">
      <w:pPr>
        <w:pStyle w:val="P68B1DB1-Normal6"/>
        <w:spacing w:before="120" w:after="120" w:line="240" w:lineRule="auto"/>
        <w:ind w:left="426"/>
        <w:jc w:val="both"/>
        <w:rPr>
          <w:noProof/>
        </w:rPr>
      </w:pPr>
      <w:r>
        <w:rPr>
          <w:noProof/>
        </w:rPr>
        <w:t xml:space="preserve">L'investissement consiste en un programme de subventions pour la mise en œuvre de projets par des PME. </w:t>
      </w:r>
    </w:p>
    <w:p w14:paraId="1CEBD3D6" w14:textId="77777777" w:rsidR="00F74E13" w:rsidRDefault="009274FC">
      <w:pPr>
        <w:pStyle w:val="P68B1DB1-ListParagraph23"/>
        <w:numPr>
          <w:ilvl w:val="0"/>
          <w:numId w:val="11"/>
        </w:numPr>
        <w:spacing w:before="120" w:after="120" w:line="240" w:lineRule="auto"/>
        <w:jc w:val="both"/>
        <w:rPr>
          <w:noProof/>
        </w:rPr>
      </w:pPr>
      <w:r>
        <w:rPr>
          <w:noProof/>
        </w:rPr>
        <w:t>Investissement 2.1.d - Programme de subventions pour les technologies de l'information et de la communication et la cybersécurité dans les petites et moyennes entreprises</w:t>
      </w:r>
    </w:p>
    <w:p w14:paraId="1CEBD3D7" w14:textId="77777777" w:rsidR="00F74E13" w:rsidRDefault="009274FC">
      <w:pPr>
        <w:pStyle w:val="P68B1DB1-Normal6"/>
        <w:spacing w:before="120" w:after="0" w:line="240" w:lineRule="auto"/>
        <w:ind w:left="425"/>
        <w:jc w:val="both"/>
        <w:rPr>
          <w:noProof/>
        </w:rPr>
      </w:pPr>
      <w:r>
        <w:rPr>
          <w:noProof/>
        </w:rPr>
        <w:t>L’objectif de l’investissement est d’octroyer des subventions aux PME en faveur de la numérisation.</w:t>
      </w:r>
    </w:p>
    <w:p w14:paraId="1CEBD3D8" w14:textId="77777777" w:rsidR="00F74E13" w:rsidRDefault="009274FC">
      <w:pPr>
        <w:pStyle w:val="P68B1DB1-Normal6"/>
        <w:spacing w:before="120" w:after="120" w:line="240" w:lineRule="auto"/>
        <w:ind w:left="426"/>
        <w:jc w:val="both"/>
        <w:rPr>
          <w:noProof/>
        </w:rPr>
      </w:pPr>
      <w:r>
        <w:rPr>
          <w:noProof/>
        </w:rPr>
        <w:t xml:space="preserve">L'investissement consiste en un programme de subventions pour la mise en œuvre de projets par des PME. </w:t>
      </w:r>
    </w:p>
    <w:p w14:paraId="1CEBD3D9" w14:textId="77777777" w:rsidR="00F74E13" w:rsidRDefault="009274FC">
      <w:pPr>
        <w:pStyle w:val="P68B1DB1-ListParagraph23"/>
        <w:numPr>
          <w:ilvl w:val="0"/>
          <w:numId w:val="11"/>
        </w:numPr>
        <w:spacing w:before="120" w:after="120" w:line="240" w:lineRule="auto"/>
        <w:jc w:val="both"/>
        <w:rPr>
          <w:noProof/>
        </w:rPr>
      </w:pPr>
      <w:r>
        <w:rPr>
          <w:noProof/>
        </w:rPr>
        <w:t xml:space="preserve">Investissement 2.1.e - Réservoir d'innovation (Instruments de fonds propres pour l'innovation) </w:t>
      </w:r>
    </w:p>
    <w:p w14:paraId="1CEBD3DA" w14:textId="77777777" w:rsidR="00F74E13" w:rsidRDefault="009274FC">
      <w:pPr>
        <w:pStyle w:val="P68B1DB1-Normal6"/>
        <w:spacing w:before="120" w:after="0" w:line="240" w:lineRule="auto"/>
        <w:ind w:left="425"/>
        <w:jc w:val="both"/>
        <w:rPr>
          <w:noProof/>
        </w:rPr>
      </w:pPr>
      <w:r>
        <w:rPr>
          <w:noProof/>
        </w:rPr>
        <w:t>L'investissement consiste à mettre en place un fonds pour mettre en œuvre des instruments de fonds propres pour l'innovation dans le but d'accroître la capacité d'innovation des entreprises, d'accélérer leurs améliorations de productivité et la transition vers une économie de la connaissance. Les instruments de capitaux propres comprennent les fonds de capital-risque, les fonds de transfert de technologie, les fonds d'amorçage et les fonds d'impact social.</w:t>
      </w:r>
    </w:p>
    <w:p w14:paraId="1CEBD3DB" w14:textId="77777777" w:rsidR="00F74E13" w:rsidRDefault="009274FC">
      <w:pPr>
        <w:pStyle w:val="P68B1DB1-Normal6"/>
        <w:spacing w:before="120" w:after="0" w:line="240" w:lineRule="auto"/>
        <w:ind w:left="425"/>
        <w:jc w:val="both"/>
        <w:rPr>
          <w:noProof/>
        </w:rPr>
      </w:pPr>
      <w:r>
        <w:rPr>
          <w:noProof/>
        </w:rPr>
        <w:t xml:space="preserve">Les instruments de fonds propres sont mis en œuvre par le FEI en tant que partenaire financier (partenaire chargé de la mise en œuvre) au moyen d’une attribution directe au FEI au moyen d’un accord de financement spécifique au titre de la FRR à signer entre la République de Bulgarie et le FEI pour la gestion des opérations de fonds propres soutenues par la FRR. </w:t>
      </w:r>
    </w:p>
    <w:p w14:paraId="1CEBD3DC" w14:textId="77777777" w:rsidR="00F74E13" w:rsidRDefault="009274FC">
      <w:pPr>
        <w:pStyle w:val="P68B1DB1-Normal6"/>
        <w:spacing w:before="120" w:after="120" w:line="240" w:lineRule="auto"/>
        <w:ind w:left="426"/>
        <w:jc w:val="both"/>
        <w:rPr>
          <w:noProof/>
        </w:rPr>
      </w:pPr>
      <w:r>
        <w:rPr>
          <w:noProof/>
        </w:rPr>
        <w:t>Pour les instruments de financement des entreprises à usage général, la politique d'investissement:</w:t>
      </w:r>
    </w:p>
    <w:p w14:paraId="1CEBD3DD" w14:textId="77777777" w:rsidR="00F74E13" w:rsidRDefault="009274FC">
      <w:pPr>
        <w:pStyle w:val="P68B1DB1-ListParagraph7"/>
        <w:numPr>
          <w:ilvl w:val="0"/>
          <w:numId w:val="12"/>
        </w:numPr>
        <w:spacing w:before="120" w:after="120" w:line="240" w:lineRule="auto"/>
        <w:ind w:left="1210"/>
        <w:jc w:val="both"/>
        <w:rPr>
          <w:noProof/>
        </w:rPr>
      </w:pPr>
      <w:r>
        <w:rPr>
          <w:noProof/>
        </w:rPr>
        <w:t>être adoptées par les organes directeurs de l'instrument financier;</w:t>
      </w:r>
    </w:p>
    <w:p w14:paraId="1CEBD3DE" w14:textId="77777777" w:rsidR="00F74E13" w:rsidRDefault="009274FC">
      <w:pPr>
        <w:pStyle w:val="P68B1DB1-ListParagraph7"/>
        <w:numPr>
          <w:ilvl w:val="0"/>
          <w:numId w:val="12"/>
        </w:numPr>
        <w:spacing w:before="120" w:after="120" w:line="240" w:lineRule="auto"/>
        <w:ind w:left="1210"/>
        <w:rPr>
          <w:noProof/>
        </w:rPr>
      </w:pPr>
      <w:r>
        <w:rPr>
          <w:noProof/>
        </w:rPr>
        <w:t>être conforme à la note d’orientation de la Commission du 22 janvier 2021 [SWD(2021) 12 final] relative aux instruments financiers;</w:t>
      </w:r>
    </w:p>
    <w:p w14:paraId="1CEBD3DF" w14:textId="77777777" w:rsidR="00F74E13" w:rsidRDefault="009274FC">
      <w:pPr>
        <w:pStyle w:val="P68B1DB1-ListParagraph7"/>
        <w:numPr>
          <w:ilvl w:val="0"/>
          <w:numId w:val="12"/>
        </w:numPr>
        <w:spacing w:before="120" w:after="120" w:line="240" w:lineRule="auto"/>
        <w:ind w:left="1210"/>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1CEBD3E0" w14:textId="77777777" w:rsidR="00F74E13" w:rsidRDefault="009274FC">
      <w:pPr>
        <w:pStyle w:val="P68B1DB1-ListParagraph7"/>
        <w:numPr>
          <w:ilvl w:val="1"/>
          <w:numId w:val="12"/>
        </w:numPr>
        <w:spacing w:before="120" w:after="120" w:line="240" w:lineRule="auto"/>
        <w:ind w:left="1607"/>
        <w:jc w:val="both"/>
        <w:rPr>
          <w:noProof/>
        </w:rPr>
      </w:pPr>
      <w:r>
        <w:rPr>
          <w:noProof/>
        </w:rPr>
        <w:t xml:space="preserve">par le recours à l’évaluation de la durabilité; </w:t>
      </w:r>
    </w:p>
    <w:p w14:paraId="1CEBD3E1" w14:textId="77777777" w:rsidR="00F74E13" w:rsidRDefault="009274FC">
      <w:pPr>
        <w:pStyle w:val="ListParagraph"/>
        <w:numPr>
          <w:ilvl w:val="1"/>
          <w:numId w:val="12"/>
        </w:numPr>
        <w:spacing w:before="120" w:after="120" w:line="240" w:lineRule="auto"/>
        <w:ind w:left="1607"/>
        <w:jc w:val="both"/>
        <w:rPr>
          <w:rFonts w:ascii="Times New Roman" w:hAnsi="Times New Roman"/>
          <w:noProof/>
        </w:rPr>
      </w:pPr>
      <w:r>
        <w:rPr>
          <w:rFonts w:ascii="Times New Roman" w:hAnsi="Times New Roman"/>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w:t>
      </w:r>
      <w:r>
        <w:rPr>
          <w:rStyle w:val="FootnoteReference"/>
          <w:rFonts w:ascii="Times New Roman" w:hAnsi="Times New Roman"/>
          <w:noProof/>
        </w:rPr>
        <w:footnoteReference w:id="8"/>
      </w:r>
      <w:r>
        <w:rPr>
          <w:rFonts w:ascii="Times New Roman" w:hAnsi="Times New Roman"/>
          <w:noProof/>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rPr>
        <w:footnoteReference w:id="9"/>
      </w:r>
      <w:r>
        <w:rPr>
          <w:rFonts w:ascii="Times New Roman" w:hAnsi="Times New Roman"/>
          <w:noProof/>
        </w:rPr>
        <w:t xml:space="preserve"> et iii) les activités liées aux décharges de déchets, aux incinérateurs</w:t>
      </w:r>
      <w:r>
        <w:rPr>
          <w:rStyle w:val="FootnoteReference"/>
          <w:rFonts w:ascii="Times New Roman" w:hAnsi="Times New Roman"/>
          <w:noProof/>
        </w:rPr>
        <w:footnoteReference w:id="10"/>
      </w:r>
      <w:r>
        <w:rPr>
          <w:rFonts w:ascii="Times New Roman" w:hAnsi="Times New Roman"/>
          <w:noProof/>
        </w:rPr>
        <w:t xml:space="preserve"> et aux usines de traitement biologique mécanique.</w:t>
      </w:r>
      <w:r>
        <w:rPr>
          <w:rStyle w:val="FootnoteReference"/>
          <w:rFonts w:ascii="Times New Roman" w:hAnsi="Times New Roman"/>
          <w:noProof/>
        </w:rPr>
        <w:footnoteReference w:id="11"/>
      </w:r>
      <w:r>
        <w:rPr>
          <w:rFonts w:ascii="Times New Roman" w:hAnsi="Times New Roman"/>
          <w:noProof/>
        </w:rPr>
        <w:t xml:space="preserv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w:t>
      </w:r>
    </w:p>
    <w:p w14:paraId="1CEBD3E2" w14:textId="77777777" w:rsidR="00F74E13" w:rsidRDefault="009274FC">
      <w:pPr>
        <w:pStyle w:val="P68B1DB1-ListParagraph7"/>
        <w:numPr>
          <w:ilvl w:val="1"/>
          <w:numId w:val="12"/>
        </w:numPr>
        <w:spacing w:before="120" w:after="120" w:line="240" w:lineRule="auto"/>
        <w:ind w:left="1607"/>
        <w:jc w:val="both"/>
        <w:rPr>
          <w:noProof/>
        </w:rPr>
      </w:pPr>
      <w:r>
        <w:rPr>
          <w:noProof/>
        </w:rPr>
        <w:t>en exigeant du FEI qu’il vérifie la conformité juridique avec la législation environnementale pertinente de l’UE et des États membres du bénéficiaire pour toutes les transactions, y compris celles exemptées de l’évaluation de la durabilité.</w:t>
      </w:r>
    </w:p>
    <w:p w14:paraId="1CEBD3E3" w14:textId="044C0630" w:rsidR="00F74E13" w:rsidRDefault="009274FC">
      <w:pPr>
        <w:pStyle w:val="P68B1DB1-Normal6"/>
        <w:spacing w:before="120" w:after="120" w:line="240" w:lineRule="auto"/>
        <w:ind w:left="426"/>
        <w:jc w:val="both"/>
        <w:rPr>
          <w:noProof/>
        </w:rPr>
      </w:pPr>
      <w:r>
        <w:rPr>
          <w:noProof/>
        </w:rPr>
        <w:t>La mise en œuvre de cet investissement doit être achevée au plus tard le 30 juin 2026 (approbation des opérations par le comité d’investissement responsable représentant 100 % du montant total du financement alloué aux instruments de fonds propres pour l’innovation).</w:t>
      </w:r>
    </w:p>
    <w:p w14:paraId="1CEBD3E4" w14:textId="77777777" w:rsidR="00F74E13" w:rsidRDefault="009274FC">
      <w:pPr>
        <w:pStyle w:val="P68B1DB1-Normal6"/>
        <w:spacing w:before="120" w:after="120" w:line="240" w:lineRule="auto"/>
        <w:ind w:left="426"/>
        <w:jc w:val="both"/>
        <w:rPr>
          <w:noProof/>
        </w:rPr>
      </w:pPr>
      <w:r>
        <w:rPr>
          <w:b/>
          <w:noProof/>
        </w:rPr>
        <w:t>Le Fonds 2</w:t>
      </w:r>
      <w:r>
        <w:rPr>
          <w:noProof/>
        </w:rPr>
        <w:t xml:space="preserve"> se compose des instruments suivants:</w:t>
      </w:r>
    </w:p>
    <w:p w14:paraId="1CEBD3E5" w14:textId="77777777" w:rsidR="00F74E13" w:rsidRDefault="009274FC">
      <w:pPr>
        <w:pStyle w:val="P68B1DB1-ListParagraph23"/>
        <w:numPr>
          <w:ilvl w:val="0"/>
          <w:numId w:val="11"/>
        </w:numPr>
        <w:spacing w:before="120" w:after="120" w:line="240" w:lineRule="auto"/>
        <w:jc w:val="both"/>
        <w:rPr>
          <w:noProof/>
        </w:rPr>
      </w:pPr>
      <w:r>
        <w:rPr>
          <w:noProof/>
        </w:rPr>
        <w:t xml:space="preserve">Investissement 2.2.a - Régime de subventions pour les investissements dans les sources d’électricité renouvelables à usage propre avec des installations de stockage locales </w:t>
      </w:r>
    </w:p>
    <w:p w14:paraId="1CEBD3E6" w14:textId="73961635" w:rsidR="00F74E13" w:rsidRDefault="009274FC">
      <w:pPr>
        <w:pStyle w:val="P68B1DB1-Normal6"/>
        <w:spacing w:before="120" w:after="0" w:line="240" w:lineRule="auto"/>
        <w:ind w:left="425"/>
        <w:jc w:val="both"/>
        <w:rPr>
          <w:noProof/>
        </w:rPr>
      </w:pPr>
      <w:r>
        <w:rPr>
          <w:noProof/>
        </w:rPr>
        <w:t>L’objectif de cet investissement est d’accorder des subventions aux PME, aux petites entreprises à moyenne capitalisation et aux entreprises à moyenne capitalisation pour des investissements dans des sources d’électricité renouvelables et des installations de stockage locales.</w:t>
      </w:r>
    </w:p>
    <w:p w14:paraId="1CEBD3E7" w14:textId="5FDEE6FD" w:rsidR="00F74E13" w:rsidRDefault="009274FC">
      <w:pPr>
        <w:pStyle w:val="P68B1DB1-Normal6"/>
        <w:spacing w:before="120" w:after="120" w:line="240" w:lineRule="auto"/>
        <w:ind w:left="426"/>
        <w:jc w:val="both"/>
        <w:rPr>
          <w:noProof/>
        </w:rPr>
      </w:pPr>
      <w:r>
        <w:rPr>
          <w:noProof/>
        </w:rPr>
        <w:t>L’investissement consiste en un régime de subventions pour la mise en œuvre de projets liés aux installations de stockage d’énergie.</w:t>
      </w:r>
    </w:p>
    <w:p w14:paraId="1CEBD3E8" w14:textId="77777777" w:rsidR="00F74E13" w:rsidRDefault="009274FC">
      <w:pPr>
        <w:pStyle w:val="P68B1DB1-ListParagraph23"/>
        <w:numPr>
          <w:ilvl w:val="0"/>
          <w:numId w:val="11"/>
        </w:numPr>
        <w:spacing w:before="120" w:after="120" w:line="240" w:lineRule="auto"/>
        <w:jc w:val="both"/>
        <w:rPr>
          <w:noProof/>
        </w:rPr>
      </w:pPr>
      <w:r>
        <w:rPr>
          <w:noProof/>
        </w:rPr>
        <w:t>Investissement 2.2.b - Instrument de garantie pour l'efficacité énergétique et les énergies renouvelables</w:t>
      </w:r>
    </w:p>
    <w:p w14:paraId="1CEBD3E9" w14:textId="77777777" w:rsidR="00F74E13" w:rsidRDefault="009274FC">
      <w:pPr>
        <w:pStyle w:val="P68B1DB1-Normal6"/>
        <w:spacing w:before="120" w:after="0" w:line="240" w:lineRule="auto"/>
        <w:ind w:left="425"/>
        <w:jc w:val="both"/>
        <w:rPr>
          <w:noProof/>
        </w:rPr>
      </w:pPr>
      <w:r>
        <w:rPr>
          <w:noProof/>
        </w:rPr>
        <w:t>L’instrument de garantie est mis en œuvre à titre de contribution à InvestEU avec le FEI en tant que partenaire chargé de la mise en œuvre. L’instrument vise à relever les défis auxquels la Bulgarie est confrontée en matière de soutien aux investissements dans l’efficacité énergétique et les énergies renouvelables. L'instrument de garantie cible les PME, les petites entreprises de taille intermédiaire et les particuliers. Il est destiné à couvrir un large éventail de produits financiers (par exemple, fonds de roulement, y compris les lignes de crédit renouvelables, les prêts à l'investissement, le crédit-bail). Les secteurs à soutenir sont conformes au règlement (UE) 2021/241 et aux critères d’éligibilité d’InvestEU et seront définis à la suite d’une évaluation détaillée du marché.</w:t>
      </w:r>
    </w:p>
    <w:p w14:paraId="1CEBD3EA" w14:textId="77777777" w:rsidR="00F74E13" w:rsidRDefault="009274FC">
      <w:pPr>
        <w:pStyle w:val="P68B1DB1-Normal6"/>
        <w:spacing w:before="120" w:after="120" w:line="240" w:lineRule="auto"/>
        <w:ind w:left="426"/>
        <w:jc w:val="both"/>
        <w:rPr>
          <w:noProof/>
        </w:rPr>
      </w:pPr>
      <w:r>
        <w:rPr>
          <w:noProof/>
        </w:rPr>
        <w:t xml:space="preserve">Afin de garantir que le sous-investissement est conforme aux orientations techniques «Ne pas causer de préjudice important» (2021/C58/01), la convention de contribution entre la Commission européenne et le gouvernement bulgare: </w:t>
      </w:r>
    </w:p>
    <w:p w14:paraId="1CEBD3EB" w14:textId="77777777" w:rsidR="00F74E13" w:rsidRDefault="009274FC">
      <w:pPr>
        <w:pStyle w:val="P68B1DB1-ListParagraph7"/>
        <w:numPr>
          <w:ilvl w:val="0"/>
          <w:numId w:val="12"/>
        </w:numPr>
        <w:spacing w:before="120" w:after="120" w:line="240" w:lineRule="auto"/>
        <w:ind w:left="1267"/>
        <w:jc w:val="both"/>
        <w:rPr>
          <w:noProof/>
        </w:rPr>
      </w:pPr>
      <w:r>
        <w:rPr>
          <w:noProof/>
        </w:rPr>
        <w:t xml:space="preserve">exiger l’application des orientations techniques de la Commission sur l’évaluation de la durabilité pour le Fonds InvestEU; et </w:t>
      </w:r>
    </w:p>
    <w:p w14:paraId="1CEBD3EC" w14:textId="77777777" w:rsidR="00F74E13" w:rsidRDefault="009274FC">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exclure de l’éligibilité la liste d’activités et d’actifs suivante: i) les activités et les actifs liés aux combustibles fossiles, y compris leur utilisation en aval;</w:t>
      </w:r>
      <w:r>
        <w:rPr>
          <w:rStyle w:val="FootnoteReference"/>
          <w:rFonts w:ascii="Times New Roman" w:hAnsi="Times New Roman"/>
          <w:noProof/>
        </w:rPr>
        <w:footnoteReference w:id="12"/>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noProof/>
        </w:rPr>
        <w:footnoteReference w:id="13"/>
      </w:r>
    </w:p>
    <w:p w14:paraId="1CEBD3ED" w14:textId="77777777" w:rsidR="00F74E13" w:rsidRDefault="009274FC">
      <w:pPr>
        <w:pStyle w:val="P68B1DB1-Normal6"/>
        <w:spacing w:before="120" w:after="120" w:line="240" w:lineRule="auto"/>
        <w:ind w:left="426"/>
        <w:jc w:val="both"/>
        <w:rPr>
          <w:noProof/>
        </w:rPr>
      </w:pPr>
      <w:r>
        <w:rPr>
          <w:noProof/>
        </w:rPr>
        <w:t xml:space="preserve">La mise en œuvre de cet investissement est achevée au plus tard le 30 juin 2025, lorsque le comité d’investissement InvestEU approuve des opérations de financement ou d’investissement représentant 100 % du montant total des financements ou des investissements ciblés. </w:t>
      </w:r>
    </w:p>
    <w:p w14:paraId="1CEBD3EE" w14:textId="77777777" w:rsidR="00F74E13" w:rsidRDefault="009274FC">
      <w:pPr>
        <w:pStyle w:val="P68B1DB1-ListParagraph23"/>
        <w:numPr>
          <w:ilvl w:val="0"/>
          <w:numId w:val="11"/>
        </w:numPr>
        <w:spacing w:before="120" w:after="120" w:line="240" w:lineRule="auto"/>
        <w:jc w:val="both"/>
        <w:rPr>
          <w:noProof/>
        </w:rPr>
      </w:pPr>
      <w:r>
        <w:rPr>
          <w:noProof/>
        </w:rPr>
        <w:t>Investissement 2.2.c - Régime de subventions pour le soutien aux entreprises dans la transition vers une économie circulaire</w:t>
      </w:r>
    </w:p>
    <w:p w14:paraId="1CEBD3EF" w14:textId="77777777" w:rsidR="00F74E13" w:rsidRDefault="009274FC">
      <w:pPr>
        <w:pStyle w:val="P68B1DB1-Normal6"/>
        <w:spacing w:before="120" w:after="0" w:line="240" w:lineRule="auto"/>
        <w:ind w:left="425"/>
        <w:jc w:val="both"/>
        <w:rPr>
          <w:noProof/>
        </w:rPr>
      </w:pPr>
      <w:r>
        <w:rPr>
          <w:noProof/>
        </w:rPr>
        <w:t xml:space="preserve">L’objectif de cet investissement est d’accorder des subventions aux PME et aux grandes entreprises du secteur C de la NACE pour l’introduction de méthodes de production fondées sur l’économie circulaire. </w:t>
      </w:r>
    </w:p>
    <w:p w14:paraId="1CEBD3F0" w14:textId="77777777" w:rsidR="00F74E13" w:rsidRDefault="009274FC">
      <w:pPr>
        <w:pStyle w:val="P68B1DB1-Normal6"/>
        <w:spacing w:before="120" w:after="120" w:line="240" w:lineRule="auto"/>
        <w:ind w:left="426"/>
        <w:jc w:val="both"/>
        <w:rPr>
          <w:noProof/>
        </w:rPr>
      </w:pPr>
      <w:r>
        <w:rPr>
          <w:noProof/>
        </w:rPr>
        <w:t xml:space="preserve">L’investissement consiste en un régime de subventions pour des projets dans le domaine de l’économie circulaire. </w:t>
      </w:r>
    </w:p>
    <w:p w14:paraId="1CEBD3F1" w14:textId="77777777" w:rsidR="00F74E13" w:rsidRDefault="009274FC">
      <w:pPr>
        <w:pStyle w:val="P68B1DB1-Normal6"/>
        <w:spacing w:before="120" w:after="120" w:line="240" w:lineRule="auto"/>
        <w:ind w:left="426"/>
        <w:jc w:val="both"/>
        <w:rPr>
          <w:noProof/>
        </w:rPr>
      </w:pPr>
      <w:r>
        <w:rPr>
          <w:b/>
          <w:noProof/>
        </w:rPr>
        <w:t>Le Fonds 3</w:t>
      </w:r>
      <w:r>
        <w:rPr>
          <w:noProof/>
        </w:rPr>
        <w:t xml:space="preserve"> se compose de l'instrument suivant:</w:t>
      </w:r>
    </w:p>
    <w:p w14:paraId="1CEBD3F2" w14:textId="77777777" w:rsidR="00F74E13" w:rsidRDefault="009274FC">
      <w:pPr>
        <w:pStyle w:val="P68B1DB1-ListParagraph23"/>
        <w:numPr>
          <w:ilvl w:val="0"/>
          <w:numId w:val="11"/>
        </w:numPr>
        <w:spacing w:before="120" w:after="120" w:line="240" w:lineRule="auto"/>
        <w:jc w:val="both"/>
        <w:rPr>
          <w:noProof/>
        </w:rPr>
      </w:pPr>
      <w:r>
        <w:rPr>
          <w:noProof/>
        </w:rPr>
        <w:t>Investissement 2.3.a - Instruments de fonds propres pour les investissements en faveur de la neutralité climatique et de la transformation numérique</w:t>
      </w:r>
    </w:p>
    <w:p w14:paraId="1CEBD3F3" w14:textId="77777777" w:rsidR="00F74E13" w:rsidRDefault="009274FC">
      <w:pPr>
        <w:pStyle w:val="P68B1DB1-Normal6"/>
        <w:widowControl w:val="0"/>
        <w:spacing w:before="120" w:after="0" w:line="240" w:lineRule="auto"/>
        <w:ind w:left="425"/>
        <w:jc w:val="both"/>
        <w:rPr>
          <w:noProof/>
        </w:rPr>
      </w:pPr>
      <w:r>
        <w:rPr>
          <w:noProof/>
        </w:rPr>
        <w:t xml:space="preserve">Les instruments visent à investir dans des actifs qui contribuent à la neutralité climatique et accélèrent la transition écologique et numérique dans les secteurs prioritaires en Bulgarie. Pour ce faire, il convient de soutenir la création d’actifs d’infrastructure (énergies renouvelables, biomasse, stockage, infrastructures de recharge pour véhicules électriques, hydrogène), d’infrastructures numériques (TIC, infrastructures optiques, centres de données, 5G), de régénération urbaine, d’efficacité énergétique et d’infrastructures sociales. </w:t>
      </w:r>
    </w:p>
    <w:p w14:paraId="1CEBD3F4" w14:textId="77777777" w:rsidR="00F74E13" w:rsidRDefault="009274FC">
      <w:pPr>
        <w:pStyle w:val="P68B1DB1-Normal6"/>
        <w:widowControl w:val="0"/>
        <w:spacing w:before="120" w:after="0" w:line="240" w:lineRule="auto"/>
        <w:ind w:left="425"/>
        <w:jc w:val="both"/>
        <w:rPr>
          <w:noProof/>
        </w:rPr>
      </w:pPr>
      <w:r>
        <w:rPr>
          <w:noProof/>
        </w:rPr>
        <w:t xml:space="preserve">Les instruments de fonds propres sont mis en œuvre par le Fonds européen d’investissement (FEI) en tant que partenaire financier (partenaire chargé de la mise en œuvre) au moyen d’une attribution directe au FEI au moyen d’un accord de financement spécifique de la FRR à signer entre la République de Bulgarie et le FEI pour l’opération de fonds propres soutenue par la FRR. </w:t>
      </w:r>
    </w:p>
    <w:p w14:paraId="1CEBD3F5" w14:textId="77777777" w:rsidR="00F74E13" w:rsidRDefault="009274FC">
      <w:pPr>
        <w:pStyle w:val="P68B1DB1-Normal6"/>
        <w:widowControl w:val="0"/>
        <w:spacing w:before="120" w:after="120" w:line="240" w:lineRule="auto"/>
        <w:ind w:left="426"/>
        <w:jc w:val="both"/>
        <w:rPr>
          <w:noProof/>
        </w:rPr>
      </w:pPr>
      <w:r>
        <w:rPr>
          <w:noProof/>
        </w:rPr>
        <w:t>Pour les instruments de financement des entreprises à usage général, la politique d'investissement:</w:t>
      </w:r>
    </w:p>
    <w:p w14:paraId="1CEBD3F6" w14:textId="77777777" w:rsidR="00F74E13" w:rsidRDefault="009274FC">
      <w:pPr>
        <w:pStyle w:val="P68B1DB1-ListParagraph7"/>
        <w:numPr>
          <w:ilvl w:val="0"/>
          <w:numId w:val="13"/>
        </w:numPr>
        <w:spacing w:before="120" w:after="120" w:line="240" w:lineRule="auto"/>
        <w:ind w:left="1267"/>
        <w:rPr>
          <w:noProof/>
        </w:rPr>
      </w:pPr>
      <w:r>
        <w:rPr>
          <w:noProof/>
        </w:rPr>
        <w:t>être adoptées par les organes directeurs de l'instrument financier;</w:t>
      </w:r>
    </w:p>
    <w:p w14:paraId="1CEBD3F7" w14:textId="77777777" w:rsidR="00F74E13" w:rsidRDefault="009274FC">
      <w:pPr>
        <w:pStyle w:val="P68B1DB1-ListParagraph7"/>
        <w:numPr>
          <w:ilvl w:val="0"/>
          <w:numId w:val="13"/>
        </w:numPr>
        <w:spacing w:before="120" w:after="120" w:line="240" w:lineRule="auto"/>
        <w:ind w:left="1267"/>
        <w:jc w:val="both"/>
        <w:rPr>
          <w:noProof/>
        </w:rPr>
      </w:pPr>
      <w:r>
        <w:rPr>
          <w:noProof/>
        </w:rPr>
        <w:t>être conforme à la note d’orientation de la Commission du 22 janvier 2021 [SWD(2021) 12 final] relative aux instruments financiers;</w:t>
      </w:r>
    </w:p>
    <w:p w14:paraId="1CEBD3F8" w14:textId="77777777" w:rsidR="00F74E13" w:rsidRDefault="009274FC">
      <w:pPr>
        <w:pStyle w:val="P68B1DB1-ListParagraph7"/>
        <w:numPr>
          <w:ilvl w:val="0"/>
          <w:numId w:val="13"/>
        </w:numPr>
        <w:spacing w:before="120" w:after="120" w:line="240" w:lineRule="auto"/>
        <w:ind w:left="1267"/>
        <w:jc w:val="both"/>
        <w:rPr>
          <w:noProof/>
        </w:rPr>
      </w:pPr>
      <w:r>
        <w:rPr>
          <w:noProof/>
        </w:rPr>
        <w:t xml:space="preserve">inclure des critères de sélection visant à garantir la conformité avec les orientations techniques «Ne pas causer de préjudice important» (2021/C58/01) des opérations bénéficiant d’un soutien au titre de la présente mesure grâce à l’utilisation d’une évaluation de la durabilité; </w:t>
      </w:r>
    </w:p>
    <w:p w14:paraId="1CEBD3F9" w14:textId="77777777" w:rsidR="00F74E13" w:rsidRDefault="009274FC">
      <w:pPr>
        <w:pStyle w:val="ListParagraph"/>
        <w:numPr>
          <w:ilvl w:val="0"/>
          <w:numId w:val="13"/>
        </w:numPr>
        <w:spacing w:before="120" w:after="120" w:line="240" w:lineRule="auto"/>
        <w:ind w:left="1267"/>
        <w:jc w:val="both"/>
        <w:rPr>
          <w:rFonts w:ascii="Times New Roman" w:eastAsia="Calibri" w:hAnsi="Times New Roman" w:cs="Times New Roman"/>
          <w:noProof/>
        </w:rPr>
      </w:pPr>
      <w:r>
        <w:rPr>
          <w:rFonts w:ascii="Times New Roman" w:hAnsi="Times New Roman"/>
          <w:noProof/>
        </w:rPr>
        <w:t>exiger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w:t>
      </w:r>
      <w:r>
        <w:rPr>
          <w:rStyle w:val="FootnoteReference"/>
          <w:rFonts w:ascii="Times New Roman" w:hAnsi="Times New Roman"/>
          <w:noProof/>
        </w:rPr>
        <w:footnoteReference w:id="14"/>
      </w:r>
      <w:r>
        <w:rPr>
          <w:rFonts w:ascii="Times New Roman" w:hAnsi="Times New Roman"/>
          <w:noProof/>
        </w:rPr>
        <w:t xml:space="preserve"> ii) les activités menées dans le cadre du système d’échange de quotas d’émission de l’UE (SEQE) pour atteindre des émissions de gaz à effet de serre prévues qui ne sont pas inférieures aux référentiels pertinents;</w:t>
      </w:r>
      <w:r>
        <w:rPr>
          <w:rStyle w:val="FootnoteReference"/>
          <w:rFonts w:ascii="Times New Roman" w:hAnsi="Times New Roman"/>
          <w:noProof/>
        </w:rPr>
        <w:footnoteReference w:id="15"/>
      </w:r>
      <w:r>
        <w:rPr>
          <w:rFonts w:ascii="Times New Roman" w:hAnsi="Times New Roman"/>
          <w:noProof/>
        </w:rPr>
        <w:t xml:space="preserve"> et iii) les activités liées aux décharges de déchets, aux incinérateurs</w:t>
      </w:r>
      <w:r>
        <w:rPr>
          <w:rStyle w:val="FootnoteReference"/>
          <w:rFonts w:ascii="Times New Roman" w:hAnsi="Times New Roman"/>
          <w:noProof/>
        </w:rPr>
        <w:footnoteReference w:id="16"/>
      </w:r>
      <w:r>
        <w:rPr>
          <w:rFonts w:ascii="Times New Roman" w:hAnsi="Times New Roman"/>
          <w:noProof/>
        </w:rPr>
        <w:t xml:space="preserve"> et aux usines de traitement biologique mécanique.</w:t>
      </w:r>
      <w:r>
        <w:rPr>
          <w:rStyle w:val="FootnoteReference"/>
          <w:rFonts w:ascii="Times New Roman" w:hAnsi="Times New Roman"/>
          <w:noProof/>
        </w:rPr>
        <w:footnoteReference w:id="17"/>
      </w:r>
      <w:r>
        <w:rPr>
          <w:rFonts w:ascii="Times New Roman" w:hAnsi="Times New Roman"/>
          <w:noProof/>
        </w:rPr>
        <w:t xml:space="preserv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w:t>
      </w:r>
    </w:p>
    <w:p w14:paraId="1CEBD3FA" w14:textId="77777777" w:rsidR="00F74E13" w:rsidRDefault="009274FC">
      <w:pPr>
        <w:pStyle w:val="P68B1DB1-ListParagraph7"/>
        <w:numPr>
          <w:ilvl w:val="0"/>
          <w:numId w:val="13"/>
        </w:numPr>
        <w:spacing w:before="120" w:after="120" w:line="240" w:lineRule="auto"/>
        <w:ind w:left="1267"/>
        <w:jc w:val="both"/>
        <w:rPr>
          <w:noProof/>
        </w:rPr>
      </w:pPr>
      <w:r>
        <w:rPr>
          <w:noProof/>
        </w:rPr>
        <w:t>Exiger que le FEI vérifie la conformité juridique du bénéficiaire avec la législation environnementale de l’UE et nationale applicable pour toutes les transactions, y compris celles exemptées de l’évaluation de la durabilité.</w:t>
      </w:r>
    </w:p>
    <w:p w14:paraId="1CEBD3FB" w14:textId="77777777" w:rsidR="00F74E13" w:rsidRDefault="009274FC">
      <w:pPr>
        <w:pStyle w:val="paragraph"/>
        <w:spacing w:before="0" w:beforeAutospacing="0" w:after="0" w:afterAutospacing="0"/>
        <w:ind w:left="426"/>
        <w:jc w:val="both"/>
        <w:textAlignment w:val="baseline"/>
        <w:rPr>
          <w:noProof/>
          <w:color w:val="000000" w:themeColor="text1"/>
          <w:sz w:val="18"/>
          <w:szCs w:val="18"/>
        </w:rPr>
      </w:pPr>
      <w:r>
        <w:rPr>
          <w:noProof/>
          <w:color w:val="000000" w:themeColor="text1"/>
        </w:rPr>
        <w:t>La mise en œuvre de cet investissement est achevée au plus tard le 30 juin 2026</w:t>
      </w:r>
      <w:r>
        <w:rPr>
          <w:rStyle w:val="normaltextrun"/>
          <w:rFonts w:eastAsiaTheme="minorEastAsia"/>
          <w:noProof/>
          <w:color w:val="000000" w:themeColor="text1"/>
        </w:rPr>
        <w:t xml:space="preserve"> </w:t>
      </w:r>
      <w:r>
        <w:rPr>
          <w:noProof/>
          <w:color w:val="000000" w:themeColor="text1"/>
        </w:rPr>
        <w:t>(approbation des opérations par le comité d’investissement responsable représentant 100 % du montant total du financement alloué aux instruments de fonds propres pour les investissements en faveur de la neutralité climatique et de la transformation numérique).</w:t>
      </w:r>
    </w:p>
    <w:p w14:paraId="1CEBD3FC" w14:textId="77777777" w:rsidR="00F74E13" w:rsidRDefault="009274FC">
      <w:pPr>
        <w:pStyle w:val="P68B1DB1-Normal6"/>
        <w:spacing w:before="120" w:after="120" w:line="240" w:lineRule="auto"/>
        <w:ind w:left="850"/>
        <w:jc w:val="both"/>
        <w:rPr>
          <w:noProof/>
          <w:u w:val="single"/>
        </w:rPr>
      </w:pPr>
      <w:r>
        <w:rPr>
          <w:noProof/>
        </w:rPr>
        <w:t xml:space="preserve"> </w:t>
      </w:r>
    </w:p>
    <w:p w14:paraId="1CEBD3FD" w14:textId="77777777" w:rsidR="00F74E13" w:rsidRDefault="00F74E13">
      <w:pPr>
        <w:pageBreakBefore/>
        <w:spacing w:before="120" w:after="120" w:line="240" w:lineRule="auto"/>
        <w:ind w:left="851"/>
        <w:jc w:val="both"/>
        <w:rPr>
          <w:rFonts w:ascii="Times New Roman" w:hAnsi="Times New Roman"/>
          <w:b/>
          <w:noProof/>
          <w:u w:val="single"/>
        </w:rPr>
        <w:sectPr w:rsidR="00F74E1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1CEBD3FE" w14:textId="77777777" w:rsidR="00F74E13" w:rsidRDefault="009274FC">
      <w:pPr>
        <w:pStyle w:val="P68B1DB1-Normal8"/>
        <w:pageBreakBefore/>
        <w:spacing w:before="120" w:after="120" w:line="240" w:lineRule="auto"/>
        <w:ind w:left="851"/>
        <w:jc w:val="center"/>
        <w:rPr>
          <w:noProof/>
        </w:rPr>
      </w:pPr>
      <w:r>
        <w:rPr>
          <w:noProof/>
        </w:rPr>
        <w:t xml:space="preserve">C.2. </w:t>
      </w:r>
      <w:r>
        <w:rPr>
          <w:noProof/>
        </w:rPr>
        <w:tab/>
        <w:t>Étapes, cibles, indicateurs et calendrier pour le suivi et la mise en œuvre du soutien financier non remboursable</w:t>
      </w: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75"/>
        <w:gridCol w:w="1707"/>
        <w:gridCol w:w="1417"/>
        <w:gridCol w:w="1276"/>
        <w:gridCol w:w="1129"/>
        <w:gridCol w:w="1134"/>
        <w:gridCol w:w="1134"/>
        <w:gridCol w:w="1134"/>
        <w:gridCol w:w="3123"/>
      </w:tblGrid>
      <w:tr w:rsidR="00F74E13" w14:paraId="1CEBD408" w14:textId="77777777" w:rsidTr="00711BE9">
        <w:trPr>
          <w:trHeight w:val="300"/>
          <w:tblHeader/>
          <w:jc w:val="center"/>
        </w:trPr>
        <w:tc>
          <w:tcPr>
            <w:tcW w:w="1129" w:type="dxa"/>
            <w:vMerge w:val="restart"/>
            <w:shd w:val="clear" w:color="auto" w:fill="BDD7EE"/>
            <w:vAlign w:val="center"/>
            <w:hideMark/>
          </w:tcPr>
          <w:p w14:paraId="1CEBD3FF" w14:textId="77777777" w:rsidR="00F74E13" w:rsidRDefault="009274FC">
            <w:pPr>
              <w:pStyle w:val="P68B1DB1-Normal11"/>
              <w:spacing w:after="0" w:line="240" w:lineRule="auto"/>
              <w:jc w:val="center"/>
              <w:rPr>
                <w:rFonts w:eastAsia="Times New Roman" w:cs="Times New Roman"/>
                <w:bCs/>
                <w:noProof/>
                <w:szCs w:val="20"/>
              </w:rPr>
            </w:pPr>
            <w:r>
              <w:rPr>
                <w:noProof/>
              </w:rPr>
              <w:t>Numéro de série</w:t>
            </w:r>
          </w:p>
        </w:tc>
        <w:tc>
          <w:tcPr>
            <w:tcW w:w="1560" w:type="dxa"/>
            <w:vMerge w:val="restart"/>
            <w:shd w:val="clear" w:color="auto" w:fill="BDD7EE"/>
            <w:vAlign w:val="center"/>
            <w:hideMark/>
          </w:tcPr>
          <w:p w14:paraId="1CEBD400" w14:textId="77777777" w:rsidR="00F74E13" w:rsidRDefault="009274FC">
            <w:pPr>
              <w:pStyle w:val="P68B1DB1-Normal11"/>
              <w:spacing w:after="0" w:line="240" w:lineRule="auto"/>
              <w:jc w:val="center"/>
              <w:rPr>
                <w:noProof/>
              </w:rPr>
            </w:pPr>
            <w:r>
              <w:rPr>
                <w:noProof/>
              </w:rPr>
              <w:t>Mesure connexe (réforme ou investissement)</w:t>
            </w:r>
          </w:p>
        </w:tc>
        <w:tc>
          <w:tcPr>
            <w:tcW w:w="1275" w:type="dxa"/>
            <w:vMerge w:val="restart"/>
            <w:shd w:val="clear" w:color="auto" w:fill="BDD7EE"/>
            <w:vAlign w:val="center"/>
            <w:hideMark/>
          </w:tcPr>
          <w:p w14:paraId="1CEBD402" w14:textId="2FB0B2E4" w:rsidR="00F74E13" w:rsidRDefault="009274FC">
            <w:pPr>
              <w:pStyle w:val="P68B1DB1-Normal11"/>
              <w:spacing w:after="0" w:line="240" w:lineRule="auto"/>
              <w:jc w:val="center"/>
              <w:rPr>
                <w:noProof/>
              </w:rPr>
            </w:pPr>
            <w:r>
              <w:rPr>
                <w:noProof/>
              </w:rPr>
              <w:t>Étape/cible</w:t>
            </w:r>
          </w:p>
        </w:tc>
        <w:tc>
          <w:tcPr>
            <w:tcW w:w="1707" w:type="dxa"/>
            <w:vMerge w:val="restart"/>
            <w:shd w:val="clear" w:color="auto" w:fill="BDD7EE"/>
            <w:vAlign w:val="center"/>
            <w:hideMark/>
          </w:tcPr>
          <w:p w14:paraId="1CEBD403" w14:textId="77777777" w:rsidR="00F74E13" w:rsidRDefault="009274FC">
            <w:pPr>
              <w:pStyle w:val="P68B1DB1-Normal11"/>
              <w:spacing w:after="0" w:line="240" w:lineRule="auto"/>
              <w:jc w:val="center"/>
              <w:rPr>
                <w:noProof/>
              </w:rPr>
            </w:pPr>
            <w:r>
              <w:rPr>
                <w:noProof/>
              </w:rPr>
              <w:t>Nom</w:t>
            </w:r>
          </w:p>
        </w:tc>
        <w:tc>
          <w:tcPr>
            <w:tcW w:w="1417" w:type="dxa"/>
            <w:vMerge w:val="restart"/>
            <w:shd w:val="clear" w:color="auto" w:fill="BDD7EE"/>
            <w:vAlign w:val="center"/>
            <w:hideMark/>
          </w:tcPr>
          <w:p w14:paraId="1CEBD404" w14:textId="77777777" w:rsidR="00F74E13" w:rsidRDefault="009274FC">
            <w:pPr>
              <w:pStyle w:val="P68B1DB1-Normal24"/>
              <w:spacing w:after="0" w:line="240" w:lineRule="auto"/>
              <w:jc w:val="center"/>
              <w:rPr>
                <w:rFonts w:ascii="Times New Roman" w:hAnsi="Times New Roman"/>
                <w:b/>
                <w:noProof/>
              </w:rPr>
            </w:pPr>
            <w:r>
              <w:rPr>
                <w:rFonts w:ascii="Times New Roman" w:hAnsi="Times New Roman"/>
                <w:b/>
                <w:noProof/>
              </w:rPr>
              <w:t xml:space="preserve">Indicateurs qualitatifs </w:t>
            </w:r>
            <w:r>
              <w:rPr>
                <w:rFonts w:ascii="Times New Roman" w:hAnsi="Times New Roman" w:cs="Times New Roman"/>
                <w:noProof/>
                <w:szCs w:val="20"/>
              </w:rPr>
              <w:br/>
            </w:r>
            <w:r>
              <w:rPr>
                <w:rFonts w:ascii="Times New Roman" w:hAnsi="Times New Roman"/>
                <w:b/>
                <w:noProof/>
              </w:rPr>
              <w:t>(pour les jalons)</w:t>
            </w:r>
          </w:p>
        </w:tc>
        <w:tc>
          <w:tcPr>
            <w:tcW w:w="3539" w:type="dxa"/>
            <w:gridSpan w:val="3"/>
            <w:shd w:val="clear" w:color="auto" w:fill="BDD7EE"/>
            <w:vAlign w:val="center"/>
            <w:hideMark/>
          </w:tcPr>
          <w:p w14:paraId="1CEBD405" w14:textId="77777777" w:rsidR="00F74E13" w:rsidRDefault="009274FC">
            <w:pPr>
              <w:pStyle w:val="P68B1DB1-Normal24"/>
              <w:spacing w:after="0" w:line="240" w:lineRule="auto"/>
              <w:jc w:val="center"/>
              <w:rPr>
                <w:rFonts w:ascii="Times New Roman" w:hAnsi="Times New Roman"/>
                <w:b/>
                <w:noProof/>
              </w:rPr>
            </w:pPr>
            <w:r>
              <w:rPr>
                <w:rFonts w:ascii="Times New Roman" w:hAnsi="Times New Roman"/>
                <w:b/>
                <w:noProof/>
              </w:rPr>
              <w:t xml:space="preserve">Indicateurs quantitatifs </w:t>
            </w:r>
            <w:r>
              <w:rPr>
                <w:rFonts w:ascii="Times New Roman" w:hAnsi="Times New Roman" w:cs="Times New Roman"/>
                <w:noProof/>
                <w:szCs w:val="20"/>
              </w:rPr>
              <w:br/>
            </w:r>
            <w:r>
              <w:rPr>
                <w:rFonts w:ascii="Times New Roman" w:hAnsi="Times New Roman"/>
                <w:b/>
                <w:noProof/>
              </w:rPr>
              <w:t>(pour les objectifs)</w:t>
            </w:r>
          </w:p>
        </w:tc>
        <w:tc>
          <w:tcPr>
            <w:tcW w:w="2268" w:type="dxa"/>
            <w:gridSpan w:val="2"/>
            <w:shd w:val="clear" w:color="auto" w:fill="BDD7EE"/>
            <w:vAlign w:val="center"/>
            <w:hideMark/>
          </w:tcPr>
          <w:p w14:paraId="1CEBD406" w14:textId="77777777" w:rsidR="00F74E13" w:rsidRDefault="009274FC">
            <w:pPr>
              <w:pStyle w:val="P68B1DB1-Normal11"/>
              <w:spacing w:after="0" w:line="240" w:lineRule="auto"/>
              <w:jc w:val="center"/>
              <w:rPr>
                <w:noProof/>
              </w:rPr>
            </w:pPr>
            <w:r>
              <w:rPr>
                <w:noProof/>
              </w:rPr>
              <w:t>Calendrier indicatif d'achèvement</w:t>
            </w:r>
          </w:p>
        </w:tc>
        <w:tc>
          <w:tcPr>
            <w:tcW w:w="3123" w:type="dxa"/>
            <w:vMerge w:val="restart"/>
            <w:shd w:val="clear" w:color="auto" w:fill="BDD7EE"/>
            <w:vAlign w:val="center"/>
            <w:hideMark/>
          </w:tcPr>
          <w:p w14:paraId="1CEBD407" w14:textId="77777777" w:rsidR="00F74E13" w:rsidRDefault="009274FC">
            <w:pPr>
              <w:pStyle w:val="P68B1DB1-Normal11"/>
              <w:spacing w:after="0" w:line="240" w:lineRule="auto"/>
              <w:jc w:val="center"/>
              <w:rPr>
                <w:noProof/>
              </w:rPr>
            </w:pPr>
            <w:r>
              <w:rPr>
                <w:noProof/>
              </w:rPr>
              <w:t>Description de chaque jalon et cible</w:t>
            </w:r>
          </w:p>
        </w:tc>
      </w:tr>
      <w:tr w:rsidR="00F74E13" w14:paraId="1CEBD414" w14:textId="77777777" w:rsidTr="00711BE9">
        <w:trPr>
          <w:trHeight w:val="300"/>
          <w:tblHeader/>
          <w:jc w:val="center"/>
        </w:trPr>
        <w:tc>
          <w:tcPr>
            <w:tcW w:w="1129" w:type="dxa"/>
            <w:vMerge/>
            <w:vAlign w:val="center"/>
            <w:hideMark/>
          </w:tcPr>
          <w:p w14:paraId="1CEBD409" w14:textId="77777777" w:rsidR="00F74E13" w:rsidRDefault="00F74E13">
            <w:pPr>
              <w:spacing w:after="0" w:line="240" w:lineRule="auto"/>
              <w:jc w:val="center"/>
              <w:rPr>
                <w:rFonts w:ascii="Times New Roman" w:hAnsi="Times New Roman"/>
                <w:b/>
                <w:noProof/>
                <w:sz w:val="20"/>
              </w:rPr>
            </w:pPr>
          </w:p>
        </w:tc>
        <w:tc>
          <w:tcPr>
            <w:tcW w:w="1560" w:type="dxa"/>
            <w:vMerge/>
            <w:vAlign w:val="center"/>
            <w:hideMark/>
          </w:tcPr>
          <w:p w14:paraId="1CEBD40A" w14:textId="77777777" w:rsidR="00F74E13" w:rsidRDefault="00F74E13">
            <w:pPr>
              <w:spacing w:after="0" w:line="240" w:lineRule="auto"/>
              <w:rPr>
                <w:rFonts w:ascii="Times New Roman" w:hAnsi="Times New Roman"/>
                <w:b/>
                <w:noProof/>
                <w:sz w:val="20"/>
              </w:rPr>
            </w:pPr>
          </w:p>
        </w:tc>
        <w:tc>
          <w:tcPr>
            <w:tcW w:w="1275" w:type="dxa"/>
            <w:vMerge/>
            <w:vAlign w:val="center"/>
            <w:hideMark/>
          </w:tcPr>
          <w:p w14:paraId="1CEBD40B" w14:textId="77777777" w:rsidR="00F74E13" w:rsidRDefault="00F74E13">
            <w:pPr>
              <w:spacing w:after="0" w:line="240" w:lineRule="auto"/>
              <w:jc w:val="center"/>
              <w:rPr>
                <w:rFonts w:ascii="Times New Roman" w:hAnsi="Times New Roman"/>
                <w:b/>
                <w:noProof/>
                <w:sz w:val="20"/>
              </w:rPr>
            </w:pPr>
          </w:p>
        </w:tc>
        <w:tc>
          <w:tcPr>
            <w:tcW w:w="1707" w:type="dxa"/>
            <w:vMerge/>
            <w:vAlign w:val="center"/>
            <w:hideMark/>
          </w:tcPr>
          <w:p w14:paraId="1CEBD40C" w14:textId="77777777" w:rsidR="00F74E13" w:rsidRDefault="00F74E13">
            <w:pPr>
              <w:spacing w:after="0" w:line="240" w:lineRule="auto"/>
              <w:rPr>
                <w:rFonts w:ascii="Times New Roman" w:hAnsi="Times New Roman"/>
                <w:b/>
                <w:noProof/>
                <w:sz w:val="20"/>
              </w:rPr>
            </w:pPr>
          </w:p>
        </w:tc>
        <w:tc>
          <w:tcPr>
            <w:tcW w:w="1417" w:type="dxa"/>
            <w:vMerge/>
            <w:vAlign w:val="center"/>
            <w:hideMark/>
          </w:tcPr>
          <w:p w14:paraId="1CEBD40D" w14:textId="77777777" w:rsidR="00F74E13" w:rsidRDefault="00F74E13">
            <w:pPr>
              <w:spacing w:after="0" w:line="240" w:lineRule="auto"/>
              <w:rPr>
                <w:rFonts w:ascii="Times New Roman" w:hAnsi="Times New Roman"/>
                <w:b/>
                <w:noProof/>
                <w:sz w:val="20"/>
              </w:rPr>
            </w:pPr>
          </w:p>
        </w:tc>
        <w:tc>
          <w:tcPr>
            <w:tcW w:w="1276" w:type="dxa"/>
            <w:shd w:val="clear" w:color="auto" w:fill="BDD7EE"/>
            <w:vAlign w:val="center"/>
            <w:hideMark/>
          </w:tcPr>
          <w:p w14:paraId="1CEBD40E" w14:textId="77777777" w:rsidR="00F74E13" w:rsidRDefault="009274FC">
            <w:pPr>
              <w:pStyle w:val="P68B1DB1-Normal11"/>
              <w:spacing w:after="0" w:line="240" w:lineRule="auto"/>
              <w:jc w:val="center"/>
              <w:rPr>
                <w:noProof/>
              </w:rPr>
            </w:pPr>
            <w:r>
              <w:rPr>
                <w:noProof/>
              </w:rPr>
              <w:t>Unité de mesure</w:t>
            </w:r>
          </w:p>
        </w:tc>
        <w:tc>
          <w:tcPr>
            <w:tcW w:w="1129" w:type="dxa"/>
            <w:shd w:val="clear" w:color="auto" w:fill="BDD7EE"/>
            <w:vAlign w:val="center"/>
            <w:hideMark/>
          </w:tcPr>
          <w:p w14:paraId="1CEBD40F" w14:textId="77777777" w:rsidR="00F74E13" w:rsidRDefault="009274FC">
            <w:pPr>
              <w:pStyle w:val="P68B1DB1-Normal11"/>
              <w:spacing w:after="0" w:line="240" w:lineRule="auto"/>
              <w:jc w:val="center"/>
              <w:rPr>
                <w:noProof/>
              </w:rPr>
            </w:pPr>
            <w:r>
              <w:rPr>
                <w:noProof/>
              </w:rPr>
              <w:t>Données de référence</w:t>
            </w:r>
          </w:p>
        </w:tc>
        <w:tc>
          <w:tcPr>
            <w:tcW w:w="1134" w:type="dxa"/>
            <w:shd w:val="clear" w:color="auto" w:fill="BDD7EE"/>
            <w:vAlign w:val="center"/>
            <w:hideMark/>
          </w:tcPr>
          <w:p w14:paraId="1CEBD410" w14:textId="77777777" w:rsidR="00F74E13" w:rsidRDefault="009274FC">
            <w:pPr>
              <w:pStyle w:val="P68B1DB1-Normal11"/>
              <w:spacing w:after="0" w:line="240" w:lineRule="auto"/>
              <w:jc w:val="center"/>
              <w:rPr>
                <w:noProof/>
              </w:rPr>
            </w:pPr>
            <w:r>
              <w:rPr>
                <w:noProof/>
              </w:rPr>
              <w:t>Objectif</w:t>
            </w:r>
          </w:p>
        </w:tc>
        <w:tc>
          <w:tcPr>
            <w:tcW w:w="1134" w:type="dxa"/>
            <w:shd w:val="clear" w:color="auto" w:fill="BDD7EE"/>
            <w:vAlign w:val="center"/>
            <w:hideMark/>
          </w:tcPr>
          <w:p w14:paraId="1CEBD411" w14:textId="77777777" w:rsidR="00F74E13" w:rsidRDefault="009274FC">
            <w:pPr>
              <w:pStyle w:val="P68B1DB1-Normal11"/>
              <w:spacing w:after="0" w:line="240" w:lineRule="auto"/>
              <w:jc w:val="center"/>
              <w:rPr>
                <w:noProof/>
              </w:rPr>
            </w:pPr>
            <w:r>
              <w:rPr>
                <w:noProof/>
              </w:rPr>
              <w:t>Trimestre</w:t>
            </w:r>
          </w:p>
        </w:tc>
        <w:tc>
          <w:tcPr>
            <w:tcW w:w="1134" w:type="dxa"/>
            <w:shd w:val="clear" w:color="auto" w:fill="BDD7EE"/>
            <w:vAlign w:val="center"/>
            <w:hideMark/>
          </w:tcPr>
          <w:p w14:paraId="1CEBD412" w14:textId="77777777" w:rsidR="00F74E13" w:rsidRDefault="009274FC">
            <w:pPr>
              <w:pStyle w:val="P68B1DB1-Normal11"/>
              <w:spacing w:after="0" w:line="240" w:lineRule="auto"/>
              <w:jc w:val="center"/>
              <w:rPr>
                <w:noProof/>
              </w:rPr>
            </w:pPr>
            <w:r>
              <w:rPr>
                <w:noProof/>
              </w:rPr>
              <w:t>Année</w:t>
            </w:r>
          </w:p>
        </w:tc>
        <w:tc>
          <w:tcPr>
            <w:tcW w:w="3123" w:type="dxa"/>
            <w:vMerge/>
            <w:vAlign w:val="center"/>
            <w:hideMark/>
          </w:tcPr>
          <w:p w14:paraId="1CEBD413" w14:textId="77777777" w:rsidR="00F74E13" w:rsidRDefault="00F74E13">
            <w:pPr>
              <w:spacing w:after="0" w:line="240" w:lineRule="auto"/>
              <w:rPr>
                <w:rFonts w:ascii="Times New Roman" w:hAnsi="Times New Roman"/>
                <w:b/>
                <w:noProof/>
                <w:sz w:val="20"/>
              </w:rPr>
            </w:pPr>
          </w:p>
        </w:tc>
      </w:tr>
      <w:tr w:rsidR="00F74E13" w14:paraId="1CEBD424" w14:textId="77777777" w:rsidTr="00711BE9">
        <w:trPr>
          <w:trHeight w:val="300"/>
          <w:jc w:val="center"/>
        </w:trPr>
        <w:tc>
          <w:tcPr>
            <w:tcW w:w="1129" w:type="dxa"/>
            <w:shd w:val="clear" w:color="auto" w:fill="C6EFCE"/>
            <w:noWrap/>
            <w:hideMark/>
          </w:tcPr>
          <w:p w14:paraId="1CEBD415" w14:textId="77777777" w:rsidR="00F74E13" w:rsidRDefault="009274FC">
            <w:pPr>
              <w:pStyle w:val="P68B1DB1-Normal13"/>
              <w:spacing w:after="0" w:line="240" w:lineRule="auto"/>
              <w:jc w:val="center"/>
              <w:rPr>
                <w:noProof/>
              </w:rPr>
            </w:pPr>
            <w:r>
              <w:rPr>
                <w:noProof/>
              </w:rPr>
              <w:t>35</w:t>
            </w:r>
          </w:p>
        </w:tc>
        <w:tc>
          <w:tcPr>
            <w:tcW w:w="1560" w:type="dxa"/>
            <w:shd w:val="clear" w:color="auto" w:fill="C6EFCE"/>
            <w:noWrap/>
            <w:hideMark/>
          </w:tcPr>
          <w:p w14:paraId="1CEBD416" w14:textId="77777777" w:rsidR="00F74E13" w:rsidRDefault="009274FC">
            <w:pPr>
              <w:pStyle w:val="P68B1DB1-Normal13"/>
              <w:spacing w:after="0" w:line="240" w:lineRule="auto"/>
              <w:rPr>
                <w:noProof/>
              </w:rPr>
            </w:pPr>
            <w:r>
              <w:rPr>
                <w:noProof/>
              </w:rPr>
              <w:t xml:space="preserve">C3.R1: </w:t>
            </w:r>
          </w:p>
          <w:p w14:paraId="1CEBD417" w14:textId="77777777" w:rsidR="00F74E13" w:rsidRDefault="009274FC">
            <w:pPr>
              <w:pStyle w:val="P68B1DB1-Normal13"/>
              <w:spacing w:after="0" w:line="240" w:lineRule="auto"/>
              <w:rPr>
                <w:noProof/>
              </w:rPr>
            </w:pPr>
            <w:r>
              <w:rPr>
                <w:noProof/>
              </w:rPr>
              <w:t>Cadre juridique pour attirer les investissements industriels et développer les écosystèmes industriels</w:t>
            </w:r>
          </w:p>
        </w:tc>
        <w:tc>
          <w:tcPr>
            <w:tcW w:w="1275" w:type="dxa"/>
            <w:shd w:val="clear" w:color="auto" w:fill="C6EFCE"/>
            <w:noWrap/>
            <w:hideMark/>
          </w:tcPr>
          <w:p w14:paraId="1CEBD418"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419" w14:textId="77777777" w:rsidR="00F74E13" w:rsidRDefault="009274FC">
            <w:pPr>
              <w:pStyle w:val="P68B1DB1-Normal13"/>
              <w:spacing w:after="0" w:line="240" w:lineRule="auto"/>
              <w:rPr>
                <w:noProof/>
              </w:rPr>
            </w:pPr>
            <w:r>
              <w:rPr>
                <w:noProof/>
              </w:rPr>
              <w:t>Entrée en vigueur de la nouvelle loi sur les parcs industriels</w:t>
            </w:r>
          </w:p>
        </w:tc>
        <w:tc>
          <w:tcPr>
            <w:tcW w:w="1417" w:type="dxa"/>
            <w:shd w:val="clear" w:color="auto" w:fill="C6EFCE"/>
            <w:noWrap/>
          </w:tcPr>
          <w:p w14:paraId="1CEBD41A" w14:textId="77777777" w:rsidR="00F74E13" w:rsidRDefault="009274FC">
            <w:pPr>
              <w:pStyle w:val="P68B1DB1-Normal13"/>
              <w:spacing w:after="0" w:line="240" w:lineRule="auto"/>
              <w:rPr>
                <w:noProof/>
              </w:rPr>
            </w:pPr>
            <w:r>
              <w:rPr>
                <w:noProof/>
              </w:rPr>
              <w:t>Entrée en vigueur de la loi sur les parcs industriels</w:t>
            </w:r>
          </w:p>
        </w:tc>
        <w:tc>
          <w:tcPr>
            <w:tcW w:w="1276" w:type="dxa"/>
            <w:shd w:val="clear" w:color="auto" w:fill="C6EFCE"/>
            <w:noWrap/>
          </w:tcPr>
          <w:p w14:paraId="1CEBD41B"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41C"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1D"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1E" w14:textId="77777777" w:rsidR="00F74E13" w:rsidRDefault="009274FC">
            <w:pPr>
              <w:pStyle w:val="P68B1DB1-Normal13"/>
              <w:spacing w:after="0" w:line="240" w:lineRule="auto"/>
              <w:jc w:val="center"/>
              <w:rPr>
                <w:noProof/>
              </w:rPr>
            </w:pPr>
            <w:r>
              <w:rPr>
                <w:noProof/>
              </w:rPr>
              <w:t>T1</w:t>
            </w:r>
          </w:p>
        </w:tc>
        <w:tc>
          <w:tcPr>
            <w:tcW w:w="1134" w:type="dxa"/>
            <w:shd w:val="clear" w:color="auto" w:fill="C6EFCE"/>
            <w:noWrap/>
          </w:tcPr>
          <w:p w14:paraId="1CEBD41F" w14:textId="77777777" w:rsidR="00F74E13" w:rsidRDefault="009274FC">
            <w:pPr>
              <w:pStyle w:val="P68B1DB1-Normal13"/>
              <w:spacing w:after="0" w:line="240" w:lineRule="auto"/>
              <w:jc w:val="center"/>
              <w:rPr>
                <w:noProof/>
              </w:rPr>
            </w:pPr>
            <w:r>
              <w:rPr>
                <w:noProof/>
              </w:rPr>
              <w:t>2021</w:t>
            </w:r>
          </w:p>
        </w:tc>
        <w:tc>
          <w:tcPr>
            <w:tcW w:w="3123" w:type="dxa"/>
            <w:shd w:val="clear" w:color="auto" w:fill="C6EFCE"/>
            <w:noWrap/>
            <w:vAlign w:val="center"/>
          </w:tcPr>
          <w:p w14:paraId="1CEBD420" w14:textId="77777777" w:rsidR="00F74E13" w:rsidRDefault="009274FC">
            <w:pPr>
              <w:pStyle w:val="P68B1DB1-Normal13"/>
              <w:spacing w:after="0" w:line="240" w:lineRule="auto"/>
              <w:jc w:val="both"/>
              <w:rPr>
                <w:noProof/>
              </w:rPr>
            </w:pPr>
            <w:r>
              <w:rPr>
                <w:noProof/>
              </w:rPr>
              <w:t>La nouvelle loi sur les parcs industriels:</w:t>
            </w:r>
          </w:p>
          <w:p w14:paraId="1CEBD421" w14:textId="77777777" w:rsidR="00F74E13" w:rsidRDefault="009274FC">
            <w:pPr>
              <w:pStyle w:val="P68B1DB1-Normal13"/>
              <w:spacing w:after="0" w:line="240" w:lineRule="auto"/>
              <w:jc w:val="both"/>
              <w:rPr>
                <w:noProof/>
              </w:rPr>
            </w:pPr>
            <w:r>
              <w:rPr>
                <w:noProof/>
              </w:rPr>
              <w:t>- réglementer le soutien de l'État et les incitations à attirer les investissements dans les parcs industriels;</w:t>
            </w:r>
          </w:p>
          <w:p w14:paraId="1CEBD422" w14:textId="77777777" w:rsidR="00F74E13" w:rsidRDefault="009274FC">
            <w:pPr>
              <w:pStyle w:val="P68B1DB1-Normal13"/>
              <w:spacing w:after="0" w:line="240" w:lineRule="auto"/>
              <w:jc w:val="both"/>
              <w:rPr>
                <w:noProof/>
              </w:rPr>
            </w:pPr>
            <w:r>
              <w:rPr>
                <w:noProof/>
              </w:rPr>
              <w:t>- prévoir un raccourcissement des procédures requises pour les investissements industriels; et</w:t>
            </w:r>
          </w:p>
          <w:p w14:paraId="1CEBD423" w14:textId="77777777" w:rsidR="00F74E13" w:rsidRDefault="009274FC">
            <w:pPr>
              <w:pStyle w:val="P68B1DB1-Normal13"/>
              <w:spacing w:after="0" w:line="240" w:lineRule="auto"/>
              <w:jc w:val="both"/>
              <w:rPr>
                <w:noProof/>
              </w:rPr>
            </w:pPr>
            <w:r>
              <w:rPr>
                <w:noProof/>
              </w:rPr>
              <w:t xml:space="preserve">- fixer les normes minimales pour que les investissements dans les parcs industriels bénéficient d'un soutien de l'État. </w:t>
            </w:r>
          </w:p>
        </w:tc>
      </w:tr>
      <w:tr w:rsidR="00F74E13" w14:paraId="1CEBD437" w14:textId="77777777" w:rsidTr="00711BE9">
        <w:trPr>
          <w:trHeight w:val="300"/>
          <w:jc w:val="center"/>
        </w:trPr>
        <w:tc>
          <w:tcPr>
            <w:tcW w:w="1129" w:type="dxa"/>
            <w:shd w:val="clear" w:color="auto" w:fill="C6EFCE"/>
            <w:noWrap/>
            <w:hideMark/>
          </w:tcPr>
          <w:p w14:paraId="1CEBD425" w14:textId="77777777" w:rsidR="00F74E13" w:rsidRDefault="009274FC">
            <w:pPr>
              <w:pStyle w:val="P68B1DB1-Normal15"/>
              <w:spacing w:after="0" w:line="240" w:lineRule="auto"/>
              <w:jc w:val="center"/>
              <w:rPr>
                <w:noProof/>
              </w:rPr>
            </w:pPr>
            <w:r>
              <w:rPr>
                <w:noProof/>
              </w:rPr>
              <w:t>36</w:t>
            </w:r>
          </w:p>
        </w:tc>
        <w:tc>
          <w:tcPr>
            <w:tcW w:w="1560" w:type="dxa"/>
            <w:shd w:val="clear" w:color="auto" w:fill="C6EFCE"/>
            <w:noWrap/>
          </w:tcPr>
          <w:p w14:paraId="1CEBD426" w14:textId="43E02F2C" w:rsidR="00F74E13" w:rsidRDefault="009274FC">
            <w:pPr>
              <w:pStyle w:val="P68B1DB1-Normal15"/>
              <w:spacing w:after="0" w:line="240" w:lineRule="auto"/>
              <w:rPr>
                <w:noProof/>
              </w:rPr>
            </w:pPr>
            <w:r>
              <w:rPr>
                <w:noProof/>
              </w:rPr>
              <w:t>C3.I1 : Programme pour les zones/parcs industriels («AttractInvestBG»)</w:t>
            </w:r>
          </w:p>
        </w:tc>
        <w:tc>
          <w:tcPr>
            <w:tcW w:w="1275" w:type="dxa"/>
            <w:shd w:val="clear" w:color="auto" w:fill="C6EFCE"/>
            <w:noWrap/>
          </w:tcPr>
          <w:p w14:paraId="1CEBD427"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428" w14:textId="77777777" w:rsidR="00F74E13" w:rsidRDefault="009274FC">
            <w:pPr>
              <w:pStyle w:val="P68B1DB1-Normal13"/>
              <w:spacing w:after="0" w:line="240" w:lineRule="auto"/>
              <w:rPr>
                <w:noProof/>
              </w:rPr>
            </w:pPr>
            <w:r>
              <w:rPr>
                <w:noProof/>
              </w:rPr>
              <w:t xml:space="preserve">Sélection de parcs industriels ou de zones industrielles </w:t>
            </w:r>
          </w:p>
        </w:tc>
        <w:tc>
          <w:tcPr>
            <w:tcW w:w="1417" w:type="dxa"/>
            <w:shd w:val="clear" w:color="auto" w:fill="C6EFCE"/>
            <w:noWrap/>
          </w:tcPr>
          <w:p w14:paraId="1CEBD429"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42A" w14:textId="77777777" w:rsidR="00F74E13" w:rsidRDefault="009274FC">
            <w:pPr>
              <w:pStyle w:val="P68B1DB1-Normal15"/>
              <w:spacing w:after="0" w:line="240" w:lineRule="auto"/>
              <w:jc w:val="center"/>
              <w:rPr>
                <w:noProof/>
              </w:rPr>
            </w:pPr>
            <w:r>
              <w:rPr>
                <w:noProof/>
              </w:rPr>
              <w:t>Numéro</w:t>
            </w:r>
          </w:p>
        </w:tc>
        <w:tc>
          <w:tcPr>
            <w:tcW w:w="1129" w:type="dxa"/>
            <w:shd w:val="clear" w:color="auto" w:fill="C6EFCE"/>
            <w:noWrap/>
          </w:tcPr>
          <w:p w14:paraId="1CEBD42B"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42C" w14:textId="77777777" w:rsidR="00F74E13" w:rsidRDefault="009274FC">
            <w:pPr>
              <w:pStyle w:val="P68B1DB1-Normal12"/>
              <w:spacing w:after="0" w:line="240" w:lineRule="auto"/>
              <w:jc w:val="center"/>
              <w:rPr>
                <w:noProof/>
              </w:rPr>
            </w:pPr>
            <w:r>
              <w:rPr>
                <w:noProof/>
              </w:rPr>
              <w:t>10</w:t>
            </w:r>
          </w:p>
        </w:tc>
        <w:tc>
          <w:tcPr>
            <w:tcW w:w="1134" w:type="dxa"/>
            <w:shd w:val="clear" w:color="auto" w:fill="C6EFCE"/>
            <w:noWrap/>
          </w:tcPr>
          <w:p w14:paraId="1CEBD42D" w14:textId="77777777" w:rsidR="00F74E13" w:rsidRDefault="009274FC">
            <w:pPr>
              <w:pStyle w:val="P68B1DB1-Normal12"/>
              <w:spacing w:after="0" w:line="240" w:lineRule="auto"/>
              <w:jc w:val="center"/>
              <w:rPr>
                <w:noProof/>
              </w:rPr>
            </w:pPr>
            <w:r>
              <w:rPr>
                <w:noProof/>
              </w:rPr>
              <w:t>T2</w:t>
            </w:r>
          </w:p>
        </w:tc>
        <w:tc>
          <w:tcPr>
            <w:tcW w:w="1134" w:type="dxa"/>
            <w:shd w:val="clear" w:color="auto" w:fill="C6EFCE"/>
            <w:noWrap/>
          </w:tcPr>
          <w:p w14:paraId="1CEBD42E" w14:textId="77777777" w:rsidR="00F74E13" w:rsidRDefault="009274FC">
            <w:pPr>
              <w:pStyle w:val="P68B1DB1-Normal15"/>
              <w:spacing w:after="0" w:line="240" w:lineRule="auto"/>
              <w:jc w:val="center"/>
              <w:rPr>
                <w:noProof/>
              </w:rPr>
            </w:pPr>
            <w:r>
              <w:rPr>
                <w:noProof/>
              </w:rPr>
              <w:t>2025</w:t>
            </w:r>
          </w:p>
        </w:tc>
        <w:tc>
          <w:tcPr>
            <w:tcW w:w="3123" w:type="dxa"/>
            <w:shd w:val="clear" w:color="auto" w:fill="C6EFCE"/>
            <w:noWrap/>
            <w:vAlign w:val="bottom"/>
          </w:tcPr>
          <w:p w14:paraId="1CEBD42F" w14:textId="0A7E873A" w:rsidR="00F74E13" w:rsidRDefault="009274FC">
            <w:pPr>
              <w:pStyle w:val="P68B1DB1-Normal13"/>
              <w:spacing w:after="0" w:line="240" w:lineRule="auto"/>
              <w:jc w:val="both"/>
              <w:rPr>
                <w:noProof/>
              </w:rPr>
            </w:pPr>
            <w:r>
              <w:rPr>
                <w:noProof/>
              </w:rPr>
              <w:t>Le ministère de l’innovation et de la croissance sélectionne dix parcs industriels ou zones pour bénéficier d’une subvention. Les critères de sélection comprennent un critère relatif à la localisation dans le nord de la Bulgarie.</w:t>
            </w:r>
          </w:p>
          <w:p w14:paraId="1CEBD431" w14:textId="77777777" w:rsidR="00F74E13" w:rsidRDefault="009274FC">
            <w:pPr>
              <w:pStyle w:val="P68B1DB1-Normal13"/>
              <w:spacing w:before="120" w:after="0" w:line="240" w:lineRule="auto"/>
              <w:jc w:val="both"/>
              <w:rPr>
                <w:noProof/>
              </w:rPr>
            </w:pPr>
            <w:r>
              <w:rPr>
                <w:noProof/>
              </w:rPr>
              <w:t xml:space="preserve">Afin de garantir que la mesure est conforme aux orientations techniques «Ne pas causer de préjudice important» (2021/C58/01), les critères d’éligibilité excluent la liste d’activités suivante: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iii) les activités liées aux décharges de déchets, aux incinérateurs et aux usines de traitement biologique mécanique. </w:t>
            </w:r>
          </w:p>
          <w:p w14:paraId="1CEBD433" w14:textId="77777777" w:rsidR="00F74E13" w:rsidRDefault="009274FC">
            <w:pPr>
              <w:pStyle w:val="P68B1DB1-Normal13"/>
              <w:spacing w:before="120" w:after="0" w:line="240" w:lineRule="auto"/>
              <w:jc w:val="both"/>
              <w:rPr>
                <w:noProof/>
              </w:rPr>
            </w:pPr>
            <w:r>
              <w:rPr>
                <w:noProof/>
              </w:rPr>
              <w:t>Le financement total des dix projets approuvés est d'au moins 98 millions d'euros.</w:t>
            </w:r>
          </w:p>
          <w:p w14:paraId="1CEBD436" w14:textId="19FCEAA0" w:rsidR="00F74E13" w:rsidRDefault="009274FC">
            <w:pPr>
              <w:pStyle w:val="P68B1DB1-Normal13"/>
              <w:spacing w:before="120" w:after="0" w:line="240" w:lineRule="auto"/>
              <w:jc w:val="both"/>
              <w:rPr>
                <w:noProof/>
              </w:rPr>
            </w:pPr>
            <w:r>
              <w:rPr>
                <w:noProof/>
              </w:rPr>
              <w:t>L'aide non remboursable accordée à chaque parc industriel ou zone industrielle couvre au maximum 80 % de l'investissement proposé. La part restante de l’investissement est fournie par les exploitants de parcs industriels/zones.</w:t>
            </w:r>
          </w:p>
        </w:tc>
      </w:tr>
      <w:tr w:rsidR="00F74E13" w14:paraId="1CEBD443" w14:textId="77777777" w:rsidTr="00711BE9">
        <w:trPr>
          <w:trHeight w:val="300"/>
          <w:jc w:val="center"/>
        </w:trPr>
        <w:tc>
          <w:tcPr>
            <w:tcW w:w="1129" w:type="dxa"/>
            <w:shd w:val="clear" w:color="auto" w:fill="C6EFCE"/>
            <w:noWrap/>
          </w:tcPr>
          <w:p w14:paraId="1CEBD438" w14:textId="77777777" w:rsidR="00F74E13" w:rsidRDefault="009274FC">
            <w:pPr>
              <w:pStyle w:val="P68B1DB1-Normal15"/>
              <w:spacing w:after="0" w:line="240" w:lineRule="auto"/>
              <w:jc w:val="center"/>
              <w:rPr>
                <w:noProof/>
              </w:rPr>
            </w:pPr>
            <w:r>
              <w:rPr>
                <w:noProof/>
              </w:rPr>
              <w:t>38</w:t>
            </w:r>
          </w:p>
        </w:tc>
        <w:tc>
          <w:tcPr>
            <w:tcW w:w="1560" w:type="dxa"/>
            <w:shd w:val="clear" w:color="auto" w:fill="C6EFCE"/>
            <w:noWrap/>
          </w:tcPr>
          <w:p w14:paraId="1CEBD439" w14:textId="33166030" w:rsidR="00F74E13" w:rsidRDefault="009274FC">
            <w:pPr>
              <w:pStyle w:val="P68B1DB1-Normal15"/>
              <w:spacing w:after="0" w:line="240" w:lineRule="auto"/>
              <w:rPr>
                <w:noProof/>
              </w:rPr>
            </w:pPr>
            <w:r>
              <w:rPr>
                <w:noProof/>
              </w:rPr>
              <w:t>C3.I1 : Programme pour les zones/parcs industriels («AttractInvestBG»)</w:t>
            </w:r>
          </w:p>
        </w:tc>
        <w:tc>
          <w:tcPr>
            <w:tcW w:w="1275" w:type="dxa"/>
            <w:shd w:val="clear" w:color="auto" w:fill="C6EFCE"/>
            <w:noWrap/>
          </w:tcPr>
          <w:p w14:paraId="1CEBD43A" w14:textId="5ED53C4D" w:rsidR="00F74E13" w:rsidRDefault="009274FC">
            <w:pPr>
              <w:pStyle w:val="P68B1DB1-Normal13"/>
              <w:spacing w:after="0" w:line="240" w:lineRule="auto"/>
              <w:jc w:val="center"/>
              <w:rPr>
                <w:noProof/>
              </w:rPr>
            </w:pPr>
            <w:r>
              <w:rPr>
                <w:noProof/>
              </w:rPr>
              <w:t>Objectif</w:t>
            </w:r>
          </w:p>
        </w:tc>
        <w:tc>
          <w:tcPr>
            <w:tcW w:w="1707" w:type="dxa"/>
            <w:shd w:val="clear" w:color="auto" w:fill="C6EFCE"/>
            <w:noWrap/>
          </w:tcPr>
          <w:p w14:paraId="1CEBD43B" w14:textId="29DDB236" w:rsidR="00F74E13" w:rsidRDefault="009274FC">
            <w:pPr>
              <w:pStyle w:val="P68B1DB1-Normal13"/>
              <w:spacing w:after="0" w:line="240" w:lineRule="auto"/>
              <w:rPr>
                <w:noProof/>
              </w:rPr>
            </w:pPr>
            <w:r>
              <w:rPr>
                <w:noProof/>
              </w:rPr>
              <w:t>Lettre(s) de confirmation pour le versement du montant de la subvention correspondant aux travaux dans les parcs/zones industriels</w:t>
            </w:r>
          </w:p>
        </w:tc>
        <w:tc>
          <w:tcPr>
            <w:tcW w:w="1417" w:type="dxa"/>
            <w:shd w:val="clear" w:color="auto" w:fill="C6EFCE"/>
            <w:noWrap/>
          </w:tcPr>
          <w:p w14:paraId="1CEBD43C" w14:textId="648E3FBB" w:rsidR="00F74E13" w:rsidRDefault="00F74E13">
            <w:pPr>
              <w:spacing w:after="0" w:line="240" w:lineRule="auto"/>
              <w:rPr>
                <w:rFonts w:ascii="Times New Roman" w:hAnsi="Times New Roman"/>
                <w:noProof/>
                <w:color w:val="006100"/>
                <w:sz w:val="20"/>
                <w:szCs w:val="20"/>
              </w:rPr>
            </w:pPr>
          </w:p>
        </w:tc>
        <w:tc>
          <w:tcPr>
            <w:tcW w:w="1276" w:type="dxa"/>
            <w:shd w:val="clear" w:color="auto" w:fill="C6EFCE"/>
            <w:noWrap/>
          </w:tcPr>
          <w:p w14:paraId="1CEBD43D" w14:textId="19FF9BB7" w:rsidR="00F74E13" w:rsidRDefault="009274FC">
            <w:pPr>
              <w:pStyle w:val="P68B1DB1-Normal13"/>
              <w:spacing w:after="0" w:line="240" w:lineRule="auto"/>
              <w:jc w:val="center"/>
              <w:rPr>
                <w:noProof/>
              </w:rPr>
            </w:pPr>
            <w:r>
              <w:rPr>
                <w:noProof/>
              </w:rPr>
              <w:t>Millions</w:t>
            </w:r>
          </w:p>
        </w:tc>
        <w:tc>
          <w:tcPr>
            <w:tcW w:w="1129" w:type="dxa"/>
            <w:shd w:val="clear" w:color="auto" w:fill="C6EFCE"/>
            <w:noWrap/>
          </w:tcPr>
          <w:p w14:paraId="1CEBD43E" w14:textId="77777777" w:rsidR="00F74E13" w:rsidRDefault="009274FC">
            <w:pPr>
              <w:pStyle w:val="P68B1DB1-Normal13"/>
              <w:spacing w:after="0" w:line="240" w:lineRule="auto"/>
              <w:jc w:val="center"/>
              <w:rPr>
                <w:noProof/>
              </w:rPr>
            </w:pPr>
            <w:r>
              <w:rPr>
                <w:noProof/>
              </w:rPr>
              <w:t>0</w:t>
            </w:r>
          </w:p>
        </w:tc>
        <w:tc>
          <w:tcPr>
            <w:tcW w:w="1134" w:type="dxa"/>
            <w:shd w:val="clear" w:color="auto" w:fill="C6EFCE"/>
            <w:noWrap/>
          </w:tcPr>
          <w:p w14:paraId="1CEBD43F" w14:textId="653A3D59" w:rsidR="00F74E13" w:rsidRDefault="009274FC">
            <w:pPr>
              <w:pStyle w:val="P68B1DB1-Normal13"/>
              <w:spacing w:after="0" w:line="240" w:lineRule="auto"/>
              <w:jc w:val="center"/>
              <w:rPr>
                <w:noProof/>
              </w:rPr>
            </w:pPr>
            <w:r>
              <w:rPr>
                <w:noProof/>
              </w:rPr>
              <w:t>98</w:t>
            </w:r>
          </w:p>
        </w:tc>
        <w:tc>
          <w:tcPr>
            <w:tcW w:w="1134" w:type="dxa"/>
            <w:shd w:val="clear" w:color="auto" w:fill="C6EFCE"/>
            <w:noWrap/>
          </w:tcPr>
          <w:p w14:paraId="1CEBD440" w14:textId="77777777" w:rsidR="00F74E13" w:rsidRDefault="009274FC">
            <w:pPr>
              <w:pStyle w:val="P68B1DB1-Normal15"/>
              <w:spacing w:after="0" w:line="240" w:lineRule="auto"/>
              <w:jc w:val="center"/>
              <w:rPr>
                <w:noProof/>
              </w:rPr>
            </w:pPr>
            <w:r>
              <w:rPr>
                <w:noProof/>
              </w:rPr>
              <w:t>T2</w:t>
            </w:r>
          </w:p>
        </w:tc>
        <w:tc>
          <w:tcPr>
            <w:tcW w:w="1134" w:type="dxa"/>
            <w:shd w:val="clear" w:color="auto" w:fill="C6EFCE"/>
            <w:noWrap/>
          </w:tcPr>
          <w:p w14:paraId="1CEBD441" w14:textId="77777777" w:rsidR="00F74E13" w:rsidRDefault="009274FC">
            <w:pPr>
              <w:pStyle w:val="P68B1DB1-Normal15"/>
              <w:spacing w:after="0" w:line="240" w:lineRule="auto"/>
              <w:jc w:val="center"/>
              <w:rPr>
                <w:noProof/>
              </w:rPr>
            </w:pPr>
            <w:r>
              <w:rPr>
                <w:noProof/>
              </w:rPr>
              <w:t>2026</w:t>
            </w:r>
          </w:p>
        </w:tc>
        <w:tc>
          <w:tcPr>
            <w:tcW w:w="3123" w:type="dxa"/>
            <w:shd w:val="clear" w:color="auto" w:fill="C6EFCE"/>
            <w:noWrap/>
            <w:vAlign w:val="center"/>
          </w:tcPr>
          <w:p w14:paraId="1CEBD442" w14:textId="3184A373" w:rsidR="00F74E13" w:rsidRDefault="009274FC">
            <w:pPr>
              <w:pStyle w:val="P68B1DB1-Normal13"/>
              <w:spacing w:after="0" w:line="240" w:lineRule="auto"/>
              <w:jc w:val="both"/>
              <w:rPr>
                <w:rFonts w:cs="Times New Roman"/>
                <w:noProof/>
              </w:rPr>
            </w:pPr>
            <w:r>
              <w:rPr>
                <w:noProof/>
              </w:rPr>
              <w:t xml:space="preserve">Lettre(s) de confirmation délivrée(s) par le ministère de l’innovation et de la croissance, conformément aux conditions générales de la (des) convention(s) de financement signée(s) entre le ministère et le(s) contractant(s), pour le décaissement de 98 millions d’EUR du montant de la subvention correspondant aux travaux réalisés dans les parcs/zones industriels situés sur l’ensemble du territoire bulgare. </w:t>
            </w:r>
          </w:p>
        </w:tc>
      </w:tr>
      <w:tr w:rsidR="00F74E13" w14:paraId="1CEBD45C" w14:textId="77777777" w:rsidTr="00711BE9">
        <w:trPr>
          <w:trHeight w:val="300"/>
          <w:jc w:val="center"/>
        </w:trPr>
        <w:tc>
          <w:tcPr>
            <w:tcW w:w="1129" w:type="dxa"/>
            <w:shd w:val="clear" w:color="auto" w:fill="C6EFCE"/>
            <w:noWrap/>
            <w:hideMark/>
          </w:tcPr>
          <w:p w14:paraId="1CEBD444" w14:textId="77777777" w:rsidR="00F74E13" w:rsidRDefault="009274FC">
            <w:pPr>
              <w:pStyle w:val="P68B1DB1-Normal13"/>
              <w:spacing w:after="0" w:line="240" w:lineRule="auto"/>
              <w:jc w:val="center"/>
              <w:rPr>
                <w:noProof/>
              </w:rPr>
            </w:pPr>
            <w:r>
              <w:rPr>
                <w:noProof/>
              </w:rPr>
              <w:t>40</w:t>
            </w:r>
          </w:p>
        </w:tc>
        <w:tc>
          <w:tcPr>
            <w:tcW w:w="1560" w:type="dxa"/>
            <w:shd w:val="clear" w:color="auto" w:fill="C6EFCE"/>
            <w:noWrap/>
            <w:hideMark/>
          </w:tcPr>
          <w:p w14:paraId="1CEBD445" w14:textId="77777777" w:rsidR="00F74E13" w:rsidRDefault="009274FC">
            <w:pPr>
              <w:pStyle w:val="P68B1DB1-Normal13"/>
              <w:spacing w:after="0" w:line="240" w:lineRule="auto"/>
              <w:rPr>
                <w:noProof/>
              </w:rPr>
            </w:pPr>
            <w:r>
              <w:rPr>
                <w:noProof/>
              </w:rPr>
              <w:t xml:space="preserve">C3.I2 : </w:t>
            </w:r>
          </w:p>
          <w:p w14:paraId="1CEBD446" w14:textId="77777777" w:rsidR="00F74E13" w:rsidRDefault="009274FC">
            <w:pPr>
              <w:pStyle w:val="P68B1DB1-Normal13"/>
              <w:spacing w:after="0" w:line="240" w:lineRule="auto"/>
              <w:rPr>
                <w:noProof/>
              </w:rPr>
            </w:pPr>
            <w:r>
              <w:rPr>
                <w:noProof/>
              </w:rPr>
              <w:t>Investissement 2.1.a Instrument de garantie pour la croissance</w:t>
            </w:r>
          </w:p>
        </w:tc>
        <w:tc>
          <w:tcPr>
            <w:tcW w:w="1275" w:type="dxa"/>
            <w:shd w:val="clear" w:color="auto" w:fill="C6EFCE"/>
            <w:noWrap/>
            <w:hideMark/>
          </w:tcPr>
          <w:p w14:paraId="1CEBD447"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hideMark/>
          </w:tcPr>
          <w:p w14:paraId="1CEBD448" w14:textId="77777777" w:rsidR="00F74E13" w:rsidRDefault="009274FC">
            <w:pPr>
              <w:pStyle w:val="P68B1DB1-Normal13"/>
              <w:spacing w:after="0" w:line="240" w:lineRule="auto"/>
              <w:rPr>
                <w:noProof/>
              </w:rPr>
            </w:pPr>
            <w:r>
              <w:rPr>
                <w:noProof/>
              </w:rPr>
              <w:t>Signature de la convention de contribution entre la Commission européenne et le gouvernement bulgare</w:t>
            </w:r>
          </w:p>
        </w:tc>
        <w:tc>
          <w:tcPr>
            <w:tcW w:w="1417" w:type="dxa"/>
            <w:shd w:val="clear" w:color="auto" w:fill="C6EFCE"/>
            <w:noWrap/>
            <w:hideMark/>
          </w:tcPr>
          <w:p w14:paraId="1CEBD449" w14:textId="77777777" w:rsidR="00F74E13" w:rsidRDefault="009274FC">
            <w:pPr>
              <w:pStyle w:val="P68B1DB1-Normal13"/>
              <w:spacing w:after="0" w:line="240" w:lineRule="auto"/>
              <w:rPr>
                <w:noProof/>
              </w:rPr>
            </w:pPr>
            <w:r>
              <w:rPr>
                <w:noProof/>
              </w:rPr>
              <w:t>Signature de l'accord</w:t>
            </w:r>
          </w:p>
        </w:tc>
        <w:tc>
          <w:tcPr>
            <w:tcW w:w="1276" w:type="dxa"/>
            <w:shd w:val="clear" w:color="auto" w:fill="C6EFCE"/>
            <w:noWrap/>
            <w:hideMark/>
          </w:tcPr>
          <w:p w14:paraId="1CEBD44A"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hideMark/>
          </w:tcPr>
          <w:p w14:paraId="1CEBD44B"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hideMark/>
          </w:tcPr>
          <w:p w14:paraId="1CEBD44C"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hideMark/>
          </w:tcPr>
          <w:p w14:paraId="1CEBD44D" w14:textId="77777777" w:rsidR="00F74E13" w:rsidRDefault="009274FC">
            <w:pPr>
              <w:pStyle w:val="P68B1DB1-Normal13"/>
              <w:spacing w:after="0" w:line="240" w:lineRule="auto"/>
              <w:jc w:val="center"/>
              <w:rPr>
                <w:noProof/>
              </w:rPr>
            </w:pPr>
            <w:r>
              <w:rPr>
                <w:noProof/>
              </w:rPr>
              <w:t>T3</w:t>
            </w:r>
          </w:p>
        </w:tc>
        <w:tc>
          <w:tcPr>
            <w:tcW w:w="1134" w:type="dxa"/>
            <w:shd w:val="clear" w:color="auto" w:fill="C6EFCE"/>
            <w:noWrap/>
            <w:hideMark/>
          </w:tcPr>
          <w:p w14:paraId="1CEBD44E"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vAlign w:val="center"/>
            <w:hideMark/>
          </w:tcPr>
          <w:p w14:paraId="1CEBD44F" w14:textId="77777777" w:rsidR="00F74E13" w:rsidRDefault="009274FC">
            <w:pPr>
              <w:pStyle w:val="P68B1DB1-Normal13"/>
              <w:spacing w:after="0" w:line="240" w:lineRule="auto"/>
              <w:jc w:val="both"/>
              <w:rPr>
                <w:noProof/>
              </w:rPr>
            </w:pPr>
            <w:r>
              <w:rPr>
                <w:noProof/>
              </w:rPr>
              <w:t>La convention de contribution entre la Commission européenne et le gouvernement bulgare:</w:t>
            </w:r>
          </w:p>
          <w:p w14:paraId="1CEBD450" w14:textId="77777777" w:rsidR="00F74E13" w:rsidRDefault="009274FC">
            <w:pPr>
              <w:pStyle w:val="P68B1DB1-Normal13"/>
              <w:numPr>
                <w:ilvl w:val="0"/>
                <w:numId w:val="14"/>
              </w:numPr>
              <w:spacing w:after="0" w:line="240" w:lineRule="auto"/>
              <w:jc w:val="both"/>
              <w:rPr>
                <w:noProof/>
              </w:rPr>
            </w:pPr>
            <w:r>
              <w:rPr>
                <w:noProof/>
              </w:rPr>
              <w:t xml:space="preserve">exiger l’application des orientations techniques de la Commission sur l’évaluation de la durabilité pour le Fonds InvestEU; </w:t>
            </w:r>
          </w:p>
          <w:p w14:paraId="1CEBD451" w14:textId="77777777" w:rsidR="00F74E13" w:rsidRDefault="009274FC">
            <w:pPr>
              <w:pStyle w:val="P68B1DB1-Normal13"/>
              <w:numPr>
                <w:ilvl w:val="0"/>
                <w:numId w:val="14"/>
              </w:numPr>
              <w:spacing w:after="0" w:line="240" w:lineRule="auto"/>
              <w:jc w:val="both"/>
              <w:rPr>
                <w:noProof/>
              </w:rPr>
            </w:pPr>
            <w:r>
              <w:rPr>
                <w:noProof/>
              </w:rPr>
              <w:t>exclure de l’éligibilité les activités et les actifs figurant sur la liste d’exclusion spécifiée dans la description de la mesure;</w:t>
            </w:r>
          </w:p>
          <w:p w14:paraId="1CEBD452" w14:textId="52677000" w:rsidR="00F74E13" w:rsidRDefault="009274FC">
            <w:pPr>
              <w:pStyle w:val="P68B1DB1-ListParagraph14"/>
              <w:numPr>
                <w:ilvl w:val="0"/>
                <w:numId w:val="14"/>
              </w:numPr>
              <w:spacing w:after="0" w:line="240" w:lineRule="auto"/>
              <w:jc w:val="both"/>
              <w:rPr>
                <w:noProof/>
              </w:rPr>
            </w:pPr>
            <w:r>
              <w:rPr>
                <w:noProof/>
              </w:rPr>
              <w:t>inclure des critères visant à garantir que l’instrument financier est conforme à la note d’orientation de la Commission du 22 janvier 2021 [SWD(2021) 12 final] relative aux instruments financiers.</w:t>
            </w:r>
          </w:p>
          <w:p w14:paraId="1CEBD454" w14:textId="77777777" w:rsidR="00F74E13" w:rsidRDefault="009274FC">
            <w:pPr>
              <w:pStyle w:val="P68B1DB1-Normal13"/>
              <w:spacing w:before="120" w:after="0" w:line="240" w:lineRule="auto"/>
              <w:jc w:val="both"/>
              <w:rPr>
                <w:noProof/>
              </w:rPr>
            </w:pPr>
            <w:r>
              <w:rPr>
                <w:noProof/>
              </w:rPr>
              <w:t>Étant donné que l’instrument proposé est mis en œuvre à la suite d’une contribution à InvestEU, les points a) et b) ci-dessus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 y compris en ce qui concerne les déchets – sont précisées dans l’accord de garantie entre la Commission européenne et le Fonds européen d’investissement (FEI).</w:t>
            </w:r>
          </w:p>
          <w:p w14:paraId="1CEBD455" w14:textId="79DA98EB" w:rsidR="00F74E13" w:rsidRDefault="009274FC">
            <w:pPr>
              <w:pStyle w:val="P68B1DB1-Normal13"/>
              <w:spacing w:after="0" w:line="240" w:lineRule="auto"/>
              <w:jc w:val="both"/>
              <w:rPr>
                <w:noProof/>
              </w:rPr>
            </w:pPr>
            <w:r>
              <w:rPr>
                <w:noProof/>
              </w:rPr>
              <w:t xml:space="preserve">L'instrument financier prend la forme d'une garantie de portefeuille, mise en œuvre par le FEI, et soutient les PME et les petites entreprises de taille intermédiaire en couvrant différents produits financiers, y compris le fonds de roulement, les lignes de crédit, les prêts à l'investissement et le crédit-bail. L’instrument financier remédie aux défaillances actuelles du marché auxquelles sont confrontées les entreprises dans l’accès au financement, en particulier les difficultés liées à la pandémie de COVID-19, en vue d’améliorer l’accès aux lignes de crédit. L’instrument devrait venir en aide à au moins 615 bénéficiaires. </w:t>
            </w:r>
          </w:p>
          <w:p w14:paraId="1CEBD457" w14:textId="77777777" w:rsidR="00F74E13" w:rsidRDefault="009274FC">
            <w:pPr>
              <w:pStyle w:val="P68B1DB1-Normal13"/>
              <w:spacing w:before="120" w:after="0" w:line="240" w:lineRule="auto"/>
              <w:jc w:val="both"/>
              <w:rPr>
                <w:noProof/>
              </w:rPr>
            </w:pPr>
            <w:r>
              <w:rPr>
                <w:noProof/>
              </w:rPr>
              <w:t xml:space="preserve">Le montant total du financement de l’instrument au titre de la FRR est d’au moins 75 millions d’EUR. </w:t>
            </w:r>
          </w:p>
          <w:p w14:paraId="1CEBD459" w14:textId="77777777" w:rsidR="00F74E13" w:rsidRDefault="009274FC">
            <w:pPr>
              <w:pStyle w:val="P68B1DB1-Normal13"/>
              <w:spacing w:before="120" w:after="0" w:line="240" w:lineRule="auto"/>
              <w:jc w:val="both"/>
              <w:rPr>
                <w:noProof/>
              </w:rPr>
            </w:pPr>
            <w:r>
              <w:rPr>
                <w:noProof/>
              </w:rPr>
              <w:t xml:space="preserve">La structure de l'instrument permet de mobiliser des fonds privés. </w:t>
            </w:r>
          </w:p>
          <w:p w14:paraId="1CEBD45B" w14:textId="77777777" w:rsidR="00F74E13" w:rsidRDefault="009274FC">
            <w:pPr>
              <w:pStyle w:val="P68B1DB1-Normal13"/>
              <w:spacing w:before="120" w:after="0" w:line="240" w:lineRule="auto"/>
              <w:jc w:val="both"/>
              <w:rPr>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F74E13" w14:paraId="1CEBD469" w14:textId="77777777" w:rsidTr="00711BE9">
        <w:trPr>
          <w:trHeight w:val="300"/>
          <w:jc w:val="center"/>
        </w:trPr>
        <w:tc>
          <w:tcPr>
            <w:tcW w:w="1129" w:type="dxa"/>
            <w:shd w:val="clear" w:color="auto" w:fill="C6EFCE"/>
            <w:noWrap/>
          </w:tcPr>
          <w:p w14:paraId="1CEBD45D" w14:textId="77777777" w:rsidR="00F74E13" w:rsidRDefault="009274FC">
            <w:pPr>
              <w:pStyle w:val="P68B1DB1-Normal12"/>
              <w:spacing w:after="0" w:line="240" w:lineRule="auto"/>
              <w:jc w:val="center"/>
              <w:rPr>
                <w:noProof/>
              </w:rPr>
            </w:pPr>
            <w:r>
              <w:rPr>
                <w:noProof/>
              </w:rPr>
              <w:t>42</w:t>
            </w:r>
          </w:p>
        </w:tc>
        <w:tc>
          <w:tcPr>
            <w:tcW w:w="1560" w:type="dxa"/>
            <w:shd w:val="clear" w:color="auto" w:fill="C6EFCE"/>
            <w:noWrap/>
          </w:tcPr>
          <w:p w14:paraId="1CEBD45E" w14:textId="77777777" w:rsidR="00F74E13" w:rsidRDefault="009274FC">
            <w:pPr>
              <w:pStyle w:val="P68B1DB1-Normal15"/>
              <w:spacing w:after="0" w:line="240" w:lineRule="auto"/>
              <w:rPr>
                <w:noProof/>
              </w:rPr>
            </w:pPr>
            <w:r>
              <w:rPr>
                <w:noProof/>
              </w:rPr>
              <w:t xml:space="preserve">C3.I2 : </w:t>
            </w:r>
          </w:p>
          <w:p w14:paraId="1CEBD45F" w14:textId="77777777" w:rsidR="00F74E13" w:rsidRDefault="009274FC">
            <w:pPr>
              <w:pStyle w:val="P68B1DB1-Normal15"/>
              <w:spacing w:after="0" w:line="240" w:lineRule="auto"/>
              <w:rPr>
                <w:noProof/>
              </w:rPr>
            </w:pPr>
            <w:r>
              <w:rPr>
                <w:noProof/>
              </w:rPr>
              <w:t>Investissement 2.1.a Instrument de garantie pour la croissance</w:t>
            </w:r>
          </w:p>
        </w:tc>
        <w:tc>
          <w:tcPr>
            <w:tcW w:w="1275" w:type="dxa"/>
            <w:shd w:val="clear" w:color="auto" w:fill="C6EFCE"/>
            <w:noWrap/>
          </w:tcPr>
          <w:p w14:paraId="1CEBD460"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461" w14:textId="77777777" w:rsidR="00F74E13" w:rsidRDefault="009274FC">
            <w:pPr>
              <w:pStyle w:val="P68B1DB1-Normal15"/>
              <w:spacing w:after="0" w:line="240" w:lineRule="auto"/>
              <w:rPr>
                <w:noProof/>
              </w:rPr>
            </w:pPr>
            <w:r>
              <w:rPr>
                <w:noProof/>
              </w:rPr>
              <w:t>Opérations approuvées par le comité d’investissement InvestEU</w:t>
            </w:r>
          </w:p>
        </w:tc>
        <w:tc>
          <w:tcPr>
            <w:tcW w:w="1417" w:type="dxa"/>
            <w:shd w:val="clear" w:color="auto" w:fill="C6EFCE"/>
            <w:noWrap/>
          </w:tcPr>
          <w:p w14:paraId="1CEBD462"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463" w14:textId="77777777" w:rsidR="00F74E13" w:rsidRDefault="009274FC">
            <w:pPr>
              <w:pStyle w:val="P68B1DB1-Normal15"/>
              <w:spacing w:after="0" w:line="240" w:lineRule="auto"/>
              <w:jc w:val="center"/>
              <w:rPr>
                <w:noProof/>
              </w:rPr>
            </w:pPr>
            <w:r>
              <w:rPr>
                <w:noProof/>
              </w:rPr>
              <w:t>% (pourcentage)</w:t>
            </w:r>
          </w:p>
        </w:tc>
        <w:tc>
          <w:tcPr>
            <w:tcW w:w="1129" w:type="dxa"/>
            <w:shd w:val="clear" w:color="auto" w:fill="C6EFCE"/>
            <w:noWrap/>
          </w:tcPr>
          <w:p w14:paraId="1CEBD464"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465" w14:textId="77777777" w:rsidR="00F74E13" w:rsidRDefault="009274FC">
            <w:pPr>
              <w:pStyle w:val="P68B1DB1-Normal12"/>
              <w:spacing w:after="0" w:line="240" w:lineRule="auto"/>
              <w:jc w:val="center"/>
              <w:rPr>
                <w:noProof/>
              </w:rPr>
            </w:pPr>
            <w:r>
              <w:rPr>
                <w:noProof/>
              </w:rPr>
              <w:t>100</w:t>
            </w:r>
          </w:p>
        </w:tc>
        <w:tc>
          <w:tcPr>
            <w:tcW w:w="1134" w:type="dxa"/>
            <w:shd w:val="clear" w:color="auto" w:fill="C6EFCE"/>
            <w:noWrap/>
          </w:tcPr>
          <w:p w14:paraId="1CEBD466" w14:textId="77777777" w:rsidR="00F74E13" w:rsidRDefault="009274FC">
            <w:pPr>
              <w:pStyle w:val="P68B1DB1-Normal12"/>
              <w:spacing w:after="0" w:line="240" w:lineRule="auto"/>
              <w:jc w:val="center"/>
              <w:rPr>
                <w:noProof/>
              </w:rPr>
            </w:pPr>
            <w:r>
              <w:rPr>
                <w:noProof/>
              </w:rPr>
              <w:t>T2</w:t>
            </w:r>
          </w:p>
        </w:tc>
        <w:tc>
          <w:tcPr>
            <w:tcW w:w="1134" w:type="dxa"/>
            <w:shd w:val="clear" w:color="auto" w:fill="C6EFCE"/>
            <w:noWrap/>
          </w:tcPr>
          <w:p w14:paraId="1CEBD467" w14:textId="77777777" w:rsidR="00F74E13" w:rsidRDefault="009274FC">
            <w:pPr>
              <w:pStyle w:val="P68B1DB1-Normal15"/>
              <w:spacing w:after="0" w:line="240" w:lineRule="auto"/>
              <w:jc w:val="center"/>
              <w:rPr>
                <w:noProof/>
              </w:rPr>
            </w:pPr>
            <w:r>
              <w:rPr>
                <w:noProof/>
              </w:rPr>
              <w:t>2025</w:t>
            </w:r>
          </w:p>
        </w:tc>
        <w:tc>
          <w:tcPr>
            <w:tcW w:w="3123" w:type="dxa"/>
            <w:shd w:val="clear" w:color="auto" w:fill="C6EFCE"/>
            <w:noWrap/>
            <w:vAlign w:val="center"/>
          </w:tcPr>
          <w:p w14:paraId="1CEBD468" w14:textId="77777777" w:rsidR="00F74E13" w:rsidRDefault="009274FC">
            <w:pPr>
              <w:pStyle w:val="P68B1DB1-Normal13"/>
              <w:spacing w:after="0" w:line="240" w:lineRule="auto"/>
              <w:jc w:val="both"/>
              <w:rPr>
                <w:noProof/>
              </w:rPr>
            </w:pPr>
            <w:r>
              <w:rPr>
                <w:noProof/>
              </w:rPr>
              <w:t xml:space="preserve">Opérations représentant 100 % de la garantie de l’Union au titre du compartiment «Bulgarie», à l’exclusion des coûts et frais connexes, approuvées par le comité d’investissement InvestEU sur la base de la convention de contribution signée entre la Commission européenne et le gouvernement bulgare visée au jalon 40. </w:t>
            </w:r>
          </w:p>
        </w:tc>
      </w:tr>
      <w:tr w:rsidR="00F74E13" w14:paraId="1CEBD478" w14:textId="77777777" w:rsidTr="00711BE9">
        <w:trPr>
          <w:trHeight w:val="300"/>
          <w:jc w:val="center"/>
        </w:trPr>
        <w:tc>
          <w:tcPr>
            <w:tcW w:w="1129" w:type="dxa"/>
            <w:shd w:val="clear" w:color="auto" w:fill="C6EFCE"/>
            <w:noWrap/>
          </w:tcPr>
          <w:p w14:paraId="1CEBD46A" w14:textId="77777777" w:rsidR="00F74E13" w:rsidRDefault="009274FC">
            <w:pPr>
              <w:pStyle w:val="P68B1DB1-Normal12"/>
              <w:spacing w:line="240" w:lineRule="auto"/>
              <w:jc w:val="center"/>
              <w:rPr>
                <w:noProof/>
              </w:rPr>
            </w:pPr>
            <w:r>
              <w:rPr>
                <w:noProof/>
              </w:rPr>
              <w:t>42 bis</w:t>
            </w:r>
          </w:p>
        </w:tc>
        <w:tc>
          <w:tcPr>
            <w:tcW w:w="1560" w:type="dxa"/>
            <w:shd w:val="clear" w:color="auto" w:fill="C6EFCE"/>
            <w:noWrap/>
          </w:tcPr>
          <w:p w14:paraId="1CEBD46B" w14:textId="77777777" w:rsidR="00F74E13" w:rsidRDefault="009274FC">
            <w:pPr>
              <w:pStyle w:val="P68B1DB1-Normal15"/>
              <w:spacing w:after="0" w:line="240" w:lineRule="auto"/>
              <w:rPr>
                <w:noProof/>
              </w:rPr>
            </w:pPr>
            <w:r>
              <w:rPr>
                <w:noProof/>
              </w:rPr>
              <w:t xml:space="preserve">C3.I2 : </w:t>
            </w:r>
          </w:p>
          <w:p w14:paraId="1CEBD46C" w14:textId="77777777" w:rsidR="00F74E13" w:rsidRDefault="009274FC">
            <w:pPr>
              <w:pStyle w:val="P68B1DB1-Normal15"/>
              <w:spacing w:after="0" w:line="240" w:lineRule="auto"/>
              <w:rPr>
                <w:rFonts w:cs="Times New Roman"/>
                <w:noProof/>
                <w:szCs w:val="20"/>
              </w:rPr>
            </w:pPr>
            <w:r>
              <w:rPr>
                <w:noProof/>
              </w:rPr>
              <w:t>Investissement 2.1.a Instrument de garantie pour la croissance</w:t>
            </w:r>
          </w:p>
        </w:tc>
        <w:tc>
          <w:tcPr>
            <w:tcW w:w="1275" w:type="dxa"/>
            <w:shd w:val="clear" w:color="auto" w:fill="C6EFCE"/>
            <w:noWrap/>
          </w:tcPr>
          <w:p w14:paraId="1CEBD46D" w14:textId="77777777" w:rsidR="00F74E13" w:rsidRDefault="009274FC">
            <w:pPr>
              <w:pStyle w:val="P68B1DB1-Normal15"/>
              <w:spacing w:line="240" w:lineRule="auto"/>
              <w:jc w:val="center"/>
              <w:rPr>
                <w:noProof/>
              </w:rPr>
            </w:pPr>
            <w:r>
              <w:rPr>
                <w:noProof/>
              </w:rPr>
              <w:t>Objectif</w:t>
            </w:r>
          </w:p>
        </w:tc>
        <w:tc>
          <w:tcPr>
            <w:tcW w:w="1707" w:type="dxa"/>
            <w:shd w:val="clear" w:color="auto" w:fill="C6EFCE"/>
            <w:noWrap/>
          </w:tcPr>
          <w:p w14:paraId="1CEBD46E" w14:textId="77777777" w:rsidR="00F74E13" w:rsidRDefault="009274FC">
            <w:pPr>
              <w:pStyle w:val="P68B1DB1-Normal15"/>
              <w:spacing w:after="0" w:line="240" w:lineRule="auto"/>
              <w:rPr>
                <w:rFonts w:cs="Times New Roman"/>
                <w:noProof/>
                <w:szCs w:val="20"/>
              </w:rPr>
            </w:pPr>
            <w:r>
              <w:rPr>
                <w:noProof/>
              </w:rPr>
              <w:t>Opérations approuvées par le comité d’investissement InvestEU</w:t>
            </w:r>
          </w:p>
          <w:p w14:paraId="1CEBD46F" w14:textId="77777777" w:rsidR="00F74E13" w:rsidRDefault="00F74E13">
            <w:pPr>
              <w:spacing w:line="240" w:lineRule="auto"/>
              <w:rPr>
                <w:rFonts w:ascii="Times New Roman" w:hAnsi="Times New Roman"/>
                <w:noProof/>
                <w:color w:val="006100"/>
                <w:sz w:val="20"/>
              </w:rPr>
            </w:pPr>
          </w:p>
        </w:tc>
        <w:tc>
          <w:tcPr>
            <w:tcW w:w="1417" w:type="dxa"/>
            <w:shd w:val="clear" w:color="auto" w:fill="C6EFCE"/>
            <w:noWrap/>
          </w:tcPr>
          <w:p w14:paraId="1CEBD470" w14:textId="77777777" w:rsidR="00F74E13" w:rsidRDefault="00F74E13">
            <w:pPr>
              <w:spacing w:line="240" w:lineRule="auto"/>
              <w:rPr>
                <w:rFonts w:ascii="Times New Roman" w:hAnsi="Times New Roman"/>
                <w:noProof/>
                <w:color w:val="006100"/>
                <w:sz w:val="20"/>
              </w:rPr>
            </w:pPr>
          </w:p>
        </w:tc>
        <w:tc>
          <w:tcPr>
            <w:tcW w:w="1276" w:type="dxa"/>
            <w:shd w:val="clear" w:color="auto" w:fill="C6EFCE"/>
            <w:noWrap/>
          </w:tcPr>
          <w:p w14:paraId="1CEBD472" w14:textId="42C96562" w:rsidR="00F74E13" w:rsidRDefault="009274FC">
            <w:pPr>
              <w:pStyle w:val="P68B1DB1-Normal15"/>
              <w:spacing w:after="0" w:line="240" w:lineRule="auto"/>
              <w:jc w:val="center"/>
              <w:rPr>
                <w:noProof/>
              </w:rPr>
            </w:pPr>
            <w:r>
              <w:rPr>
                <w:noProof/>
              </w:rPr>
              <w:t>% (pourcentage)</w:t>
            </w:r>
          </w:p>
        </w:tc>
        <w:tc>
          <w:tcPr>
            <w:tcW w:w="1129" w:type="dxa"/>
            <w:shd w:val="clear" w:color="auto" w:fill="C6EFCE"/>
            <w:noWrap/>
          </w:tcPr>
          <w:p w14:paraId="1CEBD473" w14:textId="77777777" w:rsidR="00F74E13" w:rsidRDefault="009274FC">
            <w:pPr>
              <w:pStyle w:val="P68B1DB1-Normal12"/>
              <w:spacing w:line="240" w:lineRule="auto"/>
              <w:jc w:val="center"/>
              <w:rPr>
                <w:noProof/>
              </w:rPr>
            </w:pPr>
            <w:r>
              <w:rPr>
                <w:noProof/>
              </w:rPr>
              <w:t>0</w:t>
            </w:r>
          </w:p>
        </w:tc>
        <w:tc>
          <w:tcPr>
            <w:tcW w:w="1134" w:type="dxa"/>
            <w:shd w:val="clear" w:color="auto" w:fill="C6EFCE"/>
            <w:noWrap/>
          </w:tcPr>
          <w:p w14:paraId="1CEBD474" w14:textId="77777777" w:rsidR="00F74E13" w:rsidRDefault="009274FC">
            <w:pPr>
              <w:pStyle w:val="P68B1DB1-Normal15"/>
              <w:spacing w:line="240" w:lineRule="auto"/>
              <w:jc w:val="center"/>
              <w:rPr>
                <w:noProof/>
              </w:rPr>
            </w:pPr>
            <w:r>
              <w:rPr>
                <w:noProof/>
              </w:rPr>
              <w:t>100</w:t>
            </w:r>
          </w:p>
        </w:tc>
        <w:tc>
          <w:tcPr>
            <w:tcW w:w="1134" w:type="dxa"/>
            <w:shd w:val="clear" w:color="auto" w:fill="C6EFCE"/>
            <w:noWrap/>
          </w:tcPr>
          <w:p w14:paraId="1CEBD475" w14:textId="77777777" w:rsidR="00F74E13" w:rsidRDefault="009274FC">
            <w:pPr>
              <w:pStyle w:val="P68B1DB1-Normal12"/>
              <w:spacing w:line="240" w:lineRule="auto"/>
              <w:jc w:val="center"/>
              <w:rPr>
                <w:noProof/>
              </w:rPr>
            </w:pPr>
            <w:r>
              <w:rPr>
                <w:noProof/>
              </w:rPr>
              <w:t>T2</w:t>
            </w:r>
          </w:p>
        </w:tc>
        <w:tc>
          <w:tcPr>
            <w:tcW w:w="1134" w:type="dxa"/>
            <w:shd w:val="clear" w:color="auto" w:fill="C6EFCE"/>
            <w:noWrap/>
          </w:tcPr>
          <w:p w14:paraId="1CEBD476" w14:textId="77777777" w:rsidR="00F74E13" w:rsidRDefault="009274FC">
            <w:pPr>
              <w:pStyle w:val="P68B1DB1-Normal15"/>
              <w:spacing w:line="240" w:lineRule="auto"/>
              <w:jc w:val="center"/>
              <w:rPr>
                <w:noProof/>
              </w:rPr>
            </w:pPr>
            <w:r>
              <w:rPr>
                <w:noProof/>
              </w:rPr>
              <w:t>2026</w:t>
            </w:r>
          </w:p>
        </w:tc>
        <w:tc>
          <w:tcPr>
            <w:tcW w:w="3123" w:type="dxa"/>
            <w:shd w:val="clear" w:color="auto" w:fill="C6EFCE"/>
            <w:noWrap/>
          </w:tcPr>
          <w:p w14:paraId="1CEBD477" w14:textId="77777777" w:rsidR="00F74E13" w:rsidRDefault="009274FC">
            <w:pPr>
              <w:pStyle w:val="P68B1DB1-Normal22"/>
              <w:spacing w:line="240" w:lineRule="auto"/>
              <w:jc w:val="both"/>
              <w:rPr>
                <w:rFonts w:ascii="Times New Roman" w:hAnsi="Times New Roman"/>
                <w:noProof/>
              </w:rPr>
            </w:pPr>
            <w:r>
              <w:rPr>
                <w:rFonts w:ascii="Times New Roman" w:hAnsi="Times New Roman" w:cs="Times New Roman"/>
                <w:noProof/>
                <w:szCs w:val="20"/>
              </w:rPr>
              <w:t>Opérations</w:t>
            </w:r>
            <w:r>
              <w:rPr>
                <w:rFonts w:ascii="Times New Roman" w:hAnsi="Times New Roman"/>
                <w:noProof/>
              </w:rPr>
              <w:t xml:space="preserve"> représentant 100 % de la garantie de l’Union au titre du compartiment «Bulgarie», à l’exclusion </w:t>
            </w:r>
            <w:r>
              <w:rPr>
                <w:rFonts w:ascii="Times New Roman" w:hAnsi="Times New Roman" w:cs="Times New Roman"/>
                <w:noProof/>
                <w:szCs w:val="20"/>
              </w:rPr>
              <w:t xml:space="preserve">des coûts et frais connexes, </w:t>
            </w:r>
            <w:r>
              <w:rPr>
                <w:rFonts w:ascii="Times New Roman" w:hAnsi="Times New Roman"/>
                <w:noProof/>
              </w:rPr>
              <w:t xml:space="preserve"> approuvées par le comité d’investissement InvestEU</w:t>
            </w:r>
            <w:r>
              <w:rPr>
                <w:rFonts w:ascii="Times New Roman" w:hAnsi="Times New Roman" w:cs="Times New Roman"/>
                <w:noProof/>
                <w:szCs w:val="20"/>
              </w:rPr>
              <w:t xml:space="preserve"> sur la base de la convention de contribution complémentaire.</w:t>
            </w:r>
          </w:p>
        </w:tc>
      </w:tr>
      <w:tr w:rsidR="00F74E13" w14:paraId="1CEBD494" w14:textId="77777777" w:rsidTr="00711BE9">
        <w:trPr>
          <w:trHeight w:val="300"/>
          <w:jc w:val="center"/>
        </w:trPr>
        <w:tc>
          <w:tcPr>
            <w:tcW w:w="1129" w:type="dxa"/>
            <w:shd w:val="clear" w:color="auto" w:fill="C6EFCE"/>
            <w:noWrap/>
          </w:tcPr>
          <w:p w14:paraId="1CEBD479" w14:textId="77777777" w:rsidR="00F74E13" w:rsidRDefault="009274FC">
            <w:pPr>
              <w:pStyle w:val="P68B1DB1-Normal13"/>
              <w:spacing w:after="0" w:line="240" w:lineRule="auto"/>
              <w:jc w:val="center"/>
              <w:rPr>
                <w:noProof/>
              </w:rPr>
            </w:pPr>
            <w:r>
              <w:rPr>
                <w:noProof/>
              </w:rPr>
              <w:t>43</w:t>
            </w:r>
          </w:p>
        </w:tc>
        <w:tc>
          <w:tcPr>
            <w:tcW w:w="1560" w:type="dxa"/>
            <w:shd w:val="clear" w:color="auto" w:fill="C6EFCE"/>
            <w:noWrap/>
          </w:tcPr>
          <w:p w14:paraId="1CEBD47A" w14:textId="77777777" w:rsidR="00F74E13" w:rsidRDefault="009274FC">
            <w:pPr>
              <w:pStyle w:val="P68B1DB1-Normal13"/>
              <w:spacing w:after="0" w:line="240" w:lineRule="auto"/>
              <w:rPr>
                <w:noProof/>
              </w:rPr>
            </w:pPr>
            <w:r>
              <w:rPr>
                <w:noProof/>
              </w:rPr>
              <w:t xml:space="preserve">C3.I2 : </w:t>
            </w:r>
          </w:p>
          <w:p w14:paraId="1CEBD47B" w14:textId="77777777" w:rsidR="00F74E13" w:rsidRDefault="009274FC">
            <w:pPr>
              <w:pStyle w:val="P68B1DB1-Normal13"/>
              <w:spacing w:after="0" w:line="240" w:lineRule="auto"/>
              <w:rPr>
                <w:noProof/>
              </w:rPr>
            </w:pPr>
            <w:r>
              <w:rPr>
                <w:noProof/>
              </w:rPr>
              <w:t>Investissement 2.1.b Instruments de fonds propres pour la croissance</w:t>
            </w:r>
          </w:p>
        </w:tc>
        <w:tc>
          <w:tcPr>
            <w:tcW w:w="1275" w:type="dxa"/>
            <w:shd w:val="clear" w:color="auto" w:fill="C6EFCE"/>
            <w:noWrap/>
          </w:tcPr>
          <w:p w14:paraId="1CEBD47C"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47D" w14:textId="77777777" w:rsidR="00F74E13" w:rsidRDefault="009274FC">
            <w:pPr>
              <w:pStyle w:val="P68B1DB1-Normal13"/>
              <w:spacing w:after="0" w:line="240" w:lineRule="auto"/>
              <w:rPr>
                <w:noProof/>
              </w:rPr>
            </w:pPr>
            <w:r>
              <w:rPr>
                <w:noProof/>
              </w:rPr>
              <w:t>Signature de la convention de financement entre le Fonds européen d'investissement et le gouvernement bulgare</w:t>
            </w:r>
          </w:p>
        </w:tc>
        <w:tc>
          <w:tcPr>
            <w:tcW w:w="1417" w:type="dxa"/>
            <w:shd w:val="clear" w:color="auto" w:fill="C6EFCE"/>
            <w:noWrap/>
          </w:tcPr>
          <w:p w14:paraId="1CEBD47E" w14:textId="77777777" w:rsidR="00F74E13" w:rsidRDefault="009274FC">
            <w:pPr>
              <w:pStyle w:val="P68B1DB1-Normal13"/>
              <w:spacing w:after="0" w:line="240" w:lineRule="auto"/>
              <w:rPr>
                <w:noProof/>
              </w:rPr>
            </w:pPr>
            <w:r>
              <w:rPr>
                <w:noProof/>
              </w:rPr>
              <w:t>Signature de l'accord et adoption de la politique d'investissement</w:t>
            </w:r>
          </w:p>
        </w:tc>
        <w:tc>
          <w:tcPr>
            <w:tcW w:w="1276" w:type="dxa"/>
            <w:shd w:val="clear" w:color="auto" w:fill="C6EFCE"/>
            <w:noWrap/>
          </w:tcPr>
          <w:p w14:paraId="1CEBD47F"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480"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81"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82" w14:textId="77777777" w:rsidR="00F74E13" w:rsidRDefault="009274FC">
            <w:pPr>
              <w:pStyle w:val="P68B1DB1-Normal13"/>
              <w:spacing w:after="0" w:line="240" w:lineRule="auto"/>
              <w:jc w:val="center"/>
              <w:rPr>
                <w:noProof/>
              </w:rPr>
            </w:pPr>
            <w:r>
              <w:rPr>
                <w:noProof/>
              </w:rPr>
              <w:t>T3</w:t>
            </w:r>
          </w:p>
        </w:tc>
        <w:tc>
          <w:tcPr>
            <w:tcW w:w="1134" w:type="dxa"/>
            <w:shd w:val="clear" w:color="auto" w:fill="C6EFCE"/>
            <w:noWrap/>
          </w:tcPr>
          <w:p w14:paraId="1CEBD483"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vAlign w:val="center"/>
          </w:tcPr>
          <w:p w14:paraId="1CEBD484" w14:textId="77777777" w:rsidR="00F74E13" w:rsidRDefault="009274FC">
            <w:pPr>
              <w:pStyle w:val="P68B1DB1-Normal13"/>
              <w:spacing w:after="0" w:line="240" w:lineRule="auto"/>
              <w:jc w:val="both"/>
              <w:rPr>
                <w:noProof/>
              </w:rPr>
            </w:pPr>
            <w:r>
              <w:rPr>
                <w:noProof/>
              </w:rPr>
              <w:t xml:space="preserve">La convention de financement entre le Fonds européen d'investissement et le gouvernement bulgare et l'adoption de la politique d'investissement du Fonds. </w:t>
            </w:r>
          </w:p>
          <w:p w14:paraId="1CEBD486" w14:textId="77777777" w:rsidR="00F74E13" w:rsidRDefault="009274FC">
            <w:pPr>
              <w:pStyle w:val="P68B1DB1-Normal13"/>
              <w:spacing w:before="120" w:after="0" w:line="240" w:lineRule="auto"/>
              <w:jc w:val="both"/>
              <w:rPr>
                <w:noProof/>
              </w:rPr>
            </w:pPr>
            <w:r>
              <w:rPr>
                <w:noProof/>
              </w:rPr>
              <w:t>La politique d'investissement:</w:t>
            </w:r>
          </w:p>
          <w:p w14:paraId="1CEBD487" w14:textId="77777777" w:rsidR="00F74E13" w:rsidRDefault="009274FC">
            <w:pPr>
              <w:pStyle w:val="P68B1DB1-ListParagraph14"/>
              <w:numPr>
                <w:ilvl w:val="0"/>
                <w:numId w:val="15"/>
              </w:numPr>
              <w:spacing w:after="0" w:line="240" w:lineRule="auto"/>
              <w:jc w:val="both"/>
              <w:rPr>
                <w:noProof/>
              </w:rPr>
            </w:pPr>
            <w:r>
              <w:rPr>
                <w:noProof/>
              </w:rPr>
              <w:t>être adoptées par les organes directeurs de l'instrument financier;</w:t>
            </w:r>
          </w:p>
          <w:p w14:paraId="1CEBD488" w14:textId="6E867404" w:rsidR="00F74E13" w:rsidRDefault="009274FC">
            <w:pPr>
              <w:pStyle w:val="P68B1DB1-ListParagraph14"/>
              <w:numPr>
                <w:ilvl w:val="0"/>
                <w:numId w:val="15"/>
              </w:numPr>
              <w:spacing w:after="0" w:line="240" w:lineRule="auto"/>
              <w:jc w:val="both"/>
              <w:rPr>
                <w:noProof/>
              </w:rPr>
            </w:pPr>
            <w:r>
              <w:rPr>
                <w:noProof/>
              </w:rPr>
              <w:t>être conforme à la note d’orientation de la Commission du 22 janvier 2021 [SWD(2021) 12 final] relative aux instruments financiers;</w:t>
            </w:r>
          </w:p>
          <w:p w14:paraId="1CEBD489" w14:textId="77777777" w:rsidR="00F74E13" w:rsidRDefault="009274FC">
            <w:pPr>
              <w:pStyle w:val="P68B1DB1-ListParagraph14"/>
              <w:numPr>
                <w:ilvl w:val="0"/>
                <w:numId w:val="15"/>
              </w:numPr>
              <w:spacing w:after="0" w:line="240" w:lineRule="auto"/>
              <w:jc w:val="both"/>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175C6D3B" w14:textId="77777777" w:rsidR="00F74E13" w:rsidRDefault="009274FC">
            <w:pPr>
              <w:pStyle w:val="P68B1DB1-ListParagraph14"/>
              <w:numPr>
                <w:ilvl w:val="0"/>
                <w:numId w:val="93"/>
              </w:numPr>
              <w:spacing w:after="0" w:line="240" w:lineRule="auto"/>
              <w:jc w:val="both"/>
              <w:rPr>
                <w:noProof/>
              </w:rPr>
            </w:pPr>
            <w:r>
              <w:rPr>
                <w:noProof/>
              </w:rPr>
              <w:t>par le recours à l’évaluation de la durabilité;</w:t>
            </w:r>
          </w:p>
          <w:p w14:paraId="1CEBD48B" w14:textId="3C39FAEF" w:rsidR="00F74E13" w:rsidRDefault="009274FC">
            <w:pPr>
              <w:pStyle w:val="P68B1DB1-ListParagraph16"/>
              <w:numPr>
                <w:ilvl w:val="0"/>
                <w:numId w:val="93"/>
              </w:numPr>
              <w:spacing w:after="0" w:line="240" w:lineRule="auto"/>
              <w:jc w:val="both"/>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et iii) les activités liées aux décharges de déchets, aux incinérateurs et aux usines de traitement biologique mécanique.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en exigeant du FEI qu’il vérifie la conformité juridique avec la législation environnementale pertinente de l’UE et des États membres du bénéficiaire pour toutes les transactions, y compris celles exemptées de l’évaluation de la durabilité.</w:t>
            </w:r>
          </w:p>
          <w:p w14:paraId="1CEBD48D" w14:textId="77777777" w:rsidR="00F74E13" w:rsidRDefault="009274FC">
            <w:pPr>
              <w:pStyle w:val="P68B1DB1-Normal13"/>
              <w:spacing w:before="120" w:after="0" w:line="240" w:lineRule="auto"/>
              <w:jc w:val="both"/>
              <w:rPr>
                <w:noProof/>
              </w:rPr>
            </w:pPr>
            <w:r>
              <w:rPr>
                <w:noProof/>
              </w:rPr>
              <w:t xml:space="preserve">Le Fonds fournit un soutien sous forme d’instruments financiers (fonds propres) aux PME et aux entreprises à moyenne capitalisation, y compris les jeunes pousses et les entreprises en phase de croissance précoce. L'aide est fournie par l'intermédiaire de fonds de capital-risque et de fonds de capital-investissement. La gestion du Fonds est confiée au FEI. Un accord de financement spécifique au titre de la FRR est signé entre le FEI et le gouvernement bulgare pour la gestion des opérations soutenues par des fonds propres au titre de la FRR. Un comité d'investissement est chargé d'approuver les opérations avec des intermédiaires proposées par le gestionnaire de fonds (FEI) sur la base des besoins du marché et d'une manière ouverte et conforme au marché. L’instrument devrait venir en aide à au moins 24 bénéficiaires. </w:t>
            </w:r>
          </w:p>
          <w:p w14:paraId="1CEBD48F" w14:textId="77777777" w:rsidR="00F74E13" w:rsidRDefault="009274FC">
            <w:pPr>
              <w:pStyle w:val="P68B1DB1-Normal13"/>
              <w:spacing w:before="120" w:after="0" w:line="240" w:lineRule="auto"/>
              <w:jc w:val="both"/>
              <w:rPr>
                <w:noProof/>
              </w:rPr>
            </w:pPr>
            <w:r>
              <w:rPr>
                <w:noProof/>
              </w:rPr>
              <w:t>Le montant total du financement au titre de la FRR s’élève à 75 millions d’EUR.</w:t>
            </w:r>
          </w:p>
          <w:p w14:paraId="1CEBD491" w14:textId="77777777" w:rsidR="00F74E13" w:rsidRDefault="009274FC">
            <w:pPr>
              <w:pStyle w:val="P68B1DB1-Normal13"/>
              <w:spacing w:before="120" w:after="0" w:line="240" w:lineRule="auto"/>
              <w:jc w:val="both"/>
              <w:rPr>
                <w:noProof/>
              </w:rPr>
            </w:pPr>
            <w:r>
              <w:rPr>
                <w:noProof/>
              </w:rPr>
              <w:t xml:space="preserve">La structure du Fonds mobilise des fonds privés. </w:t>
            </w:r>
          </w:p>
          <w:p w14:paraId="1CEBD493" w14:textId="77777777" w:rsidR="00F74E13" w:rsidRDefault="009274FC">
            <w:pPr>
              <w:pStyle w:val="P68B1DB1-Normal13"/>
              <w:spacing w:before="120" w:after="0" w:line="240" w:lineRule="auto"/>
              <w:jc w:val="both"/>
              <w:rPr>
                <w:noProof/>
              </w:rPr>
            </w:pPr>
            <w:r>
              <w:rPr>
                <w:noProof/>
              </w:rPr>
              <w:t>Tous les rendements du Fonds ou des instruments financiers, y compris les remboursements, ainsi que les bénéfices obtenus grâce à l’utilisation des fonds de la FRR, moins la rémunération du gestionnaire du fonds et des intermédiaires financiers, sont utilisés pour les mêmes objectifs stratégiques, y compris après 2026.</w:t>
            </w:r>
          </w:p>
        </w:tc>
      </w:tr>
      <w:tr w:rsidR="00F74E13" w14:paraId="1CEBD4A2" w14:textId="77777777" w:rsidTr="00711BE9">
        <w:trPr>
          <w:trHeight w:val="300"/>
          <w:jc w:val="center"/>
        </w:trPr>
        <w:tc>
          <w:tcPr>
            <w:tcW w:w="1129" w:type="dxa"/>
            <w:shd w:val="clear" w:color="auto" w:fill="C6EFCE"/>
            <w:noWrap/>
          </w:tcPr>
          <w:p w14:paraId="1CEBD495" w14:textId="77777777" w:rsidR="00F74E13" w:rsidRDefault="009274FC">
            <w:pPr>
              <w:pStyle w:val="P68B1DB1-Normal15"/>
              <w:spacing w:after="0" w:line="240" w:lineRule="auto"/>
              <w:jc w:val="center"/>
              <w:rPr>
                <w:noProof/>
              </w:rPr>
            </w:pPr>
            <w:r>
              <w:rPr>
                <w:noProof/>
              </w:rPr>
              <w:t>45</w:t>
            </w:r>
          </w:p>
        </w:tc>
        <w:tc>
          <w:tcPr>
            <w:tcW w:w="1560" w:type="dxa"/>
            <w:shd w:val="clear" w:color="auto" w:fill="C6EFCE"/>
            <w:noWrap/>
          </w:tcPr>
          <w:p w14:paraId="1CEBD496" w14:textId="77777777" w:rsidR="00F74E13" w:rsidRDefault="009274FC">
            <w:pPr>
              <w:pStyle w:val="P68B1DB1-Normal15"/>
              <w:spacing w:after="0" w:line="240" w:lineRule="auto"/>
              <w:rPr>
                <w:noProof/>
              </w:rPr>
            </w:pPr>
            <w:r>
              <w:rPr>
                <w:noProof/>
              </w:rPr>
              <w:t xml:space="preserve">C3.I2 : </w:t>
            </w:r>
          </w:p>
          <w:p w14:paraId="1CEBD497" w14:textId="77777777" w:rsidR="00F74E13" w:rsidRDefault="009274FC">
            <w:pPr>
              <w:pStyle w:val="P68B1DB1-Normal15"/>
              <w:spacing w:after="0" w:line="240" w:lineRule="auto"/>
              <w:rPr>
                <w:noProof/>
              </w:rPr>
            </w:pPr>
            <w:r>
              <w:rPr>
                <w:noProof/>
              </w:rPr>
              <w:t xml:space="preserve">Investissement 2.1.b Instruments de fonds propres pour la croissance </w:t>
            </w:r>
          </w:p>
        </w:tc>
        <w:tc>
          <w:tcPr>
            <w:tcW w:w="1275" w:type="dxa"/>
            <w:shd w:val="clear" w:color="auto" w:fill="C6EFCE"/>
            <w:noWrap/>
          </w:tcPr>
          <w:p w14:paraId="1CEBD498"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499" w14:textId="77777777" w:rsidR="00F74E13" w:rsidRDefault="009274FC">
            <w:pPr>
              <w:pStyle w:val="P68B1DB1-Normal15"/>
              <w:spacing w:after="0" w:line="240" w:lineRule="auto"/>
              <w:rPr>
                <w:noProof/>
              </w:rPr>
            </w:pPr>
            <w:r>
              <w:rPr>
                <w:noProof/>
              </w:rPr>
              <w:t>Opérations approuvées par le Comité d'investissement</w:t>
            </w:r>
          </w:p>
        </w:tc>
        <w:tc>
          <w:tcPr>
            <w:tcW w:w="1417" w:type="dxa"/>
            <w:shd w:val="clear" w:color="auto" w:fill="C6EFCE"/>
            <w:noWrap/>
          </w:tcPr>
          <w:p w14:paraId="1CEBD49A"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49B" w14:textId="77777777" w:rsidR="00F74E13" w:rsidRDefault="009274FC">
            <w:pPr>
              <w:pStyle w:val="P68B1DB1-Normal15"/>
              <w:spacing w:after="0" w:line="240" w:lineRule="auto"/>
              <w:jc w:val="center"/>
              <w:rPr>
                <w:noProof/>
              </w:rPr>
            </w:pPr>
            <w:r>
              <w:rPr>
                <w:noProof/>
              </w:rPr>
              <w:t>% (pourcentage)</w:t>
            </w:r>
          </w:p>
        </w:tc>
        <w:tc>
          <w:tcPr>
            <w:tcW w:w="1129" w:type="dxa"/>
            <w:shd w:val="clear" w:color="auto" w:fill="C6EFCE"/>
            <w:noWrap/>
          </w:tcPr>
          <w:p w14:paraId="1CEBD49C"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49D" w14:textId="77777777" w:rsidR="00F74E13" w:rsidRDefault="009274FC">
            <w:pPr>
              <w:pStyle w:val="P68B1DB1-Normal15"/>
              <w:spacing w:after="0" w:line="240" w:lineRule="auto"/>
              <w:jc w:val="center"/>
              <w:rPr>
                <w:noProof/>
              </w:rPr>
            </w:pPr>
            <w:r>
              <w:rPr>
                <w:noProof/>
              </w:rPr>
              <w:t>100</w:t>
            </w:r>
          </w:p>
        </w:tc>
        <w:tc>
          <w:tcPr>
            <w:tcW w:w="1134" w:type="dxa"/>
            <w:shd w:val="clear" w:color="auto" w:fill="C6EFCE"/>
            <w:noWrap/>
          </w:tcPr>
          <w:p w14:paraId="1CEBD49E" w14:textId="77777777" w:rsidR="00F74E13" w:rsidRDefault="009274FC">
            <w:pPr>
              <w:pStyle w:val="P68B1DB1-Normal15"/>
              <w:spacing w:after="0" w:line="240" w:lineRule="auto"/>
              <w:jc w:val="center"/>
              <w:rPr>
                <w:noProof/>
              </w:rPr>
            </w:pPr>
            <w:r>
              <w:rPr>
                <w:noProof/>
              </w:rPr>
              <w:t>T2</w:t>
            </w:r>
          </w:p>
        </w:tc>
        <w:tc>
          <w:tcPr>
            <w:tcW w:w="1134" w:type="dxa"/>
            <w:shd w:val="clear" w:color="auto" w:fill="C6EFCE"/>
            <w:noWrap/>
          </w:tcPr>
          <w:p w14:paraId="1CEBD49F" w14:textId="77777777" w:rsidR="00F74E13" w:rsidRDefault="009274FC">
            <w:pPr>
              <w:pStyle w:val="P68B1DB1-Normal15"/>
              <w:spacing w:after="0" w:line="240" w:lineRule="auto"/>
              <w:jc w:val="center"/>
              <w:rPr>
                <w:noProof/>
              </w:rPr>
            </w:pPr>
            <w:r>
              <w:rPr>
                <w:noProof/>
              </w:rPr>
              <w:t>2026</w:t>
            </w:r>
          </w:p>
        </w:tc>
        <w:tc>
          <w:tcPr>
            <w:tcW w:w="3123" w:type="dxa"/>
            <w:shd w:val="clear" w:color="auto" w:fill="C6EFCE"/>
            <w:noWrap/>
            <w:vAlign w:val="center"/>
          </w:tcPr>
          <w:p w14:paraId="1CEBD4A1" w14:textId="595B6740" w:rsidR="00F74E13" w:rsidRDefault="009274FC">
            <w:pPr>
              <w:pStyle w:val="P68B1DB1-Normal15"/>
              <w:spacing w:after="0" w:line="240" w:lineRule="auto"/>
              <w:jc w:val="both"/>
              <w:rPr>
                <w:noProof/>
              </w:rPr>
            </w:pPr>
            <w:r>
              <w:rPr>
                <w:noProof/>
              </w:rPr>
              <w:t>Opérations de financement ou d’investissement représentant 100 % du montant total des financements ou des investissements approuvés par le comité d’investissement désigné par le gouvernement bulgare.</w:t>
            </w:r>
          </w:p>
        </w:tc>
      </w:tr>
      <w:tr w:rsidR="00F74E13" w14:paraId="1CEBD4B7" w14:textId="77777777" w:rsidTr="00711BE9">
        <w:trPr>
          <w:trHeight w:val="300"/>
          <w:jc w:val="center"/>
        </w:trPr>
        <w:tc>
          <w:tcPr>
            <w:tcW w:w="1129" w:type="dxa"/>
            <w:shd w:val="clear" w:color="auto" w:fill="C6EFCE"/>
            <w:noWrap/>
          </w:tcPr>
          <w:p w14:paraId="1CEBD4A3" w14:textId="77777777" w:rsidR="00F74E13" w:rsidRDefault="009274FC">
            <w:pPr>
              <w:pStyle w:val="P68B1DB1-Normal13"/>
              <w:spacing w:after="0" w:line="240" w:lineRule="auto"/>
              <w:jc w:val="center"/>
              <w:rPr>
                <w:noProof/>
              </w:rPr>
            </w:pPr>
            <w:r>
              <w:rPr>
                <w:noProof/>
              </w:rPr>
              <w:t>46</w:t>
            </w:r>
          </w:p>
        </w:tc>
        <w:tc>
          <w:tcPr>
            <w:tcW w:w="1560" w:type="dxa"/>
            <w:shd w:val="clear" w:color="auto" w:fill="C6EFCE"/>
            <w:noWrap/>
          </w:tcPr>
          <w:p w14:paraId="1CEBD4A4" w14:textId="77777777" w:rsidR="00F74E13" w:rsidRDefault="009274FC">
            <w:pPr>
              <w:pStyle w:val="P68B1DB1-Normal13"/>
              <w:spacing w:after="0" w:line="240" w:lineRule="auto"/>
              <w:rPr>
                <w:noProof/>
              </w:rPr>
            </w:pPr>
            <w:r>
              <w:rPr>
                <w:noProof/>
              </w:rPr>
              <w:t xml:space="preserve">C3.I2 : </w:t>
            </w:r>
          </w:p>
          <w:p w14:paraId="1CEBD4A5" w14:textId="77777777" w:rsidR="00F74E13" w:rsidRDefault="009274FC">
            <w:pPr>
              <w:pStyle w:val="P68B1DB1-Normal13"/>
              <w:spacing w:after="0" w:line="240" w:lineRule="auto"/>
              <w:rPr>
                <w:noProof/>
              </w:rPr>
            </w:pPr>
            <w:r>
              <w:rPr>
                <w:noProof/>
              </w:rPr>
              <w:t xml:space="preserve">Investissement 2.1.c Programme de subventions pour la modernisation technologique </w:t>
            </w:r>
          </w:p>
        </w:tc>
        <w:tc>
          <w:tcPr>
            <w:tcW w:w="1275" w:type="dxa"/>
            <w:shd w:val="clear" w:color="auto" w:fill="C6EFCE"/>
            <w:noWrap/>
          </w:tcPr>
          <w:p w14:paraId="1CEBD4A6"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4A7" w14:textId="77777777" w:rsidR="00F74E13" w:rsidRDefault="009274FC">
            <w:pPr>
              <w:pStyle w:val="P68B1DB1-Normal13"/>
              <w:spacing w:after="0" w:line="240" w:lineRule="auto"/>
              <w:rPr>
                <w:noProof/>
              </w:rPr>
            </w:pPr>
            <w:r>
              <w:rPr>
                <w:noProof/>
              </w:rPr>
              <w:t xml:space="preserve">Procédures de sélection achevées </w:t>
            </w:r>
          </w:p>
        </w:tc>
        <w:tc>
          <w:tcPr>
            <w:tcW w:w="1417" w:type="dxa"/>
            <w:shd w:val="clear" w:color="auto" w:fill="C6EFCE"/>
            <w:noWrap/>
          </w:tcPr>
          <w:p w14:paraId="1CEBD4A8" w14:textId="77777777" w:rsidR="00F74E13" w:rsidRDefault="009274FC">
            <w:pPr>
              <w:pStyle w:val="P68B1DB1-Normal13"/>
              <w:spacing w:after="0" w:line="240" w:lineRule="auto"/>
              <w:rPr>
                <w:noProof/>
              </w:rPr>
            </w:pPr>
            <w:r>
              <w:rPr>
                <w:noProof/>
              </w:rPr>
              <w:t xml:space="preserve">Publication de la liste des projets approuvés pour financement et de la liste des réserves </w:t>
            </w:r>
          </w:p>
        </w:tc>
        <w:tc>
          <w:tcPr>
            <w:tcW w:w="1276" w:type="dxa"/>
            <w:shd w:val="clear" w:color="auto" w:fill="C6EFCE"/>
            <w:noWrap/>
          </w:tcPr>
          <w:p w14:paraId="1CEBD4A9"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4AA"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AB"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AC" w14:textId="77777777" w:rsidR="00F74E13" w:rsidRDefault="009274FC">
            <w:pPr>
              <w:pStyle w:val="P68B1DB1-Normal13"/>
              <w:spacing w:after="0" w:line="240" w:lineRule="auto"/>
              <w:jc w:val="center"/>
              <w:rPr>
                <w:noProof/>
              </w:rPr>
            </w:pPr>
            <w:r>
              <w:rPr>
                <w:noProof/>
              </w:rPr>
              <w:t>T4</w:t>
            </w:r>
          </w:p>
        </w:tc>
        <w:tc>
          <w:tcPr>
            <w:tcW w:w="1134" w:type="dxa"/>
            <w:shd w:val="clear" w:color="auto" w:fill="C6EFCE"/>
            <w:noWrap/>
          </w:tcPr>
          <w:p w14:paraId="1CEBD4AD"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vAlign w:val="center"/>
          </w:tcPr>
          <w:p w14:paraId="1CEBD4AE" w14:textId="77777777" w:rsidR="00F74E13" w:rsidRDefault="009274FC">
            <w:pPr>
              <w:pStyle w:val="P68B1DB1-Normal13"/>
              <w:spacing w:after="0" w:line="240" w:lineRule="auto"/>
              <w:jc w:val="both"/>
              <w:rPr>
                <w:noProof/>
              </w:rPr>
            </w:pPr>
            <w:r>
              <w:rPr>
                <w:noProof/>
              </w:rPr>
              <w:t xml:space="preserve">Les procédures de sélection se déroulent de manière ouverte et concurrentielle. </w:t>
            </w:r>
          </w:p>
          <w:p w14:paraId="1CEBD4B0" w14:textId="77777777" w:rsidR="00F74E13" w:rsidRDefault="009274FC">
            <w:pPr>
              <w:pStyle w:val="P68B1DB1-Normal13"/>
              <w:spacing w:before="120" w:after="0" w:line="240" w:lineRule="auto"/>
              <w:jc w:val="both"/>
              <w:rPr>
                <w:noProof/>
              </w:rPr>
            </w:pPr>
            <w:r>
              <w:rPr>
                <w:noProof/>
              </w:rPr>
              <w:t>Les bénéficiaires sont des PME. Les projets soutiennent l’acquisition de nouvelles technologies en mettant l’accent sur la numérisation des processus de production (achat de nouveaux équipements technologiques axés sur la numérisation des processus de production afin d’obtenir un avantage commercial, personnalisation des produits, flexibilité, efficacité et originalité pour étendre ou diversifier leur production).</w:t>
            </w:r>
          </w:p>
          <w:p w14:paraId="1CEBD4B2" w14:textId="77777777" w:rsidR="00F74E13" w:rsidRDefault="009274FC">
            <w:pPr>
              <w:pStyle w:val="P68B1DB1-Normal13"/>
              <w:spacing w:before="120" w:after="0" w:line="240" w:lineRule="auto"/>
              <w:jc w:val="both"/>
              <w:rPr>
                <w:noProof/>
              </w:rPr>
            </w:pPr>
            <w:r>
              <w:rPr>
                <w:noProof/>
              </w:rPr>
              <w:t>Au moins 50 % du coût du projet est cofinancé par le bénéficiaire.</w:t>
            </w:r>
          </w:p>
          <w:p w14:paraId="1CEBD4B4" w14:textId="77777777" w:rsidR="00F74E13" w:rsidRDefault="009274FC">
            <w:pPr>
              <w:pStyle w:val="P68B1DB1-Normal13"/>
              <w:spacing w:before="120" w:after="0" w:line="240" w:lineRule="auto"/>
              <w:jc w:val="both"/>
              <w:rPr>
                <w:noProof/>
              </w:rPr>
            </w:pPr>
            <w:r>
              <w:rPr>
                <w:noProof/>
              </w:rPr>
              <w:t xml:space="preserve">Le financement total des projets approuvés est d'au moins 120 millions d'euros. </w:t>
            </w:r>
          </w:p>
          <w:p w14:paraId="1CEBD4B6" w14:textId="77777777" w:rsidR="00F74E13" w:rsidRDefault="009274FC">
            <w:pPr>
              <w:pStyle w:val="P68B1DB1-Normal13"/>
              <w:spacing w:before="120" w:after="0" w:line="240" w:lineRule="auto"/>
              <w:jc w:val="both"/>
              <w:rPr>
                <w:noProof/>
              </w:rPr>
            </w:pPr>
            <w:r>
              <w:rPr>
                <w:noProof/>
              </w:rPr>
              <w:t>Afin de garantir que la mesure est conforme aux orientations techniques «Ne pas causer de préjudice important» (2021/C58/01), les critères d’éligibilité contenus dans les termes de référence pour les prochains appels à projets excluent les activités et les actifs figurant sur la liste d’exclusion spécifiée dans la description de la mesure et exigent que seules les activités conformes à la législation environnementale pertinente de l’UE et nationale puissent être sélectionnées.</w:t>
            </w:r>
          </w:p>
        </w:tc>
      </w:tr>
      <w:tr w:rsidR="00F74E13" w14:paraId="1CEBD4C4" w14:textId="77777777" w:rsidTr="00711BE9">
        <w:trPr>
          <w:trHeight w:val="300"/>
          <w:jc w:val="center"/>
        </w:trPr>
        <w:tc>
          <w:tcPr>
            <w:tcW w:w="1129" w:type="dxa"/>
            <w:shd w:val="clear" w:color="auto" w:fill="C6EFCE"/>
            <w:noWrap/>
          </w:tcPr>
          <w:p w14:paraId="1CEBD4B8" w14:textId="77777777" w:rsidR="00F74E13" w:rsidRDefault="009274FC">
            <w:pPr>
              <w:pStyle w:val="P68B1DB1-Normal15"/>
              <w:spacing w:after="0" w:line="240" w:lineRule="auto"/>
              <w:jc w:val="center"/>
              <w:rPr>
                <w:noProof/>
              </w:rPr>
            </w:pPr>
            <w:r>
              <w:rPr>
                <w:noProof/>
              </w:rPr>
              <w:t>47</w:t>
            </w:r>
          </w:p>
        </w:tc>
        <w:tc>
          <w:tcPr>
            <w:tcW w:w="1560" w:type="dxa"/>
            <w:shd w:val="clear" w:color="auto" w:fill="C6EFCE"/>
            <w:noWrap/>
          </w:tcPr>
          <w:p w14:paraId="1CEBD4B9" w14:textId="77777777" w:rsidR="00F74E13" w:rsidRDefault="009274FC">
            <w:pPr>
              <w:pStyle w:val="P68B1DB1-Normal15"/>
              <w:spacing w:after="0" w:line="240" w:lineRule="auto"/>
              <w:rPr>
                <w:noProof/>
              </w:rPr>
            </w:pPr>
            <w:r>
              <w:rPr>
                <w:noProof/>
              </w:rPr>
              <w:t xml:space="preserve">C3.I2 : </w:t>
            </w:r>
          </w:p>
          <w:p w14:paraId="1CEBD4BA" w14:textId="77777777" w:rsidR="00F74E13" w:rsidRDefault="009274FC">
            <w:pPr>
              <w:pStyle w:val="P68B1DB1-Normal15"/>
              <w:spacing w:after="0" w:line="240" w:lineRule="auto"/>
              <w:rPr>
                <w:noProof/>
              </w:rPr>
            </w:pPr>
            <w:r>
              <w:rPr>
                <w:noProof/>
              </w:rPr>
              <w:t>Investissement 2.1.c Programme de subventions pour la modernisation technologique</w:t>
            </w:r>
          </w:p>
        </w:tc>
        <w:tc>
          <w:tcPr>
            <w:tcW w:w="1275" w:type="dxa"/>
            <w:shd w:val="clear" w:color="auto" w:fill="C6EFCE"/>
            <w:noWrap/>
          </w:tcPr>
          <w:p w14:paraId="1CEBD4BB"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4BC" w14:textId="47F6A652" w:rsidR="00F74E13" w:rsidRDefault="009274FC">
            <w:pPr>
              <w:pStyle w:val="P68B1DB1-Normal13"/>
              <w:spacing w:after="0" w:line="240" w:lineRule="auto"/>
              <w:rPr>
                <w:noProof/>
              </w:rPr>
            </w:pPr>
            <w:r>
              <w:rPr>
                <w:noProof/>
              </w:rPr>
              <w:t xml:space="preserve">Exécution du budget – virement d’au moins 120 millions d’EUR pour la modernisation technologique </w:t>
            </w:r>
          </w:p>
        </w:tc>
        <w:tc>
          <w:tcPr>
            <w:tcW w:w="1417" w:type="dxa"/>
            <w:shd w:val="clear" w:color="auto" w:fill="C6EFCE"/>
            <w:noWrap/>
          </w:tcPr>
          <w:p w14:paraId="1CEBD4BD"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4BE" w14:textId="77777777" w:rsidR="00F74E13" w:rsidRDefault="009274FC">
            <w:pPr>
              <w:pStyle w:val="P68B1DB1-Normal13"/>
              <w:spacing w:after="0" w:line="240" w:lineRule="auto"/>
              <w:jc w:val="center"/>
              <w:rPr>
                <w:noProof/>
              </w:rPr>
            </w:pPr>
            <w:r>
              <w:rPr>
                <w:noProof/>
              </w:rPr>
              <w:t>millions d'euros</w:t>
            </w:r>
          </w:p>
        </w:tc>
        <w:tc>
          <w:tcPr>
            <w:tcW w:w="1129" w:type="dxa"/>
            <w:shd w:val="clear" w:color="auto" w:fill="C6EFCE"/>
            <w:noWrap/>
          </w:tcPr>
          <w:p w14:paraId="1CEBD4BF"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4C0" w14:textId="77777777" w:rsidR="00F74E13" w:rsidRDefault="009274FC">
            <w:pPr>
              <w:pStyle w:val="P68B1DB1-Normal13"/>
              <w:spacing w:after="0" w:line="240" w:lineRule="auto"/>
              <w:jc w:val="center"/>
              <w:rPr>
                <w:noProof/>
              </w:rPr>
            </w:pPr>
            <w:r>
              <w:rPr>
                <w:noProof/>
              </w:rPr>
              <w:t>120</w:t>
            </w:r>
          </w:p>
        </w:tc>
        <w:tc>
          <w:tcPr>
            <w:tcW w:w="1134" w:type="dxa"/>
            <w:shd w:val="clear" w:color="auto" w:fill="C6EFCE"/>
            <w:noWrap/>
          </w:tcPr>
          <w:p w14:paraId="1CEBD4C1" w14:textId="77777777" w:rsidR="00F74E13" w:rsidRDefault="009274FC">
            <w:pPr>
              <w:pStyle w:val="P68B1DB1-Normal12"/>
              <w:spacing w:after="0" w:line="240" w:lineRule="auto"/>
              <w:jc w:val="center"/>
              <w:rPr>
                <w:noProof/>
              </w:rPr>
            </w:pPr>
            <w:r>
              <w:rPr>
                <w:noProof/>
              </w:rPr>
              <w:t>T2</w:t>
            </w:r>
          </w:p>
        </w:tc>
        <w:tc>
          <w:tcPr>
            <w:tcW w:w="1134" w:type="dxa"/>
            <w:shd w:val="clear" w:color="auto" w:fill="C6EFCE"/>
            <w:noWrap/>
          </w:tcPr>
          <w:p w14:paraId="1CEBD4C2" w14:textId="77777777" w:rsidR="00F74E13" w:rsidRDefault="009274FC">
            <w:pPr>
              <w:pStyle w:val="P68B1DB1-Normal12"/>
              <w:spacing w:after="0" w:line="240" w:lineRule="auto"/>
              <w:jc w:val="center"/>
              <w:rPr>
                <w:noProof/>
              </w:rPr>
            </w:pPr>
            <w:r>
              <w:rPr>
                <w:noProof/>
              </w:rPr>
              <w:t>2025</w:t>
            </w:r>
          </w:p>
        </w:tc>
        <w:tc>
          <w:tcPr>
            <w:tcW w:w="3123" w:type="dxa"/>
            <w:shd w:val="clear" w:color="auto" w:fill="C6EFCE"/>
            <w:noWrap/>
          </w:tcPr>
          <w:p w14:paraId="1CEBD4C3" w14:textId="77777777" w:rsidR="00F74E13" w:rsidRDefault="009274FC">
            <w:pPr>
              <w:pStyle w:val="P68B1DB1-Normal13"/>
              <w:spacing w:after="0" w:line="240" w:lineRule="auto"/>
              <w:jc w:val="both"/>
              <w:rPr>
                <w:noProof/>
              </w:rPr>
            </w:pPr>
            <w:r>
              <w:rPr>
                <w:noProof/>
              </w:rPr>
              <w:t xml:space="preserve">Transfert d'au moins 120 millions d'euros aux bénéficiaires pour la modernisation technologique. </w:t>
            </w:r>
          </w:p>
        </w:tc>
      </w:tr>
      <w:tr w:rsidR="00F74E13" w14:paraId="1CEBD4D6" w14:textId="77777777" w:rsidTr="00711BE9">
        <w:trPr>
          <w:trHeight w:val="300"/>
          <w:jc w:val="center"/>
        </w:trPr>
        <w:tc>
          <w:tcPr>
            <w:tcW w:w="1129" w:type="dxa"/>
            <w:shd w:val="clear" w:color="auto" w:fill="C6EFCE"/>
            <w:noWrap/>
          </w:tcPr>
          <w:p w14:paraId="1CEBD4C5" w14:textId="77777777" w:rsidR="00F74E13" w:rsidRDefault="009274FC">
            <w:pPr>
              <w:pStyle w:val="P68B1DB1-Normal13"/>
              <w:spacing w:after="0" w:line="240" w:lineRule="auto"/>
              <w:jc w:val="center"/>
              <w:rPr>
                <w:noProof/>
              </w:rPr>
            </w:pPr>
            <w:r>
              <w:rPr>
                <w:noProof/>
              </w:rPr>
              <w:t>48</w:t>
            </w:r>
          </w:p>
        </w:tc>
        <w:tc>
          <w:tcPr>
            <w:tcW w:w="1560" w:type="dxa"/>
            <w:shd w:val="clear" w:color="auto" w:fill="C6EFCE"/>
            <w:noWrap/>
          </w:tcPr>
          <w:p w14:paraId="1CEBD4C6" w14:textId="77777777" w:rsidR="00F74E13" w:rsidRDefault="009274FC">
            <w:pPr>
              <w:pStyle w:val="P68B1DB1-Normal13"/>
              <w:spacing w:after="0" w:line="240" w:lineRule="auto"/>
              <w:rPr>
                <w:noProof/>
              </w:rPr>
            </w:pPr>
            <w:r>
              <w:rPr>
                <w:noProof/>
              </w:rPr>
              <w:t xml:space="preserve">C3.I2 : </w:t>
            </w:r>
          </w:p>
          <w:p w14:paraId="1CEBD4C7" w14:textId="77777777" w:rsidR="00F74E13" w:rsidRDefault="009274FC">
            <w:pPr>
              <w:pStyle w:val="P68B1DB1-Normal13"/>
              <w:spacing w:after="0" w:line="240" w:lineRule="auto"/>
              <w:rPr>
                <w:noProof/>
              </w:rPr>
            </w:pPr>
            <w:r>
              <w:rPr>
                <w:noProof/>
              </w:rPr>
              <w:t>Investissement 2.1.d Programme de subventions pour les technologies de l'information et de la communication et la cybersécurité dans les petites et moyennes entreprises</w:t>
            </w:r>
          </w:p>
        </w:tc>
        <w:tc>
          <w:tcPr>
            <w:tcW w:w="1275" w:type="dxa"/>
            <w:shd w:val="clear" w:color="auto" w:fill="C6EFCE"/>
            <w:noWrap/>
          </w:tcPr>
          <w:p w14:paraId="1CEBD4C8"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4C9" w14:textId="77777777" w:rsidR="00F74E13" w:rsidRDefault="009274FC">
            <w:pPr>
              <w:pStyle w:val="P68B1DB1-Normal13"/>
              <w:spacing w:after="0" w:line="240" w:lineRule="auto"/>
              <w:rPr>
                <w:noProof/>
              </w:rPr>
            </w:pPr>
            <w:r>
              <w:rPr>
                <w:noProof/>
              </w:rPr>
              <w:t xml:space="preserve">Procédures de sélection achevées </w:t>
            </w:r>
          </w:p>
        </w:tc>
        <w:tc>
          <w:tcPr>
            <w:tcW w:w="1417" w:type="dxa"/>
            <w:shd w:val="clear" w:color="auto" w:fill="C6EFCE"/>
            <w:noWrap/>
          </w:tcPr>
          <w:p w14:paraId="1CEBD4CA" w14:textId="77777777" w:rsidR="00F74E13" w:rsidRDefault="009274FC">
            <w:pPr>
              <w:pStyle w:val="P68B1DB1-Normal13"/>
              <w:spacing w:after="0" w:line="240" w:lineRule="auto"/>
              <w:rPr>
                <w:noProof/>
              </w:rPr>
            </w:pPr>
            <w:r>
              <w:rPr>
                <w:noProof/>
              </w:rPr>
              <w:t>Publication de la liste des projets approuvés pour financement et de la liste des réserves</w:t>
            </w:r>
          </w:p>
        </w:tc>
        <w:tc>
          <w:tcPr>
            <w:tcW w:w="1276" w:type="dxa"/>
            <w:shd w:val="clear" w:color="auto" w:fill="C6EFCE"/>
            <w:noWrap/>
          </w:tcPr>
          <w:p w14:paraId="1CEBD4CB"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4CC"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CD"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CE" w14:textId="77777777" w:rsidR="00F74E13" w:rsidRDefault="009274FC">
            <w:pPr>
              <w:pStyle w:val="P68B1DB1-Normal13"/>
              <w:spacing w:after="0" w:line="240" w:lineRule="auto"/>
              <w:jc w:val="center"/>
              <w:rPr>
                <w:noProof/>
              </w:rPr>
            </w:pPr>
            <w:r>
              <w:rPr>
                <w:noProof/>
              </w:rPr>
              <w:t>T4</w:t>
            </w:r>
          </w:p>
        </w:tc>
        <w:tc>
          <w:tcPr>
            <w:tcW w:w="1134" w:type="dxa"/>
            <w:shd w:val="clear" w:color="auto" w:fill="C6EFCE"/>
            <w:noWrap/>
          </w:tcPr>
          <w:p w14:paraId="1CEBD4CF"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tcPr>
          <w:p w14:paraId="1CEBD4D0" w14:textId="77777777" w:rsidR="00F74E13" w:rsidRDefault="009274FC">
            <w:pPr>
              <w:pStyle w:val="P68B1DB1-Normal13"/>
              <w:spacing w:after="0" w:line="240" w:lineRule="auto"/>
              <w:jc w:val="both"/>
              <w:rPr>
                <w:noProof/>
              </w:rPr>
            </w:pPr>
            <w:r>
              <w:rPr>
                <w:noProof/>
              </w:rPr>
              <w:t xml:space="preserve">Les procédures de sélection se déroulent de manière ouverte et concurrentielle. </w:t>
            </w:r>
          </w:p>
          <w:p w14:paraId="1CEBD4D2" w14:textId="77777777" w:rsidR="00F74E13" w:rsidRDefault="009274FC">
            <w:pPr>
              <w:pStyle w:val="P68B1DB1-Normal13"/>
              <w:spacing w:before="120" w:after="0" w:line="240" w:lineRule="auto"/>
              <w:jc w:val="both"/>
              <w:rPr>
                <w:noProof/>
              </w:rPr>
            </w:pPr>
            <w:r>
              <w:rPr>
                <w:noProof/>
              </w:rPr>
              <w:t>Les bénéficiaires sélectionnés sont des PME. Les projets soutiendront l’acquisition et l’intégration de technologies numériques dans les entreprises aux deux premiers niveaux de la numérisation de base (informatisation et connectivité). Les subventions soutiennent des activités telles que la fourniture de services de marketing numérique dans le domaine des TIC, de services TIC en ligne pour les plateformes, les sites web, les applications mobiles, l’acquisition de logiciels pour optimiser les processus de gestion, de fabrication et de logistique, l’introduction de mesures visant à garantir que l’information et la cybersécurité constituent un élément important du processus de numérisation des entreprises, l’achat du matériel nécessaire au fonctionnement de nouvelles applications et de nouveaux logiciels.</w:t>
            </w:r>
          </w:p>
          <w:p w14:paraId="1CEBD4D4" w14:textId="77777777" w:rsidR="00F74E13" w:rsidRDefault="009274FC">
            <w:pPr>
              <w:pStyle w:val="P68B1DB1-Normal13"/>
              <w:spacing w:before="120" w:after="0" w:line="240" w:lineRule="auto"/>
              <w:jc w:val="both"/>
              <w:rPr>
                <w:noProof/>
              </w:rPr>
            </w:pPr>
            <w:r>
              <w:rPr>
                <w:noProof/>
              </w:rPr>
              <w:t xml:space="preserve">Le financement total des projets approuvés est d'au moins 14 millions d'euros. </w:t>
            </w:r>
          </w:p>
          <w:p w14:paraId="1CEBD4D5" w14:textId="77777777" w:rsidR="00F74E13" w:rsidRDefault="009274FC">
            <w:pPr>
              <w:pStyle w:val="P68B1DB1-Normal13"/>
              <w:spacing w:before="120" w:after="0" w:line="240" w:lineRule="auto"/>
              <w:jc w:val="both"/>
              <w:rPr>
                <w:noProof/>
              </w:rPr>
            </w:pPr>
            <w:r>
              <w:rPr>
                <w:noProof/>
              </w:rPr>
              <w:t xml:space="preserve">Afin de garantir que la mesure est conforme aux orientations techniques «Ne pas causer de préjudice important» (2021/C58/01), les critères d’éligibilité contenus dans les termes de référence pour les prochains appels à projets excluent les activités et les actifs figurant sur la liste d’exclusion spécifiée dans la description de la mesure et exigent que seules les activités conformes à la législation environnementale pertinente de l’UE et nationale puissent être sélectionnées. </w:t>
            </w:r>
          </w:p>
        </w:tc>
      </w:tr>
      <w:tr w:rsidR="00F74E13" w14:paraId="1CEBD4E3" w14:textId="77777777" w:rsidTr="00711BE9">
        <w:trPr>
          <w:trHeight w:val="300"/>
          <w:jc w:val="center"/>
        </w:trPr>
        <w:tc>
          <w:tcPr>
            <w:tcW w:w="1129" w:type="dxa"/>
            <w:shd w:val="clear" w:color="auto" w:fill="C6EFCE"/>
            <w:noWrap/>
            <w:vAlign w:val="center"/>
          </w:tcPr>
          <w:p w14:paraId="1CEBD4D7" w14:textId="77777777" w:rsidR="00F74E13" w:rsidRDefault="009274FC">
            <w:pPr>
              <w:pStyle w:val="P68B1DB1-Normal15"/>
              <w:spacing w:after="0" w:line="240" w:lineRule="auto"/>
              <w:jc w:val="center"/>
              <w:rPr>
                <w:noProof/>
              </w:rPr>
            </w:pPr>
            <w:r>
              <w:rPr>
                <w:noProof/>
              </w:rPr>
              <w:t>49</w:t>
            </w:r>
          </w:p>
        </w:tc>
        <w:tc>
          <w:tcPr>
            <w:tcW w:w="1560" w:type="dxa"/>
            <w:shd w:val="clear" w:color="auto" w:fill="C6EFCE"/>
            <w:noWrap/>
          </w:tcPr>
          <w:p w14:paraId="1CEBD4D8" w14:textId="77777777" w:rsidR="00F74E13" w:rsidRDefault="009274FC">
            <w:pPr>
              <w:pStyle w:val="P68B1DB1-Normal15"/>
              <w:spacing w:after="0" w:line="240" w:lineRule="auto"/>
              <w:rPr>
                <w:noProof/>
              </w:rPr>
            </w:pPr>
            <w:r>
              <w:rPr>
                <w:noProof/>
              </w:rPr>
              <w:t xml:space="preserve">C3.I2 : </w:t>
            </w:r>
          </w:p>
          <w:p w14:paraId="1CEBD4D9" w14:textId="77777777" w:rsidR="00F74E13" w:rsidRDefault="009274FC">
            <w:pPr>
              <w:pStyle w:val="P68B1DB1-Normal15"/>
              <w:spacing w:after="0" w:line="240" w:lineRule="auto"/>
              <w:rPr>
                <w:noProof/>
              </w:rPr>
            </w:pPr>
            <w:r>
              <w:rPr>
                <w:noProof/>
              </w:rPr>
              <w:t>Investissement 2.1.d Programme de subventions pour les technologies de l'information et de la communication et la cybersécurité dans les petites et moyennes entreprises</w:t>
            </w:r>
          </w:p>
        </w:tc>
        <w:tc>
          <w:tcPr>
            <w:tcW w:w="1275" w:type="dxa"/>
            <w:shd w:val="clear" w:color="auto" w:fill="C6EFCE"/>
            <w:noWrap/>
          </w:tcPr>
          <w:p w14:paraId="1CEBD4DA"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4DB" w14:textId="77777777" w:rsidR="00F74E13" w:rsidRDefault="009274FC">
            <w:pPr>
              <w:pStyle w:val="P68B1DB1-Normal6"/>
              <w:spacing w:after="0" w:line="240" w:lineRule="auto"/>
              <w:rPr>
                <w:noProof/>
                <w:color w:val="006100"/>
                <w:sz w:val="20"/>
                <w:szCs w:val="20"/>
              </w:rPr>
            </w:pPr>
            <w:r>
              <w:rPr>
                <w:noProof/>
                <w:color w:val="006100"/>
                <w:sz w:val="20"/>
                <w:szCs w:val="20"/>
              </w:rPr>
              <w:t>Exécution du budget – virement d’au moins 12,59 millions d’EUR  en faveur de la numérisation</w:t>
            </w:r>
          </w:p>
        </w:tc>
        <w:tc>
          <w:tcPr>
            <w:tcW w:w="1417" w:type="dxa"/>
            <w:shd w:val="clear" w:color="auto" w:fill="C6EFCE"/>
            <w:noWrap/>
          </w:tcPr>
          <w:p w14:paraId="1CEBD4DC"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4DD" w14:textId="77777777" w:rsidR="00F74E13" w:rsidRDefault="009274FC">
            <w:pPr>
              <w:pStyle w:val="P68B1DB1-Normal6"/>
              <w:spacing w:after="0" w:line="240" w:lineRule="auto"/>
              <w:jc w:val="center"/>
              <w:rPr>
                <w:noProof/>
                <w:color w:val="006100"/>
                <w:sz w:val="20"/>
              </w:rPr>
            </w:pPr>
            <w:r>
              <w:rPr>
                <w:noProof/>
                <w:color w:val="006100"/>
                <w:sz w:val="20"/>
              </w:rPr>
              <w:t>millions d'euros</w:t>
            </w:r>
            <w:r>
              <w:rPr>
                <w:noProof/>
              </w:rPr>
              <w:t> </w:t>
            </w:r>
          </w:p>
        </w:tc>
        <w:tc>
          <w:tcPr>
            <w:tcW w:w="1129" w:type="dxa"/>
            <w:shd w:val="clear" w:color="auto" w:fill="C6EFCE"/>
            <w:noWrap/>
          </w:tcPr>
          <w:p w14:paraId="1CEBD4DE"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4DF" w14:textId="77777777" w:rsidR="00F74E13" w:rsidRDefault="009274FC">
            <w:pPr>
              <w:pStyle w:val="P68B1DB1-Normal12"/>
              <w:spacing w:after="0" w:line="240" w:lineRule="auto"/>
              <w:jc w:val="center"/>
              <w:rPr>
                <w:noProof/>
              </w:rPr>
            </w:pPr>
            <w:r>
              <w:rPr>
                <w:noProof/>
              </w:rPr>
              <w:t>12.59</w:t>
            </w:r>
          </w:p>
        </w:tc>
        <w:tc>
          <w:tcPr>
            <w:tcW w:w="1134" w:type="dxa"/>
            <w:shd w:val="clear" w:color="auto" w:fill="C6EFCE"/>
            <w:noWrap/>
          </w:tcPr>
          <w:p w14:paraId="1CEBD4E0" w14:textId="77777777" w:rsidR="00F74E13" w:rsidRDefault="009274FC">
            <w:pPr>
              <w:pStyle w:val="P68B1DB1-Normal15"/>
              <w:spacing w:after="0" w:line="240" w:lineRule="auto"/>
              <w:jc w:val="center"/>
              <w:rPr>
                <w:noProof/>
              </w:rPr>
            </w:pPr>
            <w:r>
              <w:rPr>
                <w:noProof/>
              </w:rPr>
              <w:t>T4</w:t>
            </w:r>
          </w:p>
        </w:tc>
        <w:tc>
          <w:tcPr>
            <w:tcW w:w="1134" w:type="dxa"/>
            <w:shd w:val="clear" w:color="auto" w:fill="C6EFCE"/>
            <w:noWrap/>
          </w:tcPr>
          <w:p w14:paraId="1CEBD4E1" w14:textId="77777777" w:rsidR="00F74E13" w:rsidRDefault="009274FC">
            <w:pPr>
              <w:pStyle w:val="P68B1DB1-Normal15"/>
              <w:spacing w:after="0" w:line="240" w:lineRule="auto"/>
              <w:jc w:val="center"/>
              <w:rPr>
                <w:noProof/>
              </w:rPr>
            </w:pPr>
            <w:r>
              <w:rPr>
                <w:noProof/>
              </w:rPr>
              <w:t>2025</w:t>
            </w:r>
          </w:p>
        </w:tc>
        <w:tc>
          <w:tcPr>
            <w:tcW w:w="3123" w:type="dxa"/>
            <w:shd w:val="clear" w:color="auto" w:fill="C6EFCE"/>
            <w:noWrap/>
          </w:tcPr>
          <w:p w14:paraId="1CEBD4E2" w14:textId="77777777" w:rsidR="00F74E13" w:rsidRDefault="009274FC">
            <w:pPr>
              <w:pStyle w:val="P68B1DB1-Normal13"/>
              <w:spacing w:after="0" w:line="240" w:lineRule="auto"/>
              <w:jc w:val="both"/>
              <w:rPr>
                <w:noProof/>
              </w:rPr>
            </w:pPr>
            <w:r>
              <w:rPr>
                <w:noProof/>
              </w:rPr>
              <w:t>Transfert d’au moins 12,59 millions d’EUR aux bénéficiaires en vue de la numérisation.</w:t>
            </w:r>
          </w:p>
        </w:tc>
      </w:tr>
      <w:tr w:rsidR="00F74E13" w14:paraId="1CEBD501" w14:textId="77777777" w:rsidTr="00711BE9">
        <w:trPr>
          <w:trHeight w:val="300"/>
          <w:jc w:val="center"/>
        </w:trPr>
        <w:tc>
          <w:tcPr>
            <w:tcW w:w="1129" w:type="dxa"/>
            <w:shd w:val="clear" w:color="auto" w:fill="C6EFCE"/>
            <w:noWrap/>
          </w:tcPr>
          <w:p w14:paraId="1CEBD4E4" w14:textId="77777777" w:rsidR="00F74E13" w:rsidRDefault="009274FC">
            <w:pPr>
              <w:pStyle w:val="P68B1DB1-Normal13"/>
              <w:spacing w:after="0" w:line="240" w:lineRule="auto"/>
              <w:jc w:val="center"/>
              <w:rPr>
                <w:noProof/>
              </w:rPr>
            </w:pPr>
            <w:r>
              <w:rPr>
                <w:noProof/>
              </w:rPr>
              <w:t>50</w:t>
            </w:r>
          </w:p>
        </w:tc>
        <w:tc>
          <w:tcPr>
            <w:tcW w:w="1560" w:type="dxa"/>
            <w:shd w:val="clear" w:color="auto" w:fill="C6EFCE"/>
            <w:noWrap/>
          </w:tcPr>
          <w:p w14:paraId="1CEBD4E5" w14:textId="77777777" w:rsidR="00F74E13" w:rsidRDefault="009274FC">
            <w:pPr>
              <w:pStyle w:val="P68B1DB1-Normal13"/>
              <w:spacing w:after="0" w:line="240" w:lineRule="auto"/>
              <w:rPr>
                <w:noProof/>
              </w:rPr>
            </w:pPr>
            <w:r>
              <w:rPr>
                <w:noProof/>
              </w:rPr>
              <w:t xml:space="preserve">C3.I2 : </w:t>
            </w:r>
          </w:p>
          <w:p w14:paraId="1CEBD4E6" w14:textId="77777777" w:rsidR="00F74E13" w:rsidRDefault="009274FC">
            <w:pPr>
              <w:pStyle w:val="P68B1DB1-Normal13"/>
              <w:spacing w:after="0" w:line="240" w:lineRule="auto"/>
              <w:rPr>
                <w:noProof/>
              </w:rPr>
            </w:pPr>
            <w:r>
              <w:rPr>
                <w:noProof/>
              </w:rPr>
              <w:t>Investissement 2.1.e Réservoir d'innovation (instruments de fonds propres pour l'innovation)</w:t>
            </w:r>
          </w:p>
        </w:tc>
        <w:tc>
          <w:tcPr>
            <w:tcW w:w="1275" w:type="dxa"/>
            <w:shd w:val="clear" w:color="auto" w:fill="C6EFCE"/>
            <w:noWrap/>
          </w:tcPr>
          <w:p w14:paraId="1CEBD4E7"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4E8" w14:textId="77777777" w:rsidR="00F74E13" w:rsidRDefault="009274FC">
            <w:pPr>
              <w:pStyle w:val="P68B1DB1-Normal13"/>
              <w:spacing w:after="0" w:line="240" w:lineRule="auto"/>
              <w:rPr>
                <w:noProof/>
              </w:rPr>
            </w:pPr>
            <w:r>
              <w:rPr>
                <w:noProof/>
              </w:rPr>
              <w:t>Signature de la convention de financement entre le Fonds européen d'investissement et le gouvernement bulgare</w:t>
            </w:r>
          </w:p>
        </w:tc>
        <w:tc>
          <w:tcPr>
            <w:tcW w:w="1417" w:type="dxa"/>
            <w:shd w:val="clear" w:color="auto" w:fill="C6EFCE"/>
            <w:noWrap/>
          </w:tcPr>
          <w:p w14:paraId="1CEBD4E9" w14:textId="77777777" w:rsidR="00F74E13" w:rsidRDefault="009274FC">
            <w:pPr>
              <w:pStyle w:val="P68B1DB1-Normal13"/>
              <w:spacing w:after="0" w:line="240" w:lineRule="auto"/>
              <w:rPr>
                <w:noProof/>
              </w:rPr>
            </w:pPr>
            <w:r>
              <w:rPr>
                <w:noProof/>
              </w:rPr>
              <w:t xml:space="preserve">Signature de l'accord et adoption de la politique d'investissement </w:t>
            </w:r>
          </w:p>
        </w:tc>
        <w:tc>
          <w:tcPr>
            <w:tcW w:w="1276" w:type="dxa"/>
            <w:shd w:val="clear" w:color="auto" w:fill="C6EFCE"/>
            <w:noWrap/>
          </w:tcPr>
          <w:p w14:paraId="1CEBD4EA"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4EB"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EC"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4ED" w14:textId="77777777" w:rsidR="00F74E13" w:rsidRDefault="009274FC">
            <w:pPr>
              <w:pStyle w:val="P68B1DB1-Normal13"/>
              <w:spacing w:after="0" w:line="240" w:lineRule="auto"/>
              <w:jc w:val="center"/>
              <w:rPr>
                <w:noProof/>
              </w:rPr>
            </w:pPr>
            <w:r>
              <w:rPr>
                <w:noProof/>
              </w:rPr>
              <w:t>T3</w:t>
            </w:r>
          </w:p>
        </w:tc>
        <w:tc>
          <w:tcPr>
            <w:tcW w:w="1134" w:type="dxa"/>
            <w:shd w:val="clear" w:color="auto" w:fill="C6EFCE"/>
            <w:noWrap/>
          </w:tcPr>
          <w:p w14:paraId="1CEBD4EE"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tcPr>
          <w:p w14:paraId="1CEBD4EF" w14:textId="77777777" w:rsidR="00F74E13" w:rsidRDefault="009274FC">
            <w:pPr>
              <w:pStyle w:val="P68B1DB1-Normal13"/>
              <w:spacing w:after="0" w:line="240" w:lineRule="auto"/>
              <w:jc w:val="both"/>
              <w:rPr>
                <w:noProof/>
              </w:rPr>
            </w:pPr>
            <w:r>
              <w:rPr>
                <w:noProof/>
              </w:rPr>
              <w:t>Signature de la convention de financement entre le FEI et le gouvernement bulgare et adoption de la politique d'investissement du Fonds. La politique d'investissement:</w:t>
            </w:r>
          </w:p>
          <w:p w14:paraId="1CEBD4F0" w14:textId="77777777" w:rsidR="00F74E13" w:rsidRDefault="009274FC">
            <w:pPr>
              <w:pStyle w:val="P68B1DB1-ListParagraph14"/>
              <w:numPr>
                <w:ilvl w:val="0"/>
                <w:numId w:val="16"/>
              </w:numPr>
              <w:spacing w:after="0" w:line="240" w:lineRule="auto"/>
              <w:jc w:val="both"/>
              <w:rPr>
                <w:noProof/>
              </w:rPr>
            </w:pPr>
            <w:r>
              <w:rPr>
                <w:noProof/>
              </w:rPr>
              <w:t>être adoptées par les organes de gestion de l'instrument financier;</w:t>
            </w:r>
          </w:p>
          <w:p w14:paraId="1CEBD4F1" w14:textId="30CC8167" w:rsidR="00F74E13" w:rsidRDefault="009274FC">
            <w:pPr>
              <w:pStyle w:val="P68B1DB1-ListParagraph14"/>
              <w:numPr>
                <w:ilvl w:val="0"/>
                <w:numId w:val="16"/>
              </w:numPr>
              <w:spacing w:after="0" w:line="240" w:lineRule="auto"/>
              <w:jc w:val="both"/>
              <w:rPr>
                <w:noProof/>
              </w:rPr>
            </w:pPr>
            <w:r>
              <w:rPr>
                <w:noProof/>
              </w:rPr>
              <w:t>être conforme à la note d’orientation de la Commission du 22 janvier 2021 [SWD(2021) 12 final] relative aux instruments financiers;</w:t>
            </w:r>
          </w:p>
          <w:p w14:paraId="1CEBD4F2" w14:textId="77777777" w:rsidR="00F74E13" w:rsidRDefault="009274FC">
            <w:pPr>
              <w:pStyle w:val="P68B1DB1-ListParagraph14"/>
              <w:numPr>
                <w:ilvl w:val="0"/>
                <w:numId w:val="16"/>
              </w:numPr>
              <w:spacing w:after="0" w:line="240" w:lineRule="auto"/>
              <w:jc w:val="both"/>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1CEBD4F3" w14:textId="77777777" w:rsidR="00F74E13" w:rsidRDefault="009274FC">
            <w:pPr>
              <w:pStyle w:val="P68B1DB1-ListParagraph14"/>
              <w:spacing w:after="0" w:line="240" w:lineRule="auto"/>
              <w:ind w:left="360"/>
              <w:jc w:val="both"/>
              <w:rPr>
                <w:noProof/>
              </w:rPr>
            </w:pPr>
            <w:r>
              <w:rPr>
                <w:noProof/>
              </w:rPr>
              <w:t>- par le recours à l’évaluation de la durabilité,</w:t>
            </w:r>
          </w:p>
          <w:p w14:paraId="1CEBD4F4" w14:textId="77777777" w:rsidR="00F74E13" w:rsidRDefault="009274FC">
            <w:pPr>
              <w:pStyle w:val="P68B1DB1-ListParagraph14"/>
              <w:spacing w:after="0" w:line="240" w:lineRule="auto"/>
              <w:ind w:left="360"/>
              <w:jc w:val="both"/>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et iii) les activités liées aux décharges de déchets, aux incinérateurs et aux usines de traitement biologique mécanique.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en exigeant du FEI qu’il vérifie la conformité juridique avec la législation environnementale pertinente de l’UE et des États membres du bénéficiaire pour toutes les transactions, y compris celles exemptées de l’évaluation de la durabilité.</w:t>
            </w:r>
          </w:p>
          <w:p w14:paraId="1CEBD4F6" w14:textId="4AF7C72D" w:rsidR="00F74E13" w:rsidRDefault="009274FC">
            <w:pPr>
              <w:pStyle w:val="P68B1DB1-Normal13"/>
              <w:spacing w:before="120" w:after="0" w:line="240" w:lineRule="auto"/>
              <w:jc w:val="both"/>
              <w:rPr>
                <w:noProof/>
              </w:rPr>
            </w:pPr>
            <w:r>
              <w:rPr>
                <w:noProof/>
              </w:rPr>
              <w:t xml:space="preserve">Le Fonds fournit un soutien sous forme d’instruments financiers (fonds propres) aux PME et aux petites entreprises à moyenne capitalisation (entreprises comptant jusqu’à 499 salariés), y compris les jeunes pousses et les entreprises en phase de croissance précoce. Les principaux secteurs à cibler comprennent les technologies de l’information et de la communication, l’automatisation industrielle, l’intelligence artificielle, la robotique, les chaînes de blocs, les technologies financières, les sciences de la vie, la cybersécurité, les technologies quantiques, l’internet des objets, l’informatique en nuage, les technologies propres et durables, l’entrepreneuriat social et la biotechnologie, et visent à soutenir les investissements dans le capital humain, les technologies numériques et vertes, ainsi que dans la recherche, le développement et le transfert de technologies. L'instrument peut inclure une composante de transfert de technologie / création d'entreprise. L'aide est fournie par l'intermédiaire de fonds de capital-risque et de fonds de capital-investissement. </w:t>
            </w:r>
          </w:p>
          <w:p w14:paraId="1CEBD4F8" w14:textId="77777777" w:rsidR="00F74E13" w:rsidRDefault="009274FC">
            <w:pPr>
              <w:pStyle w:val="P68B1DB1-Normal13"/>
              <w:spacing w:before="120" w:after="0" w:line="240" w:lineRule="auto"/>
              <w:jc w:val="both"/>
              <w:rPr>
                <w:noProof/>
              </w:rPr>
            </w:pPr>
            <w:r>
              <w:rPr>
                <w:noProof/>
              </w:rPr>
              <w:t>Il est prévu que l’instrument soutienne au moins 30 bénéficiaires.</w:t>
            </w:r>
          </w:p>
          <w:p w14:paraId="1CEBD4FA" w14:textId="77777777" w:rsidR="00F74E13" w:rsidRDefault="009274FC">
            <w:pPr>
              <w:pStyle w:val="P68B1DB1-Normal13"/>
              <w:spacing w:before="120" w:after="0" w:line="240" w:lineRule="auto"/>
              <w:jc w:val="both"/>
              <w:rPr>
                <w:noProof/>
              </w:rPr>
            </w:pPr>
            <w:r>
              <w:rPr>
                <w:noProof/>
              </w:rPr>
              <w:t>La gestion du Fonds est confiée au Fonds européen d'investissement (FEI). Un accord de financement spécifique au titre de la FRR est signé entre le FEI et le gouvernement bulgare pour la gestion des opérations soutenues par des fonds propres au titre de la FRR. Un comité d'investissement est chargé d'approuver les opérations avec des intermédiaires proposées par le gestionnaire de fonds (FEI) sur la base des besoins du marché et d'une manière ouverte et conforme au marché.</w:t>
            </w:r>
          </w:p>
          <w:p w14:paraId="1CEBD4FC" w14:textId="77777777" w:rsidR="00F74E13" w:rsidRDefault="009274FC">
            <w:pPr>
              <w:pStyle w:val="P68B1DB1-Normal13"/>
              <w:spacing w:before="120" w:after="0" w:line="240" w:lineRule="auto"/>
              <w:jc w:val="both"/>
              <w:rPr>
                <w:noProof/>
              </w:rPr>
            </w:pPr>
            <w:r>
              <w:rPr>
                <w:noProof/>
              </w:rPr>
              <w:t>Le montant total du financement s’élève à 75 millions d’EUR.</w:t>
            </w:r>
          </w:p>
          <w:p w14:paraId="1CEBD4FE" w14:textId="77777777" w:rsidR="00F74E13" w:rsidRDefault="009274FC">
            <w:pPr>
              <w:pStyle w:val="P68B1DB1-Normal13"/>
              <w:spacing w:before="120" w:after="0" w:line="240" w:lineRule="auto"/>
              <w:jc w:val="both"/>
              <w:rPr>
                <w:noProof/>
              </w:rPr>
            </w:pPr>
            <w:r>
              <w:rPr>
                <w:noProof/>
              </w:rPr>
              <w:t xml:space="preserve">La structure du Fonds mobilise des fonds privés. </w:t>
            </w:r>
          </w:p>
          <w:p w14:paraId="1CEBD500" w14:textId="77777777" w:rsidR="00F74E13" w:rsidRDefault="009274FC">
            <w:pPr>
              <w:pStyle w:val="P68B1DB1-Normal13"/>
              <w:spacing w:before="120" w:after="0" w:line="240" w:lineRule="auto"/>
              <w:jc w:val="both"/>
              <w:rPr>
                <w:noProof/>
              </w:rPr>
            </w:pPr>
            <w:r>
              <w:rPr>
                <w:noProof/>
              </w:rPr>
              <w:t>Tous les rendements du Fonds ou des instruments financiers, y compris les remboursements, ainsi que les bénéfices obtenus grâce à l’utilisation des fonds de la FRR, moins la rémunération du gestionnaire du fonds et des intermédiaires financiers, sont utilisés pour les mêmes objectifs stratégiques, y compris après 2026.</w:t>
            </w:r>
          </w:p>
        </w:tc>
      </w:tr>
      <w:tr w:rsidR="00F74E13" w14:paraId="1CEBD50F" w14:textId="77777777" w:rsidTr="00711BE9">
        <w:trPr>
          <w:trHeight w:val="300"/>
          <w:jc w:val="center"/>
        </w:trPr>
        <w:tc>
          <w:tcPr>
            <w:tcW w:w="1129" w:type="dxa"/>
            <w:shd w:val="clear" w:color="auto" w:fill="C6EFCE"/>
            <w:noWrap/>
          </w:tcPr>
          <w:p w14:paraId="1CEBD502" w14:textId="77777777" w:rsidR="00F74E13" w:rsidRDefault="009274FC">
            <w:pPr>
              <w:pStyle w:val="P68B1DB1-Normal15"/>
              <w:spacing w:after="0" w:line="240" w:lineRule="auto"/>
              <w:jc w:val="center"/>
              <w:rPr>
                <w:noProof/>
              </w:rPr>
            </w:pPr>
            <w:r>
              <w:rPr>
                <w:noProof/>
              </w:rPr>
              <w:t>52</w:t>
            </w:r>
          </w:p>
        </w:tc>
        <w:tc>
          <w:tcPr>
            <w:tcW w:w="1560" w:type="dxa"/>
            <w:shd w:val="clear" w:color="auto" w:fill="C6EFCE"/>
            <w:noWrap/>
          </w:tcPr>
          <w:p w14:paraId="1CEBD503" w14:textId="77777777" w:rsidR="00F74E13" w:rsidRDefault="009274FC">
            <w:pPr>
              <w:pStyle w:val="P68B1DB1-Normal15"/>
              <w:spacing w:after="0" w:line="240" w:lineRule="auto"/>
              <w:rPr>
                <w:noProof/>
              </w:rPr>
            </w:pPr>
            <w:r>
              <w:rPr>
                <w:noProof/>
              </w:rPr>
              <w:t xml:space="preserve">C3.I2 : </w:t>
            </w:r>
          </w:p>
          <w:p w14:paraId="1CEBD504" w14:textId="77777777" w:rsidR="00F74E13" w:rsidRDefault="009274FC">
            <w:pPr>
              <w:pStyle w:val="P68B1DB1-Normal15"/>
              <w:spacing w:after="0" w:line="240" w:lineRule="auto"/>
              <w:rPr>
                <w:noProof/>
              </w:rPr>
            </w:pPr>
            <w:r>
              <w:rPr>
                <w:noProof/>
              </w:rPr>
              <w:t>Investissement 2.1.e Réservoir d'innovation (instruments de fonds propres pour l'innovation)</w:t>
            </w:r>
          </w:p>
        </w:tc>
        <w:tc>
          <w:tcPr>
            <w:tcW w:w="1275" w:type="dxa"/>
            <w:shd w:val="clear" w:color="auto" w:fill="C6EFCE"/>
            <w:noWrap/>
          </w:tcPr>
          <w:p w14:paraId="1CEBD505"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506" w14:textId="77777777" w:rsidR="00F74E13" w:rsidRDefault="009274FC">
            <w:pPr>
              <w:pStyle w:val="P68B1DB1-Normal15"/>
              <w:spacing w:after="0" w:line="240" w:lineRule="auto"/>
              <w:rPr>
                <w:noProof/>
              </w:rPr>
            </w:pPr>
            <w:r>
              <w:rPr>
                <w:noProof/>
              </w:rPr>
              <w:t>Opérations approuvées par le Comité d'investissement</w:t>
            </w:r>
          </w:p>
        </w:tc>
        <w:tc>
          <w:tcPr>
            <w:tcW w:w="1417" w:type="dxa"/>
            <w:shd w:val="clear" w:color="auto" w:fill="C6EFCE"/>
            <w:noWrap/>
          </w:tcPr>
          <w:p w14:paraId="1CEBD507"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508" w14:textId="77777777" w:rsidR="00F74E13" w:rsidRDefault="009274FC">
            <w:pPr>
              <w:pStyle w:val="P68B1DB1-Normal15"/>
              <w:spacing w:after="0" w:line="240" w:lineRule="auto"/>
              <w:jc w:val="center"/>
              <w:rPr>
                <w:noProof/>
              </w:rPr>
            </w:pPr>
            <w:r>
              <w:rPr>
                <w:noProof/>
              </w:rPr>
              <w:t>% (pourcentage)</w:t>
            </w:r>
          </w:p>
        </w:tc>
        <w:tc>
          <w:tcPr>
            <w:tcW w:w="1129" w:type="dxa"/>
            <w:shd w:val="clear" w:color="auto" w:fill="C6EFCE"/>
            <w:noWrap/>
          </w:tcPr>
          <w:p w14:paraId="1CEBD509"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50A" w14:textId="77777777" w:rsidR="00F74E13" w:rsidRDefault="009274FC">
            <w:pPr>
              <w:pStyle w:val="P68B1DB1-Normal15"/>
              <w:spacing w:after="0" w:line="240" w:lineRule="auto"/>
              <w:jc w:val="center"/>
              <w:rPr>
                <w:noProof/>
              </w:rPr>
            </w:pPr>
            <w:r>
              <w:rPr>
                <w:noProof/>
              </w:rPr>
              <w:t>100</w:t>
            </w:r>
          </w:p>
        </w:tc>
        <w:tc>
          <w:tcPr>
            <w:tcW w:w="1134" w:type="dxa"/>
            <w:shd w:val="clear" w:color="auto" w:fill="C6EFCE"/>
            <w:noWrap/>
          </w:tcPr>
          <w:p w14:paraId="1CEBD50B" w14:textId="77777777" w:rsidR="00F74E13" w:rsidRDefault="009274FC">
            <w:pPr>
              <w:pStyle w:val="P68B1DB1-Normal15"/>
              <w:spacing w:after="0" w:line="240" w:lineRule="auto"/>
              <w:jc w:val="center"/>
              <w:rPr>
                <w:noProof/>
              </w:rPr>
            </w:pPr>
            <w:r>
              <w:rPr>
                <w:noProof/>
              </w:rPr>
              <w:t>T2</w:t>
            </w:r>
          </w:p>
        </w:tc>
        <w:tc>
          <w:tcPr>
            <w:tcW w:w="1134" w:type="dxa"/>
            <w:shd w:val="clear" w:color="auto" w:fill="C6EFCE"/>
            <w:noWrap/>
          </w:tcPr>
          <w:p w14:paraId="1CEBD50C" w14:textId="77777777" w:rsidR="00F74E13" w:rsidRDefault="009274FC">
            <w:pPr>
              <w:pStyle w:val="P68B1DB1-Normal15"/>
              <w:spacing w:after="0" w:line="240" w:lineRule="auto"/>
              <w:jc w:val="center"/>
              <w:rPr>
                <w:noProof/>
              </w:rPr>
            </w:pPr>
            <w:r>
              <w:rPr>
                <w:noProof/>
              </w:rPr>
              <w:t>2026</w:t>
            </w:r>
          </w:p>
        </w:tc>
        <w:tc>
          <w:tcPr>
            <w:tcW w:w="3123" w:type="dxa"/>
            <w:shd w:val="clear" w:color="auto" w:fill="C6EFCE"/>
            <w:noWrap/>
          </w:tcPr>
          <w:p w14:paraId="1CEBD50E" w14:textId="35870A74" w:rsidR="00F74E13" w:rsidRDefault="009274FC">
            <w:pPr>
              <w:pStyle w:val="P68B1DB1-Normal13"/>
              <w:spacing w:after="0" w:line="240" w:lineRule="auto"/>
              <w:jc w:val="both"/>
              <w:rPr>
                <w:noProof/>
              </w:rPr>
            </w:pPr>
            <w:r>
              <w:rPr>
                <w:noProof/>
              </w:rPr>
              <w:t>Opérations de financement ou d'investissement représentant 100 % du montant total du financement ou de l'investissement approuvé par le comité d'investissement.</w:t>
            </w:r>
          </w:p>
        </w:tc>
      </w:tr>
      <w:tr w:rsidR="00F74E13" w14:paraId="1CEBD523" w14:textId="77777777" w:rsidTr="00711BE9">
        <w:trPr>
          <w:trHeight w:val="300"/>
          <w:jc w:val="center"/>
        </w:trPr>
        <w:tc>
          <w:tcPr>
            <w:tcW w:w="1129" w:type="dxa"/>
            <w:shd w:val="clear" w:color="auto" w:fill="C6EFCE"/>
            <w:noWrap/>
          </w:tcPr>
          <w:p w14:paraId="1CEBD510" w14:textId="77777777" w:rsidR="00F74E13" w:rsidRDefault="009274FC">
            <w:pPr>
              <w:pStyle w:val="P68B1DB1-Normal13"/>
              <w:spacing w:after="0" w:line="240" w:lineRule="auto"/>
              <w:jc w:val="center"/>
              <w:rPr>
                <w:noProof/>
              </w:rPr>
            </w:pPr>
            <w:r>
              <w:rPr>
                <w:noProof/>
              </w:rPr>
              <w:t>53</w:t>
            </w:r>
          </w:p>
        </w:tc>
        <w:tc>
          <w:tcPr>
            <w:tcW w:w="1560" w:type="dxa"/>
            <w:shd w:val="clear" w:color="auto" w:fill="C6EFCE"/>
            <w:noWrap/>
          </w:tcPr>
          <w:p w14:paraId="1CEBD511" w14:textId="77777777" w:rsidR="00F74E13" w:rsidRDefault="009274FC">
            <w:pPr>
              <w:pStyle w:val="P68B1DB1-Normal15"/>
              <w:spacing w:after="0" w:line="240" w:lineRule="auto"/>
              <w:rPr>
                <w:noProof/>
              </w:rPr>
            </w:pPr>
            <w:r>
              <w:rPr>
                <w:noProof/>
              </w:rPr>
              <w:t xml:space="preserve">C3.I2 : </w:t>
            </w:r>
          </w:p>
          <w:p w14:paraId="1CEBD512" w14:textId="77777777" w:rsidR="00F74E13" w:rsidRDefault="009274FC">
            <w:pPr>
              <w:pStyle w:val="P68B1DB1-Normal15"/>
              <w:spacing w:after="0" w:line="240" w:lineRule="auto"/>
              <w:rPr>
                <w:noProof/>
              </w:rPr>
            </w:pPr>
            <w:r>
              <w:rPr>
                <w:noProof/>
              </w:rPr>
              <w:t>Investissement 2.2.a - Régime de subventions pour les investissements dans les sources d’électricité renouvelables à usage propre avec des installations de stockage locales</w:t>
            </w:r>
          </w:p>
        </w:tc>
        <w:tc>
          <w:tcPr>
            <w:tcW w:w="1275" w:type="dxa"/>
            <w:shd w:val="clear" w:color="auto" w:fill="C6EFCE"/>
            <w:noWrap/>
          </w:tcPr>
          <w:p w14:paraId="1CEBD513" w14:textId="77777777" w:rsidR="00F74E13" w:rsidRDefault="009274FC">
            <w:pPr>
              <w:pStyle w:val="P68B1DB1-Normal15"/>
              <w:spacing w:after="0" w:line="240" w:lineRule="auto"/>
              <w:jc w:val="center"/>
              <w:rPr>
                <w:noProof/>
              </w:rPr>
            </w:pPr>
            <w:r>
              <w:rPr>
                <w:noProof/>
              </w:rPr>
              <w:t>Étape</w:t>
            </w:r>
          </w:p>
        </w:tc>
        <w:tc>
          <w:tcPr>
            <w:tcW w:w="1707" w:type="dxa"/>
            <w:shd w:val="clear" w:color="auto" w:fill="C6EFCE"/>
            <w:noWrap/>
          </w:tcPr>
          <w:p w14:paraId="1CEBD514" w14:textId="77777777" w:rsidR="00F74E13" w:rsidRDefault="009274FC">
            <w:pPr>
              <w:pStyle w:val="P68B1DB1-Normal13"/>
              <w:spacing w:after="0" w:line="240" w:lineRule="auto"/>
              <w:rPr>
                <w:noProof/>
              </w:rPr>
            </w:pPr>
            <w:r>
              <w:rPr>
                <w:noProof/>
              </w:rPr>
              <w:t>Projets approuvés</w:t>
            </w:r>
          </w:p>
        </w:tc>
        <w:tc>
          <w:tcPr>
            <w:tcW w:w="1417" w:type="dxa"/>
            <w:shd w:val="clear" w:color="auto" w:fill="C6EFCE"/>
            <w:noWrap/>
          </w:tcPr>
          <w:p w14:paraId="1CEBD515" w14:textId="77777777" w:rsidR="00F74E13" w:rsidRDefault="009274FC">
            <w:pPr>
              <w:pStyle w:val="P68B1DB1-Normal15"/>
              <w:spacing w:after="0" w:line="240" w:lineRule="auto"/>
              <w:rPr>
                <w:noProof/>
              </w:rPr>
            </w:pPr>
            <w:r>
              <w:rPr>
                <w:noProof/>
              </w:rPr>
              <w:t xml:space="preserve">Liste publiée des projets dont le financement a été approuvé </w:t>
            </w:r>
          </w:p>
        </w:tc>
        <w:tc>
          <w:tcPr>
            <w:tcW w:w="1276" w:type="dxa"/>
            <w:shd w:val="clear" w:color="auto" w:fill="C6EFCE"/>
            <w:noWrap/>
          </w:tcPr>
          <w:p w14:paraId="1CEBD516" w14:textId="77777777" w:rsidR="00F74E13" w:rsidRDefault="00F74E13">
            <w:pPr>
              <w:spacing w:after="0" w:line="240" w:lineRule="auto"/>
              <w:jc w:val="center"/>
              <w:rPr>
                <w:rFonts w:ascii="Times New Roman" w:hAnsi="Times New Roman"/>
                <w:noProof/>
                <w:color w:val="006100"/>
                <w:sz w:val="20"/>
              </w:rPr>
            </w:pPr>
          </w:p>
        </w:tc>
        <w:tc>
          <w:tcPr>
            <w:tcW w:w="1129" w:type="dxa"/>
            <w:shd w:val="clear" w:color="auto" w:fill="C6EFCE"/>
            <w:noWrap/>
          </w:tcPr>
          <w:p w14:paraId="1CEBD517" w14:textId="77777777" w:rsidR="00F74E13" w:rsidRDefault="00F74E13">
            <w:pPr>
              <w:spacing w:after="0" w:line="240" w:lineRule="auto"/>
              <w:jc w:val="center"/>
              <w:rPr>
                <w:rFonts w:ascii="Times New Roman" w:hAnsi="Times New Roman"/>
                <w:noProof/>
                <w:color w:val="006100"/>
                <w:sz w:val="20"/>
              </w:rPr>
            </w:pPr>
          </w:p>
        </w:tc>
        <w:tc>
          <w:tcPr>
            <w:tcW w:w="1134" w:type="dxa"/>
            <w:shd w:val="clear" w:color="auto" w:fill="C6EFCE"/>
            <w:noWrap/>
          </w:tcPr>
          <w:p w14:paraId="1CEBD518" w14:textId="77777777" w:rsidR="00F74E13" w:rsidRDefault="00F74E13">
            <w:pPr>
              <w:spacing w:after="0" w:line="240" w:lineRule="auto"/>
              <w:jc w:val="center"/>
              <w:rPr>
                <w:rFonts w:ascii="Times New Roman" w:hAnsi="Times New Roman"/>
                <w:noProof/>
                <w:color w:val="006100"/>
                <w:sz w:val="20"/>
              </w:rPr>
            </w:pPr>
          </w:p>
        </w:tc>
        <w:tc>
          <w:tcPr>
            <w:tcW w:w="1134" w:type="dxa"/>
            <w:shd w:val="clear" w:color="auto" w:fill="C6EFCE"/>
            <w:noWrap/>
          </w:tcPr>
          <w:p w14:paraId="1CEBD519" w14:textId="77777777" w:rsidR="00F74E13" w:rsidRDefault="009274FC">
            <w:pPr>
              <w:pStyle w:val="P68B1DB1-Normal12"/>
              <w:spacing w:after="0" w:line="240" w:lineRule="auto"/>
              <w:jc w:val="center"/>
              <w:rPr>
                <w:noProof/>
              </w:rPr>
            </w:pPr>
            <w:r>
              <w:rPr>
                <w:noProof/>
              </w:rPr>
              <w:t>T2</w:t>
            </w:r>
          </w:p>
        </w:tc>
        <w:tc>
          <w:tcPr>
            <w:tcW w:w="1134" w:type="dxa"/>
            <w:shd w:val="clear" w:color="auto" w:fill="C6EFCE"/>
            <w:noWrap/>
          </w:tcPr>
          <w:p w14:paraId="1CEBD51A" w14:textId="77777777" w:rsidR="00F74E13" w:rsidRDefault="009274FC">
            <w:pPr>
              <w:pStyle w:val="P68B1DB1-Normal15"/>
              <w:spacing w:after="0" w:line="240" w:lineRule="auto"/>
              <w:jc w:val="center"/>
              <w:rPr>
                <w:noProof/>
              </w:rPr>
            </w:pPr>
            <w:r>
              <w:rPr>
                <w:noProof/>
              </w:rPr>
              <w:t>2025</w:t>
            </w:r>
          </w:p>
        </w:tc>
        <w:tc>
          <w:tcPr>
            <w:tcW w:w="3123" w:type="dxa"/>
            <w:shd w:val="clear" w:color="auto" w:fill="C6EFCE"/>
            <w:noWrap/>
          </w:tcPr>
          <w:p w14:paraId="1CEBD51B" w14:textId="77777777" w:rsidR="00F74E13" w:rsidRDefault="009274FC">
            <w:pPr>
              <w:pStyle w:val="P68B1DB1-Normal15"/>
              <w:spacing w:after="0" w:line="240" w:lineRule="auto"/>
              <w:jc w:val="both"/>
              <w:rPr>
                <w:noProof/>
              </w:rPr>
            </w:pPr>
            <w:r>
              <w:rPr>
                <w:noProof/>
              </w:rPr>
              <w:t xml:space="preserve">Le </w:t>
            </w:r>
            <w:r>
              <w:rPr>
                <w:noProof/>
                <w:szCs w:val="20"/>
              </w:rPr>
              <w:t>financement total des projets approuvés est d'au moins 52 millions d'euros.</w:t>
            </w:r>
            <w:r>
              <w:rPr>
                <w:noProof/>
              </w:rPr>
              <w:t xml:space="preserve"> </w:t>
            </w:r>
          </w:p>
          <w:p w14:paraId="1CEBD51D" w14:textId="77777777" w:rsidR="00F74E13" w:rsidRDefault="009274FC">
            <w:pPr>
              <w:pStyle w:val="P68B1DB1-Normal13"/>
              <w:spacing w:before="120" w:after="0" w:line="240" w:lineRule="auto"/>
              <w:jc w:val="both"/>
              <w:rPr>
                <w:noProof/>
              </w:rPr>
            </w:pPr>
            <w:r>
              <w:rPr>
                <w:noProof/>
              </w:rPr>
              <w:t>L'appel exige que:</w:t>
            </w:r>
          </w:p>
          <w:p w14:paraId="1CEBD51E" w14:textId="77777777" w:rsidR="00F74E13" w:rsidRDefault="009274FC">
            <w:pPr>
              <w:pStyle w:val="P68B1DB1-ListParagraph14"/>
              <w:numPr>
                <w:ilvl w:val="0"/>
                <w:numId w:val="17"/>
              </w:numPr>
              <w:spacing w:after="0" w:line="240" w:lineRule="auto"/>
              <w:ind w:left="314" w:hanging="284"/>
              <w:jc w:val="both"/>
              <w:rPr>
                <w:noProof/>
              </w:rPr>
            </w:pPr>
            <w:r>
              <w:rPr>
                <w:noProof/>
              </w:rPr>
              <w:t>les bénéficiaires sont les PME, les petites entreprises à moyenne capitalisation et les entreprises à moyenne capitalisation;</w:t>
            </w:r>
          </w:p>
          <w:p w14:paraId="1CEBD51F" w14:textId="77777777" w:rsidR="00F74E13" w:rsidRDefault="009274FC">
            <w:pPr>
              <w:pStyle w:val="P68B1DB1-ListParagraph14"/>
              <w:numPr>
                <w:ilvl w:val="0"/>
                <w:numId w:val="17"/>
              </w:numPr>
              <w:spacing w:after="0" w:line="240" w:lineRule="auto"/>
              <w:ind w:left="314" w:hanging="284"/>
              <w:jc w:val="both"/>
              <w:rPr>
                <w:noProof/>
              </w:rPr>
            </w:pPr>
            <w:r>
              <w:rPr>
                <w:noProof/>
              </w:rPr>
              <w:t xml:space="preserve">les projets sélectionnés soutiennent la construction de nouvelles installations photovoltaïques d’une capacité maximale de 1 MW pour la production d’énergie à partir de sources renouvelables pour l’autoconsommation et comprennent des installations de stockage locales; </w:t>
            </w:r>
          </w:p>
          <w:p w14:paraId="1CEBD520" w14:textId="77777777" w:rsidR="00F74E13" w:rsidRDefault="009274FC">
            <w:pPr>
              <w:pStyle w:val="P68B1DB1-ListParagraph14"/>
              <w:numPr>
                <w:ilvl w:val="0"/>
                <w:numId w:val="18"/>
              </w:numPr>
              <w:spacing w:after="0" w:line="240" w:lineRule="auto"/>
              <w:ind w:left="314" w:hanging="284"/>
              <w:jc w:val="both"/>
              <w:rPr>
                <w:noProof/>
              </w:rPr>
            </w:pPr>
            <w:r>
              <w:rPr>
                <w:noProof/>
              </w:rPr>
              <w:t>les bénéficiaires sont des entreprises de tous les secteurs de la NACE, à l’exception de D — Production et distribution d’électricité, de vapeur et de combustibles gazeux et A — Agriculture, sylviculture et pêche;</w:t>
            </w:r>
          </w:p>
          <w:p w14:paraId="1CEBD521" w14:textId="77777777" w:rsidR="00F74E13" w:rsidRDefault="009274FC">
            <w:pPr>
              <w:pStyle w:val="P68B1DB1-ListParagraph14"/>
              <w:numPr>
                <w:ilvl w:val="0"/>
                <w:numId w:val="19"/>
              </w:numPr>
              <w:spacing w:after="0" w:line="240" w:lineRule="auto"/>
              <w:ind w:left="314" w:hanging="284"/>
              <w:jc w:val="both"/>
              <w:rPr>
                <w:noProof/>
              </w:rPr>
            </w:pPr>
            <w:r>
              <w:rPr>
                <w:noProof/>
              </w:rPr>
              <w:t>le financement par la subvention n’excède pas 50 % du total des coûts d’investissement éligibles;</w:t>
            </w:r>
          </w:p>
          <w:p w14:paraId="1CEBD522" w14:textId="77777777" w:rsidR="00F74E13" w:rsidRDefault="009274FC">
            <w:pPr>
              <w:pStyle w:val="P68B1DB1-ListParagraph14"/>
              <w:numPr>
                <w:ilvl w:val="0"/>
                <w:numId w:val="20"/>
              </w:numPr>
              <w:spacing w:after="0" w:line="240" w:lineRule="auto"/>
              <w:ind w:left="314" w:hanging="284"/>
              <w:jc w:val="both"/>
              <w:rPr>
                <w:noProof/>
              </w:rPr>
            </w:pPr>
            <w:r>
              <w:rPr>
                <w:noProof/>
              </w:rPr>
              <w:t xml:space="preserve">les propositions sont conformes aux orientations techniques «Ne pas causer de préjudice important» (2021/C58/01). </w:t>
            </w:r>
          </w:p>
        </w:tc>
      </w:tr>
      <w:tr w:rsidR="00F74E13" w14:paraId="1CEBD531" w14:textId="77777777" w:rsidTr="00711BE9">
        <w:trPr>
          <w:trHeight w:val="300"/>
          <w:jc w:val="center"/>
        </w:trPr>
        <w:tc>
          <w:tcPr>
            <w:tcW w:w="1129" w:type="dxa"/>
            <w:shd w:val="clear" w:color="auto" w:fill="C6EFCE"/>
            <w:noWrap/>
          </w:tcPr>
          <w:p w14:paraId="1CEBD524" w14:textId="77777777" w:rsidR="00F74E13" w:rsidRDefault="009274FC">
            <w:pPr>
              <w:pStyle w:val="P68B1DB1-Normal13"/>
              <w:spacing w:after="0" w:line="240" w:lineRule="auto"/>
              <w:jc w:val="center"/>
              <w:rPr>
                <w:noProof/>
              </w:rPr>
            </w:pPr>
            <w:r>
              <w:rPr>
                <w:noProof/>
              </w:rPr>
              <w:t>55</w:t>
            </w:r>
          </w:p>
        </w:tc>
        <w:tc>
          <w:tcPr>
            <w:tcW w:w="1560" w:type="dxa"/>
            <w:shd w:val="clear" w:color="auto" w:fill="C6EFCE"/>
            <w:noWrap/>
          </w:tcPr>
          <w:p w14:paraId="1CEBD525" w14:textId="77777777" w:rsidR="00F74E13" w:rsidRDefault="009274FC">
            <w:pPr>
              <w:pStyle w:val="P68B1DB1-Normal15"/>
              <w:spacing w:after="0" w:line="240" w:lineRule="auto"/>
              <w:rPr>
                <w:noProof/>
              </w:rPr>
            </w:pPr>
            <w:r>
              <w:rPr>
                <w:noProof/>
              </w:rPr>
              <w:t xml:space="preserve">C3.I2 : </w:t>
            </w:r>
          </w:p>
          <w:p w14:paraId="1CEBD526" w14:textId="77777777" w:rsidR="00F74E13" w:rsidRDefault="009274FC">
            <w:pPr>
              <w:pStyle w:val="P68B1DB1-Normal15"/>
              <w:spacing w:after="0" w:line="240" w:lineRule="auto"/>
              <w:rPr>
                <w:noProof/>
              </w:rPr>
            </w:pPr>
            <w:r>
              <w:rPr>
                <w:noProof/>
              </w:rPr>
              <w:t>Investissement 2.2.a - Régime de subventions pour les investissements dans les sources d’électricité renouvelables à usage propre avec des installations de stockage locales</w:t>
            </w:r>
          </w:p>
        </w:tc>
        <w:tc>
          <w:tcPr>
            <w:tcW w:w="1275" w:type="dxa"/>
            <w:shd w:val="clear" w:color="auto" w:fill="C6EFCE"/>
            <w:noWrap/>
          </w:tcPr>
          <w:p w14:paraId="1CEBD527"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528" w14:textId="77777777" w:rsidR="00F74E13" w:rsidRDefault="009274FC">
            <w:pPr>
              <w:pStyle w:val="P68B1DB1-Normal15"/>
              <w:spacing w:after="0" w:line="240" w:lineRule="auto"/>
              <w:rPr>
                <w:noProof/>
              </w:rPr>
            </w:pPr>
            <w:r>
              <w:rPr>
                <w:noProof/>
              </w:rPr>
              <w:t>Capacité des installations de stockage installées</w:t>
            </w:r>
          </w:p>
        </w:tc>
        <w:tc>
          <w:tcPr>
            <w:tcW w:w="1417" w:type="dxa"/>
            <w:shd w:val="clear" w:color="auto" w:fill="C6EFCE"/>
            <w:noWrap/>
          </w:tcPr>
          <w:p w14:paraId="1CEBD529"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52A" w14:textId="77777777" w:rsidR="00F74E13" w:rsidRDefault="009274FC">
            <w:pPr>
              <w:pStyle w:val="P68B1DB1-Normal15"/>
              <w:spacing w:after="0" w:line="240" w:lineRule="auto"/>
              <w:jc w:val="center"/>
              <w:rPr>
                <w:noProof/>
              </w:rPr>
            </w:pPr>
            <w:r>
              <w:rPr>
                <w:noProof/>
              </w:rPr>
              <w:t>Numéro</w:t>
            </w:r>
          </w:p>
          <w:p w14:paraId="1CEBD52B" w14:textId="77777777" w:rsidR="00F74E13" w:rsidRDefault="009274FC">
            <w:pPr>
              <w:pStyle w:val="P68B1DB1-Normal15"/>
              <w:spacing w:after="0" w:line="240" w:lineRule="auto"/>
              <w:jc w:val="center"/>
              <w:rPr>
                <w:noProof/>
              </w:rPr>
            </w:pPr>
            <w:r>
              <w:rPr>
                <w:noProof/>
              </w:rPr>
              <w:t>(kW)</w:t>
            </w:r>
          </w:p>
        </w:tc>
        <w:tc>
          <w:tcPr>
            <w:tcW w:w="1129" w:type="dxa"/>
            <w:shd w:val="clear" w:color="auto" w:fill="C6EFCE"/>
            <w:noWrap/>
          </w:tcPr>
          <w:p w14:paraId="1CEBD52C"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52D" w14:textId="77777777" w:rsidR="00F74E13" w:rsidRDefault="009274FC">
            <w:pPr>
              <w:pStyle w:val="P68B1DB1-Normal15"/>
              <w:spacing w:after="0" w:line="240" w:lineRule="auto"/>
              <w:jc w:val="center"/>
              <w:rPr>
                <w:noProof/>
              </w:rPr>
            </w:pPr>
            <w:r>
              <w:rPr>
                <w:noProof/>
              </w:rPr>
              <w:t>54 096</w:t>
            </w:r>
          </w:p>
        </w:tc>
        <w:tc>
          <w:tcPr>
            <w:tcW w:w="1134" w:type="dxa"/>
            <w:shd w:val="clear" w:color="auto" w:fill="C6EFCE"/>
            <w:noWrap/>
          </w:tcPr>
          <w:p w14:paraId="1CEBD52E" w14:textId="77777777" w:rsidR="00F74E13" w:rsidRDefault="009274FC">
            <w:pPr>
              <w:pStyle w:val="P68B1DB1-Normal12"/>
              <w:spacing w:after="0" w:line="240" w:lineRule="auto"/>
              <w:jc w:val="center"/>
              <w:rPr>
                <w:noProof/>
              </w:rPr>
            </w:pPr>
            <w:r>
              <w:rPr>
                <w:noProof/>
              </w:rPr>
              <w:t>T2</w:t>
            </w:r>
          </w:p>
        </w:tc>
        <w:tc>
          <w:tcPr>
            <w:tcW w:w="1134" w:type="dxa"/>
            <w:shd w:val="clear" w:color="auto" w:fill="C6EFCE"/>
            <w:noWrap/>
          </w:tcPr>
          <w:p w14:paraId="1CEBD52F" w14:textId="77777777" w:rsidR="00F74E13" w:rsidRDefault="009274FC">
            <w:pPr>
              <w:pStyle w:val="P68B1DB1-Normal15"/>
              <w:spacing w:after="0" w:line="240" w:lineRule="auto"/>
              <w:jc w:val="center"/>
              <w:rPr>
                <w:noProof/>
              </w:rPr>
            </w:pPr>
            <w:r>
              <w:rPr>
                <w:noProof/>
              </w:rPr>
              <w:t>2026</w:t>
            </w:r>
          </w:p>
        </w:tc>
        <w:tc>
          <w:tcPr>
            <w:tcW w:w="3123" w:type="dxa"/>
            <w:shd w:val="clear" w:color="auto" w:fill="C6EFCE"/>
            <w:noWrap/>
          </w:tcPr>
          <w:p w14:paraId="1CEBD530" w14:textId="206315A4" w:rsidR="00F74E13" w:rsidRDefault="009274FC">
            <w:pPr>
              <w:pStyle w:val="P68B1DB1-Normal12"/>
              <w:spacing w:after="0" w:line="240" w:lineRule="auto"/>
              <w:jc w:val="both"/>
              <w:rPr>
                <w:noProof/>
              </w:rPr>
            </w:pPr>
            <w:r>
              <w:rPr>
                <w:noProof/>
              </w:rPr>
              <w:t xml:space="preserve">54 096 kW de capacité installée pour les installations de stockage. </w:t>
            </w:r>
          </w:p>
        </w:tc>
      </w:tr>
      <w:tr w:rsidR="00F74E13" w14:paraId="1CEBD54C" w14:textId="77777777" w:rsidTr="00711BE9">
        <w:trPr>
          <w:trHeight w:val="300"/>
          <w:jc w:val="center"/>
        </w:trPr>
        <w:tc>
          <w:tcPr>
            <w:tcW w:w="1129" w:type="dxa"/>
            <w:shd w:val="clear" w:color="auto" w:fill="C6EFCE"/>
            <w:noWrap/>
          </w:tcPr>
          <w:p w14:paraId="1CEBD532" w14:textId="77777777" w:rsidR="00F74E13" w:rsidRDefault="009274FC">
            <w:pPr>
              <w:pStyle w:val="P68B1DB1-Normal13"/>
              <w:spacing w:after="0" w:line="240" w:lineRule="auto"/>
              <w:jc w:val="center"/>
              <w:rPr>
                <w:noProof/>
              </w:rPr>
            </w:pPr>
            <w:r>
              <w:rPr>
                <w:noProof/>
              </w:rPr>
              <w:t>56</w:t>
            </w:r>
          </w:p>
        </w:tc>
        <w:tc>
          <w:tcPr>
            <w:tcW w:w="1560" w:type="dxa"/>
            <w:shd w:val="clear" w:color="auto" w:fill="C6EFCE"/>
            <w:noWrap/>
          </w:tcPr>
          <w:p w14:paraId="1CEBD533" w14:textId="77777777" w:rsidR="00F74E13" w:rsidRDefault="009274FC">
            <w:pPr>
              <w:pStyle w:val="P68B1DB1-Normal13"/>
              <w:spacing w:after="0" w:line="240" w:lineRule="auto"/>
              <w:rPr>
                <w:noProof/>
              </w:rPr>
            </w:pPr>
            <w:r>
              <w:rPr>
                <w:noProof/>
              </w:rPr>
              <w:t xml:space="preserve">C3.I2 : </w:t>
            </w:r>
          </w:p>
          <w:p w14:paraId="1CEBD534" w14:textId="77777777" w:rsidR="00F74E13" w:rsidRDefault="009274FC">
            <w:pPr>
              <w:pStyle w:val="P68B1DB1-Normal13"/>
              <w:spacing w:after="0" w:line="240" w:lineRule="auto"/>
              <w:rPr>
                <w:noProof/>
              </w:rPr>
            </w:pPr>
            <w:r>
              <w:rPr>
                <w:noProof/>
              </w:rPr>
              <w:t>Investissement 2.2.b - Instrument de garantie pour l'efficacité énergétique et les énergies renouvelables</w:t>
            </w:r>
          </w:p>
        </w:tc>
        <w:tc>
          <w:tcPr>
            <w:tcW w:w="1275" w:type="dxa"/>
            <w:shd w:val="clear" w:color="auto" w:fill="C6EFCE"/>
            <w:noWrap/>
          </w:tcPr>
          <w:p w14:paraId="1CEBD535"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536" w14:textId="77777777" w:rsidR="00F74E13" w:rsidRDefault="009274FC">
            <w:pPr>
              <w:pStyle w:val="P68B1DB1-Normal13"/>
              <w:spacing w:after="0" w:line="240" w:lineRule="auto"/>
              <w:rPr>
                <w:noProof/>
              </w:rPr>
            </w:pPr>
            <w:r>
              <w:rPr>
                <w:noProof/>
              </w:rPr>
              <w:t>Signature de la convention de contribution entre la Commission européenne et le gouvernement de la République de Bulgarie</w:t>
            </w:r>
          </w:p>
        </w:tc>
        <w:tc>
          <w:tcPr>
            <w:tcW w:w="1417" w:type="dxa"/>
            <w:shd w:val="clear" w:color="auto" w:fill="C6EFCE"/>
            <w:noWrap/>
          </w:tcPr>
          <w:p w14:paraId="1CEBD537" w14:textId="77777777" w:rsidR="00F74E13" w:rsidRDefault="009274FC">
            <w:pPr>
              <w:pStyle w:val="P68B1DB1-Normal13"/>
              <w:spacing w:after="0" w:line="240" w:lineRule="auto"/>
              <w:rPr>
                <w:noProof/>
              </w:rPr>
            </w:pPr>
            <w:r>
              <w:rPr>
                <w:noProof/>
              </w:rPr>
              <w:t>Accord signé</w:t>
            </w:r>
          </w:p>
        </w:tc>
        <w:tc>
          <w:tcPr>
            <w:tcW w:w="1276" w:type="dxa"/>
            <w:shd w:val="clear" w:color="auto" w:fill="C6EFCE"/>
            <w:noWrap/>
          </w:tcPr>
          <w:p w14:paraId="1CEBD538"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539"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53A"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53B" w14:textId="77777777" w:rsidR="00F74E13" w:rsidRDefault="009274FC">
            <w:pPr>
              <w:pStyle w:val="P68B1DB1-Normal13"/>
              <w:spacing w:after="0" w:line="240" w:lineRule="auto"/>
              <w:jc w:val="center"/>
              <w:rPr>
                <w:noProof/>
              </w:rPr>
            </w:pPr>
            <w:r>
              <w:rPr>
                <w:noProof/>
              </w:rPr>
              <w:t>T3</w:t>
            </w:r>
          </w:p>
        </w:tc>
        <w:tc>
          <w:tcPr>
            <w:tcW w:w="1134" w:type="dxa"/>
            <w:shd w:val="clear" w:color="auto" w:fill="C6EFCE"/>
            <w:noWrap/>
          </w:tcPr>
          <w:p w14:paraId="1CEBD53C"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tcPr>
          <w:p w14:paraId="1CEBD53D" w14:textId="77777777" w:rsidR="00F74E13" w:rsidRDefault="009274FC">
            <w:pPr>
              <w:pStyle w:val="P68B1DB1-Normal12"/>
              <w:spacing w:after="0" w:line="240" w:lineRule="auto"/>
              <w:jc w:val="both"/>
              <w:rPr>
                <w:noProof/>
              </w:rPr>
            </w:pPr>
            <w:r>
              <w:rPr>
                <w:noProof/>
              </w:rPr>
              <w:t>La convention de contribution entre la Commission européenne et le gouvernement bulgare:</w:t>
            </w:r>
          </w:p>
          <w:p w14:paraId="1CEBD53E" w14:textId="77777777" w:rsidR="00F74E13" w:rsidRDefault="009274FC">
            <w:pPr>
              <w:pStyle w:val="P68B1DB1-ListParagraph16"/>
              <w:numPr>
                <w:ilvl w:val="0"/>
                <w:numId w:val="21"/>
              </w:numPr>
              <w:spacing w:after="0" w:line="240" w:lineRule="auto"/>
              <w:ind w:left="360"/>
              <w:jc w:val="both"/>
              <w:rPr>
                <w:noProof/>
              </w:rPr>
            </w:pPr>
            <w:r>
              <w:rPr>
                <w:noProof/>
              </w:rPr>
              <w:t xml:space="preserve">exiger l’application des orientations techniques de la Commission sur l’évaluation de la durabilité pour le Fonds InvestEU; </w:t>
            </w:r>
          </w:p>
          <w:p w14:paraId="1CEBD53F" w14:textId="77777777" w:rsidR="00F74E13" w:rsidRDefault="009274FC">
            <w:pPr>
              <w:pStyle w:val="P68B1DB1-ListParagraph16"/>
              <w:numPr>
                <w:ilvl w:val="0"/>
                <w:numId w:val="21"/>
              </w:numPr>
              <w:spacing w:after="0" w:line="240" w:lineRule="auto"/>
              <w:ind w:left="360"/>
              <w:jc w:val="both"/>
              <w:rPr>
                <w:noProof/>
              </w:rPr>
            </w:pPr>
            <w:r>
              <w:rPr>
                <w:noProof/>
              </w:rPr>
              <w:t>exclure de l’éligibilité les activités et les actifs figurant sur la liste d’exclusion spécifiée dans la description de la mesure;</w:t>
            </w:r>
          </w:p>
          <w:p w14:paraId="1CEBD540" w14:textId="3A6B3C0F" w:rsidR="00F74E13" w:rsidRDefault="009274FC">
            <w:pPr>
              <w:pStyle w:val="P68B1DB1-ListParagraph16"/>
              <w:numPr>
                <w:ilvl w:val="0"/>
                <w:numId w:val="21"/>
              </w:numPr>
              <w:spacing w:after="0" w:line="240" w:lineRule="auto"/>
              <w:ind w:left="360"/>
              <w:jc w:val="both"/>
              <w:rPr>
                <w:noProof/>
              </w:rPr>
            </w:pPr>
            <w:r>
              <w:rPr>
                <w:noProof/>
              </w:rPr>
              <w:t>inclure des critères visant à garantir que l’instrument financier est conforme à la note d’orientation de la Commission du 22 janvier 2021 [SWD(2021) 12 final] relative aux instruments financiers.</w:t>
            </w:r>
          </w:p>
          <w:p w14:paraId="1CEBD541" w14:textId="77777777" w:rsidR="00F74E13" w:rsidRDefault="009274FC">
            <w:pPr>
              <w:pStyle w:val="P68B1DB1-Normal12"/>
              <w:spacing w:after="0" w:line="240" w:lineRule="auto"/>
              <w:jc w:val="both"/>
              <w:rPr>
                <w:noProof/>
              </w:rPr>
            </w:pPr>
            <w:r>
              <w:rPr>
                <w:noProof/>
              </w:rPr>
              <w:t>Étant donné que l’instrument proposé est mis en œuvre à la suite d’une contribution à InvestEU, les points a) et b) ci-dessus sont assurés par l’application des dispositions d’InvestEU et de la politique de prêt et des critères d’exclusion du partenaire chargé de la mise en œuvre sélectionné. Des exclusions supplémentaires nécessaires pour garantir le respect des orientations techniques «Ne pas causer de préjudice important» (2021/C58/01) – y compris en ce qui concerne les déchets – sont précisées dans l’accord de garantie entre la Commission européenne et le Fonds européen d’investissement (FEI).</w:t>
            </w:r>
          </w:p>
          <w:p w14:paraId="1CEBD543" w14:textId="77777777" w:rsidR="00F74E13" w:rsidRDefault="009274FC">
            <w:pPr>
              <w:pStyle w:val="P68B1DB1-Normal12"/>
              <w:spacing w:before="120" w:after="0" w:line="240" w:lineRule="auto"/>
              <w:jc w:val="both"/>
              <w:rPr>
                <w:noProof/>
              </w:rPr>
            </w:pPr>
            <w:r>
              <w:rPr>
                <w:noProof/>
              </w:rPr>
              <w:t xml:space="preserve">L’instrument de garantie prend la forme d’une garantie de portefeuille, mise en œuvre par le FEI, et fournit des financements et des investissements dans l’amélioration de l’efficacité énergétique et les énergies renouvelables aux PME, aux petites entreprises à moyenne capitalisation et aux particuliers, au moyen de fonds de roulement, y compris des lignes de crédit révoltantes, des prêts à l’investissement ou du crédit-bail. Les secteurs à soutenir sont définis à la suite d'une évaluation détaillée du marché. </w:t>
            </w:r>
          </w:p>
          <w:p w14:paraId="1CEBD545" w14:textId="7A831CA8" w:rsidR="00F74E13" w:rsidRDefault="009274FC">
            <w:pPr>
              <w:pStyle w:val="P68B1DB1-Normal12"/>
              <w:spacing w:before="120" w:after="0" w:line="240" w:lineRule="auto"/>
              <w:jc w:val="both"/>
              <w:rPr>
                <w:noProof/>
              </w:rPr>
            </w:pPr>
            <w:r>
              <w:rPr>
                <w:noProof/>
              </w:rPr>
              <w:t xml:space="preserve">L’instrument devrait venir en aide à au moins 450 bénéficiaires. </w:t>
            </w:r>
          </w:p>
          <w:p w14:paraId="1CEBD547" w14:textId="0C6BF4E2" w:rsidR="00F74E13" w:rsidRDefault="009274FC">
            <w:pPr>
              <w:pStyle w:val="P68B1DB1-Normal12"/>
              <w:spacing w:before="120" w:after="0" w:line="240" w:lineRule="auto"/>
              <w:jc w:val="both"/>
              <w:rPr>
                <w:noProof/>
              </w:rPr>
            </w:pPr>
            <w:r>
              <w:rPr>
                <w:noProof/>
              </w:rPr>
              <w:t xml:space="preserve">Le montant total du financement de l’instrument au titre de la FRR est d’au moins 75 millions d’EUR. </w:t>
            </w:r>
          </w:p>
          <w:p w14:paraId="1CEBD549" w14:textId="77777777" w:rsidR="00F74E13" w:rsidRDefault="009274FC">
            <w:pPr>
              <w:pStyle w:val="P68B1DB1-Normal12"/>
              <w:spacing w:before="120" w:after="0" w:line="240" w:lineRule="auto"/>
              <w:jc w:val="both"/>
              <w:rPr>
                <w:noProof/>
              </w:rPr>
            </w:pPr>
            <w:r>
              <w:rPr>
                <w:noProof/>
              </w:rPr>
              <w:t xml:space="preserve">La structure de l'instrument permet de mobiliser des fonds privés. </w:t>
            </w:r>
          </w:p>
          <w:p w14:paraId="1CEBD54B" w14:textId="77777777" w:rsidR="00F74E13" w:rsidRDefault="009274FC">
            <w:pPr>
              <w:pStyle w:val="P68B1DB1-Normal12"/>
              <w:spacing w:before="120" w:after="0" w:line="240" w:lineRule="auto"/>
              <w:jc w:val="both"/>
              <w:rPr>
                <w:noProof/>
              </w:rPr>
            </w:pPr>
            <w:r>
              <w:rPr>
                <w:noProof/>
              </w:rPr>
              <w:t>Tous les rendements de l’instrument financier, y compris les remboursements, ainsi que les bénéfices obtenus grâce à l’utilisation des fonds de la FRR, moins la rémunération du gestionnaire de fonds et des intermédiaires financiers, sont utilisés pour les mêmes objectifs stratégiques, y compris après 2026.</w:t>
            </w:r>
          </w:p>
        </w:tc>
      </w:tr>
      <w:tr w:rsidR="00F74E13" w14:paraId="1CEBD559" w14:textId="77777777" w:rsidTr="00711BE9">
        <w:trPr>
          <w:trHeight w:val="300"/>
          <w:jc w:val="center"/>
        </w:trPr>
        <w:tc>
          <w:tcPr>
            <w:tcW w:w="1129" w:type="dxa"/>
            <w:shd w:val="clear" w:color="auto" w:fill="C6EFCE"/>
            <w:noWrap/>
          </w:tcPr>
          <w:p w14:paraId="1CEBD54D" w14:textId="77777777" w:rsidR="00F74E13" w:rsidRDefault="009274FC">
            <w:pPr>
              <w:pStyle w:val="P68B1DB1-Normal15"/>
              <w:spacing w:after="0" w:line="240" w:lineRule="auto"/>
              <w:jc w:val="center"/>
              <w:rPr>
                <w:noProof/>
              </w:rPr>
            </w:pPr>
            <w:r>
              <w:rPr>
                <w:noProof/>
              </w:rPr>
              <w:t>58</w:t>
            </w:r>
          </w:p>
        </w:tc>
        <w:tc>
          <w:tcPr>
            <w:tcW w:w="1560" w:type="dxa"/>
            <w:shd w:val="clear" w:color="auto" w:fill="C6EFCE"/>
            <w:noWrap/>
          </w:tcPr>
          <w:p w14:paraId="1CEBD54E" w14:textId="77777777" w:rsidR="00F74E13" w:rsidRDefault="009274FC">
            <w:pPr>
              <w:pStyle w:val="P68B1DB1-Normal15"/>
              <w:spacing w:after="0" w:line="240" w:lineRule="auto"/>
              <w:rPr>
                <w:noProof/>
              </w:rPr>
            </w:pPr>
            <w:r>
              <w:rPr>
                <w:noProof/>
              </w:rPr>
              <w:t xml:space="preserve">C3.I2 : </w:t>
            </w:r>
          </w:p>
          <w:p w14:paraId="1CEBD54F" w14:textId="77777777" w:rsidR="00F74E13" w:rsidRDefault="009274FC">
            <w:pPr>
              <w:pStyle w:val="P68B1DB1-Normal15"/>
              <w:spacing w:after="0" w:line="240" w:lineRule="auto"/>
              <w:rPr>
                <w:noProof/>
              </w:rPr>
            </w:pPr>
            <w:r>
              <w:rPr>
                <w:noProof/>
              </w:rPr>
              <w:t>Investissement 2.2.b - Instrument de garantie pour l'efficacité énergétique et les énergies renouvelables</w:t>
            </w:r>
          </w:p>
        </w:tc>
        <w:tc>
          <w:tcPr>
            <w:tcW w:w="1275" w:type="dxa"/>
            <w:shd w:val="clear" w:color="auto" w:fill="C6EFCE"/>
            <w:noWrap/>
          </w:tcPr>
          <w:p w14:paraId="1CEBD550"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551" w14:textId="77777777" w:rsidR="00F74E13" w:rsidRDefault="009274FC">
            <w:pPr>
              <w:pStyle w:val="P68B1DB1-Normal13"/>
              <w:spacing w:after="0" w:line="240" w:lineRule="auto"/>
              <w:rPr>
                <w:noProof/>
              </w:rPr>
            </w:pPr>
            <w:r>
              <w:rPr>
                <w:noProof/>
              </w:rPr>
              <w:t>Opérations de financement ou d’investissement approuvées par le comité d’investissement InvestEU</w:t>
            </w:r>
          </w:p>
        </w:tc>
        <w:tc>
          <w:tcPr>
            <w:tcW w:w="1417" w:type="dxa"/>
            <w:shd w:val="clear" w:color="auto" w:fill="C6EFCE"/>
            <w:noWrap/>
          </w:tcPr>
          <w:p w14:paraId="1CEBD552"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553" w14:textId="77777777" w:rsidR="00F74E13" w:rsidRDefault="009274FC">
            <w:pPr>
              <w:pStyle w:val="P68B1DB1-Normal15"/>
              <w:spacing w:after="0" w:line="240" w:lineRule="auto"/>
              <w:jc w:val="center"/>
              <w:rPr>
                <w:noProof/>
              </w:rPr>
            </w:pPr>
            <w:r>
              <w:rPr>
                <w:noProof/>
              </w:rPr>
              <w:t>% (pourcentage)</w:t>
            </w:r>
          </w:p>
        </w:tc>
        <w:tc>
          <w:tcPr>
            <w:tcW w:w="1129" w:type="dxa"/>
            <w:shd w:val="clear" w:color="auto" w:fill="C6EFCE"/>
            <w:noWrap/>
          </w:tcPr>
          <w:p w14:paraId="1CEBD554" w14:textId="77777777" w:rsidR="00F74E13" w:rsidRDefault="009274FC">
            <w:pPr>
              <w:pStyle w:val="P68B1DB1-Normal13"/>
              <w:spacing w:after="0" w:line="240" w:lineRule="auto"/>
              <w:jc w:val="center"/>
              <w:rPr>
                <w:noProof/>
              </w:rPr>
            </w:pPr>
            <w:r>
              <w:rPr>
                <w:noProof/>
              </w:rPr>
              <w:t>0</w:t>
            </w:r>
          </w:p>
        </w:tc>
        <w:tc>
          <w:tcPr>
            <w:tcW w:w="1134" w:type="dxa"/>
            <w:shd w:val="clear" w:color="auto" w:fill="C6EFCE"/>
            <w:noWrap/>
          </w:tcPr>
          <w:p w14:paraId="1CEBD555" w14:textId="77777777" w:rsidR="00F74E13" w:rsidRDefault="009274FC">
            <w:pPr>
              <w:pStyle w:val="P68B1DB1-Normal15"/>
              <w:spacing w:after="0" w:line="240" w:lineRule="auto"/>
              <w:jc w:val="center"/>
              <w:rPr>
                <w:noProof/>
              </w:rPr>
            </w:pPr>
            <w:r>
              <w:rPr>
                <w:noProof/>
              </w:rPr>
              <w:t>100</w:t>
            </w:r>
          </w:p>
        </w:tc>
        <w:tc>
          <w:tcPr>
            <w:tcW w:w="1134" w:type="dxa"/>
            <w:shd w:val="clear" w:color="auto" w:fill="C6EFCE"/>
            <w:noWrap/>
          </w:tcPr>
          <w:p w14:paraId="1CEBD556" w14:textId="77777777" w:rsidR="00F74E13" w:rsidRDefault="009274FC">
            <w:pPr>
              <w:pStyle w:val="P68B1DB1-Normal12"/>
              <w:spacing w:after="0" w:line="240" w:lineRule="auto"/>
              <w:jc w:val="center"/>
              <w:rPr>
                <w:noProof/>
              </w:rPr>
            </w:pPr>
            <w:r>
              <w:rPr>
                <w:noProof/>
              </w:rPr>
              <w:t>T2</w:t>
            </w:r>
          </w:p>
        </w:tc>
        <w:tc>
          <w:tcPr>
            <w:tcW w:w="1134" w:type="dxa"/>
            <w:shd w:val="clear" w:color="auto" w:fill="C6EFCE"/>
            <w:noWrap/>
          </w:tcPr>
          <w:p w14:paraId="1CEBD557" w14:textId="77777777" w:rsidR="00F74E13" w:rsidRDefault="009274FC">
            <w:pPr>
              <w:pStyle w:val="P68B1DB1-Normal15"/>
              <w:spacing w:after="0" w:line="240" w:lineRule="auto"/>
              <w:jc w:val="center"/>
              <w:rPr>
                <w:noProof/>
              </w:rPr>
            </w:pPr>
            <w:r>
              <w:rPr>
                <w:noProof/>
              </w:rPr>
              <w:t>2025</w:t>
            </w:r>
          </w:p>
        </w:tc>
        <w:tc>
          <w:tcPr>
            <w:tcW w:w="3123" w:type="dxa"/>
            <w:shd w:val="clear" w:color="auto" w:fill="C6EFCE"/>
            <w:noWrap/>
          </w:tcPr>
          <w:p w14:paraId="1CEBD558" w14:textId="77777777" w:rsidR="00F74E13" w:rsidRDefault="009274FC">
            <w:pPr>
              <w:pStyle w:val="P68B1DB1-Normal13"/>
              <w:spacing w:after="0" w:line="240" w:lineRule="auto"/>
              <w:jc w:val="both"/>
              <w:rPr>
                <w:noProof/>
              </w:rPr>
            </w:pPr>
            <w:r>
              <w:rPr>
                <w:noProof/>
              </w:rPr>
              <w:t>Opérations de financement ou d’investissement approuvées par le comité d’investissement InvestEU représentant 100 % de la garantie de l’UE au titre du compartiment «Bulgarie», à l’exclusion des coûts et frais connexes.</w:t>
            </w:r>
          </w:p>
        </w:tc>
      </w:tr>
      <w:tr w:rsidR="00F74E13" w14:paraId="1CEBD56D" w14:textId="77777777" w:rsidTr="00711BE9">
        <w:trPr>
          <w:trHeight w:val="300"/>
          <w:jc w:val="center"/>
        </w:trPr>
        <w:tc>
          <w:tcPr>
            <w:tcW w:w="1129" w:type="dxa"/>
            <w:shd w:val="clear" w:color="auto" w:fill="C6EFCE"/>
            <w:noWrap/>
          </w:tcPr>
          <w:p w14:paraId="1CEBD55A" w14:textId="77777777" w:rsidR="00F74E13" w:rsidRDefault="009274FC">
            <w:pPr>
              <w:pStyle w:val="P68B1DB1-Normal15"/>
              <w:spacing w:after="0" w:line="240" w:lineRule="auto"/>
              <w:jc w:val="center"/>
              <w:rPr>
                <w:noProof/>
              </w:rPr>
            </w:pPr>
            <w:r>
              <w:rPr>
                <w:noProof/>
              </w:rPr>
              <w:t>59</w:t>
            </w:r>
          </w:p>
        </w:tc>
        <w:tc>
          <w:tcPr>
            <w:tcW w:w="1560" w:type="dxa"/>
            <w:shd w:val="clear" w:color="auto" w:fill="C6EFCE"/>
            <w:noWrap/>
          </w:tcPr>
          <w:p w14:paraId="1CEBD55B" w14:textId="77777777" w:rsidR="00F74E13" w:rsidRDefault="009274FC">
            <w:pPr>
              <w:pStyle w:val="P68B1DB1-Normal15"/>
              <w:spacing w:after="0" w:line="240" w:lineRule="auto"/>
              <w:rPr>
                <w:noProof/>
              </w:rPr>
            </w:pPr>
            <w:r>
              <w:rPr>
                <w:noProof/>
              </w:rPr>
              <w:t xml:space="preserve">C3.I2 : </w:t>
            </w:r>
          </w:p>
          <w:p w14:paraId="1CEBD55C" w14:textId="77777777" w:rsidR="00F74E13" w:rsidRDefault="009274FC">
            <w:pPr>
              <w:pStyle w:val="P68B1DB1-Normal15"/>
              <w:spacing w:after="0" w:line="240" w:lineRule="auto"/>
              <w:rPr>
                <w:noProof/>
              </w:rPr>
            </w:pPr>
            <w:r>
              <w:rPr>
                <w:noProof/>
              </w:rPr>
              <w:t>Investissement 2.2.c Régime de subventions pour le soutien aux entreprises dans la transition vers une économie circulaire</w:t>
            </w:r>
          </w:p>
        </w:tc>
        <w:tc>
          <w:tcPr>
            <w:tcW w:w="1275" w:type="dxa"/>
            <w:shd w:val="clear" w:color="auto" w:fill="C6EFCE"/>
            <w:noWrap/>
          </w:tcPr>
          <w:p w14:paraId="1CEBD55D" w14:textId="77777777" w:rsidR="00F74E13" w:rsidRDefault="009274FC">
            <w:pPr>
              <w:pStyle w:val="P68B1DB1-Normal15"/>
              <w:spacing w:after="0" w:line="240" w:lineRule="auto"/>
              <w:jc w:val="center"/>
              <w:rPr>
                <w:noProof/>
              </w:rPr>
            </w:pPr>
            <w:r>
              <w:rPr>
                <w:noProof/>
              </w:rPr>
              <w:t>Étape</w:t>
            </w:r>
          </w:p>
        </w:tc>
        <w:tc>
          <w:tcPr>
            <w:tcW w:w="1707" w:type="dxa"/>
            <w:shd w:val="clear" w:color="auto" w:fill="C6EFCE"/>
            <w:noWrap/>
          </w:tcPr>
          <w:p w14:paraId="1CEBD55E" w14:textId="77777777" w:rsidR="00F74E13" w:rsidRDefault="009274FC">
            <w:pPr>
              <w:pStyle w:val="P68B1DB1-Normal13"/>
              <w:spacing w:after="0" w:line="240" w:lineRule="auto"/>
              <w:rPr>
                <w:noProof/>
              </w:rPr>
            </w:pPr>
            <w:r>
              <w:rPr>
                <w:noProof/>
              </w:rPr>
              <w:t xml:space="preserve">Projets approuvés </w:t>
            </w:r>
          </w:p>
        </w:tc>
        <w:tc>
          <w:tcPr>
            <w:tcW w:w="1417" w:type="dxa"/>
            <w:shd w:val="clear" w:color="auto" w:fill="C6EFCE"/>
            <w:noWrap/>
          </w:tcPr>
          <w:p w14:paraId="1CEBD55F" w14:textId="77777777" w:rsidR="00F74E13" w:rsidRDefault="009274FC">
            <w:pPr>
              <w:pStyle w:val="P68B1DB1-Normal15"/>
              <w:spacing w:after="0" w:line="240" w:lineRule="auto"/>
              <w:rPr>
                <w:noProof/>
              </w:rPr>
            </w:pPr>
            <w:r>
              <w:rPr>
                <w:noProof/>
              </w:rPr>
              <w:t xml:space="preserve">Liste publiée des projets dont le financement a été approuvé </w:t>
            </w:r>
          </w:p>
        </w:tc>
        <w:tc>
          <w:tcPr>
            <w:tcW w:w="1276" w:type="dxa"/>
            <w:shd w:val="clear" w:color="auto" w:fill="C6EFCE"/>
            <w:noWrap/>
          </w:tcPr>
          <w:p w14:paraId="1CEBD560" w14:textId="77777777" w:rsidR="00F74E13" w:rsidRDefault="00F74E13">
            <w:pPr>
              <w:spacing w:after="0" w:line="240" w:lineRule="auto"/>
              <w:jc w:val="center"/>
              <w:rPr>
                <w:rFonts w:ascii="Times New Roman" w:hAnsi="Times New Roman"/>
                <w:noProof/>
                <w:color w:val="006100"/>
                <w:sz w:val="20"/>
              </w:rPr>
            </w:pPr>
          </w:p>
        </w:tc>
        <w:tc>
          <w:tcPr>
            <w:tcW w:w="1129" w:type="dxa"/>
            <w:shd w:val="clear" w:color="auto" w:fill="C6EFCE"/>
            <w:noWrap/>
          </w:tcPr>
          <w:p w14:paraId="1CEBD561" w14:textId="77777777" w:rsidR="00F74E13" w:rsidRDefault="00F74E13">
            <w:pPr>
              <w:spacing w:after="0" w:line="240" w:lineRule="auto"/>
              <w:jc w:val="center"/>
              <w:rPr>
                <w:rFonts w:ascii="Times New Roman" w:hAnsi="Times New Roman"/>
                <w:noProof/>
                <w:color w:val="006100"/>
                <w:sz w:val="20"/>
              </w:rPr>
            </w:pPr>
          </w:p>
        </w:tc>
        <w:tc>
          <w:tcPr>
            <w:tcW w:w="1134" w:type="dxa"/>
            <w:shd w:val="clear" w:color="auto" w:fill="C6EFCE"/>
            <w:noWrap/>
          </w:tcPr>
          <w:p w14:paraId="1CEBD562" w14:textId="77777777" w:rsidR="00F74E13" w:rsidRDefault="00F74E13">
            <w:pPr>
              <w:spacing w:after="0" w:line="240" w:lineRule="auto"/>
              <w:jc w:val="center"/>
              <w:rPr>
                <w:rFonts w:ascii="Times New Roman" w:hAnsi="Times New Roman"/>
                <w:noProof/>
                <w:color w:val="006100"/>
                <w:sz w:val="20"/>
              </w:rPr>
            </w:pPr>
          </w:p>
        </w:tc>
        <w:tc>
          <w:tcPr>
            <w:tcW w:w="1134" w:type="dxa"/>
            <w:shd w:val="clear" w:color="auto" w:fill="C6EFCE"/>
            <w:noWrap/>
          </w:tcPr>
          <w:p w14:paraId="1CEBD563" w14:textId="77777777" w:rsidR="00F74E13" w:rsidRDefault="009274FC">
            <w:pPr>
              <w:pStyle w:val="P68B1DB1-Normal15"/>
              <w:spacing w:after="0" w:line="240" w:lineRule="auto"/>
              <w:jc w:val="center"/>
              <w:rPr>
                <w:noProof/>
              </w:rPr>
            </w:pPr>
            <w:r>
              <w:rPr>
                <w:noProof/>
              </w:rPr>
              <w:t>T2</w:t>
            </w:r>
          </w:p>
        </w:tc>
        <w:tc>
          <w:tcPr>
            <w:tcW w:w="1134" w:type="dxa"/>
            <w:shd w:val="clear" w:color="auto" w:fill="C6EFCE"/>
            <w:noWrap/>
          </w:tcPr>
          <w:p w14:paraId="1CEBD564" w14:textId="77777777" w:rsidR="00F74E13" w:rsidRDefault="009274FC">
            <w:pPr>
              <w:pStyle w:val="P68B1DB1-Normal12"/>
              <w:spacing w:after="0" w:line="240" w:lineRule="auto"/>
              <w:jc w:val="center"/>
              <w:rPr>
                <w:noProof/>
              </w:rPr>
            </w:pPr>
            <w:r>
              <w:rPr>
                <w:noProof/>
              </w:rPr>
              <w:t>2025</w:t>
            </w:r>
          </w:p>
        </w:tc>
        <w:tc>
          <w:tcPr>
            <w:tcW w:w="3123" w:type="dxa"/>
            <w:shd w:val="clear" w:color="auto" w:fill="C6EFCE"/>
            <w:noWrap/>
          </w:tcPr>
          <w:p w14:paraId="1CEBD565" w14:textId="77777777" w:rsidR="00F74E13" w:rsidRDefault="009274FC">
            <w:pPr>
              <w:pStyle w:val="P68B1DB1-Normal13"/>
              <w:spacing w:after="0" w:line="240" w:lineRule="auto"/>
              <w:jc w:val="both"/>
              <w:rPr>
                <w:noProof/>
              </w:rPr>
            </w:pPr>
            <w:r>
              <w:rPr>
                <w:noProof/>
              </w:rPr>
              <w:t xml:space="preserve">Le financement total des projets approuvés est d'au moins 83 millions d'euros. </w:t>
            </w:r>
          </w:p>
          <w:p w14:paraId="1CEBD567" w14:textId="77777777" w:rsidR="00F74E13" w:rsidRDefault="009274FC">
            <w:pPr>
              <w:pStyle w:val="P68B1DB1-Normal13"/>
              <w:spacing w:before="120" w:after="0" w:line="240" w:lineRule="auto"/>
              <w:jc w:val="both"/>
              <w:rPr>
                <w:noProof/>
              </w:rPr>
            </w:pPr>
            <w:r>
              <w:rPr>
                <w:noProof/>
              </w:rPr>
              <w:t xml:space="preserve">L'appel exige que: </w:t>
            </w:r>
          </w:p>
          <w:p w14:paraId="1CEBD568" w14:textId="77777777" w:rsidR="00F74E13" w:rsidRDefault="009274FC">
            <w:pPr>
              <w:pStyle w:val="P68B1DB1-ListParagraph14"/>
              <w:numPr>
                <w:ilvl w:val="0"/>
                <w:numId w:val="22"/>
              </w:numPr>
              <w:spacing w:after="0" w:line="240" w:lineRule="auto"/>
              <w:ind w:left="314" w:hanging="284"/>
              <w:jc w:val="both"/>
              <w:rPr>
                <w:noProof/>
              </w:rPr>
            </w:pPr>
            <w:r>
              <w:rPr>
                <w:noProof/>
              </w:rPr>
              <w:t>les bénéficiaires sont les PME et les grandes entreprises du secteur C – Industrie de transformation de la NACE;</w:t>
            </w:r>
          </w:p>
          <w:p w14:paraId="1CEBD569" w14:textId="77777777" w:rsidR="00F74E13" w:rsidRDefault="009274FC">
            <w:pPr>
              <w:pStyle w:val="P68B1DB1-ListParagraph14"/>
              <w:numPr>
                <w:ilvl w:val="0"/>
                <w:numId w:val="22"/>
              </w:numPr>
              <w:spacing w:after="0" w:line="240" w:lineRule="auto"/>
              <w:ind w:left="314" w:hanging="284"/>
              <w:jc w:val="both"/>
              <w:rPr>
                <w:noProof/>
              </w:rPr>
            </w:pPr>
            <w:r>
              <w:rPr>
                <w:noProof/>
              </w:rPr>
              <w:t>les projets sélectionnés aident les entreprises à introduire des méthodes de production fondées sur l’économie circulaire, qui soutiennent la réduction des déchets, la limitation des plastiques à usage unique, l’utilisation des bioressources, l’amélioration des normes écologiques et de l’efficacité énergétique des produits;</w:t>
            </w:r>
          </w:p>
          <w:p w14:paraId="1CEBD56A" w14:textId="77777777" w:rsidR="00F74E13" w:rsidRDefault="009274FC">
            <w:pPr>
              <w:pStyle w:val="P68B1DB1-ListParagraph14"/>
              <w:numPr>
                <w:ilvl w:val="0"/>
                <w:numId w:val="22"/>
              </w:numPr>
              <w:spacing w:after="0" w:line="240" w:lineRule="auto"/>
              <w:ind w:left="314" w:hanging="284"/>
              <w:jc w:val="both"/>
              <w:rPr>
                <w:noProof/>
              </w:rPr>
            </w:pPr>
            <w:r>
              <w:rPr>
                <w:noProof/>
              </w:rPr>
              <w:t xml:space="preserve">les projets sont conformes aux champs d’intervention 047 et 047 bis de l’annexe VII du règlement FRR; </w:t>
            </w:r>
          </w:p>
          <w:p w14:paraId="1CEBD56B" w14:textId="77777777" w:rsidR="00F74E13" w:rsidRDefault="009274FC">
            <w:pPr>
              <w:pStyle w:val="P68B1DB1-ListParagraph14"/>
              <w:numPr>
                <w:ilvl w:val="0"/>
                <w:numId w:val="22"/>
              </w:numPr>
              <w:spacing w:after="0" w:line="240" w:lineRule="auto"/>
              <w:ind w:left="314" w:hanging="284"/>
              <w:jc w:val="both"/>
              <w:rPr>
                <w:noProof/>
              </w:rPr>
            </w:pPr>
            <w:r>
              <w:rPr>
                <w:noProof/>
              </w:rPr>
              <w:t>le financement par la subvention n'excède pas 50 % du coût total d'investissement éligible;</w:t>
            </w:r>
          </w:p>
          <w:p w14:paraId="1CEBD56C" w14:textId="77777777" w:rsidR="00F74E13" w:rsidRDefault="009274FC">
            <w:pPr>
              <w:pStyle w:val="P68B1DB1-ListParagraph14"/>
              <w:numPr>
                <w:ilvl w:val="0"/>
                <w:numId w:val="23"/>
              </w:numPr>
              <w:spacing w:after="0" w:line="240" w:lineRule="auto"/>
              <w:ind w:left="314" w:hanging="284"/>
              <w:jc w:val="both"/>
              <w:rPr>
                <w:noProof/>
              </w:rPr>
            </w:pPr>
            <w:r>
              <w:rPr>
                <w:noProof/>
              </w:rPr>
              <w:t xml:space="preserve">les propositions sont conformes aux orientations techniques «Ne pas causer de préjudice important» (2021/C58/01). </w:t>
            </w:r>
          </w:p>
        </w:tc>
      </w:tr>
      <w:tr w:rsidR="00F74E13" w14:paraId="1CEBD57A" w14:textId="77777777" w:rsidTr="00711BE9">
        <w:trPr>
          <w:trHeight w:val="300"/>
          <w:jc w:val="center"/>
        </w:trPr>
        <w:tc>
          <w:tcPr>
            <w:tcW w:w="1129" w:type="dxa"/>
            <w:shd w:val="clear" w:color="auto" w:fill="C6EFCE"/>
            <w:noWrap/>
          </w:tcPr>
          <w:p w14:paraId="1CEBD56E" w14:textId="77777777" w:rsidR="00F74E13" w:rsidRDefault="009274FC">
            <w:pPr>
              <w:pStyle w:val="P68B1DB1-Normal15"/>
              <w:spacing w:after="0" w:line="240" w:lineRule="auto"/>
              <w:jc w:val="center"/>
              <w:rPr>
                <w:noProof/>
              </w:rPr>
            </w:pPr>
            <w:r>
              <w:rPr>
                <w:noProof/>
              </w:rPr>
              <w:t>60</w:t>
            </w:r>
          </w:p>
        </w:tc>
        <w:tc>
          <w:tcPr>
            <w:tcW w:w="1560" w:type="dxa"/>
            <w:shd w:val="clear" w:color="auto" w:fill="C6EFCE"/>
            <w:noWrap/>
          </w:tcPr>
          <w:p w14:paraId="1CEBD56F" w14:textId="77777777" w:rsidR="00F74E13" w:rsidRDefault="009274FC">
            <w:pPr>
              <w:pStyle w:val="P68B1DB1-Normal15"/>
              <w:spacing w:after="0" w:line="240" w:lineRule="auto"/>
              <w:rPr>
                <w:noProof/>
              </w:rPr>
            </w:pPr>
            <w:r>
              <w:rPr>
                <w:noProof/>
              </w:rPr>
              <w:t xml:space="preserve">C3.I2 : </w:t>
            </w:r>
          </w:p>
          <w:p w14:paraId="1CEBD570" w14:textId="77777777" w:rsidR="00F74E13" w:rsidRDefault="009274FC">
            <w:pPr>
              <w:pStyle w:val="P68B1DB1-Normal15"/>
              <w:spacing w:after="0" w:line="240" w:lineRule="auto"/>
              <w:rPr>
                <w:noProof/>
              </w:rPr>
            </w:pPr>
            <w:r>
              <w:rPr>
                <w:noProof/>
              </w:rPr>
              <w:t>Investissement 2.2.c Régime de subventions pour le soutien aux entreprises dans la transition vers une économie circulaire</w:t>
            </w:r>
          </w:p>
        </w:tc>
        <w:tc>
          <w:tcPr>
            <w:tcW w:w="1275" w:type="dxa"/>
            <w:shd w:val="clear" w:color="auto" w:fill="C6EFCE"/>
            <w:noWrap/>
          </w:tcPr>
          <w:p w14:paraId="1CEBD571"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572" w14:textId="77777777" w:rsidR="00F74E13" w:rsidRDefault="009274FC">
            <w:pPr>
              <w:pStyle w:val="P68B1DB1-Normal15"/>
              <w:spacing w:after="0" w:line="240" w:lineRule="auto"/>
              <w:rPr>
                <w:noProof/>
              </w:rPr>
            </w:pPr>
            <w:r>
              <w:rPr>
                <w:noProof/>
              </w:rPr>
              <w:t xml:space="preserve">Entreprises soutenues </w:t>
            </w:r>
          </w:p>
        </w:tc>
        <w:tc>
          <w:tcPr>
            <w:tcW w:w="1417" w:type="dxa"/>
            <w:shd w:val="clear" w:color="auto" w:fill="C6EFCE"/>
            <w:noWrap/>
          </w:tcPr>
          <w:p w14:paraId="1CEBD573"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574" w14:textId="77777777" w:rsidR="00F74E13" w:rsidRDefault="009274FC">
            <w:pPr>
              <w:pStyle w:val="P68B1DB1-Normal15"/>
              <w:spacing w:after="0" w:line="240" w:lineRule="auto"/>
              <w:jc w:val="center"/>
              <w:rPr>
                <w:noProof/>
              </w:rPr>
            </w:pPr>
            <w:r>
              <w:rPr>
                <w:noProof/>
              </w:rPr>
              <w:t>Numéro</w:t>
            </w:r>
          </w:p>
        </w:tc>
        <w:tc>
          <w:tcPr>
            <w:tcW w:w="1129" w:type="dxa"/>
            <w:shd w:val="clear" w:color="auto" w:fill="C6EFCE"/>
            <w:noWrap/>
          </w:tcPr>
          <w:p w14:paraId="1CEBD575"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576" w14:textId="77777777" w:rsidR="00F74E13" w:rsidRDefault="009274FC">
            <w:pPr>
              <w:pStyle w:val="P68B1DB1-Normal15"/>
              <w:spacing w:after="0" w:line="240" w:lineRule="auto"/>
              <w:jc w:val="center"/>
              <w:rPr>
                <w:noProof/>
              </w:rPr>
            </w:pPr>
            <w:r>
              <w:rPr>
                <w:noProof/>
              </w:rPr>
              <w:t>240</w:t>
            </w:r>
          </w:p>
        </w:tc>
        <w:tc>
          <w:tcPr>
            <w:tcW w:w="1134" w:type="dxa"/>
            <w:shd w:val="clear" w:color="auto" w:fill="C6EFCE"/>
            <w:noWrap/>
          </w:tcPr>
          <w:p w14:paraId="1CEBD577" w14:textId="77777777" w:rsidR="00F74E13" w:rsidRDefault="009274FC">
            <w:pPr>
              <w:pStyle w:val="P68B1DB1-Normal15"/>
              <w:spacing w:after="0" w:line="240" w:lineRule="auto"/>
              <w:jc w:val="center"/>
              <w:rPr>
                <w:noProof/>
              </w:rPr>
            </w:pPr>
            <w:r>
              <w:rPr>
                <w:noProof/>
              </w:rPr>
              <w:t>T4</w:t>
            </w:r>
          </w:p>
        </w:tc>
        <w:tc>
          <w:tcPr>
            <w:tcW w:w="1134" w:type="dxa"/>
            <w:shd w:val="clear" w:color="auto" w:fill="C6EFCE"/>
            <w:noWrap/>
          </w:tcPr>
          <w:p w14:paraId="1CEBD578" w14:textId="77777777" w:rsidR="00F74E13" w:rsidRDefault="009274FC">
            <w:pPr>
              <w:pStyle w:val="P68B1DB1-Normal12"/>
              <w:spacing w:after="0" w:line="240" w:lineRule="auto"/>
              <w:jc w:val="center"/>
              <w:rPr>
                <w:noProof/>
              </w:rPr>
            </w:pPr>
            <w:r>
              <w:rPr>
                <w:noProof/>
              </w:rPr>
              <w:t>2025</w:t>
            </w:r>
          </w:p>
        </w:tc>
        <w:tc>
          <w:tcPr>
            <w:tcW w:w="3123" w:type="dxa"/>
            <w:shd w:val="clear" w:color="auto" w:fill="C6EFCE"/>
            <w:noWrap/>
          </w:tcPr>
          <w:p w14:paraId="1CEBD579" w14:textId="77777777" w:rsidR="00F74E13" w:rsidRDefault="009274FC">
            <w:pPr>
              <w:pStyle w:val="P68B1DB1-Normal15"/>
              <w:spacing w:after="0" w:line="240" w:lineRule="auto"/>
              <w:jc w:val="both"/>
              <w:rPr>
                <w:noProof/>
              </w:rPr>
            </w:pPr>
            <w:r>
              <w:rPr>
                <w:noProof/>
                <w:szCs w:val="20"/>
              </w:rPr>
              <w:t>Entreprises soutenues</w:t>
            </w:r>
            <w:r>
              <w:rPr>
                <w:noProof/>
              </w:rPr>
              <w:t xml:space="preserve"> dans le domaine de l’économie circulaire.</w:t>
            </w:r>
          </w:p>
        </w:tc>
      </w:tr>
      <w:tr w:rsidR="00F74E13" w14:paraId="1CEBD596" w14:textId="77777777" w:rsidTr="00711BE9">
        <w:trPr>
          <w:trHeight w:val="300"/>
          <w:jc w:val="center"/>
        </w:trPr>
        <w:tc>
          <w:tcPr>
            <w:tcW w:w="1129" w:type="dxa"/>
            <w:shd w:val="clear" w:color="auto" w:fill="C6EFCE"/>
            <w:noWrap/>
          </w:tcPr>
          <w:p w14:paraId="1CEBD57B" w14:textId="77777777" w:rsidR="00F74E13" w:rsidRDefault="009274FC">
            <w:pPr>
              <w:pStyle w:val="P68B1DB1-Normal13"/>
              <w:spacing w:after="0" w:line="240" w:lineRule="auto"/>
              <w:jc w:val="center"/>
              <w:rPr>
                <w:noProof/>
              </w:rPr>
            </w:pPr>
            <w:r>
              <w:rPr>
                <w:noProof/>
              </w:rPr>
              <w:t>61</w:t>
            </w:r>
          </w:p>
        </w:tc>
        <w:tc>
          <w:tcPr>
            <w:tcW w:w="1560" w:type="dxa"/>
            <w:shd w:val="clear" w:color="auto" w:fill="C6EFCE"/>
            <w:noWrap/>
          </w:tcPr>
          <w:p w14:paraId="1CEBD57C" w14:textId="77777777" w:rsidR="00F74E13" w:rsidRDefault="009274FC">
            <w:pPr>
              <w:pStyle w:val="P68B1DB1-Normal13"/>
              <w:spacing w:after="0" w:line="240" w:lineRule="auto"/>
              <w:rPr>
                <w:noProof/>
              </w:rPr>
            </w:pPr>
            <w:r>
              <w:rPr>
                <w:noProof/>
              </w:rPr>
              <w:t xml:space="preserve">C3.I2 : </w:t>
            </w:r>
          </w:p>
          <w:p w14:paraId="1CEBD57D" w14:textId="77777777" w:rsidR="00F74E13" w:rsidRDefault="009274FC">
            <w:pPr>
              <w:pStyle w:val="P68B1DB1-Normal13"/>
              <w:spacing w:after="0" w:line="240" w:lineRule="auto"/>
              <w:rPr>
                <w:noProof/>
              </w:rPr>
            </w:pPr>
            <w:r>
              <w:rPr>
                <w:noProof/>
              </w:rPr>
              <w:t xml:space="preserve">Investissement 2.3.a Instruments de fonds propres pour les investissements en faveur de la neutralité climatique et de la transformation numérique </w:t>
            </w:r>
          </w:p>
        </w:tc>
        <w:tc>
          <w:tcPr>
            <w:tcW w:w="1275" w:type="dxa"/>
            <w:shd w:val="clear" w:color="auto" w:fill="C6EFCE"/>
            <w:noWrap/>
          </w:tcPr>
          <w:p w14:paraId="1CEBD57E" w14:textId="77777777" w:rsidR="00F74E13" w:rsidRDefault="009274FC">
            <w:pPr>
              <w:pStyle w:val="P68B1DB1-Normal13"/>
              <w:spacing w:after="0" w:line="240" w:lineRule="auto"/>
              <w:jc w:val="center"/>
              <w:rPr>
                <w:noProof/>
              </w:rPr>
            </w:pPr>
            <w:r>
              <w:rPr>
                <w:noProof/>
              </w:rPr>
              <w:t>Étape</w:t>
            </w:r>
          </w:p>
        </w:tc>
        <w:tc>
          <w:tcPr>
            <w:tcW w:w="1707" w:type="dxa"/>
            <w:shd w:val="clear" w:color="auto" w:fill="C6EFCE"/>
            <w:noWrap/>
          </w:tcPr>
          <w:p w14:paraId="1CEBD57F" w14:textId="77777777" w:rsidR="00F74E13" w:rsidRDefault="009274FC">
            <w:pPr>
              <w:pStyle w:val="P68B1DB1-Normal13"/>
              <w:spacing w:after="0" w:line="240" w:lineRule="auto"/>
              <w:rPr>
                <w:noProof/>
              </w:rPr>
            </w:pPr>
            <w:r>
              <w:rPr>
                <w:noProof/>
              </w:rPr>
              <w:t>Signature d'une convention de financement entre la République de Bulgarie et le Fonds européen d'investissement</w:t>
            </w:r>
          </w:p>
        </w:tc>
        <w:tc>
          <w:tcPr>
            <w:tcW w:w="1417" w:type="dxa"/>
            <w:shd w:val="clear" w:color="auto" w:fill="C6EFCE"/>
            <w:noWrap/>
          </w:tcPr>
          <w:p w14:paraId="1CEBD580" w14:textId="77777777" w:rsidR="00F74E13" w:rsidRDefault="009274FC">
            <w:pPr>
              <w:pStyle w:val="P68B1DB1-Normal13"/>
              <w:spacing w:after="0" w:line="240" w:lineRule="auto"/>
              <w:rPr>
                <w:noProof/>
              </w:rPr>
            </w:pPr>
            <w:r>
              <w:rPr>
                <w:noProof/>
              </w:rPr>
              <w:t>Signature d'un accord et adoption d'une politique d'investissement</w:t>
            </w:r>
          </w:p>
        </w:tc>
        <w:tc>
          <w:tcPr>
            <w:tcW w:w="1276" w:type="dxa"/>
            <w:shd w:val="clear" w:color="auto" w:fill="C6EFCE"/>
            <w:noWrap/>
          </w:tcPr>
          <w:p w14:paraId="1CEBD581" w14:textId="77777777" w:rsidR="00F74E13" w:rsidRDefault="00F74E13">
            <w:pPr>
              <w:spacing w:after="0" w:line="240" w:lineRule="auto"/>
              <w:jc w:val="center"/>
              <w:rPr>
                <w:rFonts w:ascii="Times New Roman" w:hAnsi="Times New Roman"/>
                <w:noProof/>
                <w:color w:val="006100"/>
                <w:sz w:val="20"/>
                <w:szCs w:val="20"/>
              </w:rPr>
            </w:pPr>
          </w:p>
        </w:tc>
        <w:tc>
          <w:tcPr>
            <w:tcW w:w="1129" w:type="dxa"/>
            <w:shd w:val="clear" w:color="auto" w:fill="C6EFCE"/>
            <w:noWrap/>
          </w:tcPr>
          <w:p w14:paraId="1CEBD582"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583" w14:textId="77777777" w:rsidR="00F74E13" w:rsidRDefault="00F74E13">
            <w:pPr>
              <w:spacing w:after="0" w:line="240" w:lineRule="auto"/>
              <w:jc w:val="center"/>
              <w:rPr>
                <w:rFonts w:ascii="Times New Roman" w:hAnsi="Times New Roman"/>
                <w:noProof/>
                <w:color w:val="006100"/>
                <w:sz w:val="20"/>
                <w:szCs w:val="20"/>
              </w:rPr>
            </w:pPr>
          </w:p>
        </w:tc>
        <w:tc>
          <w:tcPr>
            <w:tcW w:w="1134" w:type="dxa"/>
            <w:shd w:val="clear" w:color="auto" w:fill="C6EFCE"/>
            <w:noWrap/>
          </w:tcPr>
          <w:p w14:paraId="1CEBD584" w14:textId="77777777" w:rsidR="00F74E13" w:rsidRDefault="009274FC">
            <w:pPr>
              <w:pStyle w:val="P68B1DB1-Normal13"/>
              <w:spacing w:after="0" w:line="240" w:lineRule="auto"/>
              <w:jc w:val="center"/>
              <w:rPr>
                <w:noProof/>
              </w:rPr>
            </w:pPr>
            <w:r>
              <w:rPr>
                <w:noProof/>
              </w:rPr>
              <w:t>T3</w:t>
            </w:r>
          </w:p>
        </w:tc>
        <w:tc>
          <w:tcPr>
            <w:tcW w:w="1134" w:type="dxa"/>
            <w:shd w:val="clear" w:color="auto" w:fill="C6EFCE"/>
            <w:noWrap/>
          </w:tcPr>
          <w:p w14:paraId="1CEBD585" w14:textId="77777777" w:rsidR="00F74E13" w:rsidRDefault="009274FC">
            <w:pPr>
              <w:pStyle w:val="P68B1DB1-Normal13"/>
              <w:spacing w:after="0" w:line="240" w:lineRule="auto"/>
              <w:jc w:val="center"/>
              <w:rPr>
                <w:noProof/>
              </w:rPr>
            </w:pPr>
            <w:r>
              <w:rPr>
                <w:noProof/>
              </w:rPr>
              <w:t>2022</w:t>
            </w:r>
          </w:p>
        </w:tc>
        <w:tc>
          <w:tcPr>
            <w:tcW w:w="3123" w:type="dxa"/>
            <w:shd w:val="clear" w:color="auto" w:fill="C6EFCE"/>
            <w:noWrap/>
          </w:tcPr>
          <w:p w14:paraId="1CEBD586" w14:textId="77777777" w:rsidR="00F74E13" w:rsidRDefault="009274FC">
            <w:pPr>
              <w:pStyle w:val="P68B1DB1-Normal13"/>
              <w:spacing w:after="0" w:line="240" w:lineRule="auto"/>
              <w:jc w:val="both"/>
              <w:rPr>
                <w:noProof/>
              </w:rPr>
            </w:pPr>
            <w:r>
              <w:rPr>
                <w:noProof/>
              </w:rPr>
              <w:t>Signature de la convention de financement entre le FEI et le gouvernement bulgare et adoption de la politique d'investissement du Fonds. La politique d'investissement:</w:t>
            </w:r>
          </w:p>
          <w:p w14:paraId="1CEBD587" w14:textId="77777777" w:rsidR="00F74E13" w:rsidRDefault="009274FC">
            <w:pPr>
              <w:pStyle w:val="P68B1DB1-ListParagraph14"/>
              <w:numPr>
                <w:ilvl w:val="0"/>
                <w:numId w:val="24"/>
              </w:numPr>
              <w:spacing w:after="0" w:line="240" w:lineRule="auto"/>
              <w:jc w:val="both"/>
              <w:rPr>
                <w:noProof/>
              </w:rPr>
            </w:pPr>
            <w:r>
              <w:rPr>
                <w:noProof/>
              </w:rPr>
              <w:t>être adoptées par les organes directeurs de l'instrument financier;</w:t>
            </w:r>
          </w:p>
          <w:p w14:paraId="1CEBD588" w14:textId="77777777" w:rsidR="00F74E13" w:rsidRDefault="009274FC">
            <w:pPr>
              <w:pStyle w:val="P68B1DB1-ListParagraph14"/>
              <w:numPr>
                <w:ilvl w:val="0"/>
                <w:numId w:val="24"/>
              </w:numPr>
              <w:spacing w:after="0" w:line="240" w:lineRule="auto"/>
              <w:jc w:val="both"/>
              <w:rPr>
                <w:noProof/>
              </w:rPr>
            </w:pPr>
            <w:r>
              <w:rPr>
                <w:noProof/>
              </w:rPr>
              <w:t>être conforme à la note d’orientation de la Commission du 22 janvier 2021 [SWD(2021) 12 final] relative aux instruments financiers;</w:t>
            </w:r>
          </w:p>
          <w:p w14:paraId="1CEBD589" w14:textId="77777777" w:rsidR="00F74E13" w:rsidRDefault="009274FC">
            <w:pPr>
              <w:pStyle w:val="P68B1DB1-ListParagraph14"/>
              <w:numPr>
                <w:ilvl w:val="0"/>
                <w:numId w:val="24"/>
              </w:numPr>
              <w:spacing w:after="0" w:line="240" w:lineRule="auto"/>
              <w:jc w:val="both"/>
              <w:rPr>
                <w:noProof/>
              </w:rPr>
            </w:pPr>
            <w:r>
              <w:rPr>
                <w:noProof/>
              </w:rPr>
              <w:t xml:space="preserve">inclure des critères de sélection visant à garantir le respect des orientations techniques «Ne pas causer de préjudice important» (2021/C58/01) pour les opérations bénéficiant d’un soutien au titre de la présente mesure; </w:t>
            </w:r>
          </w:p>
          <w:p w14:paraId="1CEBD58A" w14:textId="77777777" w:rsidR="00F74E13" w:rsidRDefault="009274FC">
            <w:pPr>
              <w:pStyle w:val="P68B1DB1-ListParagraph14"/>
              <w:spacing w:after="0" w:line="240" w:lineRule="auto"/>
              <w:ind w:left="360"/>
              <w:jc w:val="both"/>
              <w:rPr>
                <w:noProof/>
              </w:rPr>
            </w:pPr>
            <w:r>
              <w:rPr>
                <w:noProof/>
              </w:rPr>
              <w:t>- par le recours à l’évaluation de la durabilité;</w:t>
            </w:r>
          </w:p>
          <w:p w14:paraId="1CEBD58B" w14:textId="77777777" w:rsidR="00F74E13" w:rsidRDefault="009274FC">
            <w:pPr>
              <w:pStyle w:val="P68B1DB1-ListParagraph14"/>
              <w:spacing w:after="0" w:line="240" w:lineRule="auto"/>
              <w:ind w:left="360"/>
              <w:jc w:val="both"/>
              <w:rPr>
                <w:noProof/>
              </w:rPr>
            </w:pPr>
            <w:r>
              <w:rPr>
                <w:noProof/>
              </w:rPr>
              <w:t>en exigeant des bénéficiaires qui ont tiré plus de 50 % de leurs recettes directes au cours de l’exercice précédent d’activités ou d’actifs figurant sur la liste d’activités suivante qu’ils adoptent et publient des plans de transition écologique: i) les activités liées aux combustibles fossiles, y compris leur utilisation en aval; ii) les activités menées dans le cadre du système d’échange de quotas d’émission de l’UE (SEQE) pour atteindre des émissions de gaz à effet de serre prévues qui ne sont pas inférieures aux référentiels pertinents; et iii) les activités liées aux décharges de déchets, aux incinérateurs et aux usines de traitement biologique mécanique. Cette exigence pourrait être mise en œuvre, par exemple, en s’appuyant sur les nouveaux secteurs restreints du FEI (fonds autres que les fonds de capital-investissement – cadre d’alignement de Paris), ajustés par certaines restrictions supplémentaires applicables aux secteurs relevant du SEQE et à certaines activités de transport; et en exigeant du FEI qu’il vérifie la conformité juridique avec la législation environnementale pertinente de l’UE et des États membres du bénéficiaire pour toutes les transactions, y compris celles exemptées de l’évaluation de la durabilité.</w:t>
            </w:r>
          </w:p>
          <w:p w14:paraId="1CEBD58D" w14:textId="77777777" w:rsidR="00F74E13" w:rsidRDefault="009274FC">
            <w:pPr>
              <w:pStyle w:val="P68B1DB1-Normal13"/>
              <w:spacing w:before="120" w:after="0" w:line="240" w:lineRule="auto"/>
              <w:jc w:val="both"/>
              <w:rPr>
                <w:noProof/>
              </w:rPr>
            </w:pPr>
            <w:r>
              <w:rPr>
                <w:noProof/>
              </w:rPr>
              <w:t xml:space="preserve">Le Fonds fournit un soutien sous forme d’instruments financiers (fonds propres) aux véhicules de projet à usage spécial, ainsi qu’aux PME et aux petites entreprises à moyenne capitalisation et à moyenne capitalisation pour les investissements dans des actifs qui contribuent à la neutralité climatique et accélèrent la transition écologique et numérique dans les secteurs prioritaires en Bulgarie. Cela devrait se faire en soutenant la création d’actifs d’infrastructure, d’infrastructures de production et de stockage d’énergie verte, y compris les énergies renouvelables, la biomasse, le stockage, les infrastructures de recharge pour véhicules électriques, l’hydrogène, les infrastructures numériques (TIC, infrastructures optiques, centres de données, 5G), la régénération urbaine, l’efficacité énergétique et les infrastructures sociales. </w:t>
            </w:r>
          </w:p>
          <w:p w14:paraId="1CEBD58F" w14:textId="77777777" w:rsidR="00F74E13" w:rsidRDefault="009274FC">
            <w:pPr>
              <w:pStyle w:val="P68B1DB1-Normal13"/>
              <w:spacing w:before="120" w:after="0" w:line="240" w:lineRule="auto"/>
              <w:jc w:val="both"/>
              <w:rPr>
                <w:noProof/>
              </w:rPr>
            </w:pPr>
            <w:r>
              <w:rPr>
                <w:noProof/>
              </w:rPr>
              <w:t xml:space="preserve">L'aide est fournie par l'intermédiaire de fonds de capital-risque et de fonds de capital-investissement. La gestion du Fonds est confiée au FEI. Un accord de financement spécifique au titre de la FRR est signé entre le FEI et le gouvernement bulgare pour la gestion des opérations soutenues par des fonds propres au titre de la FRR. Un comité d'investissement est chargé d'approuver les opérations avec des intermédiaires proposées par le gestionnaire de fonds (FEI) sur la base des besoins du marché et d'une manière ouverte et conforme au marché. L’instrument devrait venir en aide à au moins trois bénéficiaires. </w:t>
            </w:r>
          </w:p>
          <w:p w14:paraId="1CEBD591" w14:textId="77777777" w:rsidR="00F74E13" w:rsidRDefault="009274FC">
            <w:pPr>
              <w:pStyle w:val="P68B1DB1-Normal13"/>
              <w:spacing w:before="120" w:after="0" w:line="240" w:lineRule="auto"/>
              <w:jc w:val="both"/>
              <w:rPr>
                <w:noProof/>
              </w:rPr>
            </w:pPr>
            <w:r>
              <w:rPr>
                <w:noProof/>
              </w:rPr>
              <w:t xml:space="preserve">Le montant total du financement au titre de la FRR s’élève à 30 millions d’EUR. </w:t>
            </w:r>
          </w:p>
          <w:p w14:paraId="1CEBD593" w14:textId="77777777" w:rsidR="00F74E13" w:rsidRDefault="009274FC">
            <w:pPr>
              <w:pStyle w:val="P68B1DB1-Normal13"/>
              <w:spacing w:before="120" w:after="0" w:line="240" w:lineRule="auto"/>
              <w:jc w:val="both"/>
              <w:rPr>
                <w:noProof/>
              </w:rPr>
            </w:pPr>
            <w:r>
              <w:rPr>
                <w:noProof/>
              </w:rPr>
              <w:t xml:space="preserve">La structure du Fonds mobilise des fonds privés. </w:t>
            </w:r>
          </w:p>
          <w:p w14:paraId="1CEBD595" w14:textId="77777777" w:rsidR="00F74E13" w:rsidRDefault="009274FC">
            <w:pPr>
              <w:pStyle w:val="P68B1DB1-Normal13"/>
              <w:spacing w:before="120" w:after="0" w:line="240" w:lineRule="auto"/>
              <w:jc w:val="both"/>
              <w:rPr>
                <w:noProof/>
              </w:rPr>
            </w:pPr>
            <w:r>
              <w:rPr>
                <w:noProof/>
              </w:rPr>
              <w:t>Tous les rendements du Fonds ou des instruments financiers, y compris les remboursements, ainsi que les bénéfices obtenus grâce au financement de la FRR, moins la rémunération du gestionnaire du fonds et des intermédiaires financiers, sont utilisés pour les mêmes objectifs stratégiques, y compris après 2026.</w:t>
            </w:r>
          </w:p>
        </w:tc>
      </w:tr>
      <w:tr w:rsidR="00F74E13" w14:paraId="1CEBD5A3" w14:textId="77777777" w:rsidTr="00711BE9">
        <w:trPr>
          <w:trHeight w:val="300"/>
          <w:jc w:val="center"/>
        </w:trPr>
        <w:tc>
          <w:tcPr>
            <w:tcW w:w="1129" w:type="dxa"/>
            <w:shd w:val="clear" w:color="auto" w:fill="C6EFCE"/>
            <w:noWrap/>
          </w:tcPr>
          <w:p w14:paraId="1CEBD597" w14:textId="77777777" w:rsidR="00F74E13" w:rsidRDefault="009274FC">
            <w:pPr>
              <w:pStyle w:val="P68B1DB1-Normal15"/>
              <w:spacing w:after="0" w:line="240" w:lineRule="auto"/>
              <w:jc w:val="center"/>
              <w:rPr>
                <w:noProof/>
              </w:rPr>
            </w:pPr>
            <w:r>
              <w:rPr>
                <w:noProof/>
              </w:rPr>
              <w:t>62</w:t>
            </w:r>
          </w:p>
        </w:tc>
        <w:tc>
          <w:tcPr>
            <w:tcW w:w="1560" w:type="dxa"/>
            <w:shd w:val="clear" w:color="auto" w:fill="C6EFCE"/>
            <w:noWrap/>
          </w:tcPr>
          <w:p w14:paraId="1CEBD598" w14:textId="77777777" w:rsidR="00F74E13" w:rsidRDefault="009274FC">
            <w:pPr>
              <w:pStyle w:val="P68B1DB1-Normal15"/>
              <w:spacing w:after="0" w:line="240" w:lineRule="auto"/>
              <w:rPr>
                <w:noProof/>
              </w:rPr>
            </w:pPr>
            <w:r>
              <w:rPr>
                <w:noProof/>
              </w:rPr>
              <w:t xml:space="preserve">C3.I2 : </w:t>
            </w:r>
          </w:p>
          <w:p w14:paraId="1CEBD599" w14:textId="77777777" w:rsidR="00F74E13" w:rsidRDefault="009274FC">
            <w:pPr>
              <w:pStyle w:val="P68B1DB1-Normal15"/>
              <w:spacing w:after="0" w:line="240" w:lineRule="auto"/>
              <w:rPr>
                <w:noProof/>
              </w:rPr>
            </w:pPr>
            <w:r>
              <w:rPr>
                <w:noProof/>
              </w:rPr>
              <w:t>Investissement 2.3.a Instruments de fonds propres pour les investissements en faveur de la neutralité climatique et de la transformation numérique</w:t>
            </w:r>
          </w:p>
        </w:tc>
        <w:tc>
          <w:tcPr>
            <w:tcW w:w="1275" w:type="dxa"/>
            <w:shd w:val="clear" w:color="auto" w:fill="C6EFCE"/>
            <w:noWrap/>
          </w:tcPr>
          <w:p w14:paraId="1CEBD59A" w14:textId="77777777" w:rsidR="00F74E13" w:rsidRDefault="009274FC">
            <w:pPr>
              <w:pStyle w:val="P68B1DB1-Normal15"/>
              <w:spacing w:after="0" w:line="240" w:lineRule="auto"/>
              <w:jc w:val="center"/>
              <w:rPr>
                <w:noProof/>
              </w:rPr>
            </w:pPr>
            <w:r>
              <w:rPr>
                <w:noProof/>
              </w:rPr>
              <w:t>Objectif</w:t>
            </w:r>
          </w:p>
        </w:tc>
        <w:tc>
          <w:tcPr>
            <w:tcW w:w="1707" w:type="dxa"/>
            <w:shd w:val="clear" w:color="auto" w:fill="C6EFCE"/>
            <w:noWrap/>
          </w:tcPr>
          <w:p w14:paraId="1CEBD59B" w14:textId="77777777" w:rsidR="00F74E13" w:rsidRDefault="009274FC">
            <w:pPr>
              <w:pStyle w:val="P68B1DB1-Normal13"/>
              <w:spacing w:after="0" w:line="240" w:lineRule="auto"/>
              <w:rPr>
                <w:noProof/>
              </w:rPr>
            </w:pPr>
            <w:r>
              <w:rPr>
                <w:noProof/>
              </w:rPr>
              <w:t xml:space="preserve">Opérations approuvées par le Comité d'investissement </w:t>
            </w:r>
          </w:p>
        </w:tc>
        <w:tc>
          <w:tcPr>
            <w:tcW w:w="1417" w:type="dxa"/>
            <w:shd w:val="clear" w:color="auto" w:fill="C6EFCE"/>
            <w:noWrap/>
          </w:tcPr>
          <w:p w14:paraId="1CEBD59C" w14:textId="77777777" w:rsidR="00F74E13" w:rsidRDefault="00F74E13">
            <w:pPr>
              <w:spacing w:after="0" w:line="240" w:lineRule="auto"/>
              <w:rPr>
                <w:rFonts w:ascii="Times New Roman" w:hAnsi="Times New Roman"/>
                <w:noProof/>
                <w:color w:val="006100"/>
                <w:sz w:val="20"/>
              </w:rPr>
            </w:pPr>
          </w:p>
        </w:tc>
        <w:tc>
          <w:tcPr>
            <w:tcW w:w="1276" w:type="dxa"/>
            <w:shd w:val="clear" w:color="auto" w:fill="C6EFCE"/>
            <w:noWrap/>
          </w:tcPr>
          <w:p w14:paraId="1CEBD59D" w14:textId="77777777" w:rsidR="00F74E13" w:rsidRDefault="009274FC">
            <w:pPr>
              <w:pStyle w:val="P68B1DB1-Normal15"/>
              <w:spacing w:after="0" w:line="240" w:lineRule="auto"/>
              <w:jc w:val="center"/>
              <w:rPr>
                <w:noProof/>
              </w:rPr>
            </w:pPr>
            <w:r>
              <w:rPr>
                <w:noProof/>
              </w:rPr>
              <w:t>% (pourcentage)</w:t>
            </w:r>
          </w:p>
        </w:tc>
        <w:tc>
          <w:tcPr>
            <w:tcW w:w="1129" w:type="dxa"/>
            <w:shd w:val="clear" w:color="auto" w:fill="C6EFCE"/>
            <w:noWrap/>
          </w:tcPr>
          <w:p w14:paraId="1CEBD59E" w14:textId="77777777" w:rsidR="00F74E13" w:rsidRDefault="009274FC">
            <w:pPr>
              <w:pStyle w:val="P68B1DB1-Normal15"/>
              <w:spacing w:after="0" w:line="240" w:lineRule="auto"/>
              <w:jc w:val="center"/>
              <w:rPr>
                <w:noProof/>
              </w:rPr>
            </w:pPr>
            <w:r>
              <w:rPr>
                <w:noProof/>
              </w:rPr>
              <w:t>0</w:t>
            </w:r>
          </w:p>
        </w:tc>
        <w:tc>
          <w:tcPr>
            <w:tcW w:w="1134" w:type="dxa"/>
            <w:shd w:val="clear" w:color="auto" w:fill="C6EFCE"/>
            <w:noWrap/>
          </w:tcPr>
          <w:p w14:paraId="1CEBD59F" w14:textId="77777777" w:rsidR="00F74E13" w:rsidRDefault="009274FC">
            <w:pPr>
              <w:pStyle w:val="P68B1DB1-Normal15"/>
              <w:spacing w:after="0" w:line="240" w:lineRule="auto"/>
              <w:jc w:val="center"/>
              <w:rPr>
                <w:noProof/>
              </w:rPr>
            </w:pPr>
            <w:r>
              <w:rPr>
                <w:noProof/>
              </w:rPr>
              <w:t>100</w:t>
            </w:r>
          </w:p>
        </w:tc>
        <w:tc>
          <w:tcPr>
            <w:tcW w:w="1134" w:type="dxa"/>
            <w:shd w:val="clear" w:color="auto" w:fill="C6EFCE"/>
            <w:noWrap/>
          </w:tcPr>
          <w:p w14:paraId="1CEBD5A0" w14:textId="77777777" w:rsidR="00F74E13" w:rsidRDefault="009274FC">
            <w:pPr>
              <w:pStyle w:val="P68B1DB1-Normal15"/>
              <w:spacing w:after="0" w:line="240" w:lineRule="auto"/>
              <w:jc w:val="center"/>
              <w:rPr>
                <w:noProof/>
              </w:rPr>
            </w:pPr>
            <w:r>
              <w:rPr>
                <w:noProof/>
              </w:rPr>
              <w:t>T2</w:t>
            </w:r>
          </w:p>
        </w:tc>
        <w:tc>
          <w:tcPr>
            <w:tcW w:w="1134" w:type="dxa"/>
            <w:shd w:val="clear" w:color="auto" w:fill="C6EFCE"/>
            <w:noWrap/>
          </w:tcPr>
          <w:p w14:paraId="1CEBD5A1" w14:textId="77777777" w:rsidR="00F74E13" w:rsidRDefault="009274FC">
            <w:pPr>
              <w:pStyle w:val="P68B1DB1-Normal15"/>
              <w:spacing w:after="0" w:line="240" w:lineRule="auto"/>
              <w:jc w:val="center"/>
              <w:rPr>
                <w:noProof/>
              </w:rPr>
            </w:pPr>
            <w:r>
              <w:rPr>
                <w:noProof/>
              </w:rPr>
              <w:t>2026</w:t>
            </w:r>
          </w:p>
        </w:tc>
        <w:tc>
          <w:tcPr>
            <w:tcW w:w="3123" w:type="dxa"/>
            <w:shd w:val="clear" w:color="auto" w:fill="C6EFCE"/>
            <w:noWrap/>
          </w:tcPr>
          <w:p w14:paraId="1CEBD5A2" w14:textId="77777777" w:rsidR="00F74E13" w:rsidRDefault="009274FC">
            <w:pPr>
              <w:pStyle w:val="P68B1DB1-Normal15"/>
              <w:spacing w:after="0" w:line="240" w:lineRule="auto"/>
              <w:jc w:val="both"/>
              <w:rPr>
                <w:noProof/>
              </w:rPr>
            </w:pPr>
            <w:r>
              <w:rPr>
                <w:noProof/>
              </w:rPr>
              <w:t>Opérations de financement ou d’investissement représentant 100 % du montant total des financements ou des investissements approuvés par le comité d’investissement désigné par le gouvernement bulgare.</w:t>
            </w:r>
          </w:p>
        </w:tc>
      </w:tr>
    </w:tbl>
    <w:p w14:paraId="1CEBD5A4" w14:textId="77777777" w:rsidR="00F74E13" w:rsidRDefault="00F74E13">
      <w:pPr>
        <w:spacing w:before="120" w:after="120" w:line="240" w:lineRule="auto"/>
        <w:jc w:val="both"/>
        <w:rPr>
          <w:rFonts w:ascii="Times New Roman" w:hAnsi="Times New Roman"/>
          <w:noProof/>
        </w:rPr>
        <w:sectPr w:rsidR="00F74E13">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1CEBD5A5" w14:textId="77777777" w:rsidR="00F74E13" w:rsidRDefault="009274FC">
      <w:pPr>
        <w:pStyle w:val="P68B1DB1-Normal5"/>
        <w:keepNext/>
        <w:tabs>
          <w:tab w:val="left" w:pos="850"/>
        </w:tabs>
        <w:spacing w:before="360" w:after="120" w:line="240" w:lineRule="auto"/>
        <w:ind w:left="850" w:hanging="850"/>
        <w:jc w:val="both"/>
        <w:outlineLvl w:val="0"/>
        <w:rPr>
          <w:noProof/>
        </w:rPr>
      </w:pPr>
      <w:r>
        <w:rPr>
          <w:noProof/>
        </w:rPr>
        <w:t>D. Élément 4: Économie à faible intensité de carbone</w:t>
      </w:r>
    </w:p>
    <w:p w14:paraId="1CEBD5A6" w14:textId="12EF489A" w:rsidR="00F74E13" w:rsidRDefault="009274FC">
      <w:pPr>
        <w:pStyle w:val="P68B1DB1-Normal6"/>
        <w:spacing w:before="120" w:after="0" w:line="240" w:lineRule="auto"/>
        <w:ind w:left="425"/>
        <w:jc w:val="both"/>
        <w:rPr>
          <w:noProof/>
        </w:rPr>
      </w:pPr>
      <w:r>
        <w:rPr>
          <w:noProof/>
        </w:rPr>
        <w:t>Ce volet du plan pour la reprise et la résilience de la Bulgarie relève le défi de la décarbonation du secteur de l’énergie. L’économie bulgare est la plus gourmande en ressources et en carbone de l’UE. L’intensité des émissions de gaz à effet de serre est plus de quatre fois supérieure à la moyenne de l’UE. Le secteur de l’énergie est le plus grand émetteur de gaz à effet de serre en Bulgarie, représentant plus de 70 % des émissions totales du pays.</w:t>
      </w:r>
    </w:p>
    <w:p w14:paraId="1CEBD5A7" w14:textId="77777777" w:rsidR="00F74E13" w:rsidRDefault="009274FC">
      <w:pPr>
        <w:pStyle w:val="P68B1DB1-Normal6"/>
        <w:spacing w:before="120" w:after="0" w:line="240" w:lineRule="auto"/>
        <w:ind w:left="425"/>
        <w:jc w:val="both"/>
        <w:rPr>
          <w:noProof/>
        </w:rPr>
      </w:pPr>
      <w:r>
        <w:rPr>
          <w:noProof/>
        </w:rPr>
        <w:t>L’objectif du volet est de décarboner l’économie par une forte augmentation de l’utilisation des énergies renouvelables et des économies d’énergie, des investissements dans les réseaux intelligents, les interconnexions et les infrastructures de stockage, des réformes du marché et une meilleure gouvernance du secteur de l’énergie. En particulier, le volet vise à accélérer la décarbonation du secteur de l’énergie en réduisant les émissions de dioxyde de carbone des centrales au lignite et au charbon et en facilitant le déploiement des énergies renouvelables et des sources d’énergie alternatives. Il vise également à réduire la consommation d’énergie primaire et finale grâce à la rénovation du parc national de bâtiments résidentiels et non résidentiels, tant publics que privés. Les mesures relatives à la flexibilité et à la numérisation du réseau électrique et à l’augmentation des capacités d’interconnexion transfrontalière avec les États membres voisins améliorent l’intégration du marché. Le volet vise également à établir un marché de gros concurrentiel grâce à une déréglementation progressive des prix de l’électricité d’ici à 2025. Ce volet comprend des mesures visant à améliorer la gouvernance des entreprises publiques dans le secteur de l'énergie.</w:t>
      </w:r>
    </w:p>
    <w:p w14:paraId="1CEBD5A8" w14:textId="77777777" w:rsidR="00F74E13" w:rsidRDefault="009274FC">
      <w:pPr>
        <w:pStyle w:val="P68B1DB1-Normal6"/>
        <w:spacing w:before="120" w:after="0" w:line="240" w:lineRule="auto"/>
        <w:ind w:left="425"/>
        <w:jc w:val="both"/>
        <w:rPr>
          <w:noProof/>
        </w:rPr>
      </w:pPr>
      <w:r>
        <w:rPr>
          <w:noProof/>
        </w:rPr>
        <w:t>Ces investissements et réformes soutiennent la mise en œuvre des recommandations par pays de la Bulgarie de 2019 et 2020 visant à «axer la politique économique liée aux investissements sur les infrastructures énergétiques […] et l’efficacité énergétique» (recommandation par pays no 3, 2019) et à «axer les investissements sur la transition écologique et numérique, en particulier sur la production et l’utilisation propres et efficaces de l’énergie et des ressources, les infrastructures environnementales […], contribuant à une décarbonation progressive de l’économie, y compris dans les régions charbonnières» (recommandation par pays no 3, 2020).</w:t>
      </w:r>
    </w:p>
    <w:p w14:paraId="1CEBD5A9" w14:textId="77777777" w:rsidR="00F74E13" w:rsidRDefault="009274FC">
      <w:pPr>
        <w:pStyle w:val="P68B1DB1-Normal6"/>
        <w:spacing w:before="120" w:after="120" w:line="240" w:lineRule="auto"/>
        <w:ind w:left="425"/>
        <w:jc w:val="both"/>
        <w:rPr>
          <w:noProof/>
        </w:rPr>
      </w:pPr>
      <w:r>
        <w:rPr>
          <w:noProof/>
        </w:rPr>
        <w:t>Aucune mesure de ce volet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CEBD5AB" w14:textId="77777777" w:rsidR="00F74E13" w:rsidRDefault="009274FC">
      <w:pPr>
        <w:pStyle w:val="P68B1DB1-Normal8"/>
        <w:spacing w:before="120" w:after="0" w:line="480" w:lineRule="auto"/>
        <w:ind w:left="425"/>
        <w:jc w:val="both"/>
        <w:rPr>
          <w:i/>
          <w:noProof/>
          <w:color w:val="4F81BD"/>
        </w:rPr>
      </w:pPr>
      <w:r>
        <w:rPr>
          <w:noProof/>
        </w:rPr>
        <w:t>D.1. Description des réformes et des investissements pour le soutien financier non remboursable</w:t>
      </w:r>
    </w:p>
    <w:p w14:paraId="1CEBD5AC" w14:textId="77777777" w:rsidR="00F74E13" w:rsidRDefault="009274FC">
      <w:pPr>
        <w:pStyle w:val="P68B1DB1-Normal9"/>
        <w:spacing w:before="120" w:after="0" w:line="360" w:lineRule="auto"/>
        <w:ind w:left="425"/>
        <w:jc w:val="both"/>
        <w:rPr>
          <w:noProof/>
        </w:rPr>
      </w:pPr>
      <w:r>
        <w:rPr>
          <w:noProof/>
        </w:rPr>
        <w:t xml:space="preserve">Réforme 1 (C4.R1): Création d’un Fonds national pour la décarbonation </w:t>
      </w:r>
    </w:p>
    <w:p w14:paraId="1CEBD5AD" w14:textId="77777777" w:rsidR="00F74E13" w:rsidRDefault="009274FC">
      <w:pPr>
        <w:pStyle w:val="P68B1DB1-Normal6"/>
        <w:spacing w:before="120" w:after="0" w:line="240" w:lineRule="auto"/>
        <w:ind w:left="426"/>
        <w:jc w:val="both"/>
        <w:rPr>
          <w:noProof/>
        </w:rPr>
      </w:pPr>
      <w:r>
        <w:rPr>
          <w:noProof/>
        </w:rPr>
        <w:t xml:space="preserve">L’objectif de cette réforme est de créer le Fonds national pour la décarbonation. </w:t>
      </w:r>
    </w:p>
    <w:p w14:paraId="1CEBD5AE" w14:textId="77777777" w:rsidR="00F74E13" w:rsidRDefault="009274FC">
      <w:pPr>
        <w:pStyle w:val="P68B1DB1-Normal6"/>
        <w:spacing w:before="120" w:after="120" w:line="240" w:lineRule="auto"/>
        <w:ind w:left="425"/>
        <w:jc w:val="both"/>
        <w:rPr>
          <w:noProof/>
        </w:rPr>
      </w:pPr>
      <w:r>
        <w:rPr>
          <w:noProof/>
        </w:rPr>
        <w:t>La mesure consiste en une évaluation du cadre réglementaire national en matière d’efficacité énergétique et en l’entrée en vigueur d’un ou de plusieurs actes juridiques établissant le Fonds national pour la décarbonation.</w:t>
      </w:r>
    </w:p>
    <w:p w14:paraId="1CEBD5B0" w14:textId="74E09F3B" w:rsidR="00F74E13" w:rsidRDefault="009274FC">
      <w:pPr>
        <w:pStyle w:val="P68B1DB1-Normal9"/>
        <w:spacing w:before="120" w:after="120" w:line="240" w:lineRule="auto"/>
        <w:ind w:left="426"/>
        <w:jc w:val="both"/>
        <w:rPr>
          <w:noProof/>
        </w:rPr>
      </w:pPr>
      <w:r>
        <w:rPr>
          <w:noProof/>
        </w:rPr>
        <w:t>Réforme 2 (C4.R2): Faciliter les investissements dans les rénovations d'efficacité énergétique dans les bâtiments résidentiels </w:t>
      </w:r>
    </w:p>
    <w:p w14:paraId="1CEBD5B1" w14:textId="6849A25A" w:rsidR="00F74E13" w:rsidRDefault="009274FC">
      <w:pPr>
        <w:pStyle w:val="P68B1DB1-Normal6"/>
        <w:spacing w:before="120" w:after="120" w:line="240" w:lineRule="auto"/>
        <w:ind w:left="426"/>
        <w:jc w:val="both"/>
        <w:rPr>
          <w:noProof/>
        </w:rPr>
      </w:pPr>
      <w:r>
        <w:rPr>
          <w:noProof/>
        </w:rPr>
        <w:t>L’objectif de la réforme est de lever les obstacles aux investissements dans l’efficacité énergétique en modifiant la loi sur la gestion de la propriété de condominiums afin de faciliter la prise de décision par les propriétaires de bâtiments comprenant plusieurs appartements; a) réglementer la gestion professionnelle des immeubles en copropriété situés dans des immeubles comprenant plusieurs appartements; et de faciliter la demande de prêts collectifs à différents établissements financiers.</w:t>
      </w:r>
    </w:p>
    <w:p w14:paraId="1CEBD5B2" w14:textId="77777777" w:rsidR="00F74E13" w:rsidRDefault="009274FC">
      <w:pPr>
        <w:pStyle w:val="P68B1DB1-Normal6"/>
        <w:spacing w:before="120" w:after="120" w:line="240" w:lineRule="auto"/>
        <w:ind w:left="426"/>
        <w:jc w:val="both"/>
        <w:rPr>
          <w:noProof/>
        </w:rPr>
      </w:pPr>
      <w:r>
        <w:rPr>
          <w:noProof/>
        </w:rPr>
        <w:t>Les modifications sont coordonnées avec les modifications connexes apportées à d’autres actes de droit primaire et dérivé. La mise en œuvre de la mesure devrait contribuer à l’efficacité des investissements dans l’efficacité énergétique dans la rénovation des bâtiments.</w:t>
      </w:r>
    </w:p>
    <w:p w14:paraId="1CEBD5B3" w14:textId="77777777" w:rsidR="00F74E13" w:rsidRDefault="009274FC">
      <w:pPr>
        <w:pStyle w:val="P68B1DB1-Normal6"/>
        <w:spacing w:before="120" w:after="120" w:line="240" w:lineRule="auto"/>
        <w:ind w:left="426"/>
        <w:jc w:val="both"/>
        <w:rPr>
          <w:noProof/>
        </w:rPr>
      </w:pPr>
      <w:r>
        <w:rPr>
          <w:noProof/>
        </w:rPr>
        <w:t>La mise en œuvre de la réforme est achevée au plus tard le 30 septembre 2022.</w:t>
      </w:r>
    </w:p>
    <w:p w14:paraId="1CEBD5B5" w14:textId="00D82A01" w:rsidR="00F74E13" w:rsidRDefault="009274FC">
      <w:pPr>
        <w:pStyle w:val="P68B1DB1-Normal9"/>
        <w:spacing w:before="120" w:after="120" w:line="240" w:lineRule="auto"/>
        <w:ind w:left="426"/>
        <w:jc w:val="both"/>
        <w:rPr>
          <w:noProof/>
        </w:rPr>
      </w:pPr>
      <w:r>
        <w:rPr>
          <w:noProof/>
        </w:rPr>
        <w:t xml:space="preserve">Réforme 3 (C4.R3): Définition et critères de la «précarité énergétique» pour les ménages </w:t>
      </w:r>
    </w:p>
    <w:p w14:paraId="1CEBD5B6" w14:textId="77777777" w:rsidR="00F74E13" w:rsidRDefault="009274FC">
      <w:pPr>
        <w:pStyle w:val="P68B1DB1-Normal6"/>
        <w:spacing w:before="120" w:after="0" w:line="240" w:lineRule="auto"/>
        <w:ind w:left="425"/>
        <w:jc w:val="both"/>
        <w:rPr>
          <w:noProof/>
        </w:rPr>
      </w:pPr>
      <w:r>
        <w:rPr>
          <w:noProof/>
        </w:rPr>
        <w:t>L’objectif de cette réforme est de contribuer à lutter contre la précarité énergétique et à protéger les consommateurs vulnérables en introduisant dans la loi sur l’énergie et le droit dérivé une définition de la «précarité énergétique» et des critères permettant d’identifier les ménages en situation de précarité énergétique et les consommateurs vulnérables. La réforme tient compte des critères énumérés dans la directive (UE) 2019/944: faible revenu, dépenses élevées du revenu disponible en énergie et mauvaise efficacité énergétique.</w:t>
      </w:r>
    </w:p>
    <w:p w14:paraId="1CEBD5B7" w14:textId="77777777" w:rsidR="00F74E13" w:rsidRDefault="009274FC">
      <w:pPr>
        <w:pStyle w:val="P68B1DB1-Normal6"/>
        <w:spacing w:before="120" w:after="120" w:line="240" w:lineRule="auto"/>
        <w:ind w:left="425"/>
        <w:jc w:val="both"/>
        <w:rPr>
          <w:noProof/>
        </w:rPr>
      </w:pPr>
      <w:r>
        <w:rPr>
          <w:noProof/>
        </w:rPr>
        <w:t>La mise en œuvre de la réforme est achevée au plus tard le 31 décembre 2022.</w:t>
      </w:r>
    </w:p>
    <w:p w14:paraId="1CEBD5B9" w14:textId="7FD01FA8" w:rsidR="00F74E13" w:rsidRDefault="009274FC">
      <w:pPr>
        <w:pStyle w:val="P68B1DB1-Normal9"/>
        <w:spacing w:before="120" w:after="120" w:line="240" w:lineRule="auto"/>
        <w:ind w:left="426"/>
        <w:jc w:val="both"/>
        <w:rPr>
          <w:noProof/>
        </w:rPr>
      </w:pPr>
      <w:r>
        <w:rPr>
          <w:noProof/>
        </w:rPr>
        <w:t>Investissement 1 (C4.I1): Soutien à la rénovation du parc immobilier</w:t>
      </w:r>
    </w:p>
    <w:p w14:paraId="1CEBD5BA" w14:textId="77777777" w:rsidR="00F74E13" w:rsidRDefault="009274FC">
      <w:pPr>
        <w:pStyle w:val="P68B1DB1-Normal6"/>
        <w:spacing w:before="120" w:after="0" w:line="240" w:lineRule="auto"/>
        <w:ind w:left="425"/>
        <w:jc w:val="both"/>
        <w:rPr>
          <w:noProof/>
        </w:rPr>
      </w:pPr>
      <w:r>
        <w:rPr>
          <w:noProof/>
        </w:rPr>
        <w:t>L’objectif de la mesure est d’accroître l’efficacité énergétique du parc immobilier.</w:t>
      </w:r>
    </w:p>
    <w:p w14:paraId="1CEBD5BB" w14:textId="050BE012" w:rsidR="00F74E13" w:rsidRDefault="009274FC">
      <w:pPr>
        <w:pStyle w:val="P68B1DB1-Normal6"/>
        <w:spacing w:before="120" w:after="120" w:line="240" w:lineRule="auto"/>
        <w:ind w:left="425"/>
        <w:jc w:val="both"/>
        <w:rPr>
          <w:noProof/>
        </w:rPr>
      </w:pPr>
      <w:r>
        <w:rPr>
          <w:noProof/>
        </w:rPr>
        <w:t xml:space="preserve">La mesure consiste en trois sous-mesures pour la rénovation de l’efficacité énergétique des bâtiments résidentiels et non résidentiels – bâtiments publics ou bâtiments dans les domaines de l’industrie manufacturière, du commerce et des services. </w:t>
      </w:r>
    </w:p>
    <w:p w14:paraId="1CEBD5BD" w14:textId="77777777" w:rsidR="00F74E13" w:rsidRDefault="009274FC">
      <w:pPr>
        <w:pStyle w:val="P68B1DB1-Normal9"/>
        <w:spacing w:before="120" w:after="0" w:line="240" w:lineRule="auto"/>
        <w:ind w:left="425"/>
        <w:jc w:val="both"/>
        <w:rPr>
          <w:noProof/>
        </w:rPr>
      </w:pPr>
      <w:r>
        <w:rPr>
          <w:noProof/>
        </w:rPr>
        <w:t xml:space="preserve">Investissement 2 (C4.I2): Soutien aux énergies renouvelables pour les ménages </w:t>
      </w:r>
    </w:p>
    <w:p w14:paraId="1CEBD5BE" w14:textId="77777777" w:rsidR="00F74E13" w:rsidRDefault="009274FC">
      <w:pPr>
        <w:pStyle w:val="P68B1DB1-Normal6"/>
        <w:spacing w:before="120" w:after="0" w:line="240" w:lineRule="auto"/>
        <w:ind w:left="425"/>
        <w:jc w:val="both"/>
        <w:rPr>
          <w:noProof/>
        </w:rPr>
      </w:pPr>
      <w:r>
        <w:rPr>
          <w:noProof/>
        </w:rPr>
        <w:t>L’objectif de la mesure est d’accroître l’utilisation des énergies renouvelables dans la consommation finale d’énergie des ménages.</w:t>
      </w:r>
    </w:p>
    <w:p w14:paraId="1CEBD5BF" w14:textId="77777777" w:rsidR="00F74E13" w:rsidRDefault="009274FC">
      <w:pPr>
        <w:pStyle w:val="P68B1DB1-Normal6"/>
        <w:spacing w:before="120" w:after="120" w:line="240" w:lineRule="auto"/>
        <w:ind w:left="425"/>
        <w:jc w:val="both"/>
        <w:rPr>
          <w:noProof/>
        </w:rPr>
      </w:pPr>
      <w:r>
        <w:rPr>
          <w:noProof/>
        </w:rPr>
        <w:t xml:space="preserve">La mesure consiste à soutenir les systèmes </w:t>
      </w:r>
      <w:bookmarkStart w:id="4" w:name="bookmark419"/>
      <w:bookmarkEnd w:id="4"/>
      <w:r>
        <w:rPr>
          <w:noProof/>
        </w:rPr>
        <w:t xml:space="preserve">solaires pour l’approvisionnement en eau chaude sanitaire ou les systèmes photovoltaïques. </w:t>
      </w:r>
    </w:p>
    <w:p w14:paraId="1CEBD5C1" w14:textId="77777777" w:rsidR="00F74E13" w:rsidRDefault="009274FC">
      <w:pPr>
        <w:pStyle w:val="P68B1DB1-Normal9"/>
        <w:spacing w:before="120" w:after="0" w:line="240" w:lineRule="auto"/>
        <w:ind w:left="425"/>
        <w:jc w:val="both"/>
        <w:rPr>
          <w:noProof/>
        </w:rPr>
      </w:pPr>
      <w:r>
        <w:rPr>
          <w:noProof/>
        </w:rPr>
        <w:t>Investissement 3 (C4.I3): Soutien aux systèmes d'éclairage public économes en énergie </w:t>
      </w:r>
    </w:p>
    <w:p w14:paraId="1CEBD5C2" w14:textId="77777777" w:rsidR="00F74E13" w:rsidRDefault="009274FC">
      <w:pPr>
        <w:pStyle w:val="P68B1DB1-Normal6"/>
        <w:tabs>
          <w:tab w:val="num" w:pos="720"/>
        </w:tabs>
        <w:spacing w:before="120" w:after="0" w:line="240" w:lineRule="auto"/>
        <w:ind w:left="425"/>
        <w:jc w:val="both"/>
        <w:rPr>
          <w:noProof/>
        </w:rPr>
      </w:pPr>
      <w:r>
        <w:rPr>
          <w:noProof/>
        </w:rPr>
        <w:t xml:space="preserve">L’objectif de la mesure est d’accroître l’efficacité énergétique et de réduire les coûts énergétiques des systèmes d’éclairage municipaux. </w:t>
      </w:r>
    </w:p>
    <w:p w14:paraId="1CEBD5C3" w14:textId="15DDBDB6" w:rsidR="00F74E13" w:rsidRDefault="009274FC">
      <w:pPr>
        <w:pStyle w:val="P68B1DB1-Normal6"/>
        <w:tabs>
          <w:tab w:val="num" w:pos="720"/>
        </w:tabs>
        <w:spacing w:before="120" w:after="120" w:line="240" w:lineRule="auto"/>
        <w:ind w:left="425"/>
        <w:jc w:val="both"/>
        <w:rPr>
          <w:noProof/>
        </w:rPr>
      </w:pPr>
      <w:r>
        <w:rPr>
          <w:noProof/>
        </w:rPr>
        <w:t xml:space="preserve">La mesure consiste à soutenir les systèmes d’éclairage public. </w:t>
      </w:r>
    </w:p>
    <w:p w14:paraId="1CEBD5C5" w14:textId="77777777" w:rsidR="00F74E13" w:rsidRDefault="009274FC">
      <w:pPr>
        <w:pStyle w:val="P68B1DB1-Normal9"/>
        <w:spacing w:before="120" w:after="0" w:line="240" w:lineRule="auto"/>
        <w:ind w:left="426"/>
        <w:jc w:val="both"/>
        <w:rPr>
          <w:noProof/>
        </w:rPr>
      </w:pPr>
      <w:r>
        <w:rPr>
          <w:noProof/>
        </w:rPr>
        <w:t xml:space="preserve">Réforme 4 (C4.R4): Stimuler l'efficacité énergétique et les projets d'énergies renouvelables grâce aux factures d'énergie </w:t>
      </w:r>
    </w:p>
    <w:p w14:paraId="1CEBD5C6" w14:textId="77777777" w:rsidR="00F74E13" w:rsidRDefault="009274FC">
      <w:pPr>
        <w:pStyle w:val="P68B1DB1-Normal6"/>
        <w:tabs>
          <w:tab w:val="num" w:pos="720"/>
        </w:tabs>
        <w:spacing w:before="120" w:after="0" w:line="240" w:lineRule="auto"/>
        <w:ind w:left="425"/>
        <w:jc w:val="both"/>
        <w:rPr>
          <w:noProof/>
        </w:rPr>
      </w:pPr>
      <w:r>
        <w:rPr>
          <w:noProof/>
        </w:rPr>
        <w:t>L'objectif de la réforme est d'élargir les possibilités de mise en œuvre de mesures et de projets visant à améliorer l'efficacité énergétique dans un contexte de ressources financières limitées.</w:t>
      </w:r>
    </w:p>
    <w:p w14:paraId="1CEBD5C7" w14:textId="77777777" w:rsidR="00F74E13" w:rsidRDefault="009274FC">
      <w:pPr>
        <w:pStyle w:val="P68B1DB1-Normal6"/>
        <w:tabs>
          <w:tab w:val="num" w:pos="720"/>
        </w:tabs>
        <w:spacing w:before="120" w:after="120" w:line="240" w:lineRule="auto"/>
        <w:ind w:left="425"/>
        <w:jc w:val="both"/>
        <w:rPr>
          <w:noProof/>
        </w:rPr>
      </w:pPr>
      <w:r>
        <w:rPr>
          <w:noProof/>
        </w:rPr>
        <w:t>La mesure consiste en l’entrée en vigueur d’actes juridiques visant à permettre l’utilisation de modèles d’entreprises de services énergétiques (ESCO) pour couvrir le financement des rénovations en matière d’efficacité énergétique au moyen des factures d’énergie. La mise en œuvre de la réforme est achevée au plus tard le 31 décembre 2022.</w:t>
      </w:r>
    </w:p>
    <w:p w14:paraId="1CEBD5C9" w14:textId="77777777" w:rsidR="00F74E13" w:rsidRDefault="009274FC">
      <w:pPr>
        <w:pStyle w:val="P68B1DB1-Normal9"/>
        <w:tabs>
          <w:tab w:val="num" w:pos="720"/>
        </w:tabs>
        <w:spacing w:before="120" w:after="0" w:line="240" w:lineRule="auto"/>
        <w:ind w:left="425"/>
        <w:jc w:val="both"/>
        <w:rPr>
          <w:noProof/>
        </w:rPr>
      </w:pPr>
      <w:r>
        <w:rPr>
          <w:noProof/>
        </w:rPr>
        <w:t>Réforme 5 (C4.R5): Guichets uniques pour les rénovations en matière d’efficacité énergétique</w:t>
      </w:r>
    </w:p>
    <w:p w14:paraId="1CEBD5CA" w14:textId="77777777" w:rsidR="00F74E13" w:rsidRDefault="009274FC">
      <w:pPr>
        <w:pStyle w:val="P68B1DB1-Normal6"/>
        <w:tabs>
          <w:tab w:val="num" w:pos="720"/>
        </w:tabs>
        <w:spacing w:before="120" w:after="0" w:line="240" w:lineRule="auto"/>
        <w:ind w:left="425"/>
        <w:jc w:val="both"/>
        <w:rPr>
          <w:noProof/>
        </w:rPr>
      </w:pPr>
      <w:r>
        <w:rPr>
          <w:noProof/>
        </w:rPr>
        <w:t>L’objectif de la réforme est de réduire la charge administrative liée au processus de rénovation en matière d’efficacité énergétique.</w:t>
      </w:r>
    </w:p>
    <w:p w14:paraId="1CEBD5CC" w14:textId="2DA7C16E" w:rsidR="00F74E13" w:rsidRDefault="009274FC">
      <w:pPr>
        <w:pStyle w:val="P68B1DB1-Normal6"/>
        <w:tabs>
          <w:tab w:val="num" w:pos="720"/>
        </w:tabs>
        <w:spacing w:before="120" w:after="120" w:line="240" w:lineRule="auto"/>
        <w:ind w:left="425"/>
        <w:jc w:val="both"/>
        <w:rPr>
          <w:noProof/>
        </w:rPr>
      </w:pPr>
      <w:r>
        <w:rPr>
          <w:noProof/>
        </w:rPr>
        <w:t xml:space="preserve">La mesure consiste à désigner des guichets uniques pour les rénovations en matière d’efficacité énergétique dans le pays et à mettre en place six guichets uniques pilotes. </w:t>
      </w:r>
    </w:p>
    <w:p w14:paraId="1CEBD5CD" w14:textId="77777777" w:rsidR="00F74E13" w:rsidRDefault="009274FC">
      <w:pPr>
        <w:pStyle w:val="P68B1DB1-Normal9"/>
        <w:tabs>
          <w:tab w:val="num" w:pos="720"/>
        </w:tabs>
        <w:spacing w:before="120" w:after="0" w:line="240" w:lineRule="auto"/>
        <w:ind w:left="425"/>
        <w:jc w:val="both"/>
        <w:rPr>
          <w:noProof/>
        </w:rPr>
      </w:pPr>
      <w:r>
        <w:rPr>
          <w:noProof/>
        </w:rPr>
        <w:t>Réforme 6 (C4.R6): Accroître la production d'électricité à partir de sources renouvelables</w:t>
      </w:r>
    </w:p>
    <w:p w14:paraId="1CEBD5CE" w14:textId="77777777" w:rsidR="00F74E13" w:rsidRDefault="009274FC">
      <w:pPr>
        <w:pStyle w:val="P68B1DB1-Normal6"/>
        <w:tabs>
          <w:tab w:val="num" w:pos="720"/>
        </w:tabs>
        <w:spacing w:before="120" w:after="0" w:line="240" w:lineRule="auto"/>
        <w:ind w:left="425"/>
        <w:jc w:val="both"/>
        <w:rPr>
          <w:noProof/>
        </w:rPr>
      </w:pPr>
      <w:r>
        <w:rPr>
          <w:noProof/>
        </w:rPr>
        <w:t>L'objectif de cette réforme est de soutenir une expansion plus rapide de la production d'électricité à partir de sources renouvelables.</w:t>
      </w:r>
    </w:p>
    <w:p w14:paraId="1CEBD5CF" w14:textId="77777777" w:rsidR="00F74E13" w:rsidRDefault="009274FC">
      <w:pPr>
        <w:pStyle w:val="P68B1DB1-Normal10"/>
        <w:tabs>
          <w:tab w:val="num" w:pos="720"/>
        </w:tabs>
        <w:spacing w:before="120" w:after="120" w:line="240" w:lineRule="auto"/>
        <w:ind w:left="425"/>
        <w:jc w:val="both"/>
        <w:rPr>
          <w:noProof/>
        </w:rPr>
      </w:pPr>
      <w:r>
        <w:rPr>
          <w:noProof/>
        </w:rPr>
        <w:t>La réforme consiste à simplifier les procédures d'installation et de raccordement des sources d'énergie renouvelables.</w:t>
      </w:r>
    </w:p>
    <w:p w14:paraId="1CEBD5D1" w14:textId="77777777" w:rsidR="00F74E13" w:rsidRDefault="009274FC">
      <w:pPr>
        <w:pStyle w:val="P68B1DB1-Normal9"/>
        <w:tabs>
          <w:tab w:val="num" w:pos="720"/>
        </w:tabs>
        <w:spacing w:before="120" w:after="0" w:line="240" w:lineRule="auto"/>
        <w:ind w:left="425"/>
        <w:jc w:val="both"/>
        <w:rPr>
          <w:rFonts w:eastAsia="Calibri" w:cs="Times New Roman"/>
          <w:noProof/>
        </w:rPr>
      </w:pPr>
      <w:r>
        <w:rPr>
          <w:noProof/>
        </w:rPr>
        <w:t xml:space="preserve">Réforme 7 (C4.R7): Soutenir la chaîne de valeur de l’hydrogène vert </w:t>
      </w:r>
    </w:p>
    <w:p w14:paraId="1CEBD5D2" w14:textId="77777777" w:rsidR="00F74E13" w:rsidRDefault="009274FC">
      <w:pPr>
        <w:pStyle w:val="P68B1DB1-Normal6"/>
        <w:tabs>
          <w:tab w:val="num" w:pos="720"/>
        </w:tabs>
        <w:spacing w:before="120" w:after="0" w:line="240" w:lineRule="auto"/>
        <w:ind w:left="425"/>
        <w:jc w:val="both"/>
        <w:rPr>
          <w:noProof/>
        </w:rPr>
      </w:pPr>
      <w:r>
        <w:rPr>
          <w:noProof/>
        </w:rPr>
        <w:t xml:space="preserve">L’objectif de cette réforme est de soutenir la chaîne de valeur de l’hydrogène vert. </w:t>
      </w:r>
    </w:p>
    <w:p w14:paraId="1CEBD5D3" w14:textId="77777777" w:rsidR="00F74E13" w:rsidRDefault="009274FC">
      <w:pPr>
        <w:pStyle w:val="P68B1DB1-Normal6"/>
        <w:tabs>
          <w:tab w:val="num" w:pos="720"/>
        </w:tabs>
        <w:spacing w:before="120" w:after="120" w:line="240" w:lineRule="auto"/>
        <w:ind w:left="425"/>
        <w:jc w:val="both"/>
        <w:rPr>
          <w:noProof/>
        </w:rPr>
      </w:pPr>
      <w:r>
        <w:rPr>
          <w:noProof/>
        </w:rPr>
        <w:t xml:space="preserve">La réforme consiste en l’entrée en vigueur d’un ou de plusieurs actes juridiques sur la chaîne de valeur de l’hydrogène vert. </w:t>
      </w:r>
    </w:p>
    <w:p w14:paraId="1CEBD5D5" w14:textId="77777777" w:rsidR="00F74E13" w:rsidRDefault="009274FC">
      <w:pPr>
        <w:pStyle w:val="P68B1DB1-Normal6"/>
        <w:spacing w:before="120" w:after="0"/>
        <w:ind w:left="426"/>
        <w:jc w:val="both"/>
        <w:rPr>
          <w:noProof/>
        </w:rPr>
      </w:pPr>
      <w:r>
        <w:rPr>
          <w:noProof/>
          <w:u w:val="single"/>
        </w:rPr>
        <w:t>Investissement 4 (C4.I4): Transformation numérique du réseau de transport d'électricité</w:t>
      </w:r>
      <w:r>
        <w:rPr>
          <w:noProof/>
        </w:rPr>
        <w:t xml:space="preserve"> </w:t>
      </w:r>
    </w:p>
    <w:p w14:paraId="1CEBD5D6" w14:textId="77777777" w:rsidR="00F74E13" w:rsidRDefault="009274FC">
      <w:pPr>
        <w:pStyle w:val="P68B1DB1-Normal6"/>
        <w:spacing w:before="120" w:after="0" w:line="240" w:lineRule="auto"/>
        <w:ind w:left="425"/>
        <w:jc w:val="both"/>
        <w:rPr>
          <w:noProof/>
        </w:rPr>
      </w:pPr>
      <w:r>
        <w:rPr>
          <w:noProof/>
        </w:rPr>
        <w:t xml:space="preserve">L’objectif de cet investissement est d’accroître la part des sources d’énergie renouvelables, la flexibilité dans la gestion et le suivi du système électrique ainsi que la capacité nette de transport transfrontalier aux frontières avec les États membres (c’est-à-dire la Roumanie et la Grèce). </w:t>
      </w:r>
    </w:p>
    <w:p w14:paraId="1CEBD5D8" w14:textId="77777777" w:rsidR="00F74E13" w:rsidRDefault="009274FC">
      <w:pPr>
        <w:pStyle w:val="P68B1DB1-Normal6"/>
        <w:spacing w:before="120" w:after="120" w:line="240" w:lineRule="auto"/>
        <w:ind w:left="425"/>
        <w:jc w:val="both"/>
        <w:rPr>
          <w:noProof/>
        </w:rPr>
      </w:pPr>
      <w:r>
        <w:rPr>
          <w:noProof/>
        </w:rPr>
        <w:t>L'investissement consiste en un programme de transformation numérique du gestionnaire du réseau d'électricité.</w:t>
      </w:r>
    </w:p>
    <w:p w14:paraId="1CEBD5D9" w14:textId="77777777" w:rsidR="00F74E13" w:rsidRDefault="00F74E13">
      <w:pPr>
        <w:spacing w:after="0" w:line="240" w:lineRule="auto"/>
        <w:ind w:left="425"/>
        <w:jc w:val="both"/>
        <w:rPr>
          <w:rFonts w:ascii="Times New Roman" w:hAnsi="Times New Roman"/>
          <w:noProof/>
        </w:rPr>
      </w:pPr>
    </w:p>
    <w:p w14:paraId="1CEBD5DA" w14:textId="77777777" w:rsidR="00F74E13" w:rsidRDefault="009274FC">
      <w:pPr>
        <w:pStyle w:val="P68B1DB1-Normal9"/>
        <w:ind w:left="426"/>
        <w:jc w:val="both"/>
        <w:rPr>
          <w:noProof/>
        </w:rPr>
      </w:pPr>
      <w:r>
        <w:rPr>
          <w:noProof/>
        </w:rPr>
        <w:t>Réforme 8 (C4.R8): Libéralisation du marché de l'électricité </w:t>
      </w:r>
    </w:p>
    <w:p w14:paraId="1CEBD5DB" w14:textId="77777777" w:rsidR="00F74E13" w:rsidRDefault="009274FC">
      <w:pPr>
        <w:pStyle w:val="P68B1DB1-Normal6"/>
        <w:spacing w:line="240" w:lineRule="auto"/>
        <w:ind w:left="425"/>
        <w:jc w:val="both"/>
        <w:rPr>
          <w:noProof/>
        </w:rPr>
      </w:pPr>
      <w:r>
        <w:rPr>
          <w:noProof/>
        </w:rPr>
        <w:t>L'objectif de cette réforme est d'achever la libéralisation du marché de gros de l'électricité et d'améliorer le marché de l'équilibrage du marché de l'électricité. Cette réforme comprend les éléments suivants:</w:t>
      </w:r>
    </w:p>
    <w:p w14:paraId="1CEBD5DC" w14:textId="77777777" w:rsidR="00F74E13" w:rsidRDefault="009274FC">
      <w:pPr>
        <w:pStyle w:val="P68B1DB1-ListParagraph7"/>
        <w:numPr>
          <w:ilvl w:val="0"/>
          <w:numId w:val="25"/>
        </w:numPr>
        <w:spacing w:line="240" w:lineRule="auto"/>
        <w:jc w:val="both"/>
        <w:rPr>
          <w:noProof/>
        </w:rPr>
      </w:pPr>
      <w:r>
        <w:rPr>
          <w:noProof/>
        </w:rPr>
        <w:t>La libéralisation du marché de gros de l'électricité par l'entrée en vigueur d'actes juridiques qui mettent fin au rôle de fournisseur public de la Natsionalna Elektricheska Kompania EAD (NEK) et suppriment les quotas pour le marché réglementé. Elle interdit également les contrats à long terme, y compris les accords d'achat d'électricité, ou toute mesure similaire ayant un objet ou un effet identique ou équivalent, à l'exception de ceux relatifs à l'électricité produite à partir de sources renouvelables ou conclus sur la bourse de l'électricité. Les contrats d’achat d’électricité à long terme pour Maritsa East 1 et Maritsa East 3 qui expirent respectivement en 2024 et 2026 ne sont pas prolongés et/ou ne bénéficient d’aucune nouvelle aide d’État.</w:t>
      </w:r>
    </w:p>
    <w:p w14:paraId="1CEBD5DD" w14:textId="77777777" w:rsidR="00F74E13" w:rsidRDefault="009274FC">
      <w:pPr>
        <w:pStyle w:val="P68B1DB1-ListParagraph7"/>
        <w:numPr>
          <w:ilvl w:val="0"/>
          <w:numId w:val="25"/>
        </w:numPr>
        <w:spacing w:line="240" w:lineRule="auto"/>
        <w:jc w:val="both"/>
        <w:rPr>
          <w:noProof/>
        </w:rPr>
      </w:pPr>
      <w:r>
        <w:rPr>
          <w:noProof/>
        </w:rPr>
        <w:t>la réforme du marché de l’équilibrage du marché de l’électricité par l’entrée en vigueur d’actes juridiques qui garantissent que: i) la capacité d’équilibrage est achetée aux conditions du marché; ii) le prix des fournisseurs d’énergie d’équilibrage est publié dans les 30 minutes suivant la fermeture du marché infrajournalier; iii) un prix d’équilibrage unique est introduit pour les périodes sans activation de l’énergie d’équilibrage; iv) une période de règlement des déséquilibres de 15 minutes est introduite; et v) aucun plafonnement des prix de l’électricité d’équilibrage n’est fixé.</w:t>
      </w:r>
    </w:p>
    <w:p w14:paraId="1CEBD5DE" w14:textId="37A89C2C" w:rsidR="00F74E13" w:rsidRDefault="009274FC">
      <w:pPr>
        <w:pStyle w:val="P68B1DB1-Normal6"/>
        <w:spacing w:after="120" w:line="240" w:lineRule="auto"/>
        <w:ind w:left="425"/>
        <w:jc w:val="both"/>
        <w:rPr>
          <w:noProof/>
        </w:rPr>
      </w:pPr>
      <w:r>
        <w:rPr>
          <w:noProof/>
        </w:rPr>
        <w:t>Le couplage de marché sur le marché journalier à la frontière avec la Roumanie ainsi qu’avec la Grèce sur le marché infrajournalier est achevé au plus tard le 31 décembre 2021 et le 31 décembre 2022, respectivement.</w:t>
      </w:r>
    </w:p>
    <w:p w14:paraId="1CEBD5E0" w14:textId="77777777" w:rsidR="00F74E13" w:rsidRDefault="009274FC">
      <w:pPr>
        <w:pStyle w:val="P68B1DB1-Normal9"/>
        <w:spacing w:before="120" w:line="278" w:lineRule="auto"/>
        <w:ind w:left="425"/>
        <w:jc w:val="both"/>
        <w:rPr>
          <w:noProof/>
        </w:rPr>
      </w:pPr>
      <w:r>
        <w:rPr>
          <w:noProof/>
        </w:rPr>
        <w:t xml:space="preserve">Réforme 9 (C4.R9): Feuille de route pour la neutralité climatique </w:t>
      </w:r>
    </w:p>
    <w:p w14:paraId="1CEBD5E1" w14:textId="77777777" w:rsidR="00F74E13" w:rsidRDefault="009274FC">
      <w:pPr>
        <w:pStyle w:val="P68B1DB1-Normal6"/>
        <w:spacing w:line="240" w:lineRule="auto"/>
        <w:ind w:left="425"/>
        <w:jc w:val="both"/>
        <w:rPr>
          <w:noProof/>
          <w:u w:val="single"/>
        </w:rPr>
      </w:pPr>
      <w:r>
        <w:rPr>
          <w:noProof/>
        </w:rPr>
        <w:t xml:space="preserve">L’objectif de la réforme est de fournir un cadre stratégique actualisé pour la décarbonation de l’économie. La réforme porte sur la création d’une commission de la transition énergétique chargée de préparer des scénarios et des recommandations en vue d’une feuille de route pour la neutralité climatique. Le Conseil des ministres adopte une décision relative à une feuille de route pour la neutralité climatique. La commission de la transition énergétique est mise en place au niveau des experts avec une large participation des parties prenantes afin de garantir l’expertise, l’indépendance et le pluralisme. La Commission évalue différents scénarios pour l'élimination progressive du charbon/lignite, y compris pour une élimination accélérée. Le rapport de scénario et les recommandations sont rendus publics. Les scénarios et recommandations élaborés comprennent des étapes pour achever l’élimination progressive du charbon/lignite au plus tard en 2038. La mise en œuvre de la réforme est achevée au plus tard le 30 septembre 2022. </w:t>
      </w:r>
    </w:p>
    <w:p w14:paraId="1CEBD5E2" w14:textId="77777777" w:rsidR="00F74E13" w:rsidRDefault="009274FC">
      <w:pPr>
        <w:pStyle w:val="P68B1DB1-Default25"/>
        <w:spacing w:before="120" w:after="120"/>
        <w:ind w:left="425"/>
        <w:jc w:val="both"/>
        <w:rPr>
          <w:noProof/>
        </w:rPr>
      </w:pPr>
      <w:r>
        <w:rPr>
          <w:noProof/>
        </w:rPr>
        <w:t>Réforme 10 (C4.R10): Décarbonation du secteur de l’énergie</w:t>
      </w:r>
    </w:p>
    <w:p w14:paraId="1CEBD5E3" w14:textId="77777777" w:rsidR="00F74E13" w:rsidRDefault="009274FC">
      <w:pPr>
        <w:pStyle w:val="Default"/>
        <w:spacing w:before="120"/>
        <w:ind w:left="425"/>
        <w:jc w:val="both"/>
        <w:rPr>
          <w:noProof/>
        </w:rPr>
      </w:pPr>
      <w:r>
        <w:rPr>
          <w:noProof/>
        </w:rPr>
        <w:t xml:space="preserve">L'objectif de cette réforme est la </w:t>
      </w:r>
      <w:r>
        <w:rPr>
          <w:rFonts w:eastAsia="Calibri"/>
          <w:noProof/>
        </w:rPr>
        <w:t>réduction</w:t>
      </w:r>
      <w:r>
        <w:rPr>
          <w:noProof/>
        </w:rPr>
        <w:t xml:space="preserve"> des </w:t>
      </w:r>
      <w:r>
        <w:rPr>
          <w:rFonts w:eastAsia="Calibri"/>
          <w:noProof/>
        </w:rPr>
        <w:t>émissions de dioxyde de carbone associées à</w:t>
      </w:r>
      <w:r>
        <w:rPr>
          <w:noProof/>
        </w:rPr>
        <w:t xml:space="preserve"> la production d'électricité. </w:t>
      </w:r>
    </w:p>
    <w:p w14:paraId="1CEBD5E5" w14:textId="03CDA2CD" w:rsidR="00F74E13" w:rsidRDefault="009274FC">
      <w:pPr>
        <w:pStyle w:val="Default"/>
        <w:spacing w:before="120" w:after="120"/>
        <w:ind w:left="425"/>
        <w:jc w:val="both"/>
        <w:rPr>
          <w:noProof/>
          <w:u w:val="single"/>
        </w:rPr>
      </w:pPr>
      <w:r>
        <w:rPr>
          <w:noProof/>
        </w:rPr>
        <w:t>La réforme consiste à: i) la limitation des émissions de dioxyde de carbone associées à la production d’électricité, et ii) l’entrée en vigueur d’un ou de plusieurs actes juridiques sur la décarbonation, y compris un plafond réglementaire sur les émissions de dioxyde de carbone provenant des centrales électriques existantes au lignite et au charbon.</w:t>
      </w:r>
    </w:p>
    <w:p w14:paraId="1CEBD5E7" w14:textId="77777777" w:rsidR="00F74E13" w:rsidRDefault="009274FC">
      <w:pPr>
        <w:pStyle w:val="P68B1DB1-Default25"/>
        <w:spacing w:before="120" w:line="360" w:lineRule="auto"/>
        <w:ind w:left="425"/>
        <w:jc w:val="both"/>
        <w:rPr>
          <w:noProof/>
        </w:rPr>
      </w:pPr>
      <w:r>
        <w:rPr>
          <w:noProof/>
        </w:rPr>
        <w:t xml:space="preserve">Investissement 7 (C4.I7): </w:t>
      </w:r>
      <w:r>
        <w:rPr>
          <w:rFonts w:eastAsia="Calibri"/>
          <w:noProof/>
        </w:rPr>
        <w:t>Accroître l'utilisation des énergies renouvelables provenant de</w:t>
      </w:r>
      <w:r>
        <w:rPr>
          <w:noProof/>
        </w:rPr>
        <w:t xml:space="preserve"> sources géothermiques</w:t>
      </w:r>
    </w:p>
    <w:p w14:paraId="1CEBD5E8" w14:textId="77777777" w:rsidR="00F74E13" w:rsidRDefault="009274FC">
      <w:pPr>
        <w:pStyle w:val="Default"/>
        <w:spacing w:before="120"/>
        <w:ind w:left="426"/>
        <w:jc w:val="both"/>
        <w:rPr>
          <w:noProof/>
        </w:rPr>
      </w:pPr>
      <w:r>
        <w:rPr>
          <w:noProof/>
        </w:rPr>
        <w:t xml:space="preserve">L’objectif de l’investissement est de soutenir la production d’énergie renouvelable à partir de sources géothermiques. </w:t>
      </w:r>
    </w:p>
    <w:p w14:paraId="1CEBD5EA" w14:textId="77777777" w:rsidR="00F74E13" w:rsidRDefault="009274FC">
      <w:pPr>
        <w:pStyle w:val="Default"/>
        <w:spacing w:before="120" w:after="120"/>
        <w:ind w:left="425"/>
        <w:jc w:val="both"/>
        <w:rPr>
          <w:noProof/>
          <w:u w:val="single"/>
        </w:rPr>
      </w:pPr>
      <w:r>
        <w:rPr>
          <w:rFonts w:eastAsia="Calibri"/>
          <w:noProof/>
        </w:rPr>
        <w:t xml:space="preserve">L'investissement consiste en l'entrée en vigueur d'un cadre réglementaire révisé pour l'énergie </w:t>
      </w:r>
      <w:r>
        <w:rPr>
          <w:noProof/>
        </w:rPr>
        <w:t xml:space="preserve">  géothermique et </w:t>
      </w:r>
      <w:r>
        <w:rPr>
          <w:rFonts w:eastAsia="Calibri"/>
          <w:noProof/>
        </w:rPr>
        <w:t>d'un outil géothermique accessible en ligne.</w:t>
      </w:r>
    </w:p>
    <w:p w14:paraId="1CEBD5EC" w14:textId="77777777" w:rsidR="00F74E13" w:rsidRDefault="009274FC">
      <w:pPr>
        <w:pStyle w:val="P68B1DB1-Default25"/>
        <w:spacing w:before="120" w:line="360" w:lineRule="auto"/>
        <w:ind w:left="425"/>
        <w:jc w:val="both"/>
        <w:rPr>
          <w:noProof/>
        </w:rPr>
      </w:pPr>
      <w:r>
        <w:rPr>
          <w:noProof/>
        </w:rPr>
        <w:t>Investissement 8 (C4.I8): Infrastructure nationale de stockage de l'électricité (RESTORE)</w:t>
      </w:r>
    </w:p>
    <w:p w14:paraId="1CEBD5ED" w14:textId="77777777" w:rsidR="00F74E13" w:rsidRDefault="009274FC">
      <w:pPr>
        <w:pStyle w:val="Default"/>
        <w:spacing w:before="120"/>
        <w:ind w:left="426"/>
        <w:jc w:val="both"/>
        <w:rPr>
          <w:noProof/>
        </w:rPr>
      </w:pPr>
      <w:r>
        <w:rPr>
          <w:noProof/>
        </w:rPr>
        <w:t xml:space="preserve">L’objectif de l’investissement est de </w:t>
      </w:r>
      <w:r>
        <w:rPr>
          <w:rFonts w:eastAsia="Calibri"/>
          <w:noProof/>
        </w:rPr>
        <w:t>soutenir les installations de stockage d’électricité.</w:t>
      </w:r>
      <w:r>
        <w:rPr>
          <w:noProof/>
        </w:rPr>
        <w:t xml:space="preserve"> </w:t>
      </w:r>
    </w:p>
    <w:p w14:paraId="1CEBD5F0" w14:textId="68EE7E09" w:rsidR="00F74E13" w:rsidRDefault="009274FC">
      <w:pPr>
        <w:pStyle w:val="P68B1DB1-Default26"/>
        <w:spacing w:before="120" w:after="120"/>
        <w:ind w:left="425"/>
        <w:jc w:val="both"/>
        <w:rPr>
          <w:noProof/>
        </w:rPr>
      </w:pPr>
      <w:r>
        <w:rPr>
          <w:noProof/>
        </w:rPr>
        <w:t xml:space="preserve">L'investissement consiste en l'installation d'installations de stockage d'électricité. </w:t>
      </w:r>
    </w:p>
    <w:p w14:paraId="1CEBD5F1" w14:textId="77777777" w:rsidR="00F74E13" w:rsidRDefault="009274FC">
      <w:pPr>
        <w:pStyle w:val="P68B1DB1-Normal9"/>
        <w:spacing w:before="120" w:after="0" w:line="240" w:lineRule="auto"/>
        <w:ind w:left="425"/>
        <w:jc w:val="both"/>
        <w:rPr>
          <w:noProof/>
        </w:rPr>
      </w:pPr>
      <w:r>
        <w:rPr>
          <w:noProof/>
        </w:rPr>
        <w:t>Réforme 11 (C4.R11). Améliorer la gouvernance des entreprises publiques dans le secteur de l'énergie</w:t>
      </w:r>
    </w:p>
    <w:p w14:paraId="1CEBD5F2" w14:textId="77777777" w:rsidR="00F74E13" w:rsidRDefault="009274FC">
      <w:pPr>
        <w:pStyle w:val="P68B1DB1-Normal6"/>
        <w:spacing w:before="120" w:after="120" w:line="240" w:lineRule="auto"/>
        <w:ind w:left="425"/>
        <w:jc w:val="both"/>
        <w:rPr>
          <w:noProof/>
        </w:rPr>
      </w:pPr>
      <w:r>
        <w:rPr>
          <w:noProof/>
        </w:rPr>
        <w:t xml:space="preserve">L'objectif de la réforme est d'accroître la transparence et la compétitivité des entreprises publiques dans le secteur de l'énergie. </w:t>
      </w:r>
    </w:p>
    <w:p w14:paraId="1CEBD5F3" w14:textId="77777777" w:rsidR="00F74E13" w:rsidRDefault="009274FC">
      <w:pPr>
        <w:pStyle w:val="P68B1DB1-Normal6"/>
        <w:spacing w:after="120" w:line="240" w:lineRule="auto"/>
        <w:ind w:left="425"/>
        <w:jc w:val="both"/>
        <w:rPr>
          <w:noProof/>
        </w:rPr>
      </w:pPr>
      <w:r>
        <w:rPr>
          <w:noProof/>
        </w:rPr>
        <w:t xml:space="preserve">La mesure consiste à séparer les entreprises liées au charbon de la holding énergétique bulgare. </w:t>
      </w:r>
    </w:p>
    <w:p w14:paraId="1CEBD5F4" w14:textId="77777777" w:rsidR="00F74E13" w:rsidRDefault="009274FC">
      <w:pPr>
        <w:pStyle w:val="P68B1DB1-Normal27"/>
        <w:spacing w:before="120" w:after="120" w:line="240" w:lineRule="auto"/>
        <w:ind w:left="426"/>
        <w:jc w:val="both"/>
        <w:rPr>
          <w:noProof/>
        </w:rPr>
      </w:pPr>
      <w:r>
        <w:rPr>
          <w:noProof/>
        </w:rPr>
        <w:t xml:space="preserve">Investissement 9 (C4.I9): Régime de subventions – rénovation de bâtiments résidentiels </w:t>
      </w:r>
    </w:p>
    <w:p w14:paraId="1CEBD5F5" w14:textId="77777777" w:rsidR="00F74E13" w:rsidRDefault="009274FC">
      <w:pPr>
        <w:pStyle w:val="P68B1DB1-Normal10"/>
        <w:spacing w:before="120" w:after="120" w:line="240" w:lineRule="auto"/>
        <w:ind w:left="426"/>
        <w:jc w:val="both"/>
        <w:rPr>
          <w:noProof/>
        </w:rPr>
      </w:pPr>
      <w:r>
        <w:rPr>
          <w:noProof/>
        </w:rPr>
        <w:t xml:space="preserve">Cette mesure consiste en un investissement public dans un régime de subventions afin d’encourager les investissements dans la rénovation des bâtiments résidentiels en matière d’efficacité énergétique. Le régime fonctionne en octroyant des subventions au secteur privé. </w:t>
      </w:r>
    </w:p>
    <w:p w14:paraId="1CEBD5F6" w14:textId="08DF41F4" w:rsidR="00F74E13" w:rsidRDefault="009274FC">
      <w:pPr>
        <w:pStyle w:val="P68B1DB1-Normal10"/>
        <w:spacing w:before="120" w:after="120" w:line="240" w:lineRule="auto"/>
        <w:ind w:left="426"/>
        <w:jc w:val="both"/>
        <w:rPr>
          <w:noProof/>
        </w:rPr>
      </w:pPr>
      <w:r>
        <w:rPr>
          <w:noProof/>
        </w:rPr>
        <w:t>Le régime est géré par la Banque bulgare de développement en tant que partenaire chargé de la mise en œuvre. Il couvre les projets pour lesquels des demandes ont été présentées au titre de la sous-mesure 1 de l’investissement 1 du volet 4 «Soutien à la rénovation du parc immobilier» et transférées à la Banque bulgare de développement.</w:t>
      </w:r>
    </w:p>
    <w:p w14:paraId="1CEBD5F7" w14:textId="77777777" w:rsidR="00F74E13" w:rsidRDefault="009274FC">
      <w:pPr>
        <w:spacing w:before="120" w:after="120" w:line="240" w:lineRule="auto"/>
        <w:ind w:left="426"/>
        <w:jc w:val="both"/>
        <w:rPr>
          <w:rFonts w:ascii="Times New Roman" w:eastAsia="Calibri" w:hAnsi="Times New Roman" w:cs="Times New Roman"/>
          <w:noProof/>
        </w:rPr>
      </w:pPr>
      <w:r>
        <w:rPr>
          <w:rFonts w:ascii="Times New Roman" w:eastAsia="Calibri" w:hAnsi="Times New Roman" w:cs="Times New Roman"/>
          <w:noProof/>
        </w:rPr>
        <w:t>Afin de mettre en œuvre l’investissement dans le régime, la Bulgarie et la Banque bulgare de développement signent un accord de mise en œuvre qui comprend les éléments suivants:</w:t>
      </w:r>
      <w:r>
        <w:rPr>
          <w:noProof/>
        </w:rPr>
        <w:t xml:space="preserve"> </w:t>
      </w:r>
    </w:p>
    <w:p w14:paraId="0F9C98A9" w14:textId="77777777" w:rsidR="00F74E13" w:rsidRDefault="009274FC">
      <w:pPr>
        <w:pStyle w:val="P68B1DB1-ListParagraph28"/>
        <w:numPr>
          <w:ilvl w:val="0"/>
          <w:numId w:val="26"/>
        </w:numPr>
        <w:spacing w:before="120" w:after="120" w:line="240" w:lineRule="auto"/>
        <w:ind w:left="1134"/>
        <w:jc w:val="both"/>
        <w:rPr>
          <w:noProof/>
        </w:rPr>
      </w:pPr>
      <w:r>
        <w:rPr>
          <w:noProof/>
        </w:rPr>
        <w:t xml:space="preserve">Description du processus décisionnel du régime: </w:t>
      </w:r>
    </w:p>
    <w:p w14:paraId="3ACA1FDF" w14:textId="0D189EE0" w:rsidR="00F74E13" w:rsidRDefault="009274FC">
      <w:pPr>
        <w:pStyle w:val="P68B1DB1-ListParagraph28"/>
        <w:numPr>
          <w:ilvl w:val="1"/>
          <w:numId w:val="26"/>
        </w:numPr>
        <w:jc w:val="both"/>
        <w:rPr>
          <w:noProof/>
        </w:rPr>
      </w:pPr>
      <w:r>
        <w:rPr>
          <w:noProof/>
        </w:rPr>
        <w:t>Pour les demandes de projets énumérées à l’annexe 1 du décret no 22 du Conseil des ministres de 2026, pour lesquelles des contrats ont été conclus par le ministère du développement régional et des travaux publics à la date d’entrée en vigueur du décret no 22 du Conseil des ministres de 2026, le ministère du développement régional et des travaux publics évalue le respect des critères d’éligibilité et d’évaluation de la qualité. Dans ce cas, les projets ne sont approuvés en vue d’un financement par un comité d’investissement de la Banque bulgare de développement qu’après une évaluation par la Banque bulgare de développement du respect des conditions d’éligibilité et de l’absence de conflit d’intérêts au sens de l’article 61, paragraphe 3, du règlement (UE) 2024/2509 dans le cadre de l’évaluation par le ministère des critères d’éligibilité et de qualité. La décision finale d'attribution de ces projets est prise par le comité d'investissement de la Banque bulgare de développement et approuvée à la majorité des voix des membres indépendants du gouvernement.</w:t>
      </w:r>
    </w:p>
    <w:p w14:paraId="1CEBD5F8" w14:textId="50015C58" w:rsidR="00F74E13" w:rsidRDefault="009274FC">
      <w:pPr>
        <w:pStyle w:val="P68B1DB1-ListParagraph28"/>
        <w:numPr>
          <w:ilvl w:val="1"/>
          <w:numId w:val="26"/>
        </w:numPr>
        <w:spacing w:before="120" w:after="120" w:line="240" w:lineRule="auto"/>
        <w:jc w:val="both"/>
        <w:rPr>
          <w:noProof/>
        </w:rPr>
      </w:pPr>
      <w:r>
        <w:rPr>
          <w:noProof/>
        </w:rPr>
        <w:t xml:space="preserve">Pour les demandes de projets énumérées à l’annexe 1 du décret no 22 du Conseil des ministres de 2026, pour lesquelles aucun contrat n’a été conclu par le ministère du développement régional et des travaux publics à la date d’entrée en vigueur du décret no 22 du Conseil des ministres de 2026, la décision finale d’attribution est prise par un comité d’investissement et approuvée à la majorité des voix des membres indépendants du gouvernement, après évaluation des critères d’éligibilité et des critères qualitatifs par la Banque bulgare de développement. </w:t>
      </w:r>
    </w:p>
    <w:p w14:paraId="3D066FED" w14:textId="77777777" w:rsidR="00F74E13" w:rsidRDefault="00F74E13">
      <w:pPr>
        <w:pStyle w:val="ListParagraph"/>
        <w:spacing w:before="120" w:after="120" w:line="240" w:lineRule="auto"/>
        <w:ind w:left="2291"/>
        <w:jc w:val="both"/>
        <w:rPr>
          <w:rFonts w:ascii="Times New Roman" w:eastAsia="Calibri" w:hAnsi="Times New Roman" w:cs="Times New Roman"/>
          <w:noProof/>
        </w:rPr>
      </w:pPr>
    </w:p>
    <w:p w14:paraId="1CEBD5F9" w14:textId="77777777" w:rsidR="00F74E13" w:rsidRDefault="009274FC">
      <w:pPr>
        <w:pStyle w:val="P68B1DB1-ListParagraph29"/>
        <w:numPr>
          <w:ilvl w:val="0"/>
          <w:numId w:val="26"/>
        </w:numPr>
        <w:spacing w:before="120" w:after="120" w:line="240" w:lineRule="auto"/>
        <w:ind w:left="1134"/>
        <w:jc w:val="both"/>
        <w:rPr>
          <w:rFonts w:eastAsia="Calibri"/>
          <w:noProof/>
        </w:rPr>
      </w:pPr>
      <w:r>
        <w:rPr>
          <w:noProof/>
        </w:rPr>
        <w:t xml:space="preserve">Principales exigences de la politique de subvention y afférente, notamment: </w:t>
      </w:r>
    </w:p>
    <w:p w14:paraId="1CEBD5FA" w14:textId="77777777" w:rsidR="00F74E13" w:rsidRDefault="009274FC">
      <w:pPr>
        <w:pStyle w:val="P68B1DB1-ListParagraph28"/>
        <w:numPr>
          <w:ilvl w:val="0"/>
          <w:numId w:val="27"/>
        </w:numPr>
        <w:spacing w:before="120" w:after="120" w:line="240" w:lineRule="auto"/>
        <w:ind w:left="1843"/>
        <w:jc w:val="both"/>
        <w:rPr>
          <w:noProof/>
        </w:rPr>
      </w:pPr>
      <w:r>
        <w:rPr>
          <w:noProof/>
        </w:rPr>
        <w:t xml:space="preserve">Description des subventions octroyées et des bénéficiaires finaux éligibles. </w:t>
      </w:r>
    </w:p>
    <w:p w14:paraId="1CEBD5FB" w14:textId="77777777" w:rsidR="00F74E13" w:rsidRDefault="009274FC">
      <w:pPr>
        <w:pStyle w:val="P68B1DB1-ListParagraph28"/>
        <w:numPr>
          <w:ilvl w:val="0"/>
          <w:numId w:val="27"/>
        </w:numPr>
        <w:spacing w:before="120" w:after="120" w:line="240" w:lineRule="auto"/>
        <w:ind w:left="1843"/>
        <w:jc w:val="both"/>
        <w:rPr>
          <w:noProof/>
        </w:rPr>
      </w:pPr>
      <w:r>
        <w:rPr>
          <w:noProof/>
        </w:rPr>
        <w:t>L'exigence que tous les investissements soutenus soient économiquement viables.</w:t>
      </w:r>
    </w:p>
    <w:p w14:paraId="1CEBD5FC" w14:textId="77777777" w:rsidR="00F74E13" w:rsidRDefault="009274FC">
      <w:pPr>
        <w:pStyle w:val="P68B1DB1-ListParagraph29"/>
        <w:numPr>
          <w:ilvl w:val="0"/>
          <w:numId w:val="27"/>
        </w:numPr>
        <w:spacing w:before="120" w:after="120" w:line="240" w:lineRule="auto"/>
        <w:ind w:left="1843"/>
        <w:jc w:val="both"/>
        <w:rPr>
          <w:noProof/>
        </w:rPr>
      </w:pPr>
      <w:r>
        <w:rPr>
          <w:noProof/>
        </w:rPr>
        <w:t>L’obligation de respecter le principe consistant à «ne pas causer de préjudice important» (DNSH) tel qu’énoncé dans les orientations techniques DNSH (2021/C58/01). En particulier, la politique de subvention exclut de l'éligibilité la liste suivante d'activités et d'actifs: i) les activités et les actifs liés aux combustibles fossiles, y compris leur utilisation en aval,</w:t>
      </w:r>
      <w:r w:rsidRPr="00CC46DC">
        <w:rPr>
          <w:rFonts w:cstheme="minorBidi"/>
          <w:noProof/>
          <w:vertAlign w:val="superscript"/>
        </w:rPr>
        <w:footnoteReference w:id="18"/>
      </w:r>
      <w:r>
        <w:rPr>
          <w:noProof/>
        </w:rPr>
        <w:t xml:space="preserve"> </w:t>
      </w:r>
    </w:p>
    <w:p w14:paraId="1CEBD5FD" w14:textId="77777777" w:rsidR="00F74E13" w:rsidRDefault="009274FC">
      <w:pPr>
        <w:pStyle w:val="ListParagraph"/>
        <w:spacing w:before="120" w:after="120" w:line="240" w:lineRule="auto"/>
        <w:ind w:left="1843"/>
        <w:jc w:val="both"/>
        <w:rPr>
          <w:noProof/>
        </w:rPr>
      </w:pPr>
      <w:r>
        <w:rPr>
          <w:rFonts w:ascii="Times New Roman" w:hAnsi="Times New Roman" w:cs="Times New Roman"/>
          <w:noProof/>
        </w:rPr>
        <w:t>ii) les activités et les actifs relevant du système d’échange de quotas d’émission de l’UE (SEQE) permettant d’atteindre des émissions de gaz à effet de serre prévues qui ne sont pas inférieures aux référentiels pertinents,</w:t>
      </w:r>
      <w:r w:rsidRPr="00CC46DC">
        <w:rPr>
          <w:rFonts w:ascii="Times New Roman" w:hAnsi="Times New Roman"/>
          <w:noProof/>
          <w:vertAlign w:val="superscript"/>
        </w:rPr>
        <w:footnoteReference w:id="19"/>
      </w:r>
      <w:r>
        <w:rPr>
          <w:rFonts w:ascii="Times New Roman" w:hAnsi="Times New Roman" w:cs="Times New Roman"/>
          <w:noProof/>
        </w:rPr>
        <w:t xml:space="preserve"> iii) les activités et les actifs liés aux décharges de déchets, aux incinérateurs</w:t>
      </w:r>
      <w:r>
        <w:rPr>
          <w:rStyle w:val="FootnoteReference"/>
          <w:noProof/>
        </w:rPr>
        <w:footnoteReference w:id="20"/>
      </w:r>
      <w:r>
        <w:rPr>
          <w:rFonts w:ascii="Times New Roman" w:eastAsia="Calibri" w:hAnsi="Times New Roman" w:cs="Times New Roman"/>
          <w:noProof/>
        </w:rPr>
        <w:t xml:space="preserve"> et aux usines de traitement biologique mécanique.</w:t>
      </w:r>
      <w:r>
        <w:rPr>
          <w:rFonts w:ascii="Times New Roman" w:hAnsi="Times New Roman" w:cs="Times New Roman"/>
          <w:noProof/>
        </w:rPr>
        <w:t xml:space="preserve"> </w:t>
      </w:r>
      <w:r>
        <w:rPr>
          <w:rStyle w:val="FootnoteReference"/>
          <w:noProof/>
        </w:rPr>
        <w:footnoteReference w:id="21"/>
      </w:r>
    </w:p>
    <w:p w14:paraId="1CEBD5FE" w14:textId="77777777" w:rsidR="00F74E13" w:rsidRDefault="009274FC">
      <w:pPr>
        <w:pStyle w:val="P68B1DB1-ListParagraph28"/>
        <w:numPr>
          <w:ilvl w:val="0"/>
          <w:numId w:val="27"/>
        </w:numPr>
        <w:spacing w:before="120" w:after="120" w:line="240" w:lineRule="auto"/>
        <w:ind w:left="1843"/>
        <w:jc w:val="both"/>
        <w:rPr>
          <w:noProof/>
        </w:rPr>
      </w:pPr>
      <w:r>
        <w:rPr>
          <w:noProof/>
        </w:rPr>
        <w:t>L’exigence selon laquelle les bénéficiaires finaux du régime ne doivent pas recevoir de financement provenant d’autres instruments de l’UE pour couvrir les mêmes coûts.</w:t>
      </w:r>
    </w:p>
    <w:p w14:paraId="1CEBD5FF" w14:textId="77777777" w:rsidR="00F74E13" w:rsidRDefault="009274FC">
      <w:pPr>
        <w:pStyle w:val="P68B1DB1-ListParagraph30"/>
        <w:numPr>
          <w:ilvl w:val="0"/>
          <w:numId w:val="26"/>
        </w:numPr>
        <w:spacing w:before="120" w:after="120" w:line="240" w:lineRule="auto"/>
        <w:ind w:left="993"/>
        <w:jc w:val="both"/>
        <w:rPr>
          <w:rFonts w:hint="default"/>
          <w:noProof/>
        </w:rPr>
      </w:pPr>
      <w:r>
        <w:rPr>
          <w:noProof/>
        </w:rPr>
        <w:t>Le montant couvert par le régime, la structure des redevances de la Banque bulgare de développement et l</w:t>
      </w:r>
      <w:r>
        <w:rPr>
          <w:noProof/>
        </w:rPr>
        <w:t>’</w:t>
      </w:r>
      <w:r>
        <w:rPr>
          <w:noProof/>
        </w:rPr>
        <w:t>obligation d</w:t>
      </w:r>
      <w:r>
        <w:rPr>
          <w:noProof/>
        </w:rPr>
        <w:t>’</w:t>
      </w:r>
      <w:r>
        <w:rPr>
          <w:noProof/>
        </w:rPr>
        <w:t>utiliser tout produit inutilisé du régime, y compris au-delà de 2026, aux mêmes fins. </w:t>
      </w:r>
    </w:p>
    <w:p w14:paraId="1CEBD600" w14:textId="77777777" w:rsidR="00F74E13" w:rsidRDefault="009274FC">
      <w:pPr>
        <w:pStyle w:val="P68B1DB1-ListParagraph29"/>
        <w:numPr>
          <w:ilvl w:val="0"/>
          <w:numId w:val="26"/>
        </w:numPr>
        <w:spacing w:before="120" w:after="120" w:line="240" w:lineRule="auto"/>
        <w:ind w:left="993"/>
        <w:jc w:val="both"/>
        <w:rPr>
          <w:noProof/>
        </w:rPr>
      </w:pPr>
      <w:r>
        <w:rPr>
          <w:noProof/>
        </w:rPr>
        <w:t>Exigences en matière de surveillance, d'audit et de contrôle, y compris:</w:t>
      </w:r>
    </w:p>
    <w:p w14:paraId="1CEBD601" w14:textId="77777777" w:rsidR="00F74E13" w:rsidRDefault="009274FC">
      <w:pPr>
        <w:pStyle w:val="P68B1DB1-ListParagraph28"/>
        <w:numPr>
          <w:ilvl w:val="0"/>
          <w:numId w:val="28"/>
        </w:numPr>
        <w:spacing w:before="120" w:after="120" w:line="240" w:lineRule="auto"/>
        <w:ind w:left="1843"/>
        <w:jc w:val="both"/>
        <w:rPr>
          <w:noProof/>
        </w:rPr>
      </w:pPr>
      <w:r>
        <w:rPr>
          <w:noProof/>
        </w:rPr>
        <w:t>Description du système de suivi du partenaire chargé de la mise en œuvre pour rendre compte des subventions accordées.</w:t>
      </w:r>
    </w:p>
    <w:p w14:paraId="1CEBD602" w14:textId="77777777" w:rsidR="00F74E13" w:rsidRDefault="009274FC">
      <w:pPr>
        <w:pStyle w:val="P68B1DB1-ListParagraph28"/>
        <w:numPr>
          <w:ilvl w:val="0"/>
          <w:numId w:val="28"/>
        </w:numPr>
        <w:spacing w:before="120" w:after="120" w:line="240" w:lineRule="auto"/>
        <w:ind w:left="1843"/>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1CEBD603" w14:textId="77777777" w:rsidR="00F74E13" w:rsidRDefault="009274FC">
      <w:pPr>
        <w:pStyle w:val="P68B1DB1-ListParagraph28"/>
        <w:numPr>
          <w:ilvl w:val="0"/>
          <w:numId w:val="28"/>
        </w:numPr>
        <w:spacing w:before="120" w:after="120" w:line="240" w:lineRule="auto"/>
        <w:ind w:left="1843"/>
        <w:jc w:val="both"/>
        <w:rPr>
          <w:noProof/>
        </w:rPr>
      </w:pPr>
      <w:r>
        <w:rPr>
          <w:noProof/>
        </w:rPr>
        <w:t>L’obligation de vérifier l’éligibilité de chaque opération conformément aux exigences énoncées dans l’accord de mise en œuvre avant d’octroyer une subvention.</w:t>
      </w:r>
    </w:p>
    <w:p w14:paraId="1CEBD604" w14:textId="77777777" w:rsidR="00F74E13" w:rsidRDefault="009274FC">
      <w:pPr>
        <w:pStyle w:val="P68B1DB1-ListParagraph28"/>
        <w:numPr>
          <w:ilvl w:val="0"/>
          <w:numId w:val="28"/>
        </w:numPr>
        <w:spacing w:before="120" w:after="120" w:line="240" w:lineRule="auto"/>
        <w:ind w:left="1843"/>
        <w:jc w:val="both"/>
        <w:rPr>
          <w:noProof/>
          <w:u w:val="single"/>
        </w:rPr>
      </w:pPr>
      <w:r>
        <w:rPr>
          <w:noProof/>
        </w:rPr>
        <w:t xml:space="preserve">L’obligation de réaliser des audits ex post fondés sur les risques conformément à un plan d’audit de la Banque bulgare de développement. Ces audits vérifient i) l’efficacité des systèmes de contrôle, y compris la détection de la fraude, de la corruption et des conflits d’intérêts; ii) le respect du principe consistant à «ne pas causer de préjudice important», les règles en matière d’aides d’État; et iii) que l’exigence selon laquelle les bénéficiaires finaux du régime n’ont pas reçu d’aide d’autres instruments de l’Union pour couvrir les mêmes coûts soit respectée. Les audits vérifient également la légalité des opérations et le respect des conditions de l’accord de mise en œuvre applicable. </w:t>
      </w:r>
    </w:p>
    <w:p w14:paraId="1CEBD605" w14:textId="77777777" w:rsidR="00F74E13" w:rsidRDefault="00F74E13">
      <w:pPr>
        <w:spacing w:before="120" w:after="120" w:line="240" w:lineRule="auto"/>
        <w:jc w:val="both"/>
        <w:rPr>
          <w:rFonts w:ascii="Times New Roman" w:hAnsi="Times New Roman"/>
          <w:noProof/>
        </w:rPr>
        <w:sectPr w:rsidR="00F74E13">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1CEBD606" w14:textId="77777777" w:rsidR="00F74E13" w:rsidRDefault="009274FC">
      <w:pPr>
        <w:pStyle w:val="P68B1DB1-Normal8"/>
        <w:pageBreakBefore/>
        <w:spacing w:before="120" w:after="120" w:line="240" w:lineRule="auto"/>
        <w:jc w:val="center"/>
        <w:rPr>
          <w:noProof/>
        </w:rPr>
      </w:pPr>
      <w:r>
        <w:rPr>
          <w:noProof/>
        </w:rPr>
        <w:t>D.2. Étapes, cibles, indicateurs et calendrier pour le suivi et la mise en œuvre du soutien financier non remboursable</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850"/>
        <w:gridCol w:w="1560"/>
        <w:gridCol w:w="1559"/>
        <w:gridCol w:w="1134"/>
        <w:gridCol w:w="1134"/>
        <w:gridCol w:w="992"/>
        <w:gridCol w:w="1134"/>
        <w:gridCol w:w="992"/>
        <w:gridCol w:w="4253"/>
      </w:tblGrid>
      <w:tr w:rsidR="00F74E13" w14:paraId="1CEBD60F" w14:textId="77777777" w:rsidTr="0097257F">
        <w:trPr>
          <w:trHeight w:val="927"/>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7" w14:textId="77777777" w:rsidR="00F74E13" w:rsidRDefault="009274FC">
            <w:pPr>
              <w:pStyle w:val="P68B1DB1-Normal31"/>
              <w:spacing w:after="0" w:line="240" w:lineRule="auto"/>
              <w:jc w:val="center"/>
              <w:rPr>
                <w:noProof/>
              </w:rPr>
            </w:pPr>
            <w:r>
              <w:rPr>
                <w:noProof/>
              </w:rPr>
              <w:t>Numéro de série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8" w14:textId="77777777" w:rsidR="00F74E13" w:rsidRDefault="009274FC">
            <w:pPr>
              <w:pStyle w:val="P68B1DB1-Normal31"/>
              <w:spacing w:after="0" w:line="240" w:lineRule="auto"/>
              <w:jc w:val="center"/>
              <w:rPr>
                <w:noProof/>
              </w:rPr>
            </w:pPr>
            <w:r>
              <w:rPr>
                <w:noProof/>
              </w:rPr>
              <w:t>Mesure connexe (réforme ou investissement)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9" w14:textId="77777777" w:rsidR="00F74E13" w:rsidRDefault="009274FC">
            <w:pPr>
              <w:pStyle w:val="P68B1DB1-Normal31"/>
              <w:spacing w:after="0" w:line="240" w:lineRule="auto"/>
              <w:jc w:val="center"/>
              <w:rPr>
                <w:noProof/>
              </w:rPr>
            </w:pPr>
            <w:r>
              <w:rPr>
                <w:noProof/>
              </w:rPr>
              <w:t>Étape/cible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A" w14:textId="77777777" w:rsidR="00F74E13" w:rsidRDefault="009274FC">
            <w:pPr>
              <w:pStyle w:val="P68B1DB1-Normal31"/>
              <w:spacing w:after="0" w:line="240" w:lineRule="auto"/>
              <w:jc w:val="center"/>
              <w:rPr>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B" w14:textId="77777777" w:rsidR="00F74E13" w:rsidRDefault="009274FC">
            <w:pPr>
              <w:pStyle w:val="P68B1DB1-Normal31"/>
              <w:spacing w:after="0" w:line="240" w:lineRule="auto"/>
              <w:jc w:val="center"/>
              <w:rPr>
                <w:noProof/>
              </w:rPr>
            </w:pPr>
            <w:r>
              <w:rPr>
                <w:noProof/>
              </w:rPr>
              <w:t xml:space="preserve">Indicateurs qualitatifs </w:t>
            </w:r>
            <w:r>
              <w:rPr>
                <w:noProof/>
              </w:rPr>
              <w:b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C" w14:textId="77777777" w:rsidR="00F74E13" w:rsidRDefault="009274FC">
            <w:pPr>
              <w:pStyle w:val="P68B1DB1-Normal31"/>
              <w:spacing w:after="0" w:line="240" w:lineRule="auto"/>
              <w:jc w:val="center"/>
              <w:rPr>
                <w:noProof/>
              </w:rPr>
            </w:pPr>
            <w:r>
              <w:rPr>
                <w:noProof/>
              </w:rPr>
              <w:t xml:space="preserve">Indicateurs quantitatifs </w:t>
            </w:r>
            <w:r>
              <w:rPr>
                <w:noProof/>
              </w:rPr>
              <w:br/>
              <w:t>(pour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D" w14:textId="77777777" w:rsidR="00F74E13" w:rsidRDefault="009274FC">
            <w:pPr>
              <w:pStyle w:val="P68B1DB1-Normal31"/>
              <w:spacing w:after="0" w:line="240" w:lineRule="auto"/>
              <w:jc w:val="center"/>
              <w:rPr>
                <w:noProof/>
              </w:rPr>
            </w:pPr>
            <w:r>
              <w:rPr>
                <w:noProof/>
              </w:rPr>
              <w:t>Calendrier indicatif d'achèvement</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E" w14:textId="77777777" w:rsidR="00F74E13" w:rsidRDefault="009274FC">
            <w:pPr>
              <w:pStyle w:val="P68B1DB1-Normal31"/>
              <w:spacing w:after="0" w:line="240" w:lineRule="auto"/>
              <w:jc w:val="center"/>
              <w:rPr>
                <w:noProof/>
              </w:rPr>
            </w:pPr>
            <w:r>
              <w:rPr>
                <w:noProof/>
              </w:rPr>
              <w:t>Description de chaque jalon et cible</w:t>
            </w:r>
          </w:p>
        </w:tc>
      </w:tr>
      <w:tr w:rsidR="00F74E13" w14:paraId="1CEBD61B" w14:textId="77777777" w:rsidTr="0097257F">
        <w:trPr>
          <w:trHeight w:val="196"/>
          <w:tblHeader/>
          <w:jc w:val="center"/>
        </w:trPr>
        <w:tc>
          <w:tcPr>
            <w:tcW w:w="988" w:type="dxa"/>
            <w:vMerge/>
            <w:vAlign w:val="center"/>
            <w:hideMark/>
          </w:tcPr>
          <w:p w14:paraId="1CEBD610" w14:textId="77777777" w:rsidR="00F74E13" w:rsidRDefault="00F74E13">
            <w:pPr>
              <w:spacing w:after="0" w:line="240" w:lineRule="auto"/>
              <w:jc w:val="center"/>
              <w:rPr>
                <w:rFonts w:ascii="Times New Roman" w:hAnsi="Times New Roman"/>
                <w:b/>
                <w:noProof/>
                <w:sz w:val="20"/>
                <w:szCs w:val="20"/>
              </w:rPr>
            </w:pPr>
          </w:p>
        </w:tc>
        <w:tc>
          <w:tcPr>
            <w:tcW w:w="1559" w:type="dxa"/>
            <w:vMerge/>
            <w:vAlign w:val="center"/>
            <w:hideMark/>
          </w:tcPr>
          <w:p w14:paraId="1CEBD611" w14:textId="77777777" w:rsidR="00F74E13" w:rsidRDefault="00F74E13">
            <w:pPr>
              <w:spacing w:after="0" w:line="240" w:lineRule="auto"/>
              <w:rPr>
                <w:rFonts w:ascii="Times New Roman" w:hAnsi="Times New Roman"/>
                <w:b/>
                <w:noProof/>
                <w:sz w:val="20"/>
                <w:szCs w:val="20"/>
              </w:rPr>
            </w:pPr>
          </w:p>
        </w:tc>
        <w:tc>
          <w:tcPr>
            <w:tcW w:w="850" w:type="dxa"/>
            <w:vMerge/>
            <w:vAlign w:val="center"/>
            <w:hideMark/>
          </w:tcPr>
          <w:p w14:paraId="1CEBD612" w14:textId="77777777" w:rsidR="00F74E13" w:rsidRDefault="00F74E13">
            <w:pPr>
              <w:spacing w:after="0" w:line="240" w:lineRule="auto"/>
              <w:jc w:val="center"/>
              <w:rPr>
                <w:rFonts w:ascii="Times New Roman" w:hAnsi="Times New Roman"/>
                <w:b/>
                <w:noProof/>
                <w:sz w:val="20"/>
                <w:szCs w:val="20"/>
              </w:rPr>
            </w:pPr>
          </w:p>
        </w:tc>
        <w:tc>
          <w:tcPr>
            <w:tcW w:w="1560" w:type="dxa"/>
            <w:vMerge/>
            <w:vAlign w:val="center"/>
            <w:hideMark/>
          </w:tcPr>
          <w:p w14:paraId="1CEBD613" w14:textId="77777777" w:rsidR="00F74E13" w:rsidRDefault="00F74E13">
            <w:pPr>
              <w:spacing w:after="0" w:line="240" w:lineRule="auto"/>
              <w:rPr>
                <w:rFonts w:ascii="Times New Roman" w:hAnsi="Times New Roman"/>
                <w:b/>
                <w:noProof/>
                <w:sz w:val="20"/>
                <w:szCs w:val="20"/>
              </w:rPr>
            </w:pPr>
          </w:p>
        </w:tc>
        <w:tc>
          <w:tcPr>
            <w:tcW w:w="1559" w:type="dxa"/>
            <w:vMerge/>
            <w:vAlign w:val="center"/>
            <w:hideMark/>
          </w:tcPr>
          <w:p w14:paraId="1CEBD614" w14:textId="77777777" w:rsidR="00F74E13" w:rsidRDefault="00F74E13">
            <w:pPr>
              <w:spacing w:after="0" w:line="240" w:lineRule="auto"/>
              <w:jc w:val="center"/>
              <w:rPr>
                <w:rFonts w:ascii="Times New Roman" w:hAnsi="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5" w14:textId="77777777" w:rsidR="00F74E13" w:rsidRDefault="009274FC">
            <w:pPr>
              <w:pStyle w:val="P68B1DB1-Normal31"/>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6" w14:textId="77777777" w:rsidR="00F74E13" w:rsidRDefault="009274FC">
            <w:pPr>
              <w:pStyle w:val="P68B1DB1-Normal31"/>
              <w:spacing w:after="0" w:line="240"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7" w14:textId="77777777" w:rsidR="00F74E13" w:rsidRDefault="009274FC">
            <w:pPr>
              <w:pStyle w:val="P68B1DB1-Normal31"/>
              <w:spacing w:after="0" w:line="240" w:lineRule="auto"/>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8" w14:textId="77777777" w:rsidR="00F74E13" w:rsidRDefault="009274FC">
            <w:pPr>
              <w:pStyle w:val="P68B1DB1-Normal31"/>
              <w:spacing w:after="0" w:line="240" w:lineRule="auto"/>
              <w:jc w:val="center"/>
              <w:rPr>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9" w14:textId="77777777" w:rsidR="00F74E13" w:rsidRDefault="009274FC">
            <w:pPr>
              <w:pStyle w:val="P68B1DB1-Normal31"/>
              <w:spacing w:after="0" w:line="240" w:lineRule="auto"/>
              <w:jc w:val="center"/>
              <w:rPr>
                <w:noProof/>
              </w:rPr>
            </w:pPr>
            <w:r>
              <w:rPr>
                <w:noProof/>
              </w:rPr>
              <w:t>Année</w:t>
            </w:r>
          </w:p>
        </w:tc>
        <w:tc>
          <w:tcPr>
            <w:tcW w:w="4253" w:type="dxa"/>
            <w:vMerge/>
            <w:vAlign w:val="center"/>
            <w:hideMark/>
          </w:tcPr>
          <w:p w14:paraId="1CEBD61A" w14:textId="77777777" w:rsidR="00F74E13" w:rsidRDefault="00F74E13">
            <w:pPr>
              <w:spacing w:after="0" w:line="240" w:lineRule="auto"/>
              <w:jc w:val="both"/>
              <w:rPr>
                <w:rFonts w:ascii="Times New Roman" w:hAnsi="Times New Roman"/>
                <w:b/>
                <w:noProof/>
                <w:sz w:val="20"/>
                <w:szCs w:val="20"/>
              </w:rPr>
            </w:pPr>
          </w:p>
        </w:tc>
      </w:tr>
      <w:tr w:rsidR="00F74E13" w14:paraId="1CEBD62B" w14:textId="77777777" w:rsidTr="0097257F">
        <w:trPr>
          <w:trHeight w:val="2697"/>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C" w14:textId="77777777" w:rsidR="00F74E13" w:rsidRDefault="009274FC">
            <w:pPr>
              <w:pStyle w:val="P68B1DB1-Normal15"/>
              <w:spacing w:after="0" w:line="240" w:lineRule="auto"/>
              <w:jc w:val="center"/>
              <w:rPr>
                <w:noProof/>
              </w:rPr>
            </w:pPr>
            <w:r>
              <w:rPr>
                <w:noProof/>
              </w:rPr>
              <w:t>63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D" w14:textId="77777777" w:rsidR="00F74E13" w:rsidRDefault="009274FC">
            <w:pPr>
              <w:pStyle w:val="P68B1DB1-Normal13"/>
              <w:spacing w:after="0" w:line="240" w:lineRule="auto"/>
              <w:rPr>
                <w:noProof/>
              </w:rPr>
            </w:pPr>
            <w:r>
              <w:rPr>
                <w:noProof/>
              </w:rPr>
              <w:t>C4.R1: Création d’un Fonds national pour la décarbonation</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E"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F" w14:textId="77777777" w:rsidR="00F74E13" w:rsidRDefault="009274FC">
            <w:pPr>
              <w:pStyle w:val="P68B1DB1-Normal15"/>
              <w:spacing w:after="0" w:line="240" w:lineRule="auto"/>
              <w:rPr>
                <w:noProof/>
              </w:rPr>
            </w:pPr>
            <w:r>
              <w:rPr>
                <w:noProof/>
              </w:rPr>
              <w:t>Évaluation du cadre réglementaire national en matière d’efficacité énergétique publiée par un groupe d’experts indépendants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0" w14:textId="77777777" w:rsidR="00F74E13" w:rsidRDefault="009274FC">
            <w:pPr>
              <w:pStyle w:val="P68B1DB1-Normal15"/>
              <w:spacing w:after="0" w:line="240" w:lineRule="auto"/>
              <w:rPr>
                <w:noProof/>
              </w:rPr>
            </w:pPr>
            <w:r>
              <w:rPr>
                <w:noProof/>
              </w:rPr>
              <w:t>Publication de l’évaluation du cadre réglementaire national en matière d’efficacité énergétique sur le site web du ministère de l’énergie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2"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4"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5"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6" w14:textId="77777777" w:rsidR="00F74E13" w:rsidRDefault="009274FC">
            <w:pPr>
              <w:pStyle w:val="P68B1DB1-Normal15"/>
              <w:spacing w:after="0" w:line="240" w:lineRule="auto"/>
              <w:jc w:val="both"/>
              <w:rPr>
                <w:noProof/>
              </w:rPr>
            </w:pPr>
            <w:r>
              <w:rPr>
                <w:noProof/>
              </w:rPr>
              <w:t>Une évaluation du cadre réglementaire national en matière d'efficacité énergétique est effectuée par un groupe d'experts indépendants qui:</w:t>
            </w:r>
          </w:p>
          <w:p w14:paraId="1CEBD627" w14:textId="77777777" w:rsidR="00F74E13" w:rsidRDefault="009274FC">
            <w:pPr>
              <w:pStyle w:val="P68B1DB1-ListParagraph32"/>
              <w:numPr>
                <w:ilvl w:val="0"/>
                <w:numId w:val="29"/>
              </w:numPr>
              <w:spacing w:after="0" w:line="240" w:lineRule="auto"/>
              <w:ind w:left="309" w:hanging="283"/>
              <w:jc w:val="both"/>
              <w:rPr>
                <w:noProof/>
              </w:rPr>
            </w:pPr>
            <w:r>
              <w:rPr>
                <w:noProof/>
              </w:rPr>
              <w:t>Identifier les obstacles aux investissements dans l'efficacité énergétique;</w:t>
            </w:r>
          </w:p>
          <w:p w14:paraId="1CEBD628" w14:textId="77777777" w:rsidR="00F74E13" w:rsidRDefault="009274FC">
            <w:pPr>
              <w:pStyle w:val="P68B1DB1-ListParagraph32"/>
              <w:numPr>
                <w:ilvl w:val="0"/>
                <w:numId w:val="29"/>
              </w:numPr>
              <w:spacing w:after="0" w:line="240" w:lineRule="auto"/>
              <w:ind w:left="309" w:hanging="283"/>
              <w:jc w:val="both"/>
              <w:rPr>
                <w:noProof/>
              </w:rPr>
            </w:pPr>
            <w:r>
              <w:rPr>
                <w:noProof/>
              </w:rPr>
              <w:t xml:space="preserve">formuler des recommandations en vue de modifier le cadre réglementaire national; </w:t>
            </w:r>
          </w:p>
          <w:p w14:paraId="1CEBD629" w14:textId="77777777" w:rsidR="00F74E13" w:rsidRDefault="009274FC">
            <w:pPr>
              <w:pStyle w:val="P68B1DB1-ListParagraph14"/>
              <w:numPr>
                <w:ilvl w:val="0"/>
                <w:numId w:val="29"/>
              </w:numPr>
              <w:spacing w:after="0" w:line="240" w:lineRule="auto"/>
              <w:ind w:left="309" w:hanging="283"/>
              <w:jc w:val="both"/>
              <w:rPr>
                <w:noProof/>
              </w:rPr>
            </w:pPr>
            <w:r>
              <w:rPr>
                <w:noProof/>
              </w:rPr>
              <w:t xml:space="preserve">recenser les options relatives à la structure du Fonds national pour la décarbonation, en particulier en ce qui concerne l’appropriation et la gouvernance; </w:t>
            </w:r>
          </w:p>
          <w:p w14:paraId="1CEBD62A" w14:textId="77777777" w:rsidR="00F74E13" w:rsidRDefault="009274FC">
            <w:pPr>
              <w:pStyle w:val="P68B1DB1-ListParagraph32"/>
              <w:numPr>
                <w:ilvl w:val="0"/>
                <w:numId w:val="29"/>
              </w:numPr>
              <w:spacing w:after="0" w:line="240" w:lineRule="auto"/>
              <w:ind w:left="309" w:hanging="283"/>
              <w:jc w:val="both"/>
              <w:rPr>
                <w:noProof/>
              </w:rPr>
            </w:pPr>
            <w:r>
              <w:rPr>
                <w:noProof/>
              </w:rPr>
              <w:t>Identifier les sources potentielles de capitalisation du Fonds national pour la décarbonation.</w:t>
            </w:r>
          </w:p>
        </w:tc>
      </w:tr>
      <w:tr w:rsidR="00F74E13" w14:paraId="1CEBD63E"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C" w14:textId="77777777" w:rsidR="00F74E13" w:rsidRDefault="009274FC">
            <w:pPr>
              <w:pStyle w:val="P68B1DB1-Normal15"/>
              <w:spacing w:after="0" w:line="240" w:lineRule="auto"/>
              <w:jc w:val="center"/>
              <w:rPr>
                <w:noProof/>
              </w:rPr>
            </w:pPr>
            <w:r>
              <w:rPr>
                <w:noProof/>
              </w:rPr>
              <w:t>64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D" w14:textId="77777777" w:rsidR="00F74E13" w:rsidRDefault="009274FC">
            <w:pPr>
              <w:pStyle w:val="P68B1DB1-Normal15"/>
              <w:spacing w:after="0" w:line="240" w:lineRule="auto"/>
              <w:rPr>
                <w:noProof/>
              </w:rPr>
            </w:pPr>
            <w:r>
              <w:rPr>
                <w:noProof/>
              </w:rPr>
              <w:t>C4.R1: Création d’un Fonds national pour la décarbonation</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E"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F" w14:textId="77777777" w:rsidR="00F74E13" w:rsidRDefault="009274FC">
            <w:pPr>
              <w:pStyle w:val="P68B1DB1-Normal15"/>
              <w:spacing w:after="0" w:line="240" w:lineRule="auto"/>
              <w:rPr>
                <w:noProof/>
              </w:rPr>
            </w:pPr>
            <w:r>
              <w:rPr>
                <w:noProof/>
              </w:rPr>
              <w:t xml:space="preserve">Entrée en vigueur du ou des actes juridiques établissant le Fonds national pour la décarbonation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0" w14:textId="77777777" w:rsidR="00F74E13" w:rsidRDefault="009274FC">
            <w:pPr>
              <w:pStyle w:val="P68B1DB1-Normal15"/>
              <w:spacing w:after="0" w:line="240" w:lineRule="auto"/>
              <w:rPr>
                <w:noProof/>
              </w:rPr>
            </w:pPr>
            <w:r>
              <w:rPr>
                <w:noProof/>
              </w:rPr>
              <w:t>Disposition du ou des actes juridiques indiquant l’entrée en vigueur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2"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4"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5"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6" w14:textId="77777777" w:rsidR="00F74E13" w:rsidRDefault="009274FC">
            <w:pPr>
              <w:pStyle w:val="P68B1DB1-Normal15"/>
              <w:spacing w:after="0" w:line="240" w:lineRule="auto"/>
              <w:jc w:val="both"/>
              <w:rPr>
                <w:noProof/>
              </w:rPr>
            </w:pPr>
            <w:r>
              <w:rPr>
                <w:noProof/>
              </w:rPr>
              <w:t>Entrée en vigueur d’un ou de plusieurs actes juridiques pour la création du Fonds national pour la décarbonation.</w:t>
            </w:r>
          </w:p>
          <w:p w14:paraId="1CEBD638" w14:textId="77777777" w:rsidR="00F74E13" w:rsidRDefault="009274FC">
            <w:pPr>
              <w:pStyle w:val="P68B1DB1-Normal15"/>
              <w:spacing w:before="120" w:after="0" w:line="240" w:lineRule="auto"/>
              <w:jc w:val="both"/>
              <w:rPr>
                <w:noProof/>
              </w:rPr>
            </w:pPr>
            <w:r>
              <w:rPr>
                <w:noProof/>
              </w:rPr>
              <w:t>Le ou les actes juridiques définissent: </w:t>
            </w:r>
          </w:p>
          <w:p w14:paraId="1CEBD639" w14:textId="1F372D8D" w:rsidR="00F74E13" w:rsidRDefault="009274FC">
            <w:pPr>
              <w:pStyle w:val="P68B1DB1-Normal15"/>
              <w:spacing w:after="0" w:line="240" w:lineRule="auto"/>
              <w:jc w:val="both"/>
              <w:rPr>
                <w:noProof/>
              </w:rPr>
            </w:pPr>
            <w:r>
              <w:rPr>
                <w:noProof/>
              </w:rPr>
              <w:t>i) l’objectif du Fonds, y compris le financement de mesures en matière d’efficacité énergétique et d’énergies renouvelables dans les bâtiments; </w:t>
            </w:r>
          </w:p>
          <w:p w14:paraId="1CEBD63A" w14:textId="77777777" w:rsidR="00F74E13" w:rsidRDefault="009274FC">
            <w:pPr>
              <w:pStyle w:val="P68B1DB1-Normal15"/>
              <w:spacing w:after="0" w:line="240" w:lineRule="auto"/>
              <w:jc w:val="both"/>
              <w:rPr>
                <w:noProof/>
              </w:rPr>
            </w:pPr>
            <w:r>
              <w:rPr>
                <w:noProof/>
              </w:rPr>
              <w:t>ii) les utilisations éligibles des ressources du Fonds, y compris pour la fourniture a) d’un ou de plusieurs instruments financiers, par exemple des lignes de crédit, des garanties et/ou une combinaison de celles-ci avec un volet «subvention», et b) d’une assistance technique pour la préparation de projets;</w:t>
            </w:r>
          </w:p>
          <w:p w14:paraId="1CEBD63B" w14:textId="77777777" w:rsidR="00F74E13" w:rsidRDefault="009274FC">
            <w:pPr>
              <w:pStyle w:val="P68B1DB1-Normal15"/>
              <w:spacing w:after="0" w:line="240" w:lineRule="auto"/>
              <w:jc w:val="both"/>
              <w:rPr>
                <w:noProof/>
              </w:rPr>
            </w:pPr>
            <w:r>
              <w:rPr>
                <w:noProof/>
              </w:rPr>
              <w:t>iii) les organes du Fonds et leurs compétences;</w:t>
            </w:r>
          </w:p>
          <w:p w14:paraId="1CEBD63C" w14:textId="77777777" w:rsidR="00F74E13" w:rsidRDefault="009274FC">
            <w:pPr>
              <w:pStyle w:val="P68B1DB1-Normal15"/>
              <w:spacing w:after="0" w:line="240" w:lineRule="auto"/>
              <w:jc w:val="both"/>
              <w:rPr>
                <w:noProof/>
              </w:rPr>
            </w:pPr>
            <w:r>
              <w:rPr>
                <w:noProof/>
              </w:rPr>
              <w:t xml:space="preserve">iv) le gestionnaire du fonds en tant que personne morale ou groupement de personnes morales. </w:t>
            </w:r>
          </w:p>
          <w:p w14:paraId="1CEBD63D" w14:textId="77777777" w:rsidR="00F74E13" w:rsidRDefault="009274FC">
            <w:pPr>
              <w:pStyle w:val="P68B1DB1-Normal15"/>
              <w:spacing w:after="0" w:line="240" w:lineRule="auto"/>
              <w:jc w:val="both"/>
              <w:rPr>
                <w:noProof/>
              </w:rPr>
            </w:pPr>
            <w:r>
              <w:rPr>
                <w:noProof/>
              </w:rPr>
              <w:t>En outre, le ou les actes juridiques prévoient que le président du conseil d’administration exerce les fonctions de gestionnaire de fonds jusqu’à la sélection du premier gestionnaire de fonds à la suite de la création du Fonds national pour la décarbonation.</w:t>
            </w:r>
          </w:p>
        </w:tc>
      </w:tr>
      <w:tr w:rsidR="00F74E13" w14:paraId="1CEBD64E"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3F" w14:textId="77777777" w:rsidR="00F74E13" w:rsidRDefault="009274FC">
            <w:pPr>
              <w:pStyle w:val="P68B1DB1-Normal15"/>
              <w:spacing w:after="0" w:line="240" w:lineRule="auto"/>
              <w:jc w:val="center"/>
              <w:rPr>
                <w:noProof/>
              </w:rPr>
            </w:pPr>
            <w:r>
              <w:rPr>
                <w:noProof/>
              </w:rPr>
              <w:t>65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0" w14:textId="77777777" w:rsidR="00F74E13" w:rsidRDefault="009274FC">
            <w:pPr>
              <w:pStyle w:val="P68B1DB1-Normal15"/>
              <w:spacing w:after="0" w:line="240" w:lineRule="auto"/>
              <w:rPr>
                <w:noProof/>
              </w:rPr>
            </w:pPr>
            <w:r>
              <w:rPr>
                <w:noProof/>
              </w:rPr>
              <w:t>C4.R1: Création d’un Fonds national pour la décarbonation</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1"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2" w14:textId="77777777" w:rsidR="00F74E13" w:rsidRDefault="009274FC">
            <w:pPr>
              <w:pStyle w:val="P68B1DB1-Normal13"/>
              <w:spacing w:after="0" w:line="240" w:lineRule="auto"/>
              <w:rPr>
                <w:noProof/>
              </w:rPr>
            </w:pPr>
            <w:r>
              <w:rPr>
                <w:noProof/>
              </w:rPr>
              <w:t>Contrat et règles de fonctionnement</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3" w14:textId="77777777" w:rsidR="00F74E13" w:rsidRDefault="009274FC">
            <w:pPr>
              <w:pStyle w:val="P68B1DB1-Normal13"/>
              <w:spacing w:after="0" w:line="240" w:lineRule="auto"/>
              <w:rPr>
                <w:noProof/>
              </w:rPr>
            </w:pPr>
            <w:r>
              <w:rPr>
                <w:noProof/>
              </w:rPr>
              <w:t>Signature du contrat et adoption des règles de fonctionnement</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5"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6"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7"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8"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9" w14:textId="77777777" w:rsidR="00F74E13" w:rsidRDefault="009274FC">
            <w:pPr>
              <w:pStyle w:val="P68B1DB1-Normal13"/>
              <w:spacing w:after="0" w:line="240" w:lineRule="auto"/>
              <w:jc w:val="both"/>
              <w:rPr>
                <w:noProof/>
                <w:u w:val="single"/>
              </w:rPr>
            </w:pPr>
            <w:r>
              <w:rPr>
                <w:noProof/>
              </w:rPr>
              <w:t>Le contrat entre le conseil d’administration du Fonds national pour la décarbonation et le gestionnaire du Fonds sélectionné est signé à l’issue d’une procédure de sélection ouverte.</w:t>
            </w:r>
          </w:p>
          <w:p w14:paraId="1CEBD64B" w14:textId="77777777" w:rsidR="00F74E13" w:rsidRDefault="009274FC">
            <w:pPr>
              <w:pStyle w:val="P68B1DB1-Normal13"/>
              <w:spacing w:before="120" w:after="0" w:line="240" w:lineRule="auto"/>
              <w:jc w:val="both"/>
              <w:rPr>
                <w:noProof/>
              </w:rPr>
            </w:pPr>
            <w:r>
              <w:rPr>
                <w:noProof/>
              </w:rPr>
              <w:t>En outre, le conseil d’administration du Fonds national de décarbonation adopte les règles de fonctionnement du Fonds, qui: </w:t>
            </w:r>
          </w:p>
          <w:p w14:paraId="1CEBD64C" w14:textId="62C2852A" w:rsidR="00F74E13" w:rsidRDefault="009274FC">
            <w:pPr>
              <w:pStyle w:val="P68B1DB1-Normal13"/>
              <w:spacing w:after="0" w:line="240" w:lineRule="auto"/>
              <w:jc w:val="both"/>
              <w:rPr>
                <w:noProof/>
              </w:rPr>
            </w:pPr>
            <w:r>
              <w:rPr>
                <w:noProof/>
              </w:rPr>
              <w:t>(i) inclure la stratégie d’investissement, les bénéficiaires éligibles et les types d’instruments;</w:t>
            </w:r>
          </w:p>
          <w:p w14:paraId="1CEBD64D" w14:textId="5B7B859B" w:rsidR="00F74E13" w:rsidRDefault="009274FC">
            <w:pPr>
              <w:pStyle w:val="P68B1DB1-Normal13"/>
              <w:spacing w:after="0" w:line="240" w:lineRule="auto"/>
              <w:jc w:val="both"/>
              <w:rPr>
                <w:rFonts w:eastAsia="Times New Roman" w:cs="Times New Roman"/>
                <w:noProof/>
              </w:rPr>
            </w:pPr>
            <w:r>
              <w:rPr>
                <w:noProof/>
              </w:rPr>
              <w:t>ii) inclure des détails sur l’effet de levier, les sources de financement, y compris les fonds privés, les modalités de mise en œuvre, les produits financiers et la politique en matière de risques.</w:t>
            </w:r>
          </w:p>
        </w:tc>
      </w:tr>
      <w:tr w:rsidR="00F74E13" w14:paraId="1CEBD65B"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4F" w14:textId="77777777" w:rsidR="00F74E13" w:rsidRDefault="009274FC">
            <w:pPr>
              <w:pStyle w:val="P68B1DB1-Normal15"/>
              <w:spacing w:after="0" w:line="240" w:lineRule="auto"/>
              <w:jc w:val="center"/>
              <w:rPr>
                <w:noProof/>
              </w:rPr>
            </w:pPr>
            <w:r>
              <w:rPr>
                <w:noProof/>
              </w:rPr>
              <w:t>66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0" w14:textId="77777777" w:rsidR="00F74E13" w:rsidRDefault="009274FC">
            <w:pPr>
              <w:pStyle w:val="P68B1DB1-Normal15"/>
              <w:spacing w:after="0" w:line="240" w:lineRule="auto"/>
              <w:rPr>
                <w:noProof/>
              </w:rPr>
            </w:pPr>
            <w:r>
              <w:rPr>
                <w:noProof/>
              </w:rPr>
              <w:t xml:space="preserve">C4.R3: </w:t>
            </w:r>
          </w:p>
          <w:p w14:paraId="1CEBD651" w14:textId="77777777" w:rsidR="00F74E13" w:rsidRDefault="009274FC">
            <w:pPr>
              <w:pStyle w:val="P68B1DB1-Normal15"/>
              <w:spacing w:after="0" w:line="240" w:lineRule="auto"/>
              <w:rPr>
                <w:noProof/>
              </w:rPr>
            </w:pPr>
            <w:r>
              <w:rPr>
                <w:noProof/>
              </w:rPr>
              <w:t>Définition de la «précarité énergétique» et des critères d’identification des ménages en situation de précarité énergétique et des consommateurs vulnérables</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2"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3" w14:textId="148B5ADF" w:rsidR="00F74E13" w:rsidRDefault="009274FC">
            <w:pPr>
              <w:pStyle w:val="P68B1DB1-Normal15"/>
              <w:spacing w:after="0" w:line="240" w:lineRule="auto"/>
              <w:rPr>
                <w:noProof/>
              </w:rPr>
            </w:pPr>
            <w:r>
              <w:rPr>
                <w:noProof/>
              </w:rPr>
              <w:t>Entrée en vigueur des modifications de la loi sur l’énergie et du droit dérivé concernant la «précarité énergétique»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4" w14:textId="77777777" w:rsidR="00F74E13" w:rsidRDefault="009274FC">
            <w:pPr>
              <w:pStyle w:val="P68B1DB1-Normal15"/>
              <w:spacing w:after="0" w:line="240" w:lineRule="auto"/>
              <w:rPr>
                <w:noProof/>
              </w:rPr>
            </w:pPr>
            <w:r>
              <w:rPr>
                <w:noProof/>
              </w:rPr>
              <w:t>Disposition de la loi sur l’énergie indiquant l’entrée en vigueur des modifications de la loi sur l’énergie et du droit dérivé</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7"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8"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9"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A" w14:textId="2CC173FC" w:rsidR="00F74E13" w:rsidRDefault="009274FC">
            <w:pPr>
              <w:pStyle w:val="P68B1DB1-Normal15"/>
              <w:spacing w:after="0" w:line="240" w:lineRule="auto"/>
              <w:jc w:val="both"/>
              <w:rPr>
                <w:noProof/>
              </w:rPr>
            </w:pPr>
            <w:r>
              <w:rPr>
                <w:noProof/>
              </w:rPr>
              <w:t>Les modifications apportées à la loi sur l’énergie et au droit dérivé ultérieur réglementent la définition de la «précarité énergétique» et définissent des critères permettant d’identifier les ménages en situation de précarité énergétique et les consommateurs vulnérables. Les modifications tiennent compte des critères énumérés dans la directive (UE) 2019/944: faible revenu, coûts énergétiques élevés en pourcentage des revenus disponibles et faible efficacité énergétique.</w:t>
            </w:r>
          </w:p>
        </w:tc>
      </w:tr>
      <w:tr w:rsidR="00F74E13" w14:paraId="1CEBD66B"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C" w14:textId="77777777" w:rsidR="00F74E13" w:rsidRDefault="009274FC">
            <w:pPr>
              <w:pStyle w:val="P68B1DB1-Normal15"/>
              <w:spacing w:after="0" w:line="240" w:lineRule="auto"/>
              <w:jc w:val="center"/>
              <w:rPr>
                <w:noProof/>
              </w:rPr>
            </w:pPr>
            <w:r>
              <w:rPr>
                <w:noProof/>
              </w:rPr>
              <w:t>67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D" w14:textId="77777777" w:rsidR="00F74E13" w:rsidRDefault="009274FC">
            <w:pPr>
              <w:pStyle w:val="P68B1DB1-Normal15"/>
              <w:spacing w:after="0" w:line="240" w:lineRule="auto"/>
              <w:rPr>
                <w:noProof/>
              </w:rPr>
            </w:pPr>
            <w:r>
              <w:rPr>
                <w:noProof/>
              </w:rPr>
              <w:t xml:space="preserve">C4.R2 : </w:t>
            </w:r>
          </w:p>
          <w:p w14:paraId="1CEBD65E" w14:textId="77777777" w:rsidR="00F74E13" w:rsidRDefault="009274FC">
            <w:pPr>
              <w:pStyle w:val="P68B1DB1-Normal15"/>
              <w:spacing w:after="0" w:line="240" w:lineRule="auto"/>
              <w:rPr>
                <w:noProof/>
              </w:rPr>
            </w:pPr>
            <w:r>
              <w:rPr>
                <w:noProof/>
              </w:rPr>
              <w:t xml:space="preserve">Faciliter les investissements dans les rénovations d’efficacité énergétique dans les bâtiments résidentiels </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F"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0" w14:textId="77777777" w:rsidR="00F74E13" w:rsidRDefault="009274FC">
            <w:pPr>
              <w:pStyle w:val="P68B1DB1-Normal15"/>
              <w:spacing w:after="0" w:line="240" w:lineRule="auto"/>
              <w:rPr>
                <w:noProof/>
              </w:rPr>
            </w:pPr>
            <w:r>
              <w:rPr>
                <w:noProof/>
              </w:rPr>
              <w:t>Entrée en vigueur des modifications à la Loi sur la gestion de la propriété de condominiums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1" w14:textId="77777777" w:rsidR="00F74E13" w:rsidRDefault="009274FC">
            <w:pPr>
              <w:pStyle w:val="P68B1DB1-Normal15"/>
              <w:spacing w:after="0" w:line="240" w:lineRule="auto"/>
              <w:rPr>
                <w:noProof/>
              </w:rPr>
            </w:pPr>
            <w:r>
              <w:rPr>
                <w:noProof/>
              </w:rPr>
              <w:t>Disposition de la loi sur la gestion des copropriétés indiquant l’entrée en vigueur des modifications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2"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3"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5"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6"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7" w14:textId="77777777" w:rsidR="00F74E13" w:rsidRDefault="009274FC">
            <w:pPr>
              <w:pStyle w:val="P68B1DB1-Normal12"/>
              <w:spacing w:after="0" w:line="240" w:lineRule="auto"/>
              <w:jc w:val="both"/>
              <w:rPr>
                <w:noProof/>
              </w:rPr>
            </w:pPr>
            <w:r>
              <w:rPr>
                <w:noProof/>
              </w:rPr>
              <w:t>Les modifications apportées à la Loi sur la gestion de la propriété de condominiums doivent:</w:t>
            </w:r>
          </w:p>
          <w:p w14:paraId="1CEBD668" w14:textId="77777777" w:rsidR="00F74E13" w:rsidRDefault="009274FC">
            <w:pPr>
              <w:pStyle w:val="P68B1DB1-ListParagraph16"/>
              <w:numPr>
                <w:ilvl w:val="0"/>
                <w:numId w:val="30"/>
              </w:numPr>
              <w:tabs>
                <w:tab w:val="clear" w:pos="720"/>
              </w:tabs>
              <w:spacing w:after="0" w:line="240" w:lineRule="auto"/>
              <w:ind w:left="360" w:hanging="334"/>
              <w:jc w:val="both"/>
              <w:rPr>
                <w:noProof/>
              </w:rPr>
            </w:pPr>
            <w:r>
              <w:rPr>
                <w:noProof/>
              </w:rPr>
              <w:t>faciliter la prise de décision par les propriétaires de sites individuels dans les immeubles comprenant plusieurs appartements en réduisant le seuil requis pour soutenir la rénovation des bâtiments.</w:t>
            </w:r>
          </w:p>
          <w:p w14:paraId="1CEBD669" w14:textId="77777777" w:rsidR="00F74E13" w:rsidRDefault="009274FC">
            <w:pPr>
              <w:pStyle w:val="P68B1DB1-ListParagraph16"/>
              <w:numPr>
                <w:ilvl w:val="0"/>
                <w:numId w:val="30"/>
              </w:numPr>
              <w:tabs>
                <w:tab w:val="clear" w:pos="720"/>
              </w:tabs>
              <w:spacing w:after="0" w:line="240" w:lineRule="auto"/>
              <w:ind w:left="360" w:hanging="334"/>
              <w:jc w:val="both"/>
              <w:rPr>
                <w:noProof/>
              </w:rPr>
            </w:pPr>
            <w:r>
              <w:rPr>
                <w:noProof/>
              </w:rPr>
              <w:t>réguler la gestion professionnelle en créant les conditions d'amélioration de sa qualité.</w:t>
            </w:r>
          </w:p>
          <w:p w14:paraId="1CEBD66A" w14:textId="77777777" w:rsidR="00F74E13" w:rsidRDefault="009274FC">
            <w:pPr>
              <w:pStyle w:val="P68B1DB1-ListParagraph16"/>
              <w:numPr>
                <w:ilvl w:val="0"/>
                <w:numId w:val="30"/>
              </w:numPr>
              <w:tabs>
                <w:tab w:val="clear" w:pos="720"/>
              </w:tabs>
              <w:spacing w:after="0" w:line="240" w:lineRule="auto"/>
              <w:ind w:left="360" w:hanging="334"/>
              <w:jc w:val="both"/>
              <w:rPr>
                <w:noProof/>
              </w:rPr>
            </w:pPr>
            <w:r>
              <w:rPr>
                <w:noProof/>
              </w:rPr>
              <w:t>faciliter la demande de crédits collectifs par la copropriété par la création d'un compte bancaire conjoint au nom de la copropriété.</w:t>
            </w:r>
          </w:p>
        </w:tc>
      </w:tr>
      <w:tr w:rsidR="00F74E13" w14:paraId="1CEBD67C"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C" w14:textId="77777777" w:rsidR="00F74E13" w:rsidRDefault="009274FC">
            <w:pPr>
              <w:pStyle w:val="P68B1DB1-Normal15"/>
              <w:spacing w:after="0" w:line="240" w:lineRule="auto"/>
              <w:jc w:val="center"/>
              <w:rPr>
                <w:noProof/>
              </w:rPr>
            </w:pPr>
            <w:r>
              <w:rPr>
                <w:noProof/>
              </w:rPr>
              <w:t>68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D" w14:textId="77777777" w:rsidR="00F74E13" w:rsidRDefault="009274FC">
            <w:pPr>
              <w:pStyle w:val="P68B1DB1-Normal33"/>
              <w:spacing w:after="0" w:line="240" w:lineRule="auto"/>
              <w:rPr>
                <w:noProof/>
              </w:rPr>
            </w:pPr>
            <w:r>
              <w:rPr>
                <w:noProof/>
                <w:color w:val="006100"/>
              </w:rPr>
              <w:t>C4.I1 :</w:t>
            </w:r>
            <w:r>
              <w:rPr>
                <w:noProof/>
              </w:rPr>
              <w:t xml:space="preserve"> </w:t>
            </w:r>
          </w:p>
          <w:p w14:paraId="1CEBD66E" w14:textId="74C4B0F7" w:rsidR="00F74E13" w:rsidRDefault="009274FC">
            <w:pPr>
              <w:pStyle w:val="P68B1DB1-Normal15"/>
              <w:spacing w:after="0" w:line="240" w:lineRule="auto"/>
              <w:rPr>
                <w:noProof/>
              </w:rPr>
            </w:pPr>
            <w:r>
              <w:rPr>
                <w:noProof/>
              </w:rPr>
              <w:t>Soutien à la rénovation du parc immobilier</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F"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0" w14:textId="1994D53A" w:rsidR="00F74E13" w:rsidRDefault="009274FC">
            <w:pPr>
              <w:pStyle w:val="P68B1DB1-Normal15"/>
              <w:spacing w:after="0" w:line="240" w:lineRule="auto"/>
              <w:rPr>
                <w:noProof/>
              </w:rPr>
            </w:pPr>
            <w:r>
              <w:rPr>
                <w:noProof/>
              </w:rPr>
              <w:t>Mise en place d’un régime national d’aide à la rénovation visant à améliorer l’efficacité énergétique des bâtiments résidentiels et non résidentiels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1" w14:textId="77777777" w:rsidR="00F74E13" w:rsidRDefault="009274FC">
            <w:pPr>
              <w:pStyle w:val="P68B1DB1-Normal15"/>
              <w:spacing w:after="0" w:line="240" w:lineRule="auto"/>
              <w:rPr>
                <w:noProof/>
              </w:rPr>
            </w:pPr>
            <w:r>
              <w:rPr>
                <w:noProof/>
              </w:rPr>
              <w:t>Publication de l'arrêté ministériel établissant le régime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2"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3"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5"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6"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7" w14:textId="77777777" w:rsidR="00F74E13" w:rsidRDefault="009274FC">
            <w:pPr>
              <w:pStyle w:val="P68B1DB1-Normal15"/>
              <w:spacing w:after="0" w:line="240" w:lineRule="auto"/>
              <w:jc w:val="both"/>
              <w:rPr>
                <w:noProof/>
              </w:rPr>
            </w:pPr>
            <w:r>
              <w:rPr>
                <w:noProof/>
              </w:rPr>
              <w:t xml:space="preserve">Le régime comprend trois sous-mesures: </w:t>
            </w:r>
          </w:p>
          <w:p w14:paraId="1CEBD678" w14:textId="6D4BD977" w:rsidR="00F74E13" w:rsidRDefault="009274FC">
            <w:pPr>
              <w:pStyle w:val="P68B1DB1-ListParagraph16"/>
              <w:numPr>
                <w:ilvl w:val="0"/>
                <w:numId w:val="31"/>
              </w:numPr>
              <w:spacing w:after="0" w:line="240" w:lineRule="auto"/>
              <w:ind w:left="309" w:hanging="283"/>
              <w:jc w:val="both"/>
              <w:rPr>
                <w:noProof/>
              </w:rPr>
            </w:pPr>
            <w:r>
              <w:rPr>
                <w:noProof/>
              </w:rPr>
              <w:t>sous-mesure 1: rénovation énergétique d'au moins 2,15 millions de m² de surface au sol brute totale des bâtiments résidentiels;</w:t>
            </w:r>
          </w:p>
          <w:p w14:paraId="1CEBD679" w14:textId="3CF9955E" w:rsidR="00F74E13" w:rsidRDefault="009274FC">
            <w:pPr>
              <w:pStyle w:val="P68B1DB1-ListParagraph16"/>
              <w:numPr>
                <w:ilvl w:val="0"/>
                <w:numId w:val="31"/>
              </w:numPr>
              <w:spacing w:after="0" w:line="240" w:lineRule="auto"/>
              <w:ind w:left="309" w:hanging="283"/>
              <w:jc w:val="both"/>
              <w:rPr>
                <w:noProof/>
              </w:rPr>
            </w:pPr>
            <w:r>
              <w:rPr>
                <w:noProof/>
              </w:rPr>
              <w:t xml:space="preserve">sous-mesure 2: rénovation énergétique d’au moins 354 bâtiments publics non résidentiels; et </w:t>
            </w:r>
          </w:p>
          <w:p w14:paraId="1CEBD67A" w14:textId="4260E097" w:rsidR="00F74E13" w:rsidRDefault="009274FC">
            <w:pPr>
              <w:pStyle w:val="P68B1DB1-ListParagraph16"/>
              <w:numPr>
                <w:ilvl w:val="0"/>
                <w:numId w:val="31"/>
              </w:numPr>
              <w:spacing w:after="0" w:line="240" w:lineRule="auto"/>
              <w:ind w:left="309" w:hanging="283"/>
              <w:jc w:val="both"/>
              <w:rPr>
                <w:noProof/>
              </w:rPr>
            </w:pPr>
            <w:r>
              <w:rPr>
                <w:noProof/>
              </w:rPr>
              <w:t>sous-mesures 2 et 3 combinées: Rénovation énergétique de 524 bâtiments non résidentiels</w:t>
            </w:r>
          </w:p>
          <w:p w14:paraId="1CEBD67B" w14:textId="77777777" w:rsidR="00F74E13" w:rsidRDefault="009274FC">
            <w:pPr>
              <w:pStyle w:val="P68B1DB1-Normal15"/>
              <w:spacing w:after="0" w:line="240" w:lineRule="auto"/>
              <w:jc w:val="both"/>
              <w:rPr>
                <w:noProof/>
              </w:rPr>
            </w:pPr>
            <w:r>
              <w:rPr>
                <w:noProof/>
              </w:rPr>
              <w:t>Le système garantit un minimum de 30 % d’économies de la demande d’énergie primaire par rapport à l’état de pré-rénovation et le respect des orientations techniques «Ne pas causer de préjudice important» (2021/C58/01).</w:t>
            </w:r>
          </w:p>
        </w:tc>
      </w:tr>
      <w:tr w:rsidR="00F74E13" w14:paraId="1CEBD68E"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D" w14:textId="77777777" w:rsidR="00F74E13" w:rsidRDefault="009274FC">
            <w:pPr>
              <w:pStyle w:val="P68B1DB1-Normal15"/>
              <w:spacing w:after="0" w:line="240" w:lineRule="auto"/>
              <w:jc w:val="center"/>
              <w:rPr>
                <w:noProof/>
              </w:rPr>
            </w:pPr>
            <w:r>
              <w:rPr>
                <w:noProof/>
              </w:rPr>
              <w:t>69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E" w14:textId="77777777" w:rsidR="00F74E13" w:rsidRDefault="009274FC">
            <w:pPr>
              <w:pStyle w:val="P68B1DB1-Normal15"/>
              <w:spacing w:after="0" w:line="240" w:lineRule="auto"/>
              <w:rPr>
                <w:noProof/>
              </w:rPr>
            </w:pPr>
            <w:r>
              <w:rPr>
                <w:noProof/>
              </w:rPr>
              <w:t xml:space="preserve">C4.I1 : </w:t>
            </w:r>
          </w:p>
          <w:p w14:paraId="1CEBD680" w14:textId="12FEB4C8" w:rsidR="00F74E13" w:rsidRDefault="009274FC">
            <w:pPr>
              <w:pStyle w:val="P68B1DB1-Normal15"/>
              <w:spacing w:after="0" w:line="240" w:lineRule="auto"/>
              <w:rPr>
                <w:noProof/>
                <w:u w:val="single"/>
              </w:rPr>
            </w:pPr>
            <w:r>
              <w:rPr>
                <w:noProof/>
              </w:rPr>
              <w:t>Soutien à la rénovation du parc immobilier</w:t>
            </w:r>
          </w:p>
          <w:p w14:paraId="1CEBD681" w14:textId="77777777" w:rsidR="00F74E13" w:rsidRDefault="009274FC">
            <w:pPr>
              <w:pStyle w:val="P68B1DB1-Normal15"/>
              <w:spacing w:before="120" w:after="0" w:line="240" w:lineRule="auto"/>
              <w:rPr>
                <w:noProof/>
              </w:rPr>
            </w:pPr>
            <w:r>
              <w:rPr>
                <w:noProof/>
              </w:rPr>
              <w:t>Sous-mesure 1: Rénovation de bâtiments résidentiels</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2"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3" w14:textId="77777777" w:rsidR="00F74E13" w:rsidRDefault="009274FC">
            <w:pPr>
              <w:pStyle w:val="P68B1DB1-Normal15"/>
              <w:spacing w:after="0" w:line="240" w:lineRule="auto"/>
              <w:rPr>
                <w:noProof/>
              </w:rPr>
            </w:pPr>
            <w:r>
              <w:rPr>
                <w:noProof/>
              </w:rPr>
              <w:t>Appel à propositions pour la rénovation de l'efficacité énergétique des bâtiments résidentiels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4" w14:textId="77777777" w:rsidR="00F74E13" w:rsidRDefault="009274FC">
            <w:pPr>
              <w:pStyle w:val="P68B1DB1-Normal15"/>
              <w:spacing w:after="0" w:line="240" w:lineRule="auto"/>
              <w:rPr>
                <w:noProof/>
              </w:rPr>
            </w:pPr>
            <w:r>
              <w:rPr>
                <w:noProof/>
              </w:rPr>
              <w:t>Publication du cahier des charges de l'appel</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7"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8"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9"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A" w14:textId="77777777" w:rsidR="00F74E13" w:rsidRDefault="009274FC">
            <w:pPr>
              <w:pStyle w:val="P68B1DB1-Normal15"/>
              <w:spacing w:after="0" w:line="240" w:lineRule="auto"/>
              <w:jc w:val="both"/>
              <w:rPr>
                <w:noProof/>
              </w:rPr>
            </w:pPr>
            <w:r>
              <w:rPr>
                <w:noProof/>
              </w:rPr>
              <w:t>L’appel à propositions est publié par le ministère du développement régional et des travaux publics, qui est l’autorité responsable de la rénovation énergétique des bâtiments résidentiels. L'appel comprend les deux étapes d'application suivantes:</w:t>
            </w:r>
          </w:p>
          <w:p w14:paraId="1CEBD68B" w14:textId="77777777" w:rsidR="00F74E13" w:rsidRDefault="009274FC">
            <w:pPr>
              <w:pStyle w:val="P68B1DB1-ListParagraph16"/>
              <w:numPr>
                <w:ilvl w:val="0"/>
                <w:numId w:val="32"/>
              </w:numPr>
              <w:spacing w:after="0" w:line="240" w:lineRule="auto"/>
              <w:ind w:left="309" w:hanging="283"/>
              <w:jc w:val="both"/>
              <w:rPr>
                <w:noProof/>
              </w:rPr>
            </w:pPr>
            <w:r>
              <w:rPr>
                <w:noProof/>
              </w:rPr>
              <w:t xml:space="preserve">phase 1 – ouvert aux demandes bénéficiant d’un financement sous forme de subventions à 100 %; </w:t>
            </w:r>
          </w:p>
          <w:p w14:paraId="1CEBD68C" w14:textId="77777777" w:rsidR="00F74E13" w:rsidRDefault="009274FC">
            <w:pPr>
              <w:pStyle w:val="P68B1DB1-ListParagraph16"/>
              <w:numPr>
                <w:ilvl w:val="0"/>
                <w:numId w:val="32"/>
              </w:numPr>
              <w:spacing w:after="0" w:line="240" w:lineRule="auto"/>
              <w:ind w:left="309" w:hanging="283"/>
              <w:jc w:val="both"/>
              <w:rPr>
                <w:noProof/>
              </w:rPr>
            </w:pPr>
            <w:r>
              <w:rPr>
                <w:noProof/>
              </w:rPr>
              <w:t>étape 2 – ouvert aux demandes avec un financement sous forme de subventions à 80 % et un financement propre à 20 % par les propriétaires.</w:t>
            </w:r>
          </w:p>
          <w:p w14:paraId="1CEBD68D" w14:textId="77777777" w:rsidR="00F74E13" w:rsidRDefault="009274FC">
            <w:pPr>
              <w:pStyle w:val="P68B1DB1-Normal15"/>
              <w:spacing w:after="0" w:line="240" w:lineRule="auto"/>
              <w:jc w:val="both"/>
              <w:rPr>
                <w:noProof/>
              </w:rPr>
            </w:pPr>
            <w:r>
              <w:rPr>
                <w:noProof/>
              </w:rPr>
              <w:t>Les deux étapes d'application doivent être consécutives et non parallèles.</w:t>
            </w:r>
          </w:p>
        </w:tc>
      </w:tr>
      <w:tr w:rsidR="00F74E13" w14:paraId="1CEBD6A3"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68F" w14:textId="77777777" w:rsidR="00F74E13" w:rsidRDefault="009274FC">
            <w:pPr>
              <w:pStyle w:val="P68B1DB1-Normal13"/>
              <w:spacing w:after="0" w:line="240" w:lineRule="auto"/>
              <w:jc w:val="center"/>
              <w:rPr>
                <w:noProof/>
              </w:rPr>
            </w:pPr>
            <w:r>
              <w:rPr>
                <w:noProof/>
              </w:rPr>
              <w:t>70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90" w14:textId="77777777" w:rsidR="00F74E13" w:rsidRDefault="009274FC">
            <w:pPr>
              <w:pStyle w:val="P68B1DB1-Normal15"/>
              <w:spacing w:after="0" w:line="240" w:lineRule="auto"/>
              <w:rPr>
                <w:noProof/>
              </w:rPr>
            </w:pPr>
            <w:r>
              <w:rPr>
                <w:noProof/>
              </w:rPr>
              <w:t xml:space="preserve">C4.I1 : </w:t>
            </w:r>
          </w:p>
          <w:p w14:paraId="1CEBD691" w14:textId="405B1987" w:rsidR="00F74E13" w:rsidRDefault="009274FC">
            <w:pPr>
              <w:pStyle w:val="P68B1DB1-Normal15"/>
              <w:spacing w:after="0" w:line="240" w:lineRule="auto"/>
              <w:rPr>
                <w:noProof/>
              </w:rPr>
            </w:pPr>
            <w:r>
              <w:rPr>
                <w:noProof/>
              </w:rPr>
              <w:t>Soutien à la rénovation du parc immobilier</w:t>
            </w:r>
          </w:p>
          <w:p w14:paraId="1CEBD693" w14:textId="77777777" w:rsidR="00F74E13" w:rsidRDefault="009274FC">
            <w:pPr>
              <w:pStyle w:val="P68B1DB1-Normal15"/>
              <w:spacing w:before="120" w:after="0" w:line="240" w:lineRule="auto"/>
              <w:rPr>
                <w:rFonts w:cs="Times New Roman"/>
                <w:noProof/>
                <w:szCs w:val="20"/>
              </w:rPr>
            </w:pPr>
            <w:r>
              <w:rPr>
                <w:noProof/>
              </w:rPr>
              <w:t>Sous-mesure 1: Rénovation de bâtiments résidentiels</w:t>
            </w:r>
          </w:p>
          <w:p w14:paraId="1CEBD695" w14:textId="77777777" w:rsidR="00F74E13" w:rsidRDefault="009274FC">
            <w:pPr>
              <w:pStyle w:val="P68B1DB1-Normal15"/>
              <w:spacing w:before="120" w:after="0" w:line="240" w:lineRule="auto"/>
              <w:rPr>
                <w:rFonts w:cs="Times New Roman"/>
                <w:noProof/>
                <w:szCs w:val="20"/>
              </w:rPr>
            </w:pPr>
            <w:r>
              <w:rPr>
                <w:noProof/>
              </w:rPr>
              <w:t xml:space="preserve">Sous-mesure 2: Rénovation de bâtiments publics non résidentiels </w:t>
            </w:r>
          </w:p>
          <w:p w14:paraId="1CEBD697" w14:textId="77777777" w:rsidR="00F74E13" w:rsidRDefault="009274FC">
            <w:pPr>
              <w:pStyle w:val="P68B1DB1-Normal12"/>
              <w:spacing w:before="120" w:after="0" w:line="240" w:lineRule="auto"/>
              <w:rPr>
                <w:noProof/>
              </w:rPr>
            </w:pPr>
            <w:r>
              <w:rPr>
                <w:noProof/>
              </w:rPr>
              <w:t xml:space="preserve">et </w:t>
            </w:r>
          </w:p>
          <w:p w14:paraId="1CEBD699" w14:textId="77777777" w:rsidR="00F74E13" w:rsidRDefault="009274FC">
            <w:pPr>
              <w:pStyle w:val="P68B1DB1-Normal15"/>
              <w:spacing w:before="120" w:after="0" w:line="240" w:lineRule="auto"/>
              <w:rPr>
                <w:noProof/>
              </w:rPr>
            </w:pPr>
            <w:r>
              <w:rPr>
                <w:noProof/>
              </w:rPr>
              <w:t>Sous-mesure 3: Rénovation de bâtiments non résidentiels dans l'industrie manufacturière, le commerce et les services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69A"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69B"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Signature de contrats pour la rénovation énergétique </w:t>
            </w:r>
            <w:r>
              <w:rPr>
                <w:rFonts w:ascii="Times New Roman" w:eastAsia="Times New Roman" w:hAnsi="Times New Roman" w:cs="Times New Roman"/>
                <w:noProof/>
                <w:szCs w:val="20"/>
              </w:rPr>
              <w:t>des</w:t>
            </w:r>
            <w:r>
              <w:rPr>
                <w:rFonts w:ascii="Times New Roman" w:hAnsi="Times New Roman"/>
                <w:noProof/>
              </w:rPr>
              <w:t xml:space="preserve"> bâtiments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9C" w14:textId="77777777" w:rsidR="00F74E13" w:rsidRDefault="009274FC">
            <w:pPr>
              <w:pStyle w:val="P68B1DB1-Normal15"/>
              <w:spacing w:after="0" w:line="240" w:lineRule="auto"/>
              <w:rPr>
                <w:noProof/>
              </w:rPr>
            </w:pPr>
            <w:r>
              <w:rPr>
                <w:noProof/>
              </w:rPr>
              <w:t>Contrats signés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9D"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9E"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9F"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0"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1"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6A2" w14:textId="77777777" w:rsidR="00F74E13" w:rsidRDefault="009274FC">
            <w:pPr>
              <w:pStyle w:val="P68B1DB1-Normal13"/>
              <w:spacing w:after="0" w:line="240" w:lineRule="auto"/>
              <w:jc w:val="both"/>
              <w:rPr>
                <w:noProof/>
              </w:rPr>
            </w:pPr>
            <w:r>
              <w:rPr>
                <w:noProof/>
              </w:rPr>
              <w:t xml:space="preserve">Signature de contrats pour la rénovation énergétique des bâtiments par le ministère du développement régional et des travaux publics et les bénéficiaires finaux et/ou les municipalités au nom des bénéficiaires finaux. </w:t>
            </w:r>
          </w:p>
        </w:tc>
      </w:tr>
      <w:tr w:rsidR="00F74E13" w14:paraId="1CEBD6B1"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6A4" w14:textId="77777777" w:rsidR="00F74E13" w:rsidRDefault="009274FC">
            <w:pPr>
              <w:pStyle w:val="P68B1DB1-Normal15"/>
              <w:spacing w:after="0" w:line="240" w:lineRule="auto"/>
              <w:jc w:val="center"/>
              <w:rPr>
                <w:noProof/>
              </w:rPr>
            </w:pPr>
            <w:r>
              <w:rPr>
                <w:noProof/>
              </w:rPr>
              <w:t>71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A5" w14:textId="77777777" w:rsidR="00F74E13" w:rsidRDefault="009274FC">
            <w:pPr>
              <w:pStyle w:val="P68B1DB1-Normal33"/>
              <w:spacing w:after="0" w:line="240" w:lineRule="auto"/>
              <w:rPr>
                <w:noProof/>
              </w:rPr>
            </w:pPr>
            <w:r>
              <w:rPr>
                <w:noProof/>
                <w:color w:val="006100"/>
              </w:rPr>
              <w:t>C4.I1 :</w:t>
            </w:r>
            <w:r>
              <w:rPr>
                <w:noProof/>
              </w:rPr>
              <w:t xml:space="preserve"> </w:t>
            </w:r>
          </w:p>
          <w:p w14:paraId="16EB2B9C" w14:textId="77777777" w:rsidR="00F74E13" w:rsidRDefault="009274FC">
            <w:pPr>
              <w:pStyle w:val="P68B1DB1-Normal15"/>
              <w:spacing w:after="0" w:line="240" w:lineRule="auto"/>
              <w:rPr>
                <w:noProof/>
              </w:rPr>
            </w:pPr>
            <w:r>
              <w:rPr>
                <w:noProof/>
              </w:rPr>
              <w:t>Soutien à la rénovation du parc immobilier </w:t>
            </w:r>
          </w:p>
          <w:p w14:paraId="1CEBD6A7" w14:textId="7ED044C5" w:rsidR="00F74E13" w:rsidRDefault="009274FC">
            <w:pPr>
              <w:pStyle w:val="P68B1DB1-Normal15"/>
              <w:spacing w:before="120" w:after="0" w:line="240" w:lineRule="auto"/>
              <w:rPr>
                <w:noProof/>
              </w:rPr>
            </w:pPr>
            <w:r>
              <w:rPr>
                <w:noProof/>
              </w:rPr>
              <w:t>Sous-mesure 1: Rénovation de bâtiments résidentiels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6A8"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6A9" w14:textId="77777777" w:rsidR="00F74E13" w:rsidRDefault="009274FC">
            <w:pPr>
              <w:pStyle w:val="P68B1DB1-Normal15"/>
              <w:spacing w:after="0" w:line="240" w:lineRule="auto"/>
              <w:rPr>
                <w:noProof/>
              </w:rPr>
            </w:pPr>
            <w:r>
              <w:rPr>
                <w:noProof/>
              </w:rPr>
              <w:t xml:space="preserve">Rénovation énergétique des bâtiments résidentiels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AA"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B" w14:textId="798D8C38" w:rsidR="00F74E13" w:rsidRDefault="009274FC">
            <w:pPr>
              <w:pStyle w:val="P68B1DB1-Normal13"/>
              <w:spacing w:after="0" w:line="240" w:lineRule="auto"/>
              <w:rPr>
                <w:noProof/>
              </w:rPr>
            </w:pPr>
            <w:r>
              <w:rPr>
                <w:noProof/>
              </w:rPr>
              <w:t>Surface au sol brute des bâtiments résidentiels (m2)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C"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D" w14:textId="77777777" w:rsidR="00F74E13" w:rsidRDefault="009274FC">
            <w:pPr>
              <w:pStyle w:val="P68B1DB1-Normal34"/>
              <w:spacing w:after="0" w:line="240" w:lineRule="auto"/>
              <w:jc w:val="center"/>
              <w:rPr>
                <w:noProof/>
              </w:rPr>
            </w:pPr>
            <w:r>
              <w:rPr>
                <w:noProof/>
              </w:rPr>
              <w:t>2,15 millions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E"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F" w14:textId="77777777" w:rsidR="00F74E13" w:rsidRDefault="009274FC">
            <w:pPr>
              <w:pStyle w:val="P68B1DB1-Normal15"/>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6B0" w14:textId="03E37A9E" w:rsidR="00F74E13" w:rsidRDefault="009274FC">
            <w:pPr>
              <w:pStyle w:val="P68B1DB1-Normal13"/>
              <w:spacing w:after="0" w:line="240" w:lineRule="auto"/>
              <w:jc w:val="both"/>
              <w:rPr>
                <w:noProof/>
              </w:rPr>
            </w:pPr>
            <w:r>
              <w:rPr>
                <w:noProof/>
              </w:rPr>
              <w:t xml:space="preserve">2,15 millions de m2 de surface au sol brute des bâtiments résidentiels ont été rénovés. </w:t>
            </w:r>
          </w:p>
        </w:tc>
      </w:tr>
      <w:tr w:rsidR="00F74E13" w14:paraId="1CEBD6C4"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2" w14:textId="77777777" w:rsidR="00F74E13" w:rsidRDefault="009274FC">
            <w:pPr>
              <w:pStyle w:val="P68B1DB1-Normal15"/>
              <w:spacing w:after="0" w:line="240" w:lineRule="auto"/>
              <w:jc w:val="center"/>
              <w:rPr>
                <w:noProof/>
              </w:rPr>
            </w:pPr>
            <w:r>
              <w:rPr>
                <w:noProof/>
              </w:rPr>
              <w:t>72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3" w14:textId="77777777" w:rsidR="00F74E13" w:rsidRDefault="009274FC">
            <w:pPr>
              <w:pStyle w:val="P68B1DB1-Normal33"/>
              <w:spacing w:after="0" w:line="240" w:lineRule="auto"/>
              <w:rPr>
                <w:noProof/>
              </w:rPr>
            </w:pPr>
            <w:r>
              <w:rPr>
                <w:noProof/>
                <w:color w:val="006100"/>
              </w:rPr>
              <w:t>C4.I1 :</w:t>
            </w:r>
            <w:r>
              <w:rPr>
                <w:noProof/>
              </w:rPr>
              <w:t xml:space="preserve"> </w:t>
            </w:r>
          </w:p>
          <w:p w14:paraId="1CEBD6B4" w14:textId="48E3B246" w:rsidR="00F74E13" w:rsidRDefault="009274FC">
            <w:pPr>
              <w:pStyle w:val="P68B1DB1-Normal15"/>
              <w:spacing w:after="0" w:line="240" w:lineRule="auto"/>
              <w:rPr>
                <w:noProof/>
              </w:rPr>
            </w:pPr>
            <w:r>
              <w:rPr>
                <w:noProof/>
              </w:rPr>
              <w:t>Soutien à la rénovation du parc immobilier</w:t>
            </w:r>
          </w:p>
          <w:p w14:paraId="1CEBD6B6" w14:textId="623B0E14" w:rsidR="00F74E13" w:rsidRDefault="009274FC">
            <w:pPr>
              <w:pStyle w:val="P68B1DB1-Normal15"/>
              <w:spacing w:before="120" w:after="0" w:line="240" w:lineRule="auto"/>
              <w:rPr>
                <w:noProof/>
              </w:rPr>
            </w:pPr>
            <w:r>
              <w:rPr>
                <w:noProof/>
              </w:rPr>
              <w:t>Sous-mesure 2: Rénovation de bâtiments non résidentiels, y compris les bâtiments publics et</w:t>
            </w:r>
          </w:p>
          <w:p w14:paraId="1CEBD6B8" w14:textId="77777777" w:rsidR="00F74E13" w:rsidRDefault="009274FC">
            <w:pPr>
              <w:pStyle w:val="P68B1DB1-Normal15"/>
              <w:spacing w:before="120" w:after="0" w:line="240" w:lineRule="auto"/>
              <w:rPr>
                <w:noProof/>
              </w:rPr>
            </w:pPr>
            <w:r>
              <w:rPr>
                <w:noProof/>
              </w:rPr>
              <w:t xml:space="preserve">Sous-mesure 3: Rénovation de bâtiments non résidentiels dans l'industrie manufacturière, le commerce et les services </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9"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A" w14:textId="77777777" w:rsidR="00F74E13" w:rsidRDefault="009274FC">
            <w:pPr>
              <w:pStyle w:val="P68B1DB1-Normal15"/>
              <w:spacing w:after="0" w:line="240" w:lineRule="auto"/>
              <w:rPr>
                <w:noProof/>
              </w:rPr>
            </w:pPr>
            <w:r>
              <w:rPr>
                <w:noProof/>
              </w:rPr>
              <w:t>Appels à propositions pour la rénovation énergétique des bâtiments non résidentiels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B" w14:textId="77777777" w:rsidR="00F74E13" w:rsidRDefault="009274FC">
            <w:pPr>
              <w:pStyle w:val="P68B1DB1-Normal33"/>
              <w:spacing w:after="0" w:line="240" w:lineRule="auto"/>
              <w:rPr>
                <w:noProof/>
                <w:color w:val="006100"/>
              </w:rPr>
            </w:pPr>
            <w:r>
              <w:rPr>
                <w:noProof/>
                <w:color w:val="006100"/>
              </w:rPr>
              <w:t>Publication du cahier des charges de l’appel 1 (bâtiments publics) et de l’appel 2</w:t>
            </w:r>
            <w:r>
              <w:rPr>
                <w:noProof/>
              </w:rPr>
              <w:t xml:space="preserve"> </w:t>
            </w:r>
            <w:r>
              <w:rPr>
                <w:noProof/>
                <w:color w:val="006100"/>
              </w:rPr>
              <w:t>(bâtiments dans l’industrie manufacturière, le commerce et les services)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C"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D"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E"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F"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0"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1" w14:textId="77777777" w:rsidR="00F74E13" w:rsidRDefault="009274FC">
            <w:pPr>
              <w:pStyle w:val="P68B1DB1-Normal15"/>
              <w:spacing w:after="0" w:line="240" w:lineRule="auto"/>
              <w:jc w:val="both"/>
              <w:rPr>
                <w:noProof/>
              </w:rPr>
            </w:pPr>
            <w:r>
              <w:rPr>
                <w:noProof/>
              </w:rPr>
              <w:t>Les deux appels à propositions suivants sont publiés par le ministère du développement régional et des travaux publics pour la rénovation énergétique des bâtiments non résidentiels:</w:t>
            </w:r>
          </w:p>
          <w:p w14:paraId="1CEBD6C2" w14:textId="77777777" w:rsidR="00F74E13" w:rsidRDefault="009274FC">
            <w:pPr>
              <w:pStyle w:val="P68B1DB1-ListParagraph16"/>
              <w:numPr>
                <w:ilvl w:val="0"/>
                <w:numId w:val="33"/>
              </w:numPr>
              <w:spacing w:after="0" w:line="240" w:lineRule="auto"/>
              <w:ind w:left="451"/>
              <w:jc w:val="both"/>
              <w:rPr>
                <w:noProof/>
              </w:rPr>
            </w:pPr>
            <w:r>
              <w:rPr>
                <w:noProof/>
              </w:rPr>
              <w:t>appel à la construction de bâtiments publics;</w:t>
            </w:r>
          </w:p>
          <w:p w14:paraId="1CEBD6C3" w14:textId="77777777" w:rsidR="00F74E13" w:rsidRDefault="009274FC">
            <w:pPr>
              <w:pStyle w:val="P68B1DB1-ListParagraph16"/>
              <w:numPr>
                <w:ilvl w:val="0"/>
                <w:numId w:val="33"/>
              </w:numPr>
              <w:spacing w:after="0" w:line="240" w:lineRule="auto"/>
              <w:ind w:left="451"/>
              <w:jc w:val="both"/>
              <w:rPr>
                <w:noProof/>
              </w:rPr>
            </w:pPr>
            <w:r>
              <w:rPr>
                <w:noProof/>
              </w:rPr>
              <w:t>appel à la construction de bâtiments dans l’industrie manufacturière, le commerce et les services.</w:t>
            </w:r>
          </w:p>
        </w:tc>
      </w:tr>
      <w:tr w:rsidR="00F74E13" w14:paraId="1CEBD6D8"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5" w14:textId="77777777" w:rsidR="00F74E13" w:rsidRDefault="009274FC">
            <w:pPr>
              <w:pStyle w:val="P68B1DB1-Normal15"/>
              <w:spacing w:after="0" w:line="240" w:lineRule="auto"/>
              <w:jc w:val="center"/>
              <w:rPr>
                <w:noProof/>
              </w:rPr>
            </w:pPr>
            <w:r>
              <w:rPr>
                <w:noProof/>
              </w:rPr>
              <w:t>75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6" w14:textId="77777777" w:rsidR="00F74E13" w:rsidRDefault="009274FC">
            <w:pPr>
              <w:pStyle w:val="P68B1DB1-Normal15"/>
              <w:spacing w:after="0" w:line="240" w:lineRule="auto"/>
              <w:rPr>
                <w:noProof/>
              </w:rPr>
            </w:pPr>
            <w:r>
              <w:rPr>
                <w:noProof/>
              </w:rPr>
              <w:t xml:space="preserve">C4.I1 : </w:t>
            </w:r>
          </w:p>
          <w:p w14:paraId="1CEBD6C7" w14:textId="77777777" w:rsidR="00F74E13" w:rsidRDefault="009274FC">
            <w:pPr>
              <w:pStyle w:val="P68B1DB1-Normal15"/>
              <w:spacing w:after="0" w:line="240" w:lineRule="auto"/>
              <w:rPr>
                <w:noProof/>
              </w:rPr>
            </w:pPr>
            <w:r>
              <w:rPr>
                <w:noProof/>
              </w:rPr>
              <w:t>Soutien à la rénovation du parc immobilier </w:t>
            </w:r>
          </w:p>
          <w:p w14:paraId="1CEBD6C9" w14:textId="77777777" w:rsidR="00F74E13" w:rsidRDefault="009274FC">
            <w:pPr>
              <w:pStyle w:val="P68B1DB1-Normal15"/>
              <w:spacing w:before="120" w:after="0" w:line="240" w:lineRule="auto"/>
              <w:rPr>
                <w:noProof/>
              </w:rPr>
            </w:pPr>
            <w:r>
              <w:rPr>
                <w:noProof/>
              </w:rPr>
              <w:t>Sous-mesure 2: Rénovation de bâtiments publics non résidentiels</w:t>
            </w:r>
          </w:p>
          <w:p w14:paraId="1CEBD6CB" w14:textId="77777777" w:rsidR="00F74E13" w:rsidRDefault="009274FC">
            <w:pPr>
              <w:pStyle w:val="P68B1DB1-Normal15"/>
              <w:spacing w:before="120" w:after="0" w:line="240" w:lineRule="auto"/>
              <w:rPr>
                <w:noProof/>
              </w:rPr>
            </w:pPr>
            <w:r>
              <w:rPr>
                <w:noProof/>
              </w:rPr>
              <w:t xml:space="preserve">et </w:t>
            </w:r>
          </w:p>
          <w:p w14:paraId="1CEBD6CD" w14:textId="77777777" w:rsidR="00F74E13" w:rsidRDefault="009274FC">
            <w:pPr>
              <w:pStyle w:val="P68B1DB1-Normal15"/>
              <w:spacing w:before="120" w:after="0" w:line="240" w:lineRule="auto"/>
              <w:rPr>
                <w:noProof/>
              </w:rPr>
            </w:pPr>
            <w:r>
              <w:rPr>
                <w:noProof/>
              </w:rPr>
              <w:t xml:space="preserve">Sous-mesure </w:t>
            </w:r>
          </w:p>
          <w:p w14:paraId="1CEBD6CE" w14:textId="77777777" w:rsidR="00F74E13" w:rsidRDefault="009274FC">
            <w:pPr>
              <w:pStyle w:val="P68B1DB1-Normal15"/>
              <w:spacing w:after="0" w:line="240" w:lineRule="auto"/>
              <w:rPr>
                <w:noProof/>
              </w:rPr>
            </w:pPr>
            <w:r>
              <w:rPr>
                <w:noProof/>
              </w:rPr>
              <w:t>3: Rénovation de bâtiments non résidentiels dans l'industrie manufacturière, le commerce et les services</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F"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0" w14:textId="77777777" w:rsidR="00F74E13" w:rsidRDefault="009274FC">
            <w:pPr>
              <w:pStyle w:val="P68B1DB1-Normal13"/>
              <w:spacing w:after="0" w:line="240" w:lineRule="auto"/>
              <w:rPr>
                <w:noProof/>
              </w:rPr>
            </w:pPr>
            <w:r>
              <w:rPr>
                <w:noProof/>
              </w:rPr>
              <w:t xml:space="preserve">Rénovation de l'efficacité énergétique des bâtiments non résidentiels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2" w14:textId="54A72246" w:rsidR="00F74E13" w:rsidRDefault="009274FC">
            <w:pPr>
              <w:pStyle w:val="P68B1DB1-Normal15"/>
              <w:spacing w:after="0" w:line="240" w:lineRule="auto"/>
              <w:jc w:val="center"/>
              <w:rPr>
                <w:noProof/>
              </w:rPr>
            </w:pPr>
            <w:r>
              <w:rPr>
                <w:noProof/>
              </w:rPr>
              <w:t>Nombre de bâtiments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3"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4" w14:textId="668F35EA" w:rsidR="00F74E13" w:rsidRDefault="009274FC">
            <w:pPr>
              <w:pStyle w:val="P68B1DB1-Normal12"/>
              <w:spacing w:after="0" w:line="240" w:lineRule="auto"/>
              <w:jc w:val="center"/>
              <w:rPr>
                <w:noProof/>
              </w:rPr>
            </w:pPr>
            <w:r>
              <w:rPr>
                <w:noProof/>
              </w:rPr>
              <w:t>550</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5"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6" w14:textId="77777777" w:rsidR="00F74E13" w:rsidRDefault="009274FC">
            <w:pPr>
              <w:pStyle w:val="P68B1DB1-Normal15"/>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7" w14:textId="7A9C385A" w:rsidR="00F74E13" w:rsidRDefault="009274FC">
            <w:pPr>
              <w:pStyle w:val="P68B1DB1-Normal13"/>
              <w:spacing w:after="0" w:line="240" w:lineRule="auto"/>
              <w:jc w:val="both"/>
              <w:rPr>
                <w:noProof/>
              </w:rPr>
            </w:pPr>
            <w:r>
              <w:rPr>
                <w:noProof/>
              </w:rPr>
              <w:t>Au moins 550 bâtiments publics non résidentiels ou bâtiments non résidentiels dans l’industrie manufacturière, le commerce et les services ont été rénovés.</w:t>
            </w:r>
          </w:p>
        </w:tc>
      </w:tr>
      <w:tr w:rsidR="00F74E13" w14:paraId="1CEBD6E8"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9" w14:textId="77777777" w:rsidR="00F74E13" w:rsidRDefault="009274FC">
            <w:pPr>
              <w:pStyle w:val="P68B1DB1-Normal35"/>
              <w:spacing w:after="0" w:line="240" w:lineRule="auto"/>
              <w:jc w:val="center"/>
              <w:rPr>
                <w:noProof/>
              </w:rPr>
            </w:pPr>
            <w:r>
              <w:rPr>
                <w:noProof/>
              </w:rPr>
              <w:t>75a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A" w14:textId="77777777" w:rsidR="00F74E13" w:rsidRDefault="009274FC">
            <w:pPr>
              <w:pStyle w:val="P68B1DB1-Normal12"/>
              <w:spacing w:after="0" w:line="240" w:lineRule="auto"/>
              <w:rPr>
                <w:noProof/>
              </w:rPr>
            </w:pPr>
            <w:r>
              <w:rPr>
                <w:noProof/>
              </w:rPr>
              <w:t>C4.I9: Régime de subventions – rénovation de bâtiments résidentiels</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B" w14:textId="77777777" w:rsidR="00F74E13" w:rsidRDefault="009274FC">
            <w:pPr>
              <w:pStyle w:val="P68B1DB1-Normal12"/>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C" w14:textId="77777777" w:rsidR="00F74E13" w:rsidRDefault="009274FC">
            <w:pPr>
              <w:pStyle w:val="P68B1DB1-Normal12"/>
              <w:spacing w:after="0" w:line="240" w:lineRule="auto"/>
              <w:rPr>
                <w:noProof/>
              </w:rPr>
            </w:pPr>
            <w:r>
              <w:rPr>
                <w:noProof/>
              </w:rPr>
              <w:t>Accord de mise en œuvre, accords juridiques de subvention et transfert de fonds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D" w14:textId="77777777" w:rsidR="00F74E13" w:rsidRDefault="009274FC">
            <w:pPr>
              <w:pStyle w:val="P68B1DB1-Normal12"/>
              <w:spacing w:after="0" w:line="240" w:lineRule="auto"/>
              <w:rPr>
                <w:noProof/>
              </w:rPr>
            </w:pPr>
            <w:r>
              <w:rPr>
                <w:noProof/>
              </w:rPr>
              <w:t>Entrée en vigueur de l'accord de mise en œuvre, signature des conventions de subvention légales, certificat de transfert</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E"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F" w14:textId="77777777" w:rsidR="00F74E13" w:rsidRDefault="00F74E13">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0"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1"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2" w14:textId="77777777" w:rsidR="00F74E13" w:rsidRDefault="009274FC">
            <w:pPr>
              <w:pStyle w:val="P68B1DB1-Normal12"/>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3" w14:textId="77777777" w:rsidR="00F74E13" w:rsidRDefault="009274FC">
            <w:pPr>
              <w:pStyle w:val="P68B1DB1-Normal12"/>
              <w:spacing w:after="0" w:line="240" w:lineRule="auto"/>
              <w:jc w:val="both"/>
              <w:rPr>
                <w:noProof/>
              </w:rPr>
            </w:pPr>
            <w:r>
              <w:rPr>
                <w:noProof/>
              </w:rPr>
              <w:t>Entrée en vigueur de l'accord de mise en œuvre.</w:t>
            </w:r>
          </w:p>
          <w:p w14:paraId="1CEBD6E5" w14:textId="77777777" w:rsidR="00F74E13" w:rsidRDefault="009274FC">
            <w:pPr>
              <w:pStyle w:val="P68B1DB1-Normal12"/>
              <w:spacing w:before="120" w:after="0" w:line="240" w:lineRule="auto"/>
              <w:jc w:val="both"/>
              <w:rPr>
                <w:noProof/>
              </w:rPr>
            </w:pPr>
            <w:r>
              <w:rPr>
                <w:noProof/>
              </w:rPr>
              <w:t>La Banque bulgare de développement a conclu des accords juridiques de subvention avec les bénéficiaires finaux pour un montant nécessaire à l’utilisation de 100 % des fonds de la FRR couverts par l’accord de mise en œuvre (y compris les frais de gestion).</w:t>
            </w:r>
          </w:p>
          <w:p w14:paraId="1CEBD6E7" w14:textId="444413D2" w:rsidR="00F74E13" w:rsidRDefault="009274FC">
            <w:pPr>
              <w:pStyle w:val="P68B1DB1-Normal12"/>
              <w:spacing w:before="120" w:after="0" w:line="240" w:lineRule="auto"/>
              <w:jc w:val="both"/>
              <w:rPr>
                <w:noProof/>
              </w:rPr>
            </w:pPr>
            <w:r>
              <w:rPr>
                <w:noProof/>
              </w:rPr>
              <w:t>La Bulgarie transfère 340 millions d'EUR à la Banque bulgare de développement.</w:t>
            </w:r>
          </w:p>
        </w:tc>
      </w:tr>
      <w:tr w:rsidR="00F74E13" w14:paraId="1CEBD6F5"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9" w14:textId="77777777" w:rsidR="00F74E13" w:rsidRDefault="009274FC">
            <w:pPr>
              <w:pStyle w:val="P68B1DB1-Normal15"/>
              <w:spacing w:after="0" w:line="240" w:lineRule="auto"/>
              <w:jc w:val="center"/>
              <w:rPr>
                <w:noProof/>
              </w:rPr>
            </w:pPr>
            <w:r>
              <w:rPr>
                <w:noProof/>
              </w:rPr>
              <w:t>76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A" w14:textId="77777777" w:rsidR="00F74E13" w:rsidRDefault="009274FC">
            <w:pPr>
              <w:pStyle w:val="P68B1DB1-Normal15"/>
              <w:spacing w:after="0" w:line="240" w:lineRule="auto"/>
              <w:rPr>
                <w:noProof/>
              </w:rPr>
            </w:pPr>
            <w:r>
              <w:rPr>
                <w:noProof/>
              </w:rPr>
              <w:t xml:space="preserve">C4.I2 : </w:t>
            </w:r>
          </w:p>
          <w:p w14:paraId="1CEBD6EB" w14:textId="77777777" w:rsidR="00F74E13" w:rsidRDefault="009274FC">
            <w:pPr>
              <w:pStyle w:val="P68B1DB1-Normal15"/>
              <w:spacing w:after="0" w:line="240" w:lineRule="auto"/>
              <w:rPr>
                <w:noProof/>
              </w:rPr>
            </w:pPr>
            <w:r>
              <w:rPr>
                <w:noProof/>
              </w:rPr>
              <w:t xml:space="preserve">Soutien aux énergies renouvelables pour les ménages </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C"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D" w14:textId="77777777" w:rsidR="00F74E13" w:rsidRDefault="009274FC">
            <w:pPr>
              <w:pStyle w:val="P68B1DB1-Normal15"/>
              <w:spacing w:after="0" w:line="240" w:lineRule="auto"/>
              <w:rPr>
                <w:noProof/>
              </w:rPr>
            </w:pPr>
            <w:r>
              <w:rPr>
                <w:noProof/>
              </w:rPr>
              <w:t xml:space="preserve">Mise en place d'un régime national de soutien aux énergies renouvelables pour les ménages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E" w14:textId="77777777" w:rsidR="00F74E13" w:rsidRDefault="009274FC">
            <w:pPr>
              <w:pStyle w:val="P68B1DB1-Normal15"/>
              <w:spacing w:after="0" w:line="240" w:lineRule="auto"/>
              <w:rPr>
                <w:noProof/>
              </w:rPr>
            </w:pPr>
            <w:r>
              <w:rPr>
                <w:noProof/>
              </w:rPr>
              <w:t>Publication de l'arrêté ministériel établissant le régime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F"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0"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2"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3"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4" w14:textId="4937CB36" w:rsidR="00F74E13" w:rsidRDefault="009274FC">
            <w:pPr>
              <w:pStyle w:val="P68B1DB1-Normal15"/>
              <w:spacing w:after="0" w:line="240" w:lineRule="auto"/>
              <w:jc w:val="both"/>
              <w:rPr>
                <w:noProof/>
              </w:rPr>
            </w:pPr>
            <w:r>
              <w:rPr>
                <w:noProof/>
              </w:rPr>
              <w:t>Le régime finance l’achat de systèmes solaires d’eau chaude sanitaire (DHW) ou photovoltaïques «meilleur de leur catégorie» d’une puissance maximale de 10 kWc et garantit le respect des orientations techniques «Ne pas causer de préjudice important» (2021/C58/01).</w:t>
            </w:r>
          </w:p>
        </w:tc>
      </w:tr>
      <w:tr w:rsidR="00F74E13" w14:paraId="1CEBD702"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6" w14:textId="77777777" w:rsidR="00F74E13" w:rsidRDefault="009274FC">
            <w:pPr>
              <w:pStyle w:val="P68B1DB1-Normal15"/>
              <w:spacing w:after="0" w:line="240" w:lineRule="auto"/>
              <w:jc w:val="center"/>
              <w:rPr>
                <w:noProof/>
              </w:rPr>
            </w:pPr>
            <w:r>
              <w:rPr>
                <w:noProof/>
              </w:rPr>
              <w:t>78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7" w14:textId="77777777" w:rsidR="00F74E13" w:rsidRDefault="009274FC">
            <w:pPr>
              <w:pStyle w:val="P68B1DB1-Normal13"/>
              <w:spacing w:after="0" w:line="240" w:lineRule="auto"/>
              <w:rPr>
                <w:noProof/>
              </w:rPr>
            </w:pPr>
            <w:r>
              <w:rPr>
                <w:noProof/>
              </w:rPr>
              <w:t xml:space="preserve">C4.I2 : </w:t>
            </w:r>
          </w:p>
          <w:p w14:paraId="1CEBD6F8" w14:textId="77777777" w:rsidR="00F74E13" w:rsidRDefault="009274FC">
            <w:pPr>
              <w:pStyle w:val="P68B1DB1-Normal13"/>
              <w:spacing w:after="0" w:line="240" w:lineRule="auto"/>
              <w:rPr>
                <w:noProof/>
              </w:rPr>
            </w:pPr>
            <w:r>
              <w:rPr>
                <w:noProof/>
              </w:rPr>
              <w:t xml:space="preserve">Soutien aux énergies renouvelables pour les ménages </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9"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A" w14:textId="77777777" w:rsidR="00F74E13" w:rsidRDefault="009274FC">
            <w:pPr>
              <w:pStyle w:val="P68B1DB1-Normal15"/>
              <w:spacing w:after="0" w:line="240" w:lineRule="auto"/>
              <w:rPr>
                <w:noProof/>
              </w:rPr>
            </w:pPr>
            <w:r>
              <w:rPr>
                <w:noProof/>
              </w:rPr>
              <w:t xml:space="preserve">Paiement(s) pour l'eau chaude sanitaire solaire ou les systèmes photovoltaïques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B" w14:textId="77777777" w:rsidR="00F74E13" w:rsidRDefault="00F74E13">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C" w14:textId="77777777" w:rsidR="00F74E13" w:rsidRDefault="009274FC">
            <w:pPr>
              <w:pStyle w:val="P68B1DB1-Normal1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D"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E" w14:textId="77777777" w:rsidR="00F74E13" w:rsidRDefault="009274FC">
            <w:pPr>
              <w:pStyle w:val="P68B1DB1-Normal12"/>
              <w:spacing w:after="0" w:line="240" w:lineRule="auto"/>
              <w:jc w:val="center"/>
              <w:rPr>
                <w:noProof/>
              </w:rPr>
            </w:pPr>
            <w:r>
              <w:rPr>
                <w:noProof/>
              </w:rPr>
              <w:t>1 420</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F"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0"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1" w14:textId="77777777" w:rsidR="00F74E13" w:rsidRDefault="009274FC">
            <w:pPr>
              <w:pStyle w:val="P68B1DB1-Normal13"/>
              <w:spacing w:after="0" w:line="240" w:lineRule="auto"/>
              <w:jc w:val="both"/>
              <w:rPr>
                <w:noProof/>
              </w:rPr>
            </w:pPr>
            <w:r>
              <w:rPr>
                <w:noProof/>
              </w:rPr>
              <w:t>Preuve(s) de paiement pour au moins 1 420 systèmes solaires d’eau chaude sanitaire ou photovoltaïques.</w:t>
            </w:r>
          </w:p>
        </w:tc>
      </w:tr>
      <w:tr w:rsidR="00F74E13" w14:paraId="1CEBD70F" w14:textId="77777777" w:rsidTr="0097257F">
        <w:trPr>
          <w:trHeight w:val="1683"/>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3" w14:textId="77777777" w:rsidR="00F74E13" w:rsidRDefault="009274FC">
            <w:pPr>
              <w:pStyle w:val="P68B1DB1-Normal15"/>
              <w:spacing w:after="0" w:line="240" w:lineRule="auto"/>
              <w:jc w:val="center"/>
              <w:rPr>
                <w:noProof/>
              </w:rPr>
            </w:pPr>
            <w:r>
              <w:rPr>
                <w:noProof/>
              </w:rPr>
              <w:t>79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4" w14:textId="77777777" w:rsidR="00F74E13" w:rsidRDefault="009274FC">
            <w:pPr>
              <w:pStyle w:val="P68B1DB1-Normal15"/>
              <w:spacing w:after="0" w:line="240" w:lineRule="auto"/>
              <w:rPr>
                <w:noProof/>
              </w:rPr>
            </w:pPr>
            <w:r>
              <w:rPr>
                <w:noProof/>
              </w:rPr>
              <w:t xml:space="preserve">C4.I3 : </w:t>
            </w:r>
          </w:p>
          <w:p w14:paraId="1CEBD705" w14:textId="77777777" w:rsidR="00F74E13" w:rsidRDefault="009274FC">
            <w:pPr>
              <w:pStyle w:val="P68B1DB1-Normal15"/>
              <w:spacing w:after="0" w:line="240" w:lineRule="auto"/>
              <w:rPr>
                <w:noProof/>
              </w:rPr>
            </w:pPr>
            <w:r>
              <w:rPr>
                <w:noProof/>
              </w:rPr>
              <w:t>Soutien aux systèmes d'éclairage public économes en énergie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6"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7" w14:textId="77777777" w:rsidR="00F74E13" w:rsidRDefault="009274FC">
            <w:pPr>
              <w:pStyle w:val="P68B1DB1-Normal15"/>
              <w:spacing w:after="0" w:line="240" w:lineRule="auto"/>
              <w:rPr>
                <w:noProof/>
              </w:rPr>
            </w:pPr>
            <w:r>
              <w:rPr>
                <w:noProof/>
              </w:rPr>
              <w:t>Signature de contrats de subvention pour la rénovation de systèmes d’éclairage public (appel 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8" w14:textId="77777777" w:rsidR="00F74E13" w:rsidRDefault="009274FC">
            <w:pPr>
              <w:pStyle w:val="P68B1DB1-Normal15"/>
              <w:spacing w:after="0" w:line="240" w:lineRule="auto"/>
              <w:rPr>
                <w:noProof/>
              </w:rPr>
            </w:pPr>
            <w:r>
              <w:rPr>
                <w:noProof/>
              </w:rPr>
              <w:t>Contrats signés par le ministère de l’énergie avec les candidats retenus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9"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A"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B"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C"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D"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E" w14:textId="77777777" w:rsidR="00F74E13" w:rsidRDefault="009274FC">
            <w:pPr>
              <w:pStyle w:val="P68B1DB1-Normal15"/>
              <w:spacing w:after="0" w:line="240" w:lineRule="auto"/>
              <w:jc w:val="both"/>
              <w:rPr>
                <w:noProof/>
              </w:rPr>
            </w:pPr>
            <w:r>
              <w:rPr>
                <w:noProof/>
              </w:rPr>
              <w:t>Les contrats de subvention pour la rénovation des systèmes d’éclairage public précisent qu’une réduction de la consommation d’énergie primaire d’au moins 30 % doit être réalisée.</w:t>
            </w:r>
          </w:p>
        </w:tc>
      </w:tr>
      <w:tr w:rsidR="00F74E13" w14:paraId="1CEBD71C"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0" w14:textId="77777777" w:rsidR="00F74E13" w:rsidRDefault="009274FC">
            <w:pPr>
              <w:pStyle w:val="P68B1DB1-Normal15"/>
              <w:spacing w:after="0" w:line="240" w:lineRule="auto"/>
              <w:jc w:val="center"/>
              <w:rPr>
                <w:noProof/>
              </w:rPr>
            </w:pPr>
            <w:r>
              <w:rPr>
                <w:noProof/>
              </w:rPr>
              <w:t>81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1" w14:textId="77777777" w:rsidR="00F74E13" w:rsidRDefault="009274FC">
            <w:pPr>
              <w:pStyle w:val="P68B1DB1-Normal15"/>
              <w:spacing w:after="0" w:line="240" w:lineRule="auto"/>
              <w:rPr>
                <w:noProof/>
              </w:rPr>
            </w:pPr>
            <w:r>
              <w:rPr>
                <w:noProof/>
              </w:rPr>
              <w:t xml:space="preserve">C4.I3 : </w:t>
            </w:r>
          </w:p>
          <w:p w14:paraId="1CEBD712" w14:textId="77777777" w:rsidR="00F74E13" w:rsidRDefault="009274FC">
            <w:pPr>
              <w:pStyle w:val="P68B1DB1-Normal15"/>
              <w:spacing w:after="0" w:line="240" w:lineRule="auto"/>
              <w:rPr>
                <w:noProof/>
              </w:rPr>
            </w:pPr>
            <w:r>
              <w:rPr>
                <w:noProof/>
              </w:rPr>
              <w:t>Soutien aux systèmes d'éclairage public économes en énergie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3"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4" w14:textId="165C8BB6" w:rsidR="00F74E13" w:rsidRDefault="009274FC">
            <w:pPr>
              <w:pStyle w:val="P68B1DB1-Normal13"/>
              <w:spacing w:after="0" w:line="240" w:lineRule="auto"/>
              <w:rPr>
                <w:noProof/>
              </w:rPr>
            </w:pPr>
            <w:r>
              <w:rPr>
                <w:noProof/>
              </w:rPr>
              <w:t xml:space="preserve">Réduction de la consommation d'énergie primaire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6" w14:textId="77777777" w:rsidR="00F74E13" w:rsidRDefault="009274FC">
            <w:pPr>
              <w:pStyle w:val="P68B1DB1-Normal13"/>
              <w:spacing w:after="0"/>
              <w:rPr>
                <w:noProof/>
              </w:rPr>
            </w:pPr>
            <w:r>
              <w:rPr>
                <w:noProof/>
              </w:rPr>
              <w:t>Économies d'énergie en mégawattheures (MWh) par an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7"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8" w14:textId="77777777" w:rsidR="00F74E13" w:rsidRDefault="009274FC">
            <w:pPr>
              <w:pStyle w:val="P68B1DB1-Normal12"/>
              <w:spacing w:after="0" w:line="240" w:lineRule="auto"/>
              <w:jc w:val="center"/>
              <w:rPr>
                <w:noProof/>
              </w:rPr>
            </w:pPr>
            <w:r>
              <w:rPr>
                <w:noProof/>
              </w:rPr>
              <w:t>120 000</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9"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A" w14:textId="77777777" w:rsidR="00F74E13" w:rsidRDefault="009274FC">
            <w:pPr>
              <w:pStyle w:val="P68B1DB1-Normal15"/>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B" w14:textId="13B882F1" w:rsidR="00F74E13" w:rsidRDefault="009274FC">
            <w:pPr>
              <w:pStyle w:val="P68B1DB1-Normal13"/>
              <w:spacing w:after="0" w:line="240" w:lineRule="auto"/>
              <w:jc w:val="both"/>
              <w:rPr>
                <w:noProof/>
              </w:rPr>
            </w:pPr>
            <w:r>
              <w:rPr>
                <w:noProof/>
              </w:rPr>
              <w:t xml:space="preserve">Réduction de la consommation d'énergie primaire, 120 000 MWh par an, suite à la rénovation des systèmes d'éclairage public. </w:t>
            </w:r>
          </w:p>
        </w:tc>
      </w:tr>
      <w:tr w:rsidR="00F74E13" w14:paraId="1CEBD729"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D" w14:textId="77777777" w:rsidR="00F74E13" w:rsidRDefault="009274FC">
            <w:pPr>
              <w:pStyle w:val="P68B1DB1-Normal15"/>
              <w:spacing w:after="0" w:line="240" w:lineRule="auto"/>
              <w:jc w:val="center"/>
              <w:rPr>
                <w:noProof/>
              </w:rPr>
            </w:pPr>
            <w:r>
              <w:rPr>
                <w:noProof/>
              </w:rPr>
              <w:t>82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E" w14:textId="77777777" w:rsidR="00F74E13" w:rsidRDefault="009274FC">
            <w:pPr>
              <w:pStyle w:val="P68B1DB1-Normal15"/>
              <w:spacing w:after="0" w:line="240" w:lineRule="auto"/>
              <w:rPr>
                <w:noProof/>
              </w:rPr>
            </w:pPr>
            <w:r>
              <w:rPr>
                <w:noProof/>
              </w:rPr>
              <w:t xml:space="preserve">C4.R4 : </w:t>
            </w:r>
          </w:p>
          <w:p w14:paraId="1CEBD71F" w14:textId="77777777" w:rsidR="00F74E13" w:rsidRDefault="009274FC">
            <w:pPr>
              <w:pStyle w:val="P68B1DB1-Normal15"/>
              <w:spacing w:after="0" w:line="240" w:lineRule="auto"/>
              <w:rPr>
                <w:noProof/>
              </w:rPr>
            </w:pPr>
            <w:r>
              <w:rPr>
                <w:noProof/>
              </w:rPr>
              <w:t>Stimuler l'efficacité énergétique et les projets d'énergies renouvelables grâce aux factures d'énergie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0"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1"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 relatifs à l'amélioration  de</w:t>
            </w:r>
            <w:r>
              <w:rPr>
                <w:rFonts w:ascii="Times New Roman" w:hAnsi="Times New Roman"/>
                <w:noProof/>
              </w:rPr>
              <w:t xml:space="preserve"> l'efficacité énergétique dans le cadre du modèle des sociétés de services énergétiques (ESCO).</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2"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Dispositions indiquant</w:t>
            </w:r>
            <w:r>
              <w:rPr>
                <w:rFonts w:ascii="Times New Roman" w:hAnsi="Times New Roman"/>
                <w:noProof/>
              </w:rPr>
              <w:t xml:space="preserve"> l'entrée en vigueur des </w:t>
            </w:r>
            <w:r>
              <w:rPr>
                <w:rFonts w:ascii="Times New Roman" w:hAnsi="Times New Roman" w:cs="Times New Roman"/>
                <w:noProof/>
                <w:szCs w:val="20"/>
              </w:rPr>
              <w:t>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4"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6"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7"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8"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cs="Times New Roman"/>
                <w:noProof/>
                <w:szCs w:val="20"/>
              </w:rPr>
              <w:t>Les actes juridiques permettent à</w:t>
            </w:r>
            <w:r>
              <w:rPr>
                <w:rFonts w:ascii="Times New Roman" w:hAnsi="Times New Roman"/>
                <w:noProof/>
              </w:rPr>
              <w:t xml:space="preserve"> la а de financer les améliorations de l'efficacité énergétique en utilisant la facture de services publics comme moyen de remboursement. Le mécanisme ne permet pas le financement de chaudières à gaz comme option de remplacement de systèmes de chauffage au mazout.</w:t>
            </w:r>
          </w:p>
        </w:tc>
      </w:tr>
      <w:tr w:rsidR="00F74E13" w14:paraId="1CEBD736" w14:textId="77777777" w:rsidTr="0097257F">
        <w:trPr>
          <w:trHeight w:val="1467"/>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A" w14:textId="77777777" w:rsidR="00F74E13" w:rsidRDefault="009274FC">
            <w:pPr>
              <w:pStyle w:val="P68B1DB1-Normal15"/>
              <w:spacing w:after="0" w:line="240" w:lineRule="auto"/>
              <w:jc w:val="center"/>
              <w:rPr>
                <w:noProof/>
              </w:rPr>
            </w:pPr>
            <w:r>
              <w:rPr>
                <w:noProof/>
              </w:rPr>
              <w:t>83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B" w14:textId="77777777" w:rsidR="00F74E13" w:rsidRDefault="009274FC">
            <w:pPr>
              <w:pStyle w:val="P68B1DB1-Normal15"/>
              <w:spacing w:after="0" w:line="240" w:lineRule="auto"/>
              <w:rPr>
                <w:noProof/>
              </w:rPr>
            </w:pPr>
            <w:r>
              <w:rPr>
                <w:noProof/>
              </w:rPr>
              <w:t xml:space="preserve">C4.R5: </w:t>
            </w:r>
          </w:p>
          <w:p w14:paraId="1CEBD72C" w14:textId="77777777" w:rsidR="00F74E13" w:rsidRDefault="009274FC">
            <w:pPr>
              <w:pStyle w:val="P68B1DB1-Normal36"/>
              <w:spacing w:after="0" w:line="240" w:lineRule="auto"/>
              <w:rPr>
                <w:noProof/>
                <w:color w:val="006100"/>
              </w:rPr>
            </w:pPr>
            <w:r>
              <w:rPr>
                <w:noProof/>
                <w:color w:val="006100"/>
              </w:rPr>
              <w:t>Guichets uniques</w:t>
            </w:r>
            <w:r>
              <w:rPr>
                <w:noProof/>
              </w:rPr>
              <w:t xml:space="preserve"> </w:t>
            </w:r>
            <w:r>
              <w:rPr>
                <w:noProof/>
                <w:color w:val="006100"/>
              </w:rPr>
              <w:t>pour les rénovations en matière d’efficacité énergétique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D"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E" w14:textId="7C7BA284" w:rsidR="00F74E13" w:rsidRDefault="009274FC">
            <w:pPr>
              <w:pStyle w:val="P68B1DB1-Normal15"/>
              <w:spacing w:after="0" w:line="240" w:lineRule="auto"/>
              <w:rPr>
                <w:noProof/>
              </w:rPr>
            </w:pPr>
            <w:r>
              <w:rPr>
                <w:noProof/>
              </w:rPr>
              <w:t>Mise en place de guichets uniques pilotes pour la rénovation énergétique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F" w14:textId="77777777" w:rsidR="00F74E13" w:rsidRDefault="009274FC">
            <w:pPr>
              <w:pStyle w:val="P68B1DB1-Normal15"/>
              <w:spacing w:after="0" w:line="240" w:lineRule="auto"/>
              <w:rPr>
                <w:noProof/>
              </w:rPr>
            </w:pPr>
            <w:r>
              <w:rPr>
                <w:noProof/>
              </w:rPr>
              <w:t>Guichet unique opérationnel</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0"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1"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2"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3"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4"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5" w14:textId="77777777" w:rsidR="00F74E13" w:rsidRDefault="009274FC">
            <w:pPr>
              <w:pStyle w:val="P68B1DB1-Normal13"/>
              <w:spacing w:after="0" w:line="240" w:lineRule="auto"/>
              <w:jc w:val="both"/>
              <w:rPr>
                <w:noProof/>
              </w:rPr>
            </w:pPr>
            <w:r>
              <w:rPr>
                <w:noProof/>
              </w:rPr>
              <w:t>Six guichets uniques pilotes physiques sont opérationnels sur une base régionale afin de fournir des conseils et de réduire la charge administrative tant pour les ménages que pour les entreprises. Le guichet unique intègre toutes les informations et tous les services nécessaires à la rénovation énergétique, y compris en ce qui concerne les sources de soutien financier de l’Union disponibles.</w:t>
            </w:r>
          </w:p>
        </w:tc>
      </w:tr>
      <w:tr w:rsidR="00F74E13" w14:paraId="1CEBD743"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7" w14:textId="77777777" w:rsidR="00F74E13" w:rsidRDefault="009274FC">
            <w:pPr>
              <w:pStyle w:val="P68B1DB1-Normal15"/>
              <w:spacing w:after="0" w:line="240" w:lineRule="auto"/>
              <w:jc w:val="center"/>
              <w:rPr>
                <w:noProof/>
              </w:rPr>
            </w:pPr>
            <w:r>
              <w:rPr>
                <w:noProof/>
              </w:rPr>
              <w:t>84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8" w14:textId="77777777" w:rsidR="00F74E13" w:rsidRDefault="009274FC">
            <w:pPr>
              <w:pStyle w:val="P68B1DB1-Normal15"/>
              <w:spacing w:after="0" w:line="240" w:lineRule="auto"/>
              <w:rPr>
                <w:noProof/>
              </w:rPr>
            </w:pPr>
            <w:r>
              <w:rPr>
                <w:noProof/>
              </w:rPr>
              <w:t xml:space="preserve">C4.R5: </w:t>
            </w:r>
          </w:p>
          <w:p w14:paraId="1CEBD739" w14:textId="77777777" w:rsidR="00F74E13" w:rsidRDefault="009274FC">
            <w:pPr>
              <w:pStyle w:val="P68B1DB1-Normal36"/>
              <w:spacing w:after="0" w:line="240" w:lineRule="auto"/>
              <w:rPr>
                <w:noProof/>
                <w:color w:val="006100"/>
              </w:rPr>
            </w:pPr>
            <w:r>
              <w:rPr>
                <w:noProof/>
                <w:color w:val="006100"/>
              </w:rPr>
              <w:t>Guichets uniques</w:t>
            </w:r>
            <w:r>
              <w:rPr>
                <w:noProof/>
              </w:rPr>
              <w:t xml:space="preserve"> </w:t>
            </w:r>
            <w:r>
              <w:rPr>
                <w:noProof/>
                <w:color w:val="006100"/>
              </w:rPr>
              <w:t>pour les rénovations en matière d’efficacité énergétique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A"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B" w14:textId="77777777" w:rsidR="00F74E13" w:rsidRDefault="009274FC">
            <w:pPr>
              <w:pStyle w:val="P68B1DB1-Normal15"/>
              <w:spacing w:after="0" w:line="240" w:lineRule="auto"/>
              <w:rPr>
                <w:noProof/>
              </w:rPr>
            </w:pPr>
            <w:r>
              <w:rPr>
                <w:noProof/>
              </w:rPr>
              <w:t>Guichets uniques désignés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C" w14:textId="77777777" w:rsidR="00F74E13" w:rsidRDefault="00F74E13">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D" w14:textId="77777777" w:rsidR="00F74E13" w:rsidRDefault="009274FC">
            <w:pPr>
              <w:pStyle w:val="P68B1DB1-Normal1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E"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F" w14:textId="77777777" w:rsidR="00F74E13" w:rsidRDefault="009274FC">
            <w:pPr>
              <w:pStyle w:val="P68B1DB1-Normal15"/>
              <w:spacing w:after="0" w:line="240" w:lineRule="auto"/>
              <w:jc w:val="center"/>
              <w:rPr>
                <w:noProof/>
              </w:rPr>
            </w:pPr>
            <w:r>
              <w:rPr>
                <w:noProof/>
              </w:rPr>
              <w:t>21</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0"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1"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2" w14:textId="355A8A13" w:rsidR="00F74E13" w:rsidRDefault="009274FC">
            <w:pPr>
              <w:pStyle w:val="P68B1DB1-Normal13"/>
              <w:spacing w:after="0" w:line="240" w:lineRule="auto"/>
              <w:jc w:val="both"/>
              <w:rPr>
                <w:noProof/>
              </w:rPr>
            </w:pPr>
            <w:r>
              <w:rPr>
                <w:noProof/>
              </w:rPr>
              <w:t>Le ou les actes juridiques désignent 21 centres d’information régionaux en tant que guichets uniques pour les rénovations en matière d’efficacité énergétique.</w:t>
            </w:r>
          </w:p>
        </w:tc>
      </w:tr>
      <w:tr w:rsidR="00F74E13" w14:paraId="1CEBD750"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4" w14:textId="77777777" w:rsidR="00F74E13" w:rsidRDefault="009274FC">
            <w:pPr>
              <w:pStyle w:val="P68B1DB1-Normal15"/>
              <w:spacing w:after="0" w:line="240" w:lineRule="auto"/>
              <w:jc w:val="center"/>
              <w:rPr>
                <w:noProof/>
              </w:rPr>
            </w:pPr>
            <w:r>
              <w:rPr>
                <w:noProof/>
              </w:rPr>
              <w:t>85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5" w14:textId="77777777" w:rsidR="00F74E13" w:rsidRDefault="009274FC">
            <w:pPr>
              <w:pStyle w:val="P68B1DB1-Normal15"/>
              <w:spacing w:after="0" w:line="240" w:lineRule="auto"/>
              <w:rPr>
                <w:noProof/>
              </w:rPr>
            </w:pPr>
            <w:r>
              <w:rPr>
                <w:noProof/>
              </w:rPr>
              <w:t xml:space="preserve">C4.I4 : </w:t>
            </w:r>
          </w:p>
          <w:p w14:paraId="1CEBD746" w14:textId="77777777" w:rsidR="00F74E13" w:rsidRDefault="009274FC">
            <w:pPr>
              <w:pStyle w:val="P68B1DB1-Normal15"/>
              <w:spacing w:after="0" w:line="240" w:lineRule="auto"/>
              <w:rPr>
                <w:noProof/>
              </w:rPr>
            </w:pPr>
            <w:r>
              <w:rPr>
                <w:noProof/>
              </w:rPr>
              <w:t>Transformation numérique du réseau de transport d'électricité</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7"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8"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Contrats </w:t>
            </w:r>
            <w:r>
              <w:rPr>
                <w:rFonts w:ascii="Times New Roman" w:hAnsi="Times New Roman" w:cs="Times New Roman"/>
                <w:noProof/>
                <w:szCs w:val="20"/>
              </w:rPr>
              <w:t>signés</w:t>
            </w:r>
            <w:r>
              <w:rPr>
                <w:rFonts w:ascii="Times New Roman" w:hAnsi="Times New Roman"/>
                <w:noProof/>
              </w:rPr>
              <w:t xml:space="preserve"> </w:t>
            </w:r>
            <w:r>
              <w:rPr>
                <w:rFonts w:ascii="Times New Roman" w:hAnsi="Times New Roman" w:cs="Times New Roman"/>
                <w:noProof/>
                <w:szCs w:val="20"/>
              </w:rPr>
              <w:t xml:space="preserve">ou début des travaux </w:t>
            </w:r>
            <w:r>
              <w:rPr>
                <w:rFonts w:ascii="Times New Roman" w:hAnsi="Times New Roman"/>
                <w:noProof/>
              </w:rPr>
              <w:t xml:space="preserve">de </w:t>
            </w:r>
            <w:r>
              <w:rPr>
                <w:rFonts w:ascii="Times New Roman" w:hAnsi="Times New Roman" w:cs="Times New Roman"/>
                <w:noProof/>
                <w:szCs w:val="20"/>
              </w:rPr>
              <w:t xml:space="preserve">modernisation </w:t>
            </w:r>
            <w:r>
              <w:rPr>
                <w:rFonts w:ascii="Times New Roman" w:hAnsi="Times New Roman"/>
                <w:noProof/>
              </w:rPr>
              <w:t xml:space="preserve">des réseaux de transport nationaux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9"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Contrat(s) signé(s) par l'ESO EAD </w:t>
            </w:r>
            <w:r>
              <w:rPr>
                <w:rFonts w:ascii="Times New Roman" w:hAnsi="Times New Roman" w:cs="Times New Roman"/>
                <w:noProof/>
                <w:szCs w:val="20"/>
              </w:rPr>
              <w:t>ou</w:t>
            </w:r>
            <w:r>
              <w:rPr>
                <w:rFonts w:ascii="Times New Roman" w:hAnsi="Times New Roman"/>
                <w:noProof/>
              </w:rPr>
              <w:t xml:space="preserve"> </w:t>
            </w:r>
            <w:r>
              <w:rPr>
                <w:rFonts w:ascii="Times New Roman" w:hAnsi="Times New Roman" w:cs="Times New Roman"/>
                <w:noProof/>
                <w:szCs w:val="20"/>
              </w:rPr>
              <w:t>début des travaux</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A"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B"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C"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D"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E"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F" w14:textId="7591F695" w:rsidR="00F74E13" w:rsidRDefault="009274FC">
            <w:pPr>
              <w:pStyle w:val="P68B1DB1-Normal22"/>
              <w:spacing w:after="0" w:line="240" w:lineRule="auto"/>
              <w:jc w:val="both"/>
              <w:rPr>
                <w:rFonts w:ascii="Times New Roman" w:hAnsi="Times New Roman"/>
                <w:noProof/>
              </w:rPr>
            </w:pPr>
            <w:r>
              <w:rPr>
                <w:rFonts w:ascii="Times New Roman" w:hAnsi="Times New Roman" w:cs="Times New Roman"/>
                <w:noProof/>
                <w:szCs w:val="20"/>
              </w:rPr>
              <w:t xml:space="preserve">Signature de contrats ou début des travaux de mise à niveau </w:t>
            </w:r>
            <w:r>
              <w:rPr>
                <w:rFonts w:ascii="Times New Roman" w:hAnsi="Times New Roman"/>
                <w:noProof/>
              </w:rPr>
              <w:t xml:space="preserve">des systèmes de transport nationaux </w:t>
            </w:r>
            <w:r>
              <w:rPr>
                <w:rFonts w:ascii="Times New Roman" w:hAnsi="Times New Roman" w:cs="Times New Roman"/>
                <w:noProof/>
                <w:szCs w:val="20"/>
              </w:rPr>
              <w:t>liés au</w:t>
            </w:r>
            <w:r>
              <w:rPr>
                <w:rFonts w:ascii="Times New Roman" w:hAnsi="Times New Roman"/>
                <w:noProof/>
              </w:rPr>
              <w:t xml:space="preserve"> déploiement de systèmes d’automatisation des sous-stations (SAS) dans 171 sous-stations à un niveau de tension de 110 kV.</w:t>
            </w:r>
          </w:p>
        </w:tc>
      </w:tr>
      <w:tr w:rsidR="00F74E13" w14:paraId="1CEBD75D"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751" w14:textId="77777777" w:rsidR="00F74E13" w:rsidRDefault="009274FC">
            <w:pPr>
              <w:pStyle w:val="P68B1DB1-Normal35"/>
              <w:spacing w:after="0" w:line="240" w:lineRule="auto"/>
              <w:jc w:val="center"/>
              <w:rPr>
                <w:noProof/>
              </w:rPr>
            </w:pPr>
            <w:r>
              <w:rPr>
                <w:noProof/>
              </w:rPr>
              <w:t>88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2" w14:textId="77777777" w:rsidR="00F74E13" w:rsidRDefault="009274FC">
            <w:pPr>
              <w:pStyle w:val="P68B1DB1-Normal15"/>
              <w:spacing w:after="0" w:line="240" w:lineRule="auto"/>
              <w:rPr>
                <w:noProof/>
              </w:rPr>
            </w:pPr>
            <w:r>
              <w:rPr>
                <w:noProof/>
              </w:rPr>
              <w:t xml:space="preserve">C4.I4 : </w:t>
            </w:r>
          </w:p>
          <w:p w14:paraId="1CEBD753" w14:textId="77777777" w:rsidR="00F74E13" w:rsidRDefault="009274FC">
            <w:pPr>
              <w:pStyle w:val="P68B1DB1-Normal15"/>
              <w:spacing w:after="0" w:line="240" w:lineRule="auto"/>
              <w:rPr>
                <w:noProof/>
              </w:rPr>
            </w:pPr>
            <w:r>
              <w:rPr>
                <w:noProof/>
              </w:rPr>
              <w:t>Transformation numérique du réseau de transport d'électricité</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754"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55" w14:textId="567B1993" w:rsidR="00F74E13" w:rsidRDefault="009274FC">
            <w:pPr>
              <w:pStyle w:val="P68B1DB1-Normal13"/>
              <w:spacing w:after="0" w:line="240" w:lineRule="auto"/>
              <w:rPr>
                <w:noProof/>
              </w:rPr>
            </w:pPr>
            <w:r>
              <w:rPr>
                <w:noProof/>
              </w:rPr>
              <w:t>Augmentation de la capacité maximale mensuelle nette de transport transfrontalier de 1 600 MW</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6" w14:textId="77777777" w:rsidR="00F74E13" w:rsidRDefault="00F74E13">
            <w:pPr>
              <w:spacing w:after="0" w:line="240" w:lineRule="auto"/>
              <w:jc w:val="center"/>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7" w14:textId="77777777" w:rsidR="00F74E13" w:rsidRDefault="009274FC">
            <w:pPr>
              <w:pStyle w:val="P68B1DB1-Normal15"/>
              <w:spacing w:after="0" w:line="240" w:lineRule="auto"/>
              <w:jc w:val="center"/>
              <w:rPr>
                <w:noProof/>
              </w:rPr>
            </w:pPr>
            <w:r>
              <w:rPr>
                <w:noProof/>
              </w:rPr>
              <w:t>Mégawatts (MW)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8" w14:textId="77777777" w:rsidR="00F74E13" w:rsidRDefault="009274FC">
            <w:pPr>
              <w:pStyle w:val="P68B1DB1-Normal12"/>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59" w14:textId="77777777" w:rsidR="00F74E13" w:rsidRDefault="009274FC">
            <w:pPr>
              <w:pStyle w:val="P68B1DB1-Normal12"/>
              <w:spacing w:after="0" w:line="240" w:lineRule="auto"/>
              <w:jc w:val="center"/>
              <w:rPr>
                <w:noProof/>
              </w:rPr>
            </w:pPr>
            <w:r>
              <w:rPr>
                <w:noProof/>
              </w:rPr>
              <w:t>1 600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A"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5B" w14:textId="77777777" w:rsidR="00F74E13" w:rsidRDefault="009274FC">
            <w:pPr>
              <w:pStyle w:val="P68B1DB1-Normal12"/>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75C" w14:textId="4EFE96E3" w:rsidR="00F74E13" w:rsidRDefault="009274FC">
            <w:pPr>
              <w:spacing w:after="0" w:line="240" w:lineRule="auto"/>
              <w:jc w:val="both"/>
              <w:rPr>
                <w:rFonts w:ascii="Times New Roman" w:hAnsi="Times New Roman"/>
                <w:noProof/>
                <w:color w:val="006100"/>
                <w:sz w:val="20"/>
                <w:szCs w:val="20"/>
              </w:rPr>
            </w:pPr>
            <w:r>
              <w:rPr>
                <w:rFonts w:ascii="Times New Roman" w:hAnsi="Times New Roman" w:cs="Times New Roman"/>
                <w:noProof/>
                <w:color w:val="006100"/>
                <w:sz w:val="20"/>
                <w:szCs w:val="20"/>
              </w:rPr>
              <w:t>1</w:t>
            </w:r>
            <w:r>
              <w:rPr>
                <w:rFonts w:ascii="Times New Roman" w:eastAsia="Calibri" w:hAnsi="Times New Roman" w:cs="Times New Roman"/>
                <w:noProof/>
              </w:rPr>
              <w:t> </w:t>
            </w:r>
            <w:r>
              <w:rPr>
                <w:rFonts w:ascii="Times New Roman" w:hAnsi="Times New Roman"/>
                <w:noProof/>
                <w:color w:val="006100"/>
                <w:sz w:val="20"/>
                <w:szCs w:val="20"/>
              </w:rPr>
              <w:t>600 MW de capacité de transport transfrontière nette maximale mensuelle supplémentaire avec la Roumanie et la Grèce, par rapport aux niveaux de 2020, sont mis à la disposition du marché, comme en témoignent les données de la plateforme ENTSO-e Transparency.</w:t>
            </w:r>
          </w:p>
        </w:tc>
      </w:tr>
      <w:tr w:rsidR="00F74E13" w14:paraId="1CEBD76A"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75E" w14:textId="77777777" w:rsidR="00F74E13" w:rsidRDefault="009274FC">
            <w:pPr>
              <w:pStyle w:val="P68B1DB1-Normal13"/>
              <w:spacing w:after="0" w:line="240" w:lineRule="auto"/>
              <w:jc w:val="center"/>
              <w:rPr>
                <w:noProof/>
              </w:rPr>
            </w:pPr>
            <w:r>
              <w:rPr>
                <w:noProof/>
              </w:rPr>
              <w:t>89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F" w14:textId="77777777" w:rsidR="00F74E13" w:rsidRDefault="009274FC">
            <w:pPr>
              <w:pStyle w:val="P68B1DB1-Normal15"/>
              <w:spacing w:after="0" w:line="240" w:lineRule="auto"/>
              <w:rPr>
                <w:noProof/>
              </w:rPr>
            </w:pPr>
            <w:r>
              <w:rPr>
                <w:noProof/>
              </w:rPr>
              <w:t xml:space="preserve">C4.I4 : </w:t>
            </w:r>
          </w:p>
          <w:p w14:paraId="1CEBD760" w14:textId="77777777" w:rsidR="00F74E13" w:rsidRDefault="009274FC">
            <w:pPr>
              <w:pStyle w:val="P68B1DB1-Normal15"/>
              <w:spacing w:after="0" w:line="240" w:lineRule="auto"/>
              <w:rPr>
                <w:noProof/>
              </w:rPr>
            </w:pPr>
            <w:r>
              <w:rPr>
                <w:noProof/>
              </w:rPr>
              <w:t>Transformation numérique du réseau de transport d'électricité</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761" w14:textId="77777777" w:rsidR="00F74E13" w:rsidRDefault="009274FC">
            <w:pPr>
              <w:pStyle w:val="P68B1DB1-Normal13"/>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62" w14:textId="77777777" w:rsidR="00F74E13" w:rsidRDefault="009274FC">
            <w:pPr>
              <w:pStyle w:val="P68B1DB1-Normal13"/>
              <w:spacing w:after="0" w:line="240" w:lineRule="auto"/>
              <w:rPr>
                <w:noProof/>
              </w:rPr>
            </w:pPr>
            <w:r>
              <w:rPr>
                <w:noProof/>
              </w:rPr>
              <w:t>Conditions d'intégration des capacités de production à partir de sources renouvelables dans le système électrique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63" w14:textId="77777777" w:rsidR="00F74E13" w:rsidRDefault="009274FC">
            <w:pPr>
              <w:pStyle w:val="P68B1DB1-Normal15"/>
              <w:spacing w:after="0" w:line="240" w:lineRule="auto"/>
              <w:rPr>
                <w:noProof/>
              </w:rPr>
            </w:pPr>
            <w:r>
              <w:rPr>
                <w:noProof/>
              </w:rPr>
              <w:t>Rapport d'un ingénieur indépendant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4" w14:textId="77777777" w:rsidR="00F74E13" w:rsidRDefault="009274FC">
            <w:pPr>
              <w:pStyle w:val="P68B1DB1-Normal13"/>
              <w:spacing w:after="0" w:line="240" w:lineRule="auto"/>
              <w:jc w:val="center"/>
              <w:rPr>
                <w:noProof/>
              </w:rPr>
            </w:pPr>
            <w:r>
              <w:rPr>
                <w:noProof/>
              </w:rPr>
              <w:t>Mégawatts (MW)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5" w14:textId="5DA79AE8" w:rsidR="00F74E13" w:rsidRDefault="009274FC">
            <w:pPr>
              <w:pStyle w:val="P68B1DB1-Normal12"/>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66" w14:textId="3C6B9546" w:rsidR="00F74E13" w:rsidRDefault="009274FC">
            <w:pPr>
              <w:spacing w:after="0" w:line="240" w:lineRule="auto"/>
              <w:jc w:val="center"/>
              <w:rPr>
                <w:rFonts w:ascii="Times New Roman" w:hAnsi="Times New Roman"/>
                <w:noProof/>
                <w:color w:val="006100"/>
                <w:sz w:val="20"/>
                <w:szCs w:val="20"/>
              </w:rPr>
            </w:pPr>
            <w:r>
              <w:rPr>
                <w:rFonts w:ascii="Times New Roman" w:eastAsia="Times New Roman" w:hAnsi="Times New Roman" w:cs="Times New Roman"/>
                <w:noProof/>
                <w:color w:val="006100"/>
                <w:sz w:val="20"/>
                <w:szCs w:val="20"/>
              </w:rPr>
              <w:t>4</w:t>
            </w:r>
            <w:r>
              <w:rPr>
                <w:rFonts w:ascii="Times New Roman" w:eastAsia="Calibri" w:hAnsi="Times New Roman" w:cs="Times New Roman"/>
                <w:noProof/>
              </w:rPr>
              <w:t xml:space="preserve"> </w:t>
            </w:r>
            <w:r>
              <w:rPr>
                <w:rFonts w:ascii="Times New Roman" w:eastAsia="Times New Roman" w:hAnsi="Times New Roman" w:cs="Times New Roman"/>
                <w:noProof/>
                <w:color w:val="006100"/>
                <w:sz w:val="20"/>
                <w:szCs w:val="20"/>
              </w:rPr>
              <w:t>500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7"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68" w14:textId="77777777" w:rsidR="00F74E13" w:rsidRDefault="009274FC">
            <w:pPr>
              <w:pStyle w:val="P68B1DB1-Normal15"/>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769" w14:textId="135A792A" w:rsidR="00F74E13" w:rsidRDefault="009274FC">
            <w:pPr>
              <w:pStyle w:val="P68B1DB1-Normal13"/>
              <w:spacing w:after="0" w:line="240" w:lineRule="auto"/>
              <w:jc w:val="both"/>
              <w:rPr>
                <w:noProof/>
              </w:rPr>
            </w:pPr>
            <w:r>
              <w:rPr>
                <w:noProof/>
              </w:rPr>
              <w:t xml:space="preserve">Un rapport d'un ingénieur indépendant confirmant que le système de transport d'électricité remplit les conditions techniques pour intégrer 4 500 MW supplémentaires de capacité de production à partir de sources renouvelables dans le système électrique. </w:t>
            </w:r>
          </w:p>
        </w:tc>
      </w:tr>
      <w:tr w:rsidR="00F74E13" w14:paraId="1CEBD777"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76B" w14:textId="77777777" w:rsidR="00F74E13" w:rsidRDefault="009274FC">
            <w:pPr>
              <w:pStyle w:val="P68B1DB1-Normal15"/>
              <w:spacing w:after="0" w:line="240" w:lineRule="auto"/>
              <w:jc w:val="center"/>
              <w:rPr>
                <w:noProof/>
              </w:rPr>
            </w:pPr>
            <w:r>
              <w:rPr>
                <w:noProof/>
              </w:rPr>
              <w:t>90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6C" w14:textId="77777777" w:rsidR="00F74E13" w:rsidRDefault="009274FC">
            <w:pPr>
              <w:pStyle w:val="P68B1DB1-Normal15"/>
              <w:spacing w:after="0" w:line="240" w:lineRule="auto"/>
              <w:rPr>
                <w:noProof/>
              </w:rPr>
            </w:pPr>
            <w:r>
              <w:rPr>
                <w:noProof/>
              </w:rPr>
              <w:t xml:space="preserve">C4.R7: </w:t>
            </w:r>
          </w:p>
          <w:p w14:paraId="1CEBD76D" w14:textId="77777777" w:rsidR="00F74E13" w:rsidRDefault="009274FC">
            <w:pPr>
              <w:pStyle w:val="P68B1DB1-Normal15"/>
              <w:spacing w:after="0" w:line="240" w:lineRule="auto"/>
              <w:rPr>
                <w:noProof/>
              </w:rPr>
            </w:pPr>
            <w:r>
              <w:rPr>
                <w:noProof/>
              </w:rPr>
              <w:t xml:space="preserve">Soutenir la chaîne de valeur de l’hydrogène vert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76E"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6F" w14:textId="77777777" w:rsidR="00F74E13" w:rsidRDefault="009274FC">
            <w:pPr>
              <w:pStyle w:val="P68B1DB1-Normal15"/>
              <w:spacing w:after="0" w:line="240" w:lineRule="auto"/>
              <w:rPr>
                <w:noProof/>
              </w:rPr>
            </w:pPr>
            <w:r>
              <w:rPr>
                <w:noProof/>
              </w:rPr>
              <w:t>Entrée en vigueur d’un ou de plusieurs actes juridiques sur la chaîne de valeur de l’hydrogène vert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70" w14:textId="77777777" w:rsidR="00F74E13" w:rsidRDefault="009274FC">
            <w:pPr>
              <w:pStyle w:val="P68B1DB1-Normal15"/>
              <w:spacing w:after="0" w:line="240" w:lineRule="auto"/>
              <w:rPr>
                <w:noProof/>
              </w:rPr>
            </w:pPr>
            <w:r>
              <w:rPr>
                <w:noProof/>
              </w:rPr>
              <w:t>Disposition du ou des actes juridiques indiquant l’entrée en vigueur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71"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72"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7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74"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75" w14:textId="77777777" w:rsidR="00F74E13" w:rsidRDefault="009274FC">
            <w:pPr>
              <w:pStyle w:val="P68B1DB1-Normal12"/>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776" w14:textId="6AB0346B" w:rsidR="00F74E13" w:rsidRDefault="009274FC">
            <w:pPr>
              <w:pStyle w:val="P68B1DB1-Normal13"/>
              <w:spacing w:after="0" w:line="240" w:lineRule="auto"/>
              <w:jc w:val="both"/>
              <w:rPr>
                <w:noProof/>
              </w:rPr>
            </w:pPr>
            <w:r>
              <w:rPr>
                <w:noProof/>
              </w:rPr>
              <w:t>Entrée en vigueur d’un ou de plusieurs actes juridiques sur la chaîne de valeur de l’hydrogène vert.</w:t>
            </w:r>
          </w:p>
        </w:tc>
      </w:tr>
      <w:tr w:rsidR="00F74E13" w14:paraId="1CEBD78E"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8" w14:textId="77777777" w:rsidR="00F74E13" w:rsidRDefault="009274FC">
            <w:pPr>
              <w:pStyle w:val="P68B1DB1-Normal15"/>
              <w:spacing w:after="0" w:line="240" w:lineRule="auto"/>
              <w:jc w:val="center"/>
              <w:rPr>
                <w:noProof/>
              </w:rPr>
            </w:pPr>
            <w:r>
              <w:rPr>
                <w:noProof/>
              </w:rPr>
              <w:t>91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9" w14:textId="77777777" w:rsidR="00F74E13" w:rsidRDefault="009274FC">
            <w:pPr>
              <w:pStyle w:val="P68B1DB1-Normal15"/>
              <w:spacing w:after="0" w:line="240" w:lineRule="auto"/>
              <w:rPr>
                <w:noProof/>
              </w:rPr>
            </w:pPr>
            <w:r>
              <w:rPr>
                <w:noProof/>
              </w:rPr>
              <w:t xml:space="preserve">C4.R8: </w:t>
            </w:r>
          </w:p>
          <w:p w14:paraId="1CEBD77A" w14:textId="77777777" w:rsidR="00F74E13" w:rsidRDefault="009274FC">
            <w:pPr>
              <w:pStyle w:val="P68B1DB1-Normal15"/>
              <w:spacing w:after="0" w:line="240" w:lineRule="auto"/>
              <w:rPr>
                <w:noProof/>
              </w:rPr>
            </w:pPr>
            <w:r>
              <w:rPr>
                <w:noProof/>
              </w:rPr>
              <w:t>Libéralisation du marché de l'électricité</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B"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C"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D"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Disposition des </w:t>
            </w:r>
            <w:r>
              <w:rPr>
                <w:rFonts w:ascii="Times New Roman" w:hAnsi="Times New Roman" w:cs="Times New Roman"/>
                <w:noProof/>
                <w:szCs w:val="20"/>
              </w:rPr>
              <w:t>actes juridiques</w:t>
            </w:r>
            <w:r>
              <w:rPr>
                <w:rFonts w:ascii="Times New Roman" w:hAnsi="Times New Roman"/>
                <w:noProof/>
              </w:rPr>
              <w:t xml:space="preserve"> indiquant l’entrée en vigueur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E"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0"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1"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2"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3"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Les </w:t>
            </w:r>
            <w:r>
              <w:rPr>
                <w:rFonts w:ascii="Times New Roman" w:hAnsi="Times New Roman" w:cs="Times New Roman"/>
                <w:noProof/>
                <w:szCs w:val="20"/>
              </w:rPr>
              <w:t>actes juridiques:</w:t>
            </w:r>
            <w:r>
              <w:rPr>
                <w:rFonts w:ascii="Times New Roman" w:hAnsi="Times New Roman"/>
                <w:noProof/>
              </w:rPr>
              <w:t xml:space="preserve"> </w:t>
            </w:r>
          </w:p>
          <w:p w14:paraId="1CEBD784"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1) libéraliser le marché de gros de l'électricité au plus tard le </w:t>
            </w:r>
            <w:r>
              <w:rPr>
                <w:rFonts w:ascii="Times New Roman" w:hAnsi="Times New Roman" w:cs="Times New Roman"/>
                <w:noProof/>
                <w:szCs w:val="20"/>
              </w:rPr>
              <w:t>1er juillet 2025:</w:t>
            </w:r>
            <w:r>
              <w:rPr>
                <w:rFonts w:ascii="Times New Roman" w:hAnsi="Times New Roman"/>
                <w:noProof/>
              </w:rPr>
              <w:t xml:space="preserve"> </w:t>
            </w:r>
          </w:p>
          <w:p w14:paraId="1CEBD785"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 supprimer les obligations de quotas pour le </w:t>
            </w:r>
            <w:r>
              <w:rPr>
                <w:rFonts w:ascii="Times New Roman" w:hAnsi="Times New Roman" w:cs="Times New Roman"/>
                <w:noProof/>
                <w:szCs w:val="20"/>
              </w:rPr>
              <w:t xml:space="preserve">marché réglementé et mettre fin au rôle de </w:t>
            </w:r>
            <w:r>
              <w:rPr>
                <w:rFonts w:ascii="Times New Roman" w:hAnsi="Times New Roman"/>
                <w:noProof/>
              </w:rPr>
              <w:t>Natsionalna Elektricheska Kompania EAD (NEK) en tant que fournisseur public;</w:t>
            </w:r>
          </w:p>
          <w:p w14:paraId="1CEBD786"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 interdisant les contrats à long terme, </w:t>
            </w:r>
            <w:r>
              <w:rPr>
                <w:rFonts w:ascii="Times New Roman" w:hAnsi="Times New Roman" w:cs="Times New Roman"/>
                <w:noProof/>
                <w:szCs w:val="20"/>
              </w:rPr>
              <w:t>y compris les</w:t>
            </w:r>
            <w:r>
              <w:rPr>
                <w:rFonts w:ascii="Times New Roman" w:hAnsi="Times New Roman"/>
                <w:noProof/>
              </w:rPr>
              <w:t xml:space="preserve"> accords d'achat d'électricité, ou tout autre accord similaire ayant un objet ou un effet identique ou équivalent, à l'exception de ces accords pour l'énergie produite à partir de sources renouvelables ou de ceux conclus sur la bourse de l'électricité. À l’expiration ou à la résiliation anticipée des accords d’achat d’électricité en vigueur, les centrales qui ont bénéficié de ces accords ne reçoivent pas de nouvelles aides d’État visant à soutenir la production d’électricité à partir de houille ou de lignite;</w:t>
            </w:r>
          </w:p>
          <w:p w14:paraId="1CEBD787" w14:textId="77777777" w:rsidR="00F74E13" w:rsidRDefault="00F74E13">
            <w:pPr>
              <w:spacing w:after="0" w:line="240" w:lineRule="auto"/>
              <w:jc w:val="both"/>
              <w:rPr>
                <w:rFonts w:ascii="Times New Roman" w:hAnsi="Times New Roman"/>
                <w:noProof/>
                <w:color w:val="006100"/>
                <w:sz w:val="20"/>
              </w:rPr>
            </w:pPr>
          </w:p>
          <w:p w14:paraId="1CEBD788"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2) réformer le marché de l'équilibrage du marché de l'électricité au plus tard le 31 décembre </w:t>
            </w:r>
            <w:r>
              <w:rPr>
                <w:rFonts w:ascii="Times New Roman" w:hAnsi="Times New Roman" w:cs="Times New Roman"/>
                <w:noProof/>
                <w:szCs w:val="20"/>
              </w:rPr>
              <w:t>2024 en veillant à ce que:</w:t>
            </w:r>
          </w:p>
          <w:p w14:paraId="1CEBD789" w14:textId="77777777" w:rsidR="00F74E13" w:rsidRDefault="009274FC">
            <w:pPr>
              <w:pStyle w:val="P68B1DB1-ListParagraph16"/>
              <w:numPr>
                <w:ilvl w:val="0"/>
                <w:numId w:val="34"/>
              </w:numPr>
              <w:spacing w:after="0" w:line="240" w:lineRule="auto"/>
              <w:ind w:left="451"/>
              <w:jc w:val="both"/>
              <w:rPr>
                <w:noProof/>
              </w:rPr>
            </w:pPr>
            <w:r>
              <w:rPr>
                <w:noProof/>
              </w:rPr>
              <w:t>l’achat de capacités d’équilibrage est fondé sur le marché;</w:t>
            </w:r>
          </w:p>
          <w:p w14:paraId="1CEBD78A" w14:textId="77777777" w:rsidR="00F74E13" w:rsidRDefault="009274FC">
            <w:pPr>
              <w:pStyle w:val="P68B1DB1-ListParagraph16"/>
              <w:numPr>
                <w:ilvl w:val="0"/>
                <w:numId w:val="34"/>
              </w:numPr>
              <w:spacing w:after="0" w:line="240" w:lineRule="auto"/>
              <w:ind w:left="451"/>
              <w:jc w:val="both"/>
              <w:rPr>
                <w:noProof/>
              </w:rPr>
            </w:pPr>
            <w:r>
              <w:rPr>
                <w:noProof/>
              </w:rPr>
              <w:t xml:space="preserve">le prix de l’énergie d’équilibrage est publié dans les 30 minutes suivant la fermeture du marché infrajournalier; </w:t>
            </w:r>
          </w:p>
          <w:p w14:paraId="1CEBD78B" w14:textId="77777777" w:rsidR="00F74E13" w:rsidRDefault="009274FC">
            <w:pPr>
              <w:pStyle w:val="P68B1DB1-ListParagraph16"/>
              <w:numPr>
                <w:ilvl w:val="0"/>
                <w:numId w:val="34"/>
              </w:numPr>
              <w:spacing w:after="0" w:line="240" w:lineRule="auto"/>
              <w:ind w:left="451"/>
              <w:jc w:val="both"/>
              <w:rPr>
                <w:noProof/>
              </w:rPr>
            </w:pPr>
            <w:r>
              <w:rPr>
                <w:noProof/>
              </w:rPr>
              <w:t xml:space="preserve">un prix d’équilibrage unique est introduit pour les périodes sans activation de l’énergie d’équilibrage; </w:t>
            </w:r>
          </w:p>
          <w:p w14:paraId="1CEBD78C" w14:textId="77777777" w:rsidR="00F74E13" w:rsidRDefault="009274FC">
            <w:pPr>
              <w:pStyle w:val="P68B1DB1-ListParagraph16"/>
              <w:numPr>
                <w:ilvl w:val="0"/>
                <w:numId w:val="34"/>
              </w:numPr>
              <w:spacing w:after="0" w:line="240" w:lineRule="auto"/>
              <w:ind w:left="451"/>
              <w:jc w:val="both"/>
              <w:rPr>
                <w:noProof/>
              </w:rPr>
            </w:pPr>
            <w:r>
              <w:rPr>
                <w:noProof/>
              </w:rPr>
              <w:t>une période de règlement des déséquilibres de 15 minutes est introduite;</w:t>
            </w:r>
          </w:p>
          <w:p w14:paraId="1CEBD78D" w14:textId="77777777" w:rsidR="00F74E13" w:rsidRDefault="009274FC">
            <w:pPr>
              <w:pStyle w:val="P68B1DB1-ListParagraph16"/>
              <w:numPr>
                <w:ilvl w:val="0"/>
                <w:numId w:val="34"/>
              </w:numPr>
              <w:spacing w:after="0" w:line="240" w:lineRule="auto"/>
              <w:ind w:left="451"/>
              <w:jc w:val="both"/>
              <w:rPr>
                <w:noProof/>
              </w:rPr>
            </w:pPr>
            <w:r>
              <w:rPr>
                <w:noProof/>
              </w:rPr>
              <w:t>aucun plafond de prix pour l'électricité d'équilibrage n'est fixé.</w:t>
            </w:r>
          </w:p>
        </w:tc>
      </w:tr>
      <w:tr w:rsidR="00F74E13" w14:paraId="1CEBD79C"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F" w14:textId="77777777" w:rsidR="00F74E13" w:rsidRDefault="009274FC">
            <w:pPr>
              <w:pStyle w:val="P68B1DB1-Normal15"/>
              <w:spacing w:after="0" w:line="240" w:lineRule="auto"/>
              <w:jc w:val="center"/>
              <w:rPr>
                <w:noProof/>
              </w:rPr>
            </w:pPr>
            <w:r>
              <w:rPr>
                <w:noProof/>
              </w:rPr>
              <w:t>92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0" w14:textId="77777777" w:rsidR="00F74E13" w:rsidRDefault="009274FC">
            <w:pPr>
              <w:pStyle w:val="P68B1DB1-Normal15"/>
              <w:spacing w:after="0" w:line="240" w:lineRule="auto"/>
              <w:rPr>
                <w:noProof/>
              </w:rPr>
            </w:pPr>
            <w:r>
              <w:rPr>
                <w:noProof/>
              </w:rPr>
              <w:t xml:space="preserve">C4.R8: </w:t>
            </w:r>
          </w:p>
          <w:p w14:paraId="1CEBD791" w14:textId="77777777" w:rsidR="00F74E13" w:rsidRDefault="009274FC">
            <w:pPr>
              <w:pStyle w:val="P68B1DB1-Normal15"/>
              <w:spacing w:after="0" w:line="240" w:lineRule="auto"/>
              <w:rPr>
                <w:noProof/>
              </w:rPr>
            </w:pPr>
            <w:r>
              <w:rPr>
                <w:noProof/>
              </w:rPr>
              <w:t>Libéralisation du marché de l'électricité</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2"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3" w14:textId="77777777" w:rsidR="00F74E13" w:rsidRDefault="009274FC">
            <w:pPr>
              <w:pStyle w:val="P68B1DB1-Normal15"/>
              <w:spacing w:after="0" w:line="240" w:lineRule="auto"/>
              <w:rPr>
                <w:noProof/>
              </w:rPr>
            </w:pPr>
            <w:r>
              <w:rPr>
                <w:noProof/>
              </w:rPr>
              <w:t>Intégration du marché de l'électricité</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4" w14:textId="77777777" w:rsidR="00F74E13" w:rsidRDefault="009274FC">
            <w:pPr>
              <w:pStyle w:val="P68B1DB1-Normal15"/>
              <w:spacing w:after="0" w:line="240" w:lineRule="auto"/>
              <w:rPr>
                <w:noProof/>
              </w:rPr>
            </w:pPr>
            <w:r>
              <w:rPr>
                <w:noProof/>
              </w:rPr>
              <w:t>Achèvement du couplage journalier et infrajournalier du marché de l'électricité avec la Roumanie et la Grèce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7"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8"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9"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A" w14:textId="3A1DE053" w:rsidR="00F74E13" w:rsidRDefault="009274FC">
            <w:pPr>
              <w:pStyle w:val="P68B1DB1-Normal15"/>
              <w:spacing w:after="0" w:line="240" w:lineRule="auto"/>
              <w:jc w:val="both"/>
              <w:rPr>
                <w:noProof/>
              </w:rPr>
            </w:pPr>
            <w:r>
              <w:rPr>
                <w:noProof/>
              </w:rPr>
              <w:t>Le couplage journalier du marché de l’électricité avec la Roumanie est achevé et opérationnel au plus tard le 31 décembre 2021.</w:t>
            </w:r>
          </w:p>
          <w:p w14:paraId="1CEBD79B" w14:textId="6FBD9DE4" w:rsidR="00F74E13" w:rsidRDefault="009274FC">
            <w:pPr>
              <w:pStyle w:val="P68B1DB1-Normal15"/>
              <w:spacing w:after="0" w:line="240" w:lineRule="auto"/>
              <w:jc w:val="both"/>
              <w:rPr>
                <w:noProof/>
              </w:rPr>
            </w:pPr>
            <w:r>
              <w:rPr>
                <w:noProof/>
              </w:rPr>
              <w:t>Le couplage infrajournalier du marché de l’électricité avec la Grèce est achevé et opérationnel au plus tard le 31 décembre 2022.</w:t>
            </w:r>
          </w:p>
        </w:tc>
      </w:tr>
      <w:tr w:rsidR="00F74E13" w14:paraId="1CEBD7AC"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D" w14:textId="77777777" w:rsidR="00F74E13" w:rsidRDefault="009274FC">
            <w:pPr>
              <w:pStyle w:val="P68B1DB1-Normal13"/>
              <w:spacing w:after="0" w:line="240" w:lineRule="auto"/>
              <w:jc w:val="center"/>
              <w:rPr>
                <w:noProof/>
              </w:rPr>
            </w:pPr>
            <w:r>
              <w:rPr>
                <w:noProof/>
              </w:rPr>
              <w:t>93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E" w14:textId="77777777" w:rsidR="00F74E13" w:rsidRDefault="009274FC">
            <w:pPr>
              <w:pStyle w:val="P68B1DB1-Normal15"/>
              <w:spacing w:after="0" w:line="240" w:lineRule="auto"/>
              <w:rPr>
                <w:noProof/>
              </w:rPr>
            </w:pPr>
            <w:r>
              <w:rPr>
                <w:noProof/>
              </w:rPr>
              <w:t xml:space="preserve">C4.R11: </w:t>
            </w:r>
          </w:p>
          <w:p w14:paraId="1CEBD79F" w14:textId="77777777" w:rsidR="00F74E13" w:rsidRDefault="009274FC">
            <w:pPr>
              <w:pStyle w:val="P68B1DB1-Normal15"/>
              <w:spacing w:after="0" w:line="240" w:lineRule="auto"/>
              <w:rPr>
                <w:noProof/>
              </w:rPr>
            </w:pPr>
            <w:r>
              <w:rPr>
                <w:noProof/>
              </w:rPr>
              <w:t>Améliorer la gouvernance des entreprises publiques dans le secteur de l'énergie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0"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1" w14:textId="77777777" w:rsidR="00F74E13" w:rsidRDefault="009274FC">
            <w:pPr>
              <w:pStyle w:val="P68B1DB1-Normal15"/>
              <w:spacing w:after="0" w:line="240" w:lineRule="auto"/>
              <w:rPr>
                <w:noProof/>
              </w:rPr>
            </w:pPr>
            <w:r>
              <w:rPr>
                <w:noProof/>
              </w:rPr>
              <w:t>Conditions applicables à une nouvelle société holding publique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2" w14:textId="77777777" w:rsidR="00F74E13" w:rsidRDefault="009274FC">
            <w:pPr>
              <w:pStyle w:val="P68B1DB1-Normal15"/>
              <w:spacing w:after="0" w:line="240" w:lineRule="auto"/>
              <w:rPr>
                <w:noProof/>
              </w:rPr>
            </w:pPr>
            <w:r>
              <w:rPr>
                <w:noProof/>
              </w:rPr>
              <w:t>Adoption d'une décision du Conseil des ministres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4"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6" w14:textId="77777777" w:rsidR="00F74E13" w:rsidRDefault="009274FC">
            <w:pPr>
              <w:pStyle w:val="P68B1DB1-Normal12"/>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7" w14:textId="77777777" w:rsidR="00F74E13" w:rsidRDefault="009274FC">
            <w:pPr>
              <w:pStyle w:val="P68B1DB1-Normal12"/>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8" w14:textId="77777777" w:rsidR="00F74E13" w:rsidRDefault="009274FC">
            <w:pPr>
              <w:pStyle w:val="P68B1DB1-Normal15"/>
              <w:spacing w:after="0" w:line="240" w:lineRule="auto"/>
              <w:jc w:val="both"/>
              <w:rPr>
                <w:noProof/>
              </w:rPr>
            </w:pPr>
            <w:r>
              <w:rPr>
                <w:noProof/>
              </w:rPr>
              <w:t>Le Conseil des ministres adopte une décision autorisant le ministre de l'énergie à travailler sur une résolution concernant la restructuration de la holding énergétique bulgare.</w:t>
            </w:r>
          </w:p>
          <w:p w14:paraId="1CEBD7A9" w14:textId="77777777" w:rsidR="00F74E13" w:rsidRDefault="009274FC">
            <w:pPr>
              <w:pStyle w:val="P68B1DB1-Normal15"/>
              <w:spacing w:after="0" w:line="240" w:lineRule="auto"/>
              <w:jc w:val="both"/>
              <w:rPr>
                <w:noProof/>
              </w:rPr>
            </w:pPr>
            <w:r>
              <w:rPr>
                <w:noProof/>
              </w:rPr>
              <w:t xml:space="preserve">La décision exige que: </w:t>
            </w:r>
          </w:p>
          <w:p w14:paraId="1CEBD7AA" w14:textId="77777777" w:rsidR="00F74E13" w:rsidRDefault="009274FC">
            <w:pPr>
              <w:pStyle w:val="P68B1DB1-ListParagraph32"/>
              <w:numPr>
                <w:ilvl w:val="0"/>
                <w:numId w:val="35"/>
              </w:numPr>
              <w:spacing w:after="0" w:line="240" w:lineRule="auto"/>
              <w:ind w:left="309" w:hanging="283"/>
              <w:jc w:val="both"/>
              <w:rPr>
                <w:noProof/>
              </w:rPr>
            </w:pPr>
            <w:r>
              <w:rPr>
                <w:noProof/>
              </w:rPr>
              <w:t xml:space="preserve">Une nouvelle entreprise publique est créée, qui doit être créée en tant que société holding. Elle est l'unique propriétaire d'entreprises liées au charbon précédemment détenues par Bulgarian Energy Holding; </w:t>
            </w:r>
          </w:p>
          <w:p w14:paraId="1CEBD7AB" w14:textId="77777777" w:rsidR="00F74E13" w:rsidRDefault="009274FC">
            <w:pPr>
              <w:pStyle w:val="P68B1DB1-ListParagraph32"/>
              <w:numPr>
                <w:ilvl w:val="0"/>
                <w:numId w:val="35"/>
              </w:numPr>
              <w:spacing w:after="0" w:line="240" w:lineRule="auto"/>
              <w:ind w:left="309" w:hanging="283"/>
              <w:jc w:val="both"/>
              <w:rPr>
                <w:noProof/>
              </w:rPr>
            </w:pPr>
            <w:r>
              <w:rPr>
                <w:noProof/>
              </w:rPr>
              <w:t xml:space="preserve">Un auditeur évalue les actifs à transférer. </w:t>
            </w:r>
          </w:p>
        </w:tc>
      </w:tr>
      <w:tr w:rsidR="00F74E13" w14:paraId="1CEBD7B9"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D" w14:textId="77777777" w:rsidR="00F74E13" w:rsidRDefault="009274FC">
            <w:pPr>
              <w:pStyle w:val="P68B1DB1-Normal13"/>
              <w:spacing w:after="0" w:line="240" w:lineRule="auto"/>
              <w:jc w:val="center"/>
              <w:rPr>
                <w:noProof/>
                <w:color w:val="000000" w:themeColor="text1"/>
              </w:rPr>
            </w:pPr>
            <w:r>
              <w:rPr>
                <w:noProof/>
              </w:rPr>
              <w:t>93 bis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E" w14:textId="77777777" w:rsidR="00F74E13" w:rsidRDefault="009274FC">
            <w:pPr>
              <w:pStyle w:val="P68B1DB1-Normal15"/>
              <w:spacing w:after="0" w:line="240" w:lineRule="auto"/>
              <w:rPr>
                <w:noProof/>
              </w:rPr>
            </w:pPr>
            <w:r>
              <w:rPr>
                <w:noProof/>
              </w:rPr>
              <w:t xml:space="preserve">C4.R11: </w:t>
            </w:r>
          </w:p>
          <w:p w14:paraId="1CEBD7AF" w14:textId="77777777" w:rsidR="00F74E13" w:rsidRDefault="009274FC">
            <w:pPr>
              <w:pStyle w:val="P68B1DB1-Normal15"/>
              <w:spacing w:after="0" w:line="240" w:lineRule="auto"/>
              <w:rPr>
                <w:noProof/>
              </w:rPr>
            </w:pPr>
            <w:r>
              <w:rPr>
                <w:noProof/>
              </w:rPr>
              <w:t>Améliorer la gouvernance des entreprises publiques dans le secteur de l'énergie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0"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1" w14:textId="1D8BDA92" w:rsidR="00F74E13" w:rsidRDefault="009274FC">
            <w:pPr>
              <w:pStyle w:val="P68B1DB1-Normal15"/>
              <w:spacing w:after="0" w:line="240" w:lineRule="auto"/>
              <w:rPr>
                <w:noProof/>
                <w:szCs w:val="20"/>
              </w:rPr>
            </w:pPr>
            <w:r>
              <w:rPr>
                <w:noProof/>
              </w:rPr>
              <w:t>Résolution du ministre de l’énergie, agissant pour le compte de l’État en tant que propriétaire unique de la holding énergétique bulgare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2" w14:textId="7CB742D5" w:rsidR="00F74E13" w:rsidRDefault="009274FC">
            <w:pPr>
              <w:pStyle w:val="P68B1DB1-Normal15"/>
              <w:spacing w:after="0" w:line="240" w:lineRule="auto"/>
              <w:rPr>
                <w:noProof/>
              </w:rPr>
            </w:pPr>
            <w:r>
              <w:rPr>
                <w:noProof/>
              </w:rPr>
              <w:t>Adoption d'une résolution du ministre de l'Énergie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4"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6"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7" w14:textId="77777777" w:rsidR="00F74E13" w:rsidRDefault="009274FC">
            <w:pPr>
              <w:pStyle w:val="P68B1DB1-Normal12"/>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D70DFE0" w14:textId="77777777" w:rsidR="00F74E13" w:rsidRDefault="009274FC">
            <w:pPr>
              <w:pStyle w:val="P68B1DB1-Normal15"/>
              <w:spacing w:after="0" w:line="240" w:lineRule="auto"/>
              <w:jc w:val="both"/>
              <w:rPr>
                <w:noProof/>
              </w:rPr>
            </w:pPr>
            <w:r>
              <w:rPr>
                <w:noProof/>
              </w:rPr>
              <w:t>Le ministre de l'énergie, agissant pour le compte de l'État en tant que propriétaire unique de la holding énergétique bulgare, adopte une résolution décidant de la restructuration de la holding énergétique bulgare. La résolution comprend les points suivants:</w:t>
            </w:r>
          </w:p>
          <w:p w14:paraId="7E497208" w14:textId="77777777" w:rsidR="00F74E13" w:rsidRDefault="009274FC">
            <w:pPr>
              <w:pStyle w:val="P68B1DB1-Normal15"/>
              <w:spacing w:after="0" w:line="240" w:lineRule="auto"/>
              <w:jc w:val="both"/>
              <w:rPr>
                <w:noProof/>
              </w:rPr>
            </w:pPr>
            <w:r>
              <w:rPr>
                <w:noProof/>
              </w:rPr>
              <w:t xml:space="preserve">i) la création d’une nouvelle société holding publique par le biais d’une scission de la propriété de Bulgarian Energy Holding; </w:t>
            </w:r>
          </w:p>
          <w:p w14:paraId="62A89F0E" w14:textId="6695BD76" w:rsidR="00F74E13" w:rsidRDefault="009274FC">
            <w:pPr>
              <w:pStyle w:val="P68B1DB1-Normal15"/>
              <w:spacing w:after="0" w:line="240" w:lineRule="auto"/>
              <w:jc w:val="both"/>
              <w:rPr>
                <w:noProof/>
              </w:rPr>
            </w:pPr>
            <w:r>
              <w:rPr>
                <w:noProof/>
              </w:rPr>
              <w:t xml:space="preserve">ii) l'adoption des statuts de la nouvelle société holding; </w:t>
            </w:r>
          </w:p>
          <w:p w14:paraId="1CEBD7B8" w14:textId="519FDB92" w:rsidR="00F74E13" w:rsidRDefault="009274FC">
            <w:pPr>
              <w:pStyle w:val="P68B1DB1-Normal15"/>
              <w:spacing w:after="0" w:line="240" w:lineRule="auto"/>
              <w:jc w:val="both"/>
              <w:rPr>
                <w:noProof/>
              </w:rPr>
            </w:pPr>
            <w:r>
              <w:rPr>
                <w:noProof/>
              </w:rPr>
              <w:t>iii) la nomination de la direction de la nouvelle société holding.</w:t>
            </w:r>
          </w:p>
        </w:tc>
      </w:tr>
      <w:tr w:rsidR="00F74E13" w14:paraId="1CEBD7CD"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A" w14:textId="77777777" w:rsidR="00F74E13" w:rsidRDefault="009274FC">
            <w:pPr>
              <w:pStyle w:val="P68B1DB1-Normal15"/>
              <w:spacing w:after="0" w:line="240" w:lineRule="auto"/>
              <w:jc w:val="center"/>
              <w:rPr>
                <w:noProof/>
              </w:rPr>
            </w:pPr>
            <w:r>
              <w:rPr>
                <w:noProof/>
              </w:rPr>
              <w:t>95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B" w14:textId="77777777" w:rsidR="00F74E13" w:rsidRDefault="009274FC">
            <w:pPr>
              <w:pStyle w:val="P68B1DB1-Normal15"/>
              <w:spacing w:after="0" w:line="240" w:lineRule="auto"/>
              <w:rPr>
                <w:noProof/>
              </w:rPr>
            </w:pPr>
            <w:r>
              <w:rPr>
                <w:noProof/>
              </w:rPr>
              <w:t xml:space="preserve">C4.R6: </w:t>
            </w:r>
          </w:p>
          <w:p w14:paraId="1CEBD7BC" w14:textId="77777777" w:rsidR="00F74E13" w:rsidRDefault="009274FC">
            <w:pPr>
              <w:pStyle w:val="P68B1DB1-Normal15"/>
              <w:spacing w:after="0" w:line="240" w:lineRule="auto"/>
              <w:rPr>
                <w:noProof/>
              </w:rPr>
            </w:pPr>
            <w:r>
              <w:rPr>
                <w:noProof/>
              </w:rPr>
              <w:t>Accroître la production d'électricité à partir de sources renouvelables</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D"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E" w14:textId="1957073E"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F"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Dispositions indiquant</w:t>
            </w:r>
            <w:r>
              <w:rPr>
                <w:rFonts w:ascii="Times New Roman" w:hAnsi="Times New Roman"/>
                <w:noProof/>
              </w:rPr>
              <w:t xml:space="preserve"> l'entrée en vigueur des </w:t>
            </w:r>
            <w:r>
              <w:rPr>
                <w:rFonts w:ascii="Times New Roman" w:hAnsi="Times New Roman" w:cs="Times New Roman"/>
                <w:noProof/>
                <w:szCs w:val="20"/>
              </w:rPr>
              <w:t>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0"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1"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2"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3"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4"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bottom"/>
          </w:tcPr>
          <w:p w14:paraId="1CEBD7C5" w14:textId="77777777" w:rsidR="00F74E13" w:rsidRDefault="009274FC">
            <w:pPr>
              <w:pStyle w:val="P68B1DB1-Normal12"/>
              <w:spacing w:line="240" w:lineRule="auto"/>
              <w:jc w:val="both"/>
              <w:rPr>
                <w:noProof/>
              </w:rPr>
            </w:pPr>
            <w:r>
              <w:rPr>
                <w:noProof/>
              </w:rPr>
              <w:t>Les actes juridiques:</w:t>
            </w:r>
          </w:p>
          <w:p w14:paraId="1CEBD7C6" w14:textId="77777777" w:rsidR="00F74E13" w:rsidRDefault="009274FC">
            <w:pPr>
              <w:pStyle w:val="P68B1DB1-ListParagraph16"/>
              <w:numPr>
                <w:ilvl w:val="0"/>
                <w:numId w:val="36"/>
              </w:numPr>
              <w:spacing w:line="240" w:lineRule="auto"/>
              <w:ind w:left="309"/>
              <w:jc w:val="both"/>
              <w:rPr>
                <w:noProof/>
              </w:rPr>
            </w:pPr>
            <w:r>
              <w:rPr>
                <w:noProof/>
              </w:rPr>
              <w:t xml:space="preserve">simplifier les procédures d’autorisation pour les installations de production d’électricité à partir de sources d’énergie renouvelables en: </w:t>
            </w:r>
          </w:p>
          <w:p w14:paraId="1CEBD7C7" w14:textId="10870445" w:rsidR="00F74E13" w:rsidRDefault="009274FC">
            <w:pPr>
              <w:pStyle w:val="P68B1DB1-ListParagraph37"/>
              <w:numPr>
                <w:ilvl w:val="1"/>
                <w:numId w:val="36"/>
              </w:numPr>
              <w:spacing w:line="240" w:lineRule="auto"/>
              <w:ind w:left="593"/>
              <w:jc w:val="both"/>
              <w:rPr>
                <w:rFonts w:ascii="Times New Roman" w:hAnsi="Times New Roman" w:cs="Times New Roman"/>
                <w:noProof/>
                <w:szCs w:val="20"/>
              </w:rPr>
            </w:pPr>
            <w:r>
              <w:rPr>
                <w:rFonts w:ascii="Times New Roman" w:hAnsi="Times New Roman" w:cs="Times New Roman"/>
                <w:noProof/>
                <w:szCs w:val="20"/>
              </w:rPr>
              <w:t>introduire</w:t>
            </w:r>
            <w:r>
              <w:rPr>
                <w:rFonts w:ascii="Times New Roman" w:hAnsi="Times New Roman"/>
                <w:noProof/>
              </w:rPr>
              <w:t xml:space="preserve"> des délais </w:t>
            </w:r>
            <w:r>
              <w:rPr>
                <w:rFonts w:ascii="Times New Roman" w:hAnsi="Times New Roman" w:cs="Times New Roman"/>
                <w:noProof/>
                <w:szCs w:val="20"/>
              </w:rPr>
              <w:t>pour la délivrance des autorisations afin de garantir que la procédure de raccordement au réseau ne dépasse pas six mois.</w:t>
            </w:r>
          </w:p>
          <w:p w14:paraId="1CEBD7C8" w14:textId="77777777" w:rsidR="00F74E13" w:rsidRDefault="009274FC">
            <w:pPr>
              <w:pStyle w:val="P68B1DB1-ListParagraph37"/>
              <w:numPr>
                <w:ilvl w:val="1"/>
                <w:numId w:val="36"/>
              </w:numPr>
              <w:spacing w:line="240" w:lineRule="auto"/>
              <w:ind w:left="593"/>
              <w:jc w:val="both"/>
              <w:rPr>
                <w:rFonts w:ascii="Times New Roman" w:hAnsi="Times New Roman" w:cs="Times New Roman"/>
                <w:noProof/>
                <w:szCs w:val="20"/>
              </w:rPr>
            </w:pPr>
            <w:r>
              <w:rPr>
                <w:rFonts w:ascii="Times New Roman" w:hAnsi="Times New Roman" w:cs="Times New Roman"/>
                <w:noProof/>
                <w:szCs w:val="20"/>
              </w:rPr>
              <w:t>introduire</w:t>
            </w:r>
            <w:r>
              <w:rPr>
                <w:rFonts w:ascii="Times New Roman" w:hAnsi="Times New Roman"/>
                <w:noProof/>
              </w:rPr>
              <w:t xml:space="preserve"> des procédures </w:t>
            </w:r>
            <w:r>
              <w:rPr>
                <w:rFonts w:ascii="Times New Roman" w:hAnsi="Times New Roman" w:cs="Times New Roman"/>
                <w:noProof/>
                <w:szCs w:val="20"/>
              </w:rPr>
              <w:t xml:space="preserve">de responsabilité en cas de </w:t>
            </w:r>
            <w:r>
              <w:rPr>
                <w:rFonts w:ascii="Times New Roman" w:hAnsi="Times New Roman"/>
                <w:noProof/>
              </w:rPr>
              <w:t>retards</w:t>
            </w:r>
            <w:r>
              <w:rPr>
                <w:rFonts w:ascii="Times New Roman" w:hAnsi="Times New Roman" w:cs="Times New Roman"/>
                <w:noProof/>
                <w:szCs w:val="20"/>
              </w:rPr>
              <w:t xml:space="preserve"> dans la délivrance des autorisations de raccordement au réseau par les gestionnaires de réseau de distribution et de transport.</w:t>
            </w:r>
            <w:r>
              <w:rPr>
                <w:rFonts w:ascii="Times New Roman" w:hAnsi="Times New Roman"/>
                <w:noProof/>
              </w:rPr>
              <w:t xml:space="preserve"> </w:t>
            </w:r>
          </w:p>
          <w:p w14:paraId="1CEBD7C9" w14:textId="77777777" w:rsidR="00F74E13" w:rsidRDefault="009274FC">
            <w:pPr>
              <w:pStyle w:val="P68B1DB1-ListParagraph16"/>
              <w:numPr>
                <w:ilvl w:val="0"/>
                <w:numId w:val="37"/>
              </w:numPr>
              <w:tabs>
                <w:tab w:val="clear" w:pos="720"/>
              </w:tabs>
              <w:spacing w:line="240" w:lineRule="auto"/>
              <w:ind w:left="451"/>
              <w:jc w:val="both"/>
              <w:rPr>
                <w:noProof/>
              </w:rPr>
            </w:pPr>
            <w:r>
              <w:rPr>
                <w:noProof/>
              </w:rPr>
              <w:t>permettre la désignation de zones prioritaires pour les parcs éoliens terrestres.</w:t>
            </w:r>
          </w:p>
          <w:p w14:paraId="1CEBD7CA" w14:textId="77777777" w:rsidR="00F74E13" w:rsidRDefault="009274FC">
            <w:pPr>
              <w:pStyle w:val="P68B1DB1-ListParagraph38"/>
              <w:numPr>
                <w:ilvl w:val="0"/>
                <w:numId w:val="37"/>
              </w:numPr>
              <w:tabs>
                <w:tab w:val="clear" w:pos="720"/>
              </w:tabs>
              <w:spacing w:line="240" w:lineRule="auto"/>
              <w:ind w:left="451"/>
              <w:jc w:val="both"/>
              <w:rPr>
                <w:rFonts w:ascii="Times New Roman" w:hAnsi="Times New Roman"/>
                <w:noProof/>
              </w:rPr>
            </w:pPr>
            <w:r>
              <w:rPr>
                <w:rFonts w:ascii="Times New Roman" w:hAnsi="Times New Roman" w:cs="Times New Roman"/>
                <w:noProof/>
              </w:rPr>
              <w:t>simplifier la procédure d’autorisation pour les installations solaires photovoltaïques à usage propre d’une</w:t>
            </w:r>
            <w:r>
              <w:rPr>
                <w:rFonts w:ascii="Times New Roman" w:eastAsiaTheme="minorHAnsi" w:hAnsi="Times New Roman" w:cs="Times New Roman" w:hint="eastAsia"/>
                <w:noProof/>
              </w:rPr>
              <w:t> </w:t>
            </w:r>
            <w:r>
              <w:rPr>
                <w:rFonts w:ascii="Times New Roman" w:eastAsiaTheme="minorHAnsi" w:hAnsi="Times New Roman" w:cs="Times New Roman"/>
                <w:noProof/>
              </w:rPr>
              <w:t>puissance maximale de 1 MW:</w:t>
            </w:r>
          </w:p>
          <w:p w14:paraId="1CEBD7CB" w14:textId="77777777" w:rsidR="00F74E13" w:rsidRDefault="009274FC">
            <w:pPr>
              <w:pStyle w:val="P68B1DB1-ListParagraph16"/>
              <w:numPr>
                <w:ilvl w:val="0"/>
                <w:numId w:val="38"/>
              </w:numPr>
              <w:spacing w:line="240" w:lineRule="auto"/>
              <w:jc w:val="both"/>
              <w:rPr>
                <w:noProof/>
                <w:color w:val="196B24" w:themeColor="accent3"/>
              </w:rPr>
            </w:pPr>
            <w:r>
              <w:rPr>
                <w:noProof/>
              </w:rPr>
              <w:t>introduire un régime de notification pour le raccordement au réseau sans exiger l'émission d'un avis par le gestionnaire de réseau de distribution.</w:t>
            </w:r>
          </w:p>
          <w:p w14:paraId="1CEBD7CC" w14:textId="77777777" w:rsidR="00F74E13" w:rsidRDefault="009274FC">
            <w:pPr>
              <w:pStyle w:val="P68B1DB1-ListParagraph39"/>
              <w:numPr>
                <w:ilvl w:val="0"/>
                <w:numId w:val="38"/>
              </w:numPr>
              <w:spacing w:line="240" w:lineRule="auto"/>
              <w:jc w:val="both"/>
              <w:rPr>
                <w:rFonts w:ascii="Times New Roman" w:hAnsi="Times New Roman"/>
                <w:noProof/>
              </w:rPr>
            </w:pPr>
            <w:r>
              <w:rPr>
                <w:rFonts w:ascii="Times New Roman" w:hAnsi="Times New Roman"/>
                <w:noProof/>
              </w:rPr>
              <w:t xml:space="preserve">suppression progressive des </w:t>
            </w:r>
            <w:r>
              <w:rPr>
                <w:rFonts w:ascii="Times New Roman" w:hAnsi="Times New Roman" w:cs="Times New Roman"/>
                <w:noProof/>
                <w:szCs w:val="20"/>
              </w:rPr>
              <w:t>obligations</w:t>
            </w:r>
            <w:r>
              <w:rPr>
                <w:rFonts w:ascii="Times New Roman" w:hAnsi="Times New Roman"/>
                <w:noProof/>
              </w:rPr>
              <w:t xml:space="preserve"> de déclaration des droits d’accise pour l’autoproduction</w:t>
            </w:r>
            <w:r>
              <w:rPr>
                <w:rFonts w:ascii="Times New Roman" w:eastAsiaTheme="minorHAnsi" w:hAnsi="Times New Roman" w:cs="Times New Roman"/>
                <w:noProof/>
                <w:szCs w:val="20"/>
              </w:rPr>
              <w:t xml:space="preserve"> et d’enregistrement</w:t>
            </w:r>
            <w:r>
              <w:rPr>
                <w:rFonts w:ascii="Times New Roman" w:hAnsi="Times New Roman"/>
                <w:noProof/>
              </w:rPr>
              <w:t xml:space="preserve"> d’un entrepôt fiscal.</w:t>
            </w:r>
            <w:r>
              <w:rPr>
                <w:rFonts w:ascii="Times New Roman" w:hAnsi="Times New Roman" w:cs="Times New Roman"/>
                <w:noProof/>
                <w:szCs w:val="20"/>
              </w:rPr>
              <w:t xml:space="preserve"> </w:t>
            </w:r>
          </w:p>
        </w:tc>
      </w:tr>
      <w:tr w:rsidR="00F74E13" w14:paraId="1CEBD7E0"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7CE" w14:textId="77777777" w:rsidR="00F74E13" w:rsidRDefault="009274FC">
            <w:pPr>
              <w:pStyle w:val="P68B1DB1-Normal15"/>
              <w:spacing w:after="0" w:line="240" w:lineRule="auto"/>
              <w:jc w:val="center"/>
              <w:rPr>
                <w:noProof/>
              </w:rPr>
            </w:pPr>
            <w:r>
              <w:rPr>
                <w:noProof/>
              </w:rPr>
              <w:t>96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CF" w14:textId="77777777" w:rsidR="00F74E13" w:rsidRDefault="009274FC">
            <w:pPr>
              <w:pStyle w:val="P68B1DB1-Normal15"/>
              <w:spacing w:after="0" w:line="240" w:lineRule="auto"/>
              <w:rPr>
                <w:noProof/>
              </w:rPr>
            </w:pPr>
            <w:r>
              <w:rPr>
                <w:noProof/>
              </w:rPr>
              <w:t xml:space="preserve">C4.R6: </w:t>
            </w:r>
          </w:p>
          <w:p w14:paraId="1CEBD7D0" w14:textId="77777777" w:rsidR="00F74E13" w:rsidRDefault="009274FC">
            <w:pPr>
              <w:pStyle w:val="P68B1DB1-Normal15"/>
              <w:spacing w:after="0" w:line="240" w:lineRule="auto"/>
              <w:rPr>
                <w:noProof/>
              </w:rPr>
            </w:pPr>
            <w:r>
              <w:rPr>
                <w:noProof/>
              </w:rPr>
              <w:t>Accroître la production d'électricité à partir de sources renouvelables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7D1" w14:textId="77777777" w:rsidR="00F74E13" w:rsidRDefault="009274FC">
            <w:pPr>
              <w:pStyle w:val="P68B1DB1-Normal15"/>
              <w:spacing w:after="0"/>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D2" w14:textId="77777777" w:rsidR="00F74E13" w:rsidRDefault="009274FC">
            <w:pPr>
              <w:pStyle w:val="P68B1DB1-Normal13"/>
              <w:spacing w:after="0" w:line="240" w:lineRule="auto"/>
              <w:rPr>
                <w:noProof/>
              </w:rPr>
            </w:pPr>
            <w:r>
              <w:rPr>
                <w:noProof/>
              </w:rPr>
              <w:t xml:space="preserve">Entrée en vigueur du ou des actes juridiques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D3"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Disposition indiquant l’entrée en vigueur d’un </w:t>
            </w:r>
            <w:r>
              <w:rPr>
                <w:rFonts w:ascii="Times New Roman" w:hAnsi="Times New Roman" w:cs="Times New Roman"/>
                <w:noProof/>
                <w:szCs w:val="20"/>
              </w:rPr>
              <w:t>ou de plusieurs 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4" w14:textId="77777777" w:rsidR="00F74E13" w:rsidRDefault="00F74E13">
            <w:pPr>
              <w:spacing w:after="0"/>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5" w14:textId="77777777" w:rsidR="00F74E13" w:rsidRDefault="00F74E13">
            <w:pPr>
              <w:spacing w:after="0"/>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D6" w14:textId="77777777" w:rsidR="00F74E13" w:rsidRDefault="00F74E13">
            <w:pPr>
              <w:spacing w:after="0"/>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7" w14:textId="77777777" w:rsidR="00F74E13" w:rsidRDefault="009274FC">
            <w:pPr>
              <w:pStyle w:val="P68B1DB1-Normal15"/>
              <w:spacing w:after="0"/>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D8" w14:textId="77777777" w:rsidR="00F74E13" w:rsidRDefault="009274FC">
            <w:pPr>
              <w:pStyle w:val="P68B1DB1-Normal12"/>
              <w:spacing w:after="0"/>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7D9" w14:textId="47C3D456" w:rsidR="00F74E13" w:rsidRDefault="009274FC">
            <w:pPr>
              <w:pStyle w:val="P68B1DB1-Normal12"/>
              <w:spacing w:line="240" w:lineRule="auto"/>
              <w:jc w:val="both"/>
              <w:rPr>
                <w:noProof/>
              </w:rPr>
            </w:pPr>
            <w:r>
              <w:rPr>
                <w:noProof/>
              </w:rPr>
              <w:t>Entrée en vigueur du ou des actes juridiques, qui prévoient: </w:t>
            </w:r>
          </w:p>
          <w:p w14:paraId="1CEBD7DA" w14:textId="03E9758A" w:rsidR="00F74E13" w:rsidRDefault="009274FC">
            <w:pPr>
              <w:pStyle w:val="P68B1DB1-Normal12"/>
              <w:spacing w:line="240" w:lineRule="auto"/>
              <w:jc w:val="both"/>
              <w:rPr>
                <w:noProof/>
              </w:rPr>
            </w:pPr>
            <w:r>
              <w:rPr>
                <w:noProof/>
              </w:rPr>
              <w:t>1.l’adoption d’un plan désignant une ou plusieurs zones prioritaires pour l’éolien terrestre, recensant conjointement au moins 2 GW de potentiel de déploiement agrégé pour la production d’énergie éolienne terrestre. Parmi la (les) zone(s) prioritaire(s) désignée(s) par le plan, il y a une (des) zone(s) ayant accès au réseau de transport existant; </w:t>
            </w:r>
          </w:p>
          <w:p w14:paraId="1CEBD7DB" w14:textId="1599DBF4" w:rsidR="00F74E13" w:rsidRDefault="009274FC">
            <w:pPr>
              <w:pStyle w:val="P68B1DB1-Normal12"/>
              <w:spacing w:line="240" w:lineRule="auto"/>
              <w:jc w:val="both"/>
              <w:rPr>
                <w:noProof/>
              </w:rPr>
            </w:pPr>
            <w:r>
              <w:rPr>
                <w:noProof/>
              </w:rPr>
              <w:t>2. la prolongation de la période de validité de l'avis sur les conditions et la méthode de raccordement d'une installation de production d'électricité à partir de l'énergie éolienne;</w:t>
            </w:r>
          </w:p>
          <w:p w14:paraId="1CEBD7DC" w14:textId="6F25171C" w:rsidR="00F74E13" w:rsidRDefault="009274FC">
            <w:pPr>
              <w:pStyle w:val="P68B1DB1-Normal12"/>
              <w:spacing w:line="240" w:lineRule="auto"/>
              <w:jc w:val="both"/>
              <w:rPr>
                <w:noProof/>
              </w:rPr>
            </w:pPr>
            <w:r>
              <w:rPr>
                <w:noProof/>
              </w:rPr>
              <w:t>3. la connexion des sites de production d'électricité avec l'utilisation conjointe de la capacité de transport; </w:t>
            </w:r>
          </w:p>
          <w:p w14:paraId="1CEBD7DD" w14:textId="34E870F9" w:rsidR="00F74E13" w:rsidRDefault="009274FC">
            <w:pPr>
              <w:pStyle w:val="P68B1DB1-Normal12"/>
              <w:spacing w:line="240" w:lineRule="auto"/>
              <w:jc w:val="both"/>
              <w:rPr>
                <w:noProof/>
              </w:rPr>
            </w:pPr>
            <w:r>
              <w:rPr>
                <w:noProof/>
              </w:rPr>
              <w:t>4. un régime réglementaire simplifié pour les exploitants d'un réseau fermé de distribution d'électricité qui distribuent de l'électricité entre des sites énergétiques ayant une activité intégrée; </w:t>
            </w:r>
          </w:p>
          <w:p w14:paraId="1CEBD7DE" w14:textId="2E4EE9E1" w:rsidR="00F74E13" w:rsidRDefault="009274FC">
            <w:pPr>
              <w:pStyle w:val="P68B1DB1-Normal12"/>
              <w:spacing w:line="240" w:lineRule="auto"/>
              <w:jc w:val="both"/>
              <w:rPr>
                <w:noProof/>
              </w:rPr>
            </w:pPr>
            <w:r>
              <w:rPr>
                <w:noProof/>
              </w:rPr>
              <w:t>5. l'adoption d'une méthode de calcul des quantités d'électricité produites, allouées à la consommation et vendues pour les installations des clients actifs, des communautés énergétiques citoyennes, des consommateurs d'électricité autoproduite à partir de sources renouvelables et des communautés d'énergie renouvelable.</w:t>
            </w:r>
          </w:p>
          <w:p w14:paraId="1CEBD7DF" w14:textId="23ABFDA1" w:rsidR="00F74E13" w:rsidRDefault="009274FC">
            <w:pPr>
              <w:pStyle w:val="P68B1DB1-Normal12"/>
              <w:spacing w:line="240" w:lineRule="auto"/>
              <w:jc w:val="both"/>
              <w:rPr>
                <w:noProof/>
              </w:rPr>
            </w:pPr>
            <w:r>
              <w:rPr>
                <w:noProof/>
              </w:rPr>
              <w:t>6. la modification des règles relatives au commerce de l'électricité en ce qui concerne la participation au marché de l'électricité de clients actifs, de communautés énergétiques citoyennes, de consommateurs d'électricité propre produite à partir de sources renouvelables et de communautés d'énergie renouvelable.</w:t>
            </w:r>
          </w:p>
        </w:tc>
      </w:tr>
      <w:tr w:rsidR="00F74E13" w14:paraId="1CEBD7ED"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1" w14:textId="77777777" w:rsidR="00F74E13" w:rsidRDefault="009274FC">
            <w:pPr>
              <w:pStyle w:val="P68B1DB1-Normal15"/>
              <w:spacing w:after="0" w:line="240" w:lineRule="auto"/>
              <w:jc w:val="center"/>
              <w:rPr>
                <w:noProof/>
              </w:rPr>
            </w:pPr>
            <w:r>
              <w:rPr>
                <w:noProof/>
              </w:rPr>
              <w:t>97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2" w14:textId="77777777" w:rsidR="00F74E13" w:rsidRDefault="009274FC">
            <w:pPr>
              <w:pStyle w:val="P68B1DB1-Normal15"/>
              <w:spacing w:after="0" w:line="240" w:lineRule="auto"/>
              <w:rPr>
                <w:noProof/>
              </w:rPr>
            </w:pPr>
            <w:r>
              <w:rPr>
                <w:noProof/>
              </w:rPr>
              <w:t xml:space="preserve">C4.I8: </w:t>
            </w:r>
          </w:p>
          <w:p w14:paraId="1CEBD7E3" w14:textId="77777777" w:rsidR="00F74E13" w:rsidRDefault="009274FC">
            <w:pPr>
              <w:pStyle w:val="P68B1DB1-Normal15"/>
              <w:spacing w:after="0" w:line="240" w:lineRule="auto"/>
              <w:rPr>
                <w:noProof/>
              </w:rPr>
            </w:pPr>
            <w:r>
              <w:rPr>
                <w:noProof/>
              </w:rPr>
              <w:t>Infrastructure nationale de stockage de l'électricité (RESTORE)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4"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5" w14:textId="77777777" w:rsidR="00F74E13" w:rsidRDefault="009274FC">
            <w:pPr>
              <w:pStyle w:val="P68B1DB1-Normal15"/>
              <w:spacing w:after="0" w:line="240" w:lineRule="auto"/>
              <w:rPr>
                <w:noProof/>
              </w:rPr>
            </w:pPr>
            <w:r>
              <w:rPr>
                <w:noProof/>
              </w:rPr>
              <w:t>Modification du cadre législatif national visant à soutenir le déploiement rapide du stockage de l’électricité</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6" w14:textId="77777777" w:rsidR="00F74E13" w:rsidRDefault="009274FC">
            <w:pPr>
              <w:pStyle w:val="P68B1DB1-Normal15"/>
              <w:spacing w:after="0" w:line="240" w:lineRule="auto"/>
              <w:rPr>
                <w:noProof/>
              </w:rPr>
            </w:pPr>
            <w:r>
              <w:rPr>
                <w:noProof/>
              </w:rPr>
              <w:t>Disposition de la loi indiquant l'entrée en vigueur des modifications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7"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8"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9"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A"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B"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C" w14:textId="77777777" w:rsidR="00F74E13" w:rsidRDefault="009274FC">
            <w:pPr>
              <w:pStyle w:val="P68B1DB1-Normal15"/>
              <w:spacing w:after="0" w:line="240" w:lineRule="auto"/>
              <w:jc w:val="both"/>
              <w:rPr>
                <w:noProof/>
              </w:rPr>
            </w:pPr>
            <w:r>
              <w:rPr>
                <w:noProof/>
              </w:rPr>
              <w:t>Les modifications du droit primaire ou dérivé applicable éliminent les obstacles, introduisent un cadre réglementaire et de soutien spécifique pour la construction, le raccordement et l’exploitation d’installations de stockage d’électricité.</w:t>
            </w:r>
          </w:p>
        </w:tc>
      </w:tr>
      <w:tr w:rsidR="00F74E13" w14:paraId="1CEBD7FD"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7EE" w14:textId="77777777" w:rsidR="00F74E13" w:rsidRDefault="009274FC">
            <w:pPr>
              <w:pStyle w:val="P68B1DB1-Normal15"/>
              <w:spacing w:after="0" w:line="240" w:lineRule="auto"/>
              <w:jc w:val="center"/>
              <w:rPr>
                <w:noProof/>
              </w:rPr>
            </w:pPr>
            <w:r>
              <w:rPr>
                <w:noProof/>
              </w:rPr>
              <w:t>105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EF" w14:textId="77777777" w:rsidR="00F74E13" w:rsidRDefault="009274FC">
            <w:pPr>
              <w:pStyle w:val="P68B1DB1-Normal15"/>
              <w:spacing w:after="0" w:line="240" w:lineRule="auto"/>
              <w:rPr>
                <w:noProof/>
              </w:rPr>
            </w:pPr>
            <w:r>
              <w:rPr>
                <w:noProof/>
              </w:rPr>
              <w:t xml:space="preserve">C4.I7: </w:t>
            </w:r>
          </w:p>
          <w:p w14:paraId="1CEBD7F0"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7F1"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F2"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d'actes </w:t>
            </w:r>
            <w:r>
              <w:rPr>
                <w:rFonts w:ascii="Times New Roman" w:hAnsi="Times New Roman" w:cs="Times New Roman"/>
                <w:noProof/>
                <w:szCs w:val="20"/>
              </w:rPr>
              <w:t>juridiques concernant</w:t>
            </w:r>
            <w:r>
              <w:rPr>
                <w:rFonts w:ascii="Times New Roman" w:hAnsi="Times New Roman"/>
                <w:noProof/>
              </w:rPr>
              <w:t xml:space="preserve"> l'utilisation d'énergies </w:t>
            </w:r>
            <w:r>
              <w:rPr>
                <w:rFonts w:ascii="Times New Roman" w:hAnsi="Times New Roman" w:cs="Times New Roman"/>
                <w:noProof/>
                <w:szCs w:val="20"/>
              </w:rPr>
              <w:t xml:space="preserve">renouvelables provenant de </w:t>
            </w:r>
            <w:r>
              <w:rPr>
                <w:rFonts w:ascii="Times New Roman" w:hAnsi="Times New Roman"/>
                <w:noProof/>
              </w:rPr>
              <w:t xml:space="preserve"> </w:t>
            </w:r>
            <w:r>
              <w:rPr>
                <w:rFonts w:ascii="Times New Roman" w:hAnsi="Times New Roman" w:cs="Times New Roman"/>
                <w:noProof/>
                <w:szCs w:val="20"/>
              </w:rPr>
              <w:t>sources</w:t>
            </w:r>
            <w:r>
              <w:rPr>
                <w:rFonts w:ascii="Times New Roman" w:hAnsi="Times New Roman"/>
                <w:noProof/>
              </w:rPr>
              <w:t xml:space="preserve"> géothermiques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F3"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Dispositions indiquant</w:t>
            </w:r>
            <w:r>
              <w:rPr>
                <w:rFonts w:ascii="Times New Roman" w:hAnsi="Times New Roman"/>
                <w:noProof/>
              </w:rPr>
              <w:t xml:space="preserve"> l'entrée en vigueur des </w:t>
            </w:r>
            <w:r>
              <w:rPr>
                <w:rFonts w:ascii="Times New Roman" w:hAnsi="Times New Roman" w:cs="Times New Roman"/>
                <w:noProof/>
                <w:szCs w:val="20"/>
              </w:rPr>
              <w:t>actes juridiques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5"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F6"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7"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F8"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7F9" w14:textId="77777777" w:rsidR="00F74E13" w:rsidRDefault="009274FC">
            <w:pPr>
              <w:pStyle w:val="P68B1DB1-Normal12"/>
              <w:spacing w:after="0" w:line="240" w:lineRule="auto"/>
              <w:jc w:val="both"/>
              <w:rPr>
                <w:noProof/>
              </w:rPr>
            </w:pPr>
            <w:r>
              <w:rPr>
                <w:noProof/>
              </w:rPr>
              <w:t xml:space="preserve">Les actes juridiques: </w:t>
            </w:r>
          </w:p>
          <w:p w14:paraId="1CEBD7FA" w14:textId="77777777" w:rsidR="00F74E13" w:rsidRDefault="009274FC">
            <w:pPr>
              <w:pStyle w:val="P68B1DB1-ListParagraph16"/>
              <w:numPr>
                <w:ilvl w:val="0"/>
                <w:numId w:val="30"/>
              </w:numPr>
              <w:tabs>
                <w:tab w:val="clear" w:pos="720"/>
              </w:tabs>
              <w:spacing w:after="0" w:line="240" w:lineRule="auto"/>
              <w:ind w:left="26"/>
              <w:jc w:val="both"/>
              <w:rPr>
                <w:noProof/>
              </w:rPr>
            </w:pPr>
            <w:r>
              <w:rPr>
                <w:noProof/>
              </w:rPr>
              <w:t xml:space="preserve">1. supprimer les principaux obstacles recensés dans la feuille de route pour le développement de l'énergie géothermique en tant que source d'énergie renouvelable; </w:t>
            </w:r>
          </w:p>
          <w:p w14:paraId="1CEBD7FB" w14:textId="77777777" w:rsidR="00F74E13" w:rsidRDefault="009274FC">
            <w:pPr>
              <w:pStyle w:val="P68B1DB1-ListParagraph16"/>
              <w:numPr>
                <w:ilvl w:val="0"/>
                <w:numId w:val="30"/>
              </w:numPr>
              <w:tabs>
                <w:tab w:val="clear" w:pos="720"/>
              </w:tabs>
              <w:spacing w:after="0" w:line="240" w:lineRule="auto"/>
              <w:ind w:left="26"/>
              <w:jc w:val="both"/>
              <w:rPr>
                <w:noProof/>
              </w:rPr>
            </w:pPr>
            <w:r>
              <w:rPr>
                <w:noProof/>
              </w:rPr>
              <w:t>2. prévoir qu'il n'y a pas de pollution des eaux souterraines et des surfaces d'eau, tant dans les études sur l'énergie géothermique que pendant l'exploitation de l'installation;</w:t>
            </w:r>
          </w:p>
          <w:p w14:paraId="1CEBD7FC" w14:textId="77777777" w:rsidR="00F74E13" w:rsidRDefault="009274FC">
            <w:pPr>
              <w:pStyle w:val="P68B1DB1-ListParagraph37"/>
              <w:numPr>
                <w:ilvl w:val="0"/>
                <w:numId w:val="30"/>
              </w:numPr>
              <w:tabs>
                <w:tab w:val="clear" w:pos="720"/>
              </w:tabs>
              <w:spacing w:after="0" w:line="240" w:lineRule="auto"/>
              <w:ind w:left="26"/>
              <w:jc w:val="both"/>
              <w:rPr>
                <w:rFonts w:ascii="Times New Roman" w:hAnsi="Times New Roman"/>
                <w:noProof/>
              </w:rPr>
            </w:pPr>
            <w:r>
              <w:rPr>
                <w:rFonts w:ascii="Times New Roman" w:hAnsi="Times New Roman" w:cs="Times New Roman"/>
                <w:noProof/>
                <w:szCs w:val="20"/>
              </w:rPr>
              <w:t xml:space="preserve">3. </w:t>
            </w:r>
            <w:r>
              <w:rPr>
                <w:rFonts w:ascii="Times New Roman" w:hAnsi="Times New Roman"/>
                <w:noProof/>
              </w:rPr>
              <w:t>réglementer l'utilisation de l'énergie géothermique comme ressource.</w:t>
            </w:r>
          </w:p>
        </w:tc>
      </w:tr>
      <w:tr w:rsidR="00F74E13" w14:paraId="1CEBD80C"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7FE" w14:textId="77777777" w:rsidR="00F74E13" w:rsidRDefault="009274FC">
            <w:pPr>
              <w:pStyle w:val="P68B1DB1-Normal35"/>
              <w:spacing w:after="0" w:line="240" w:lineRule="auto"/>
              <w:jc w:val="center"/>
              <w:rPr>
                <w:noProof/>
              </w:rPr>
            </w:pPr>
            <w:r>
              <w:rPr>
                <w:noProof/>
              </w:rPr>
              <w:t>106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FF" w14:textId="77777777" w:rsidR="00F74E13" w:rsidRDefault="009274FC">
            <w:pPr>
              <w:pStyle w:val="P68B1DB1-Normal15"/>
              <w:spacing w:after="0" w:line="240" w:lineRule="auto"/>
              <w:rPr>
                <w:noProof/>
              </w:rPr>
            </w:pPr>
            <w:r>
              <w:rPr>
                <w:noProof/>
              </w:rPr>
              <w:t xml:space="preserve">C4.I7: </w:t>
            </w:r>
          </w:p>
          <w:p w14:paraId="1CEBD800"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01"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02" w14:textId="77777777" w:rsidR="00F74E13" w:rsidRDefault="009274FC">
            <w:pPr>
              <w:pStyle w:val="P68B1DB1-Normal12"/>
              <w:spacing w:after="0" w:line="240" w:lineRule="auto"/>
              <w:rPr>
                <w:noProof/>
              </w:rPr>
            </w:pPr>
            <w:r>
              <w:rPr>
                <w:noProof/>
              </w:rPr>
              <w:t>Outil géothermique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03" w14:textId="77777777" w:rsidR="00F74E13" w:rsidRDefault="009274FC">
            <w:pPr>
              <w:pStyle w:val="P68B1DB1-Normal12"/>
              <w:spacing w:after="0" w:line="240" w:lineRule="auto"/>
              <w:rPr>
                <w:noProof/>
              </w:rPr>
            </w:pPr>
            <w:r>
              <w:rPr>
                <w:noProof/>
              </w:rPr>
              <w:t>Outil géothermique accessible en ligne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5"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06"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7" w14:textId="77777777" w:rsidR="00F74E13" w:rsidRDefault="009274FC">
            <w:pPr>
              <w:pStyle w:val="P68B1DB1-Normal1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08"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809" w14:textId="77777777" w:rsidR="00F74E13" w:rsidRDefault="009274FC">
            <w:pPr>
              <w:pStyle w:val="P68B1DB1-Normal12"/>
              <w:spacing w:after="0" w:line="240" w:lineRule="auto"/>
              <w:jc w:val="both"/>
              <w:rPr>
                <w:noProof/>
              </w:rPr>
            </w:pPr>
            <w:r>
              <w:rPr>
                <w:noProof/>
              </w:rPr>
              <w:t>L’outil doit permettre de calculer le coût actualisé de la chaleur géothermique en fonction de l’emplacement géographique et de la ou des caractéristiques thermiques.</w:t>
            </w:r>
          </w:p>
          <w:p w14:paraId="1CEBD80B" w14:textId="77777777" w:rsidR="00F74E13" w:rsidRDefault="009274FC">
            <w:pPr>
              <w:pStyle w:val="P68B1DB1-Normal13"/>
              <w:spacing w:before="120" w:after="0" w:line="240" w:lineRule="auto"/>
              <w:jc w:val="both"/>
              <w:rPr>
                <w:noProof/>
              </w:rPr>
            </w:pPr>
            <w:r>
              <w:rPr>
                <w:noProof/>
              </w:rPr>
              <w:t>L’outil est accessible en ligne.</w:t>
            </w:r>
          </w:p>
        </w:tc>
      </w:tr>
      <w:tr w:rsidR="00F74E13" w14:paraId="1CEBD821"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0D" w14:textId="77777777" w:rsidR="00F74E13" w:rsidRDefault="009274FC">
            <w:pPr>
              <w:pStyle w:val="P68B1DB1-Normal15"/>
              <w:spacing w:after="0" w:line="240" w:lineRule="auto"/>
              <w:jc w:val="center"/>
              <w:rPr>
                <w:noProof/>
              </w:rPr>
            </w:pPr>
            <w:r>
              <w:rPr>
                <w:noProof/>
              </w:rPr>
              <w:t>113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0E" w14:textId="77777777" w:rsidR="00F74E13" w:rsidRDefault="009274FC">
            <w:pPr>
              <w:pStyle w:val="P68B1DB1-Normal15"/>
              <w:spacing w:after="0" w:line="240" w:lineRule="auto"/>
              <w:rPr>
                <w:noProof/>
              </w:rPr>
            </w:pPr>
            <w:r>
              <w:rPr>
                <w:noProof/>
              </w:rPr>
              <w:t xml:space="preserve">C4.R9: </w:t>
            </w:r>
          </w:p>
          <w:p w14:paraId="1CEBD80F" w14:textId="77777777" w:rsidR="00F74E13" w:rsidRDefault="009274FC">
            <w:pPr>
              <w:pStyle w:val="P68B1DB1-Normal15"/>
              <w:spacing w:after="0" w:line="240" w:lineRule="auto"/>
              <w:rPr>
                <w:noProof/>
              </w:rPr>
            </w:pPr>
            <w:r>
              <w:rPr>
                <w:noProof/>
              </w:rPr>
              <w:t>Feuille de route pour la neutralité climatique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0"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1" w14:textId="77777777" w:rsidR="00F74E13" w:rsidRDefault="009274FC">
            <w:pPr>
              <w:pStyle w:val="P68B1DB1-Normal15"/>
              <w:spacing w:after="0" w:line="240" w:lineRule="auto"/>
              <w:rPr>
                <w:noProof/>
              </w:rPr>
            </w:pPr>
            <w:r>
              <w:rPr>
                <w:noProof/>
              </w:rPr>
              <w:t>Entrée en vigueur de la décision du gouvernement instituant la Commission pour la transition énergétique verte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2" w14:textId="77777777" w:rsidR="00F74E13" w:rsidRDefault="009274FC">
            <w:pPr>
              <w:pStyle w:val="P68B1DB1-Normal15"/>
              <w:spacing w:after="0" w:line="240" w:lineRule="auto"/>
              <w:rPr>
                <w:noProof/>
              </w:rPr>
            </w:pPr>
            <w:r>
              <w:rPr>
                <w:noProof/>
              </w:rPr>
              <w:t>Disposition de la décision du gouvernement indiquant l'entrée en vigueur de la décision du gouvernement et la création de la Commission de transition vers l'énergie verte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3"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4"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6"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7"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F4181DE" w14:textId="77777777" w:rsidR="00F74E13" w:rsidRDefault="009274FC">
            <w:pPr>
              <w:pStyle w:val="P68B1DB1-NormalWeb40"/>
              <w:jc w:val="both"/>
              <w:rPr>
                <w:noProof/>
              </w:rPr>
            </w:pPr>
            <w:r>
              <w:rPr>
                <w:noProof/>
              </w:rPr>
              <w:t>La décision du gouvernement institue la Commission et lui donne pour mandat d’élaborer des scénarios et des recommandations en vue d’une feuille de route pour la neutralité climatique.</w:t>
            </w:r>
          </w:p>
          <w:p w14:paraId="1CEBD819" w14:textId="7E26BD85" w:rsidR="00F74E13" w:rsidRDefault="009274FC">
            <w:pPr>
              <w:pStyle w:val="P68B1DB1-NormalWeb40"/>
              <w:spacing w:before="120" w:beforeAutospacing="0" w:after="0" w:afterAutospacing="0"/>
              <w:jc w:val="both"/>
              <w:rPr>
                <w:noProof/>
              </w:rPr>
            </w:pPr>
            <w:r>
              <w:rPr>
                <w:noProof/>
              </w:rPr>
              <w:t>La Commission est mise en place au niveau des experts avec une large participation des parties prenantes afin de garantir l’expertise, l’indépendance et le pluralisme.</w:t>
            </w:r>
          </w:p>
          <w:p w14:paraId="1CEBD81A" w14:textId="77777777" w:rsidR="00F74E13" w:rsidRDefault="009274FC">
            <w:pPr>
              <w:pStyle w:val="P68B1DB1-Normal15"/>
              <w:spacing w:after="0" w:line="240" w:lineRule="auto"/>
              <w:jc w:val="both"/>
              <w:rPr>
                <w:noProof/>
              </w:rPr>
            </w:pPr>
            <w:r>
              <w:rPr>
                <w:noProof/>
              </w:rPr>
              <w:t xml:space="preserve">Le rapport de scénario et les recommandations sont adressés au gouvernement et rendus publics. </w:t>
            </w:r>
          </w:p>
          <w:p w14:paraId="1CEBD81C" w14:textId="77777777" w:rsidR="00F74E13" w:rsidRDefault="009274FC">
            <w:pPr>
              <w:pStyle w:val="P68B1DB1-Normal15"/>
              <w:spacing w:before="120" w:after="0" w:line="240" w:lineRule="auto"/>
              <w:jc w:val="both"/>
              <w:rPr>
                <w:noProof/>
              </w:rPr>
            </w:pPr>
            <w:r>
              <w:rPr>
                <w:noProof/>
              </w:rPr>
              <w:t>Les scénarios et recommandations élaborés comprennent des mesures visant à achever l’élimination progressive du charbon/lignite dès que possible et au plus tard en 2038.</w:t>
            </w:r>
          </w:p>
          <w:p w14:paraId="1CEBD81E" w14:textId="77777777" w:rsidR="00F74E13" w:rsidRDefault="009274FC">
            <w:pPr>
              <w:pStyle w:val="P68B1DB1-Normal15"/>
              <w:spacing w:before="120" w:after="0" w:line="240" w:lineRule="auto"/>
              <w:jc w:val="both"/>
              <w:rPr>
                <w:noProof/>
              </w:rPr>
            </w:pPr>
            <w:r>
              <w:rPr>
                <w:noProof/>
              </w:rPr>
              <w:t>L’élaboration des scénarios et du rapport devrait contribuer à la finalisation en temps utile des plans territoriaux de transition juste pour les régions charbonnières.</w:t>
            </w:r>
          </w:p>
          <w:p w14:paraId="1CEBD820" w14:textId="77777777" w:rsidR="00F74E13" w:rsidRDefault="009274FC">
            <w:pPr>
              <w:pStyle w:val="P68B1DB1-Normal15"/>
              <w:spacing w:before="120" w:after="0" w:line="240" w:lineRule="auto"/>
              <w:jc w:val="both"/>
              <w:rPr>
                <w:noProof/>
              </w:rPr>
            </w:pPr>
            <w:r>
              <w:rPr>
                <w:noProof/>
              </w:rPr>
              <w:t xml:space="preserve">La Commission évalue différents scénarios pour l’élimination progressive du charbon/lignite, y compris pour une élimination accélérée devant être achevée d’ici à 2030, conformément aux États membres voisins comparables. </w:t>
            </w:r>
          </w:p>
        </w:tc>
      </w:tr>
      <w:tr w:rsidR="00F74E13" w14:paraId="1CEBD82F"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2" w14:textId="77777777" w:rsidR="00F74E13" w:rsidRDefault="009274FC">
            <w:pPr>
              <w:pStyle w:val="P68B1DB1-Normal15"/>
              <w:spacing w:after="0" w:line="240" w:lineRule="auto"/>
              <w:jc w:val="center"/>
              <w:rPr>
                <w:noProof/>
              </w:rPr>
            </w:pPr>
            <w:r>
              <w:rPr>
                <w:noProof/>
              </w:rPr>
              <w:t>114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3" w14:textId="77777777" w:rsidR="00F74E13" w:rsidRDefault="009274FC">
            <w:pPr>
              <w:pStyle w:val="P68B1DB1-Normal15"/>
              <w:spacing w:after="0" w:line="240" w:lineRule="auto"/>
              <w:rPr>
                <w:noProof/>
              </w:rPr>
            </w:pPr>
            <w:r>
              <w:rPr>
                <w:noProof/>
              </w:rPr>
              <w:t xml:space="preserve">C4.R9: </w:t>
            </w:r>
          </w:p>
          <w:p w14:paraId="1CEBD824" w14:textId="77777777" w:rsidR="00F74E13" w:rsidRDefault="009274FC">
            <w:pPr>
              <w:pStyle w:val="P68B1DB1-Normal15"/>
              <w:spacing w:after="0" w:line="240" w:lineRule="auto"/>
              <w:rPr>
                <w:noProof/>
              </w:rPr>
            </w:pPr>
            <w:r>
              <w:rPr>
                <w:noProof/>
              </w:rPr>
              <w:t>Feuille de route pour la neutralité climatique</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5"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6"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Adoption</w:t>
            </w:r>
            <w:r>
              <w:rPr>
                <w:rFonts w:ascii="Times New Roman" w:hAnsi="Times New Roman"/>
                <w:noProof/>
              </w:rPr>
              <w:t xml:space="preserve"> par le </w:t>
            </w:r>
            <w:r>
              <w:rPr>
                <w:rFonts w:ascii="Times New Roman" w:hAnsi="Times New Roman" w:cs="Times New Roman"/>
                <w:noProof/>
                <w:szCs w:val="20"/>
              </w:rPr>
              <w:t>Conseil des ministres</w:t>
            </w:r>
            <w:r>
              <w:rPr>
                <w:rFonts w:ascii="Times New Roman" w:hAnsi="Times New Roman"/>
                <w:noProof/>
              </w:rPr>
              <w:t xml:space="preserve"> d'une </w:t>
            </w:r>
            <w:r>
              <w:rPr>
                <w:rFonts w:ascii="Times New Roman" w:hAnsi="Times New Roman" w:cs="Times New Roman"/>
                <w:noProof/>
                <w:szCs w:val="20"/>
              </w:rPr>
              <w:t xml:space="preserve">décision relative à une </w:t>
            </w:r>
            <w:r>
              <w:rPr>
                <w:rFonts w:ascii="Times New Roman" w:hAnsi="Times New Roman"/>
                <w:noProof/>
              </w:rPr>
              <w:t>feuille de route pour la neutralité climatique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7" w14:textId="77777777"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Décision du Conseil des ministres</w:t>
            </w:r>
            <w:r>
              <w:rPr>
                <w:rFonts w:ascii="Times New Roman" w:hAnsi="Times New Roman"/>
                <w:noProof/>
              </w:rPr>
              <w:t xml:space="preserve"> adoptée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8"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9"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A"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B" w14:textId="77777777" w:rsidR="00F74E13" w:rsidRDefault="009274FC">
            <w:pPr>
              <w:pStyle w:val="P68B1DB1-Normal1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C" w14:textId="77777777" w:rsidR="00F74E13" w:rsidRDefault="009274FC">
            <w:pPr>
              <w:pStyle w:val="P68B1DB1-Normal15"/>
              <w:spacing w:after="0" w:line="240" w:lineRule="auto"/>
              <w:jc w:val="center"/>
              <w:rPr>
                <w:noProof/>
              </w:rPr>
            </w:pPr>
            <w:r>
              <w:rPr>
                <w:noProof/>
              </w:rPr>
              <w:t>2022</w:t>
            </w:r>
          </w:p>
        </w:tc>
        <w:tc>
          <w:tcPr>
            <w:tcW w:w="425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D" w14:textId="77777777"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noProof/>
              </w:rPr>
              <w:t xml:space="preserve">Le </w:t>
            </w:r>
            <w:r>
              <w:rPr>
                <w:rFonts w:ascii="Times New Roman" w:hAnsi="Times New Roman" w:cs="Times New Roman"/>
                <w:noProof/>
                <w:szCs w:val="20"/>
              </w:rPr>
              <w:t>Conseil</w:t>
            </w:r>
            <w:r>
              <w:rPr>
                <w:rFonts w:ascii="Times New Roman" w:hAnsi="Times New Roman"/>
                <w:noProof/>
              </w:rPr>
              <w:t xml:space="preserve"> des </w:t>
            </w:r>
            <w:r>
              <w:rPr>
                <w:rFonts w:ascii="Times New Roman" w:hAnsi="Times New Roman" w:cs="Times New Roman"/>
                <w:noProof/>
                <w:szCs w:val="20"/>
              </w:rPr>
              <w:t>ministres</w:t>
            </w:r>
            <w:r>
              <w:rPr>
                <w:rFonts w:ascii="Times New Roman" w:hAnsi="Times New Roman"/>
                <w:noProof/>
              </w:rPr>
              <w:t xml:space="preserve"> adopte une </w:t>
            </w:r>
            <w:r>
              <w:rPr>
                <w:rFonts w:ascii="Times New Roman" w:hAnsi="Times New Roman" w:cs="Times New Roman"/>
                <w:noProof/>
                <w:szCs w:val="20"/>
              </w:rPr>
              <w:t xml:space="preserve">décision relative à </w:t>
            </w:r>
            <w:r>
              <w:rPr>
                <w:rFonts w:ascii="Times New Roman" w:hAnsi="Times New Roman"/>
                <w:noProof/>
              </w:rPr>
              <w:t xml:space="preserve">une feuille de route pour la </w:t>
            </w:r>
            <w:r>
              <w:rPr>
                <w:rFonts w:ascii="Times New Roman" w:hAnsi="Times New Roman" w:cs="Times New Roman"/>
                <w:noProof/>
                <w:szCs w:val="20"/>
              </w:rPr>
              <w:t xml:space="preserve">neutralité climatique. </w:t>
            </w:r>
          </w:p>
          <w:p w14:paraId="1CEBD82E"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cs="Times New Roman"/>
                <w:noProof/>
                <w:szCs w:val="20"/>
              </w:rPr>
              <w:t>La feuille de route</w:t>
            </w:r>
            <w:r>
              <w:rPr>
                <w:rFonts w:ascii="Times New Roman" w:hAnsi="Times New Roman"/>
                <w:noProof/>
              </w:rPr>
              <w:t xml:space="preserve"> fixe la date finale de la suppression progressive du charbon/lignite </w:t>
            </w:r>
            <w:r>
              <w:rPr>
                <w:rFonts w:ascii="Times New Roman" w:hAnsi="Times New Roman" w:cs="Times New Roman"/>
                <w:noProof/>
                <w:szCs w:val="20"/>
              </w:rPr>
              <w:t xml:space="preserve">au plus tard en 2038, </w:t>
            </w:r>
            <w:r>
              <w:rPr>
                <w:rFonts w:ascii="Times New Roman" w:hAnsi="Times New Roman"/>
                <w:noProof/>
              </w:rPr>
              <w:t>comme indiqué dans l’un des scénarios élaborés par la commission de la transition énergétique</w:t>
            </w:r>
            <w:r>
              <w:rPr>
                <w:rFonts w:ascii="Times New Roman" w:hAnsi="Times New Roman" w:cs="Times New Roman"/>
                <w:noProof/>
                <w:szCs w:val="20"/>
              </w:rPr>
              <w:t xml:space="preserve"> dans son rapport assorti de scénarios et de recommandations.</w:t>
            </w:r>
          </w:p>
        </w:tc>
      </w:tr>
      <w:tr w:rsidR="00F74E13" w14:paraId="1CEBD842"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30" w14:textId="77777777" w:rsidR="00F74E13" w:rsidRDefault="009274FC">
            <w:pPr>
              <w:pStyle w:val="P68B1DB1-Normal15"/>
              <w:spacing w:after="0" w:line="240" w:lineRule="auto"/>
              <w:jc w:val="center"/>
              <w:rPr>
                <w:noProof/>
              </w:rPr>
            </w:pPr>
            <w:r>
              <w:rPr>
                <w:noProof/>
              </w:rPr>
              <w:t>115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31" w14:textId="77777777" w:rsidR="00F74E13" w:rsidRDefault="009274FC">
            <w:pPr>
              <w:pStyle w:val="P68B1DB1-Normal15"/>
              <w:spacing w:after="0" w:line="240" w:lineRule="auto"/>
              <w:rPr>
                <w:noProof/>
              </w:rPr>
            </w:pPr>
            <w:r>
              <w:rPr>
                <w:noProof/>
              </w:rPr>
              <w:t>C4.R10: Décarbonation du secteur de l’énergie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32"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33" w14:textId="77777777" w:rsidR="00F74E13" w:rsidRDefault="009274FC">
            <w:pPr>
              <w:pStyle w:val="P68B1DB1-Normal15"/>
              <w:spacing w:line="240" w:lineRule="auto"/>
              <w:rPr>
                <w:noProof/>
              </w:rPr>
            </w:pPr>
            <w:r>
              <w:rPr>
                <w:noProof/>
              </w:rPr>
              <w:t>Entrée en vigueur d’un ou de plusieurs actes juridiques instaurant un plafond d’émissions de CO2 pour les centrales électriques au lignite et au charbon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34" w14:textId="77777777" w:rsidR="00F74E13" w:rsidRDefault="009274FC">
            <w:pPr>
              <w:pStyle w:val="P68B1DB1-Normal15"/>
              <w:spacing w:after="0" w:line="240" w:lineRule="auto"/>
              <w:rPr>
                <w:noProof/>
              </w:rPr>
            </w:pPr>
            <w:r>
              <w:rPr>
                <w:noProof/>
              </w:rPr>
              <w:t>Disposition du ou des actes juridiques indiquant l’entrée en vigueur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5"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37"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8"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39" w14:textId="77777777" w:rsidR="00F74E13" w:rsidRDefault="009274FC">
            <w:pPr>
              <w:pStyle w:val="P68B1DB1-Normal15"/>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83A" w14:textId="77777777" w:rsidR="00F74E13" w:rsidRDefault="009274FC">
            <w:pPr>
              <w:pStyle w:val="P68B1DB1-Normal22"/>
              <w:spacing w:after="0"/>
              <w:jc w:val="both"/>
              <w:rPr>
                <w:rFonts w:ascii="Times New Roman" w:hAnsi="Times New Roman"/>
                <w:noProof/>
              </w:rPr>
            </w:pPr>
            <w:r>
              <w:rPr>
                <w:rFonts w:ascii="Times New Roman" w:hAnsi="Times New Roman"/>
                <w:noProof/>
              </w:rPr>
              <w:t>Entrée en vigueur du ou des actes juridiques</w:t>
            </w:r>
            <w:r>
              <w:rPr>
                <w:rFonts w:ascii="Times New Roman" w:hAnsi="Times New Roman" w:cs="Times New Roman"/>
                <w:noProof/>
                <w:szCs w:val="20"/>
              </w:rPr>
              <w:t xml:space="preserve"> qui: </w:t>
            </w:r>
          </w:p>
          <w:p w14:paraId="1CEBD83B" w14:textId="77777777" w:rsidR="00F74E13" w:rsidRDefault="009274FC">
            <w:pPr>
              <w:pStyle w:val="P68B1DB1-ListParagraph16"/>
              <w:numPr>
                <w:ilvl w:val="0"/>
                <w:numId w:val="39"/>
              </w:numPr>
              <w:spacing w:after="0" w:line="259" w:lineRule="auto"/>
              <w:ind w:left="309"/>
              <w:jc w:val="both"/>
              <w:rPr>
                <w:noProof/>
              </w:rPr>
            </w:pPr>
            <w:r>
              <w:rPr>
                <w:noProof/>
              </w:rPr>
              <w:t>comprennent une interdiction de construire et d’exploiter de nouvelles installations de production d’électricité à partir de charbon ou de lignite; et</w:t>
            </w:r>
          </w:p>
          <w:p w14:paraId="1CEBD83C" w14:textId="77777777" w:rsidR="00F74E13" w:rsidRDefault="009274FC">
            <w:pPr>
              <w:pStyle w:val="ListParagraph"/>
              <w:numPr>
                <w:ilvl w:val="0"/>
                <w:numId w:val="39"/>
              </w:numPr>
              <w:spacing w:after="0" w:line="240" w:lineRule="auto"/>
              <w:ind w:left="306" w:hanging="357"/>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fixer une limite globale à la quantité annuelle d’émissions de dioxyde de carbone (CO2) pour les centrales électriques existantes alimentées au charbon et au lignite («plafond d’émission»). Le plafond d’émission est applicable à partir du 1er janvier 2026. Le plafond d'émission exige que les émissions annuelles de toutes les centrales électriques au lignite et au charbon existantes ne dépassent pas cumulativement 10</w:t>
            </w:r>
            <w:r>
              <w:rPr>
                <w:rFonts w:ascii="Times New Roman" w:eastAsia="Calibri" w:hAnsi="Times New Roman" w:cs="Times New Roman"/>
                <w:noProof/>
              </w:rPr>
              <w:t> </w:t>
            </w:r>
            <w:r>
              <w:rPr>
                <w:rFonts w:ascii="Times New Roman" w:hAnsi="Times New Roman" w:cs="Times New Roman"/>
                <w:noProof/>
                <w:color w:val="006100"/>
                <w:sz w:val="20"/>
                <w:szCs w:val="20"/>
              </w:rPr>
              <w:t>983</w:t>
            </w:r>
            <w:r>
              <w:rPr>
                <w:rFonts w:ascii="Times New Roman" w:eastAsia="Calibri" w:hAnsi="Times New Roman" w:cs="Times New Roman"/>
                <w:noProof/>
              </w:rPr>
              <w:t> </w:t>
            </w:r>
            <w:r>
              <w:rPr>
                <w:rFonts w:ascii="Times New Roman" w:hAnsi="Times New Roman" w:cs="Times New Roman"/>
                <w:noProof/>
                <w:color w:val="006100"/>
                <w:sz w:val="20"/>
                <w:szCs w:val="20"/>
              </w:rPr>
              <w:t xml:space="preserve">000 tonnes de CO2 jusqu'à l'élimination progressive du charbon et du lignite. </w:t>
            </w:r>
          </w:p>
          <w:p w14:paraId="1CEBD83D" w14:textId="77777777" w:rsidR="00F74E13" w:rsidRDefault="009274FC">
            <w:pPr>
              <w:pStyle w:val="P68B1DB1-Normal12"/>
              <w:spacing w:after="0"/>
              <w:jc w:val="both"/>
              <w:rPr>
                <w:noProof/>
              </w:rPr>
            </w:pPr>
            <w:r>
              <w:rPr>
                <w:noProof/>
              </w:rPr>
              <w:t xml:space="preserve">Le plafond d'émission annuel s'applique comme suit: </w:t>
            </w:r>
          </w:p>
          <w:p w14:paraId="1CEBD83E" w14:textId="77777777" w:rsidR="00F74E13" w:rsidRDefault="009274FC">
            <w:pPr>
              <w:pStyle w:val="ListParagraph"/>
              <w:numPr>
                <w:ilvl w:val="0"/>
                <w:numId w:val="40"/>
              </w:numPr>
              <w:spacing w:after="0" w:line="240" w:lineRule="auto"/>
              <w:ind w:left="448" w:hanging="357"/>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En 2026,</w:t>
            </w:r>
            <w:r>
              <w:rPr>
                <w:rFonts w:ascii="Times New Roman" w:hAnsi="Times New Roman"/>
                <w:noProof/>
                <w:color w:val="006100"/>
                <w:sz w:val="20"/>
              </w:rPr>
              <w:t xml:space="preserve"> le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plafond d’émission</w:t>
            </w:r>
            <w:r>
              <w:rPr>
                <w:rFonts w:ascii="Times New Roman" w:hAnsi="Times New Roman"/>
                <w:noProof/>
                <w:color w:val="006100"/>
                <w:sz w:val="20"/>
              </w:rPr>
              <w:t xml:space="preserve"> de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10 983</w:t>
            </w:r>
            <w:r>
              <w:rPr>
                <w:rFonts w:ascii="Times New Roman" w:eastAsia="Calibri" w:hAnsi="Times New Roman" w:cs="Times New Roman"/>
                <w:noProof/>
              </w:rPr>
              <w:t> </w:t>
            </w:r>
            <w:r>
              <w:rPr>
                <w:rFonts w:ascii="Times New Roman" w:hAnsi="Times New Roman" w:cs="Times New Roman"/>
                <w:noProof/>
                <w:color w:val="006100"/>
                <w:sz w:val="20"/>
                <w:szCs w:val="20"/>
              </w:rPr>
              <w:t xml:space="preserve">000 tonnes de CO2 s’applique aux émissions de CO2 en 2026; </w:t>
            </w:r>
          </w:p>
          <w:p w14:paraId="1CEBD83F" w14:textId="77777777" w:rsidR="00F74E13" w:rsidRDefault="009274FC">
            <w:pPr>
              <w:pStyle w:val="ListParagraph"/>
              <w:numPr>
                <w:ilvl w:val="0"/>
                <w:numId w:val="40"/>
              </w:numPr>
              <w:spacing w:after="0" w:line="240" w:lineRule="auto"/>
              <w:ind w:left="448" w:hanging="357"/>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En 2027, le plafond d’émission de 10 983</w:t>
            </w:r>
            <w:r>
              <w:rPr>
                <w:rFonts w:ascii="Times New Roman" w:eastAsia="Calibri" w:hAnsi="Times New Roman" w:cs="Times New Roman"/>
                <w:noProof/>
              </w:rPr>
              <w:t> </w:t>
            </w:r>
            <w:r>
              <w:rPr>
                <w:rFonts w:ascii="Times New Roman" w:hAnsi="Times New Roman" w:cs="Times New Roman"/>
                <w:noProof/>
                <w:color w:val="006100"/>
                <w:sz w:val="20"/>
                <w:szCs w:val="20"/>
              </w:rPr>
              <w:t>000 tonnes de CO2 s’applique aux émissions moyennes de CO2 en 2026 et 2027;</w:t>
            </w:r>
          </w:p>
          <w:p w14:paraId="1CEBD840" w14:textId="77777777" w:rsidR="00F74E13" w:rsidRDefault="009274FC">
            <w:pPr>
              <w:pStyle w:val="ListParagraph"/>
              <w:numPr>
                <w:ilvl w:val="0"/>
                <w:numId w:val="40"/>
              </w:numPr>
              <w:spacing w:after="0" w:line="259" w:lineRule="auto"/>
              <w:ind w:left="451"/>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À partir de 2028, le plafond d’émission de 10 983</w:t>
            </w:r>
            <w:r>
              <w:rPr>
                <w:rFonts w:ascii="Times New Roman" w:eastAsia="Calibri" w:hAnsi="Times New Roman" w:cs="Times New Roman"/>
                <w:noProof/>
              </w:rPr>
              <w:t> </w:t>
            </w:r>
            <w:r>
              <w:rPr>
                <w:rFonts w:ascii="Times New Roman" w:hAnsi="Times New Roman"/>
                <w:noProof/>
                <w:color w:val="006100"/>
                <w:sz w:val="20"/>
                <w:szCs w:val="20"/>
              </w:rPr>
              <w:t>000 tonnes de CO2 s’applique aux émissions moyennes de CO2 sur une période glissante de trois ans comprenant l’année concernée et les deux années précédentes.</w:t>
            </w:r>
          </w:p>
          <w:p w14:paraId="1CEBD841" w14:textId="77777777" w:rsidR="00F74E13" w:rsidRDefault="009274FC">
            <w:pPr>
              <w:pStyle w:val="P68B1DB1-Normal12"/>
              <w:spacing w:after="0" w:line="240" w:lineRule="auto"/>
              <w:jc w:val="both"/>
              <w:rPr>
                <w:noProof/>
              </w:rPr>
            </w:pPr>
            <w:r>
              <w:rPr>
                <w:noProof/>
              </w:rPr>
              <w:t xml:space="preserve">Le ou les actes juridiques prévoient également que les émissions annuelles de CO2 sont calculées conformément au cycle annuel de surveillance, de déclaration et de vérification des émissions dans le cadre du SEQE-UE. </w:t>
            </w:r>
          </w:p>
        </w:tc>
      </w:tr>
      <w:tr w:rsidR="00F74E13" w14:paraId="1CEBD850"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43" w14:textId="66D16B45" w:rsidR="00F74E13" w:rsidRDefault="009274FC">
            <w:pPr>
              <w:pStyle w:val="P68B1DB1-Normal35"/>
              <w:spacing w:after="0" w:line="240" w:lineRule="auto"/>
              <w:jc w:val="center"/>
              <w:rPr>
                <w:noProof/>
              </w:rPr>
            </w:pPr>
            <w:r>
              <w:rPr>
                <w:noProof/>
              </w:rPr>
              <w:t>120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44" w14:textId="77777777" w:rsidR="00F74E13" w:rsidRDefault="009274FC">
            <w:pPr>
              <w:pStyle w:val="P68B1DB1-Normal15"/>
              <w:spacing w:after="0" w:line="240" w:lineRule="auto"/>
              <w:rPr>
                <w:noProof/>
              </w:rPr>
            </w:pPr>
            <w:r>
              <w:rPr>
                <w:noProof/>
              </w:rPr>
              <w:t>C4.R10: Décarbonation du secteur de l’énergie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45" w14:textId="182DCA61"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46" w14:textId="53B262D5" w:rsidR="00F74E13" w:rsidRDefault="009274FC">
            <w:pPr>
              <w:pStyle w:val="P68B1DB1-Normal13"/>
              <w:spacing w:after="0" w:line="240" w:lineRule="auto"/>
              <w:rPr>
                <w:noProof/>
              </w:rPr>
            </w:pPr>
            <w:r>
              <w:rPr>
                <w:noProof/>
              </w:rPr>
              <w:t>Émissions de dioxyde de carbone des centrales électriques au charbon ou au lignite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8D4706D" w14:textId="77777777" w:rsidR="00F74E13" w:rsidRDefault="009274FC">
            <w:pPr>
              <w:pStyle w:val="P68B1DB1-Normal15"/>
              <w:spacing w:after="0" w:line="240" w:lineRule="auto"/>
              <w:rPr>
                <w:noProof/>
                <w:szCs w:val="20"/>
              </w:rPr>
            </w:pPr>
            <w:r>
              <w:rPr>
                <w:noProof/>
                <w:szCs w:val="20"/>
              </w:rPr>
              <w:t>Émissions de dioxyde de carbone des centrales électriques au charbon ou au lignite n'excédant pas 10</w:t>
            </w:r>
            <w:r>
              <w:rPr>
                <w:noProof/>
              </w:rPr>
              <w:t> </w:t>
            </w:r>
            <w:r>
              <w:rPr>
                <w:noProof/>
                <w:szCs w:val="20"/>
              </w:rPr>
              <w:t>983</w:t>
            </w:r>
            <w:r>
              <w:rPr>
                <w:noProof/>
              </w:rPr>
              <w:t> </w:t>
            </w:r>
            <w:r>
              <w:rPr>
                <w:noProof/>
                <w:szCs w:val="20"/>
              </w:rPr>
              <w:t>000</w:t>
            </w:r>
          </w:p>
          <w:p w14:paraId="1CEBD847" w14:textId="0C03CCCC" w:rsidR="00F74E13" w:rsidRDefault="009274FC">
            <w:pPr>
              <w:pStyle w:val="P68B1DB1-Normal13"/>
              <w:spacing w:after="0" w:line="240" w:lineRule="auto"/>
              <w:rPr>
                <w:noProof/>
              </w:rPr>
            </w:pPr>
            <w:r>
              <w:rPr>
                <w:noProof/>
              </w:rPr>
              <w:t>tonnes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8" w14:textId="29898C6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9" w14:textId="07A5CD76" w:rsidR="00F74E13" w:rsidRDefault="00F74E13">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4A" w14:textId="01A98858" w:rsidR="00F74E13" w:rsidRDefault="00F74E13">
            <w:pPr>
              <w:spacing w:after="0" w:line="240" w:lineRule="auto"/>
              <w:jc w:val="center"/>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B"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4C" w14:textId="77777777" w:rsidR="00F74E13" w:rsidRDefault="009274FC">
            <w:pPr>
              <w:pStyle w:val="P68B1DB1-Normal15"/>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84D" w14:textId="596CCFFA" w:rsidR="00F74E13" w:rsidRDefault="009274FC">
            <w:pPr>
              <w:pStyle w:val="P68B1DB1-Normal15"/>
              <w:spacing w:line="240" w:lineRule="auto"/>
              <w:jc w:val="both"/>
              <w:rPr>
                <w:noProof/>
                <w:szCs w:val="20"/>
              </w:rPr>
            </w:pPr>
            <w:r>
              <w:rPr>
                <w:noProof/>
                <w:szCs w:val="20"/>
              </w:rPr>
              <w:t>Les émissions de dioxyde de carbone de neuf centrales électriques au charbon ou au lignite ne dépassent pas 10</w:t>
            </w:r>
            <w:r>
              <w:rPr>
                <w:noProof/>
              </w:rPr>
              <w:t> </w:t>
            </w:r>
            <w:r>
              <w:rPr>
                <w:noProof/>
                <w:szCs w:val="20"/>
              </w:rPr>
              <w:t>983</w:t>
            </w:r>
            <w:r>
              <w:rPr>
                <w:noProof/>
              </w:rPr>
              <w:t> </w:t>
            </w:r>
            <w:r>
              <w:rPr>
                <w:noProof/>
                <w:szCs w:val="20"/>
              </w:rPr>
              <w:t>000 tonnes en 2025.</w:t>
            </w:r>
          </w:p>
          <w:p w14:paraId="1CEBD84F" w14:textId="6640C5C3" w:rsidR="00F74E13" w:rsidRDefault="009274FC">
            <w:pPr>
              <w:pStyle w:val="P68B1DB1-Normal13"/>
              <w:spacing w:line="240" w:lineRule="auto"/>
              <w:jc w:val="both"/>
              <w:rPr>
                <w:noProof/>
              </w:rPr>
            </w:pPr>
            <w:r>
              <w:rPr>
                <w:noProof/>
              </w:rPr>
              <w:t>Les émissions de dioxyde de carbone sont calculées en utilisant les émissions annuelles vérifiées de dioxyde de carbone pour neuf centrales électriques au charbon et au lignite destinées à la production d’électricité, telles qu’enregistrées dans le registre des émissions de l’Union (SEQE de l’UE).</w:t>
            </w:r>
          </w:p>
        </w:tc>
      </w:tr>
      <w:tr w:rsidR="00F74E13" w14:paraId="1CEBD85E"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51" w14:textId="77777777" w:rsidR="00F74E13" w:rsidRDefault="009274FC">
            <w:pPr>
              <w:pStyle w:val="P68B1DB1-Normal13"/>
              <w:spacing w:after="0" w:line="240" w:lineRule="auto"/>
              <w:jc w:val="center"/>
              <w:rPr>
                <w:noProof/>
              </w:rPr>
            </w:pPr>
            <w:r>
              <w:rPr>
                <w:noProof/>
              </w:rPr>
              <w:t>122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52" w14:textId="77777777" w:rsidR="00F74E13" w:rsidRDefault="009274FC">
            <w:pPr>
              <w:pStyle w:val="P68B1DB1-Normal15"/>
              <w:spacing w:after="0" w:line="240" w:lineRule="auto"/>
              <w:rPr>
                <w:noProof/>
              </w:rPr>
            </w:pPr>
            <w:r>
              <w:rPr>
                <w:noProof/>
              </w:rPr>
              <w:t xml:space="preserve">C4.I8: </w:t>
            </w:r>
          </w:p>
          <w:p w14:paraId="1CEBD853" w14:textId="77777777" w:rsidR="00F74E13" w:rsidRDefault="009274FC">
            <w:pPr>
              <w:pStyle w:val="P68B1DB1-Normal15"/>
              <w:spacing w:after="0" w:line="240" w:lineRule="auto"/>
              <w:rPr>
                <w:noProof/>
              </w:rPr>
            </w:pPr>
            <w:r>
              <w:rPr>
                <w:noProof/>
              </w:rPr>
              <w:t>Infrastructure nationale de stockage de l'électricité (RESTORE)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54" w14:textId="77777777" w:rsidR="00F74E13" w:rsidRDefault="009274FC">
            <w:pPr>
              <w:pStyle w:val="P68B1DB1-Normal15"/>
              <w:spacing w:after="0" w:line="240" w:lineRule="auto"/>
              <w:jc w:val="center"/>
              <w:rPr>
                <w:noProof/>
              </w:rPr>
            </w:pPr>
            <w:r>
              <w:rPr>
                <w:noProof/>
              </w:rPr>
              <w:t>Étape</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55"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Signature de contrats pour des </w:t>
            </w:r>
            <w:r>
              <w:rPr>
                <w:rFonts w:ascii="Times New Roman" w:hAnsi="Times New Roman" w:cs="Times New Roman"/>
                <w:noProof/>
                <w:szCs w:val="20"/>
              </w:rPr>
              <w:t xml:space="preserve">installations </w:t>
            </w:r>
            <w:r>
              <w:rPr>
                <w:rFonts w:ascii="Times New Roman" w:hAnsi="Times New Roman"/>
                <w:noProof/>
              </w:rPr>
              <w:t xml:space="preserve"> de stockage d'électricité </w:t>
            </w:r>
            <w:r>
              <w:rPr>
                <w:rFonts w:ascii="Times New Roman" w:hAnsi="Times New Roman" w:cs="Times New Roman"/>
                <w:noProof/>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56" w14:textId="77777777" w:rsidR="00F74E13" w:rsidRDefault="009274FC">
            <w:pPr>
              <w:pStyle w:val="P68B1DB1-Normal15"/>
              <w:spacing w:after="0" w:line="240" w:lineRule="auto"/>
              <w:rPr>
                <w:noProof/>
              </w:rPr>
            </w:pPr>
            <w:r>
              <w:rPr>
                <w:noProof/>
              </w:rPr>
              <w:t>Signature des contrats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7"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8"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59"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A"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5B" w14:textId="77777777" w:rsidR="00F74E13" w:rsidRDefault="009274FC">
            <w:pPr>
              <w:pStyle w:val="P68B1DB1-Normal12"/>
              <w:spacing w:after="0" w:line="240" w:lineRule="auto"/>
              <w:jc w:val="center"/>
              <w:rPr>
                <w:noProof/>
              </w:rPr>
            </w:pPr>
            <w:r>
              <w:rPr>
                <w:noProof/>
              </w:rPr>
              <w:t>2025</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85C" w14:textId="77777777" w:rsidR="00F74E13" w:rsidRDefault="009274FC">
            <w:pPr>
              <w:pStyle w:val="P68B1DB1-Normal13"/>
              <w:spacing w:after="0" w:line="240" w:lineRule="auto"/>
              <w:jc w:val="both"/>
              <w:rPr>
                <w:noProof/>
              </w:rPr>
            </w:pPr>
            <w:r>
              <w:rPr>
                <w:noProof/>
              </w:rPr>
              <w:t>Signature des contrats de subvention pour les installations de stockage d'électricité.</w:t>
            </w:r>
          </w:p>
          <w:p w14:paraId="1CEBD85D" w14:textId="1800D000" w:rsidR="00F74E13" w:rsidRDefault="009274FC">
            <w:pPr>
              <w:pStyle w:val="P68B1DB1-Normal15"/>
              <w:spacing w:after="0" w:line="240" w:lineRule="auto"/>
              <w:jc w:val="both"/>
              <w:rPr>
                <w:noProof/>
                <w:szCs w:val="20"/>
              </w:rPr>
            </w:pPr>
            <w:r>
              <w:rPr>
                <w:noProof/>
              </w:rPr>
              <w:t xml:space="preserve">La procédure de sélection nécessite </w:t>
            </w:r>
            <w:r>
              <w:rPr>
                <w:noProof/>
                <w:szCs w:val="20"/>
              </w:rPr>
              <w:t>une période de décharge d’au moins 2 heures et une capacité d’au moins 10 MW.</w:t>
            </w:r>
          </w:p>
        </w:tc>
      </w:tr>
      <w:tr w:rsidR="00F74E13" w14:paraId="1CEBD86B" w14:textId="77777777" w:rsidTr="0097257F">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5F" w14:textId="77777777" w:rsidR="00F74E13" w:rsidRDefault="009274FC">
            <w:pPr>
              <w:pStyle w:val="P68B1DB1-Normal15"/>
              <w:spacing w:after="0" w:line="240" w:lineRule="auto"/>
              <w:jc w:val="center"/>
              <w:rPr>
                <w:noProof/>
              </w:rPr>
            </w:pPr>
            <w:r>
              <w:rPr>
                <w:noProof/>
              </w:rPr>
              <w:t>125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60" w14:textId="77777777" w:rsidR="00F74E13" w:rsidRDefault="009274FC">
            <w:pPr>
              <w:pStyle w:val="P68B1DB1-Normal15"/>
              <w:spacing w:after="0" w:line="240" w:lineRule="auto"/>
              <w:rPr>
                <w:noProof/>
              </w:rPr>
            </w:pPr>
            <w:r>
              <w:rPr>
                <w:noProof/>
              </w:rPr>
              <w:t xml:space="preserve">C4.I8: </w:t>
            </w:r>
          </w:p>
          <w:p w14:paraId="1CEBD861" w14:textId="77777777" w:rsidR="00F74E13" w:rsidRDefault="009274FC">
            <w:pPr>
              <w:pStyle w:val="P68B1DB1-Normal15"/>
              <w:spacing w:after="0" w:line="240" w:lineRule="auto"/>
              <w:rPr>
                <w:noProof/>
              </w:rPr>
            </w:pPr>
            <w:r>
              <w:rPr>
                <w:noProof/>
              </w:rPr>
              <w:t>Infrastructure nationale de stockage de l'électricité (RESTORE)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62" w14:textId="77777777" w:rsidR="00F74E13" w:rsidRDefault="009274FC">
            <w:pPr>
              <w:pStyle w:val="P68B1DB1-Normal15"/>
              <w:spacing w:after="0" w:line="240" w:lineRule="auto"/>
              <w:jc w:val="center"/>
              <w:rPr>
                <w:noProof/>
              </w:rPr>
            </w:pPr>
            <w:r>
              <w:rPr>
                <w:noProof/>
              </w:rPr>
              <w:t>Objectif</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63" w14:textId="77777777" w:rsidR="00F74E13" w:rsidRDefault="009274FC">
            <w:pPr>
              <w:pStyle w:val="P68B1DB1-Normal15"/>
              <w:spacing w:after="0" w:line="240" w:lineRule="auto"/>
              <w:rPr>
                <w:noProof/>
              </w:rPr>
            </w:pPr>
            <w:r>
              <w:rPr>
                <w:noProof/>
              </w:rPr>
              <w:t xml:space="preserve">Installations de stockage d'électricité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6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5" w14:textId="77777777" w:rsidR="00F74E13" w:rsidRDefault="009274FC">
            <w:pPr>
              <w:pStyle w:val="P68B1DB1-Normal15"/>
              <w:spacing w:after="0" w:line="240" w:lineRule="auto"/>
              <w:jc w:val="center"/>
              <w:rPr>
                <w:noProof/>
              </w:rPr>
            </w:pPr>
            <w:r>
              <w:rPr>
                <w:noProof/>
              </w:rPr>
              <w:t>Mégawattheures (MWh)</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6" w14:textId="77777777" w:rsidR="00F74E13" w:rsidRDefault="009274FC">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67" w14:textId="77777777" w:rsidR="00F74E13" w:rsidRDefault="009274FC">
            <w:pPr>
              <w:pStyle w:val="P68B1DB1-Normal15"/>
              <w:spacing w:after="0" w:line="240" w:lineRule="auto"/>
              <w:jc w:val="center"/>
              <w:rPr>
                <w:noProof/>
              </w:rPr>
            </w:pPr>
            <w:r>
              <w:rPr>
                <w:noProof/>
              </w:rPr>
              <w:t>3 000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8" w14:textId="77777777" w:rsidR="00F74E13" w:rsidRDefault="009274FC">
            <w:pPr>
              <w:pStyle w:val="P68B1DB1-Normal1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69" w14:textId="77777777" w:rsidR="00F74E13" w:rsidRDefault="009274FC">
            <w:pPr>
              <w:pStyle w:val="P68B1DB1-Normal15"/>
              <w:spacing w:after="0" w:line="240" w:lineRule="auto"/>
              <w:jc w:val="center"/>
              <w:rPr>
                <w:noProof/>
              </w:rPr>
            </w:pPr>
            <w:r>
              <w:rPr>
                <w:noProof/>
              </w:rPr>
              <w:t>2026</w:t>
            </w:r>
          </w:p>
        </w:tc>
        <w:tc>
          <w:tcPr>
            <w:tcW w:w="4253" w:type="dxa"/>
            <w:tcBorders>
              <w:top w:val="single" w:sz="4" w:space="0" w:color="auto"/>
              <w:left w:val="single" w:sz="4" w:space="0" w:color="auto"/>
              <w:bottom w:val="single" w:sz="4" w:space="0" w:color="auto"/>
              <w:right w:val="single" w:sz="4" w:space="0" w:color="auto"/>
            </w:tcBorders>
            <w:shd w:val="clear" w:color="auto" w:fill="C6EFCE"/>
            <w:noWrap/>
          </w:tcPr>
          <w:p w14:paraId="1CEBD86A" w14:textId="7721E738" w:rsidR="00F74E13" w:rsidRDefault="009274FC">
            <w:pPr>
              <w:pStyle w:val="P68B1DB1-Normal15"/>
              <w:spacing w:line="240" w:lineRule="auto"/>
              <w:jc w:val="both"/>
              <w:rPr>
                <w:noProof/>
              </w:rPr>
            </w:pPr>
            <w:r>
              <w:rPr>
                <w:noProof/>
              </w:rPr>
              <w:t>Installation et raccordement au réseau électrique d'installations de stockage d'électricité pour une capacité de 3 000 MWh.</w:t>
            </w:r>
          </w:p>
        </w:tc>
      </w:tr>
    </w:tbl>
    <w:p w14:paraId="1CEBD86C" w14:textId="77777777" w:rsidR="00F74E13" w:rsidRDefault="009274FC">
      <w:pPr>
        <w:pStyle w:val="P68B1DB1-Normal10"/>
        <w:rPr>
          <w:b/>
          <w:smallCaps/>
          <w:noProof/>
        </w:rPr>
        <w:sectPr w:rsidR="00F74E13">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r>
        <w:rPr>
          <w:noProof/>
        </w:rPr>
        <w:br/>
      </w:r>
    </w:p>
    <w:p w14:paraId="1CEBD86D" w14:textId="77777777" w:rsidR="00F74E13" w:rsidRDefault="009274FC">
      <w:pPr>
        <w:pStyle w:val="P68B1DB1-Normal5"/>
        <w:keepNext/>
        <w:pageBreakBefore/>
        <w:tabs>
          <w:tab w:val="left" w:pos="850"/>
        </w:tabs>
        <w:spacing w:before="360" w:after="120" w:line="240" w:lineRule="auto"/>
        <w:ind w:left="851" w:hanging="851"/>
        <w:jc w:val="both"/>
        <w:outlineLvl w:val="0"/>
        <w:rPr>
          <w:noProof/>
        </w:rPr>
      </w:pPr>
      <w:r>
        <w:rPr>
          <w:noProof/>
        </w:rPr>
        <w:t>E. Élément 5: Biodiversité</w:t>
      </w:r>
    </w:p>
    <w:p w14:paraId="1CEBD86E" w14:textId="77777777" w:rsidR="00F74E13" w:rsidRDefault="009274FC">
      <w:pPr>
        <w:pStyle w:val="P68B1DB1-Normal6"/>
        <w:spacing w:before="120" w:after="120" w:line="240" w:lineRule="auto"/>
        <w:ind w:left="426"/>
        <w:jc w:val="both"/>
        <w:rPr>
          <w:noProof/>
        </w:rPr>
      </w:pPr>
      <w:r>
        <w:rPr>
          <w:noProof/>
        </w:rPr>
        <w:t>Ce volet du plan bulgare pour la reprise et la résilience vise à assurer une gestion efficace du réseau écologique national en vue de protéger et de restaurer les écosystèmes, les habitats naturels et les espèces d’importance européenne et nationale.</w:t>
      </w:r>
    </w:p>
    <w:p w14:paraId="1CEBD870" w14:textId="77777777" w:rsidR="00F74E13" w:rsidRDefault="009274FC">
      <w:pPr>
        <w:pStyle w:val="P68B1DB1-Normal8"/>
        <w:spacing w:before="120" w:after="120" w:line="240" w:lineRule="auto"/>
        <w:ind w:left="426"/>
        <w:jc w:val="both"/>
        <w:rPr>
          <w:i/>
          <w:noProof/>
          <w:color w:val="4F81BD"/>
        </w:rPr>
      </w:pPr>
      <w:r>
        <w:rPr>
          <w:noProof/>
        </w:rPr>
        <w:t>E.1. Description des réformes et des investissements pour le soutien financier non remboursable</w:t>
      </w:r>
    </w:p>
    <w:p w14:paraId="1CEBD871" w14:textId="77777777" w:rsidR="00F74E13" w:rsidRDefault="009274FC">
      <w:pPr>
        <w:pStyle w:val="P68B1DB1-Normal9"/>
        <w:spacing w:before="120" w:after="0" w:line="240" w:lineRule="auto"/>
        <w:ind w:left="425"/>
        <w:jc w:val="both"/>
        <w:rPr>
          <w:noProof/>
        </w:rPr>
      </w:pPr>
      <w:bookmarkStart w:id="5" w:name="_Hlk212242450"/>
      <w:r>
        <w:rPr>
          <w:noProof/>
        </w:rPr>
        <w:t>Réforme 1 (C5.R1): Mise en place de la structure de gouvernance du réseau Natura 2000</w:t>
      </w:r>
      <w:bookmarkEnd w:id="5"/>
    </w:p>
    <w:p w14:paraId="1CEBD872" w14:textId="77777777" w:rsidR="00F74E13" w:rsidRDefault="009274FC">
      <w:pPr>
        <w:pStyle w:val="P68B1DB1-Normal6"/>
        <w:spacing w:before="120" w:after="0" w:line="240" w:lineRule="auto"/>
        <w:ind w:left="425"/>
        <w:jc w:val="both"/>
        <w:rPr>
          <w:noProof/>
        </w:rPr>
      </w:pPr>
      <w:r>
        <w:rPr>
          <w:noProof/>
        </w:rPr>
        <w:t xml:space="preserve">L’objectif de la mesure est de mettre en place des structures de gestion Natura 2000 efficaces. </w:t>
      </w:r>
    </w:p>
    <w:p w14:paraId="1CEBD873" w14:textId="77777777" w:rsidR="00F74E13" w:rsidRDefault="009274FC">
      <w:pPr>
        <w:pStyle w:val="P68B1DB1-Normal6"/>
        <w:spacing w:before="120" w:after="0" w:line="240" w:lineRule="auto"/>
        <w:ind w:left="425"/>
        <w:jc w:val="both"/>
        <w:rPr>
          <w:noProof/>
        </w:rPr>
      </w:pPr>
      <w:r>
        <w:rPr>
          <w:noProof/>
        </w:rPr>
        <w:t>La mesure consiste en des modifications législatives, qui mettent en place des structures de gestion du réseau Natura 2000 aux niveaux national et régional et introduisent des exigences pour l’élaboration de plans de gestion du réseau. Les modifications législatives introduisent également l’obligation que toutes les zones protégées soient gérées sur la base de documents de planification, qui définissent des objectifs et des mesures de conservation spécifiques au site.</w:t>
      </w:r>
    </w:p>
    <w:p w14:paraId="1CEBD874" w14:textId="77777777" w:rsidR="00F74E13" w:rsidRDefault="009274FC">
      <w:pPr>
        <w:pStyle w:val="P68B1DB1-Normal6"/>
        <w:spacing w:before="120" w:after="120" w:line="240" w:lineRule="auto"/>
        <w:ind w:left="426"/>
        <w:jc w:val="both"/>
        <w:rPr>
          <w:noProof/>
        </w:rPr>
      </w:pPr>
      <w:r>
        <w:rPr>
          <w:noProof/>
        </w:rPr>
        <w:t>La mise en œuvre de la réforme est achevée au plus tard le 30 septembre 2022.</w:t>
      </w:r>
    </w:p>
    <w:p w14:paraId="1CEBD877" w14:textId="77777777" w:rsidR="00F74E13" w:rsidRDefault="00F74E13">
      <w:pPr>
        <w:spacing w:before="120" w:after="120" w:line="240" w:lineRule="auto"/>
        <w:ind w:left="850"/>
        <w:jc w:val="both"/>
        <w:rPr>
          <w:rFonts w:ascii="Times New Roman" w:hAnsi="Times New Roman"/>
          <w:noProof/>
        </w:rPr>
      </w:pPr>
    </w:p>
    <w:p w14:paraId="1CEBD878" w14:textId="77777777" w:rsidR="00F74E13" w:rsidRDefault="00F74E13">
      <w:pPr>
        <w:spacing w:before="120" w:after="120" w:line="240" w:lineRule="auto"/>
        <w:ind w:left="850"/>
        <w:jc w:val="both"/>
        <w:rPr>
          <w:rFonts w:ascii="Times New Roman" w:hAnsi="Times New Roman"/>
          <w:b/>
          <w:noProof/>
          <w:u w:val="single"/>
        </w:rPr>
        <w:sectPr w:rsidR="00F74E13">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CEBD879" w14:textId="77777777" w:rsidR="00F74E13" w:rsidRDefault="009274FC">
      <w:pPr>
        <w:pStyle w:val="P68B1DB1-Normal8"/>
        <w:spacing w:before="120" w:after="120" w:line="240" w:lineRule="auto"/>
        <w:ind w:left="850"/>
        <w:jc w:val="both"/>
        <w:rPr>
          <w:noProof/>
        </w:rPr>
      </w:pPr>
      <w:r>
        <w:rPr>
          <w:noProof/>
        </w:rPr>
        <w:t xml:space="preserve">E.2. </w:t>
      </w:r>
      <w:r>
        <w:rPr>
          <w:noProof/>
        </w:rPr>
        <w:tab/>
        <w:t>Étapes, cibles, indicateurs et calendrier pour le suivi et la mise en œuvre du soutien financier non remboursable</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2013"/>
        <w:gridCol w:w="1172"/>
        <w:gridCol w:w="1897"/>
        <w:gridCol w:w="1531"/>
        <w:gridCol w:w="1120"/>
        <w:gridCol w:w="1134"/>
        <w:gridCol w:w="916"/>
        <w:gridCol w:w="1072"/>
        <w:gridCol w:w="851"/>
        <w:gridCol w:w="3543"/>
      </w:tblGrid>
      <w:tr w:rsidR="00F74E13" w14:paraId="1CEBD882" w14:textId="77777777">
        <w:trPr>
          <w:trHeight w:val="927"/>
          <w:tblHeader/>
          <w:jc w:val="center"/>
        </w:trPr>
        <w:tc>
          <w:tcPr>
            <w:tcW w:w="7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A" w14:textId="77777777" w:rsidR="00F74E13" w:rsidRDefault="009274FC">
            <w:pPr>
              <w:pStyle w:val="P68B1DB1-Normal11"/>
              <w:spacing w:after="0" w:line="240" w:lineRule="auto"/>
              <w:jc w:val="center"/>
              <w:rPr>
                <w:noProof/>
              </w:rPr>
            </w:pPr>
            <w:r>
              <w:rPr>
                <w:noProof/>
              </w:rPr>
              <w:t>Numéro de série</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B" w14:textId="77777777" w:rsidR="00F74E13" w:rsidRDefault="009274FC">
            <w:pPr>
              <w:pStyle w:val="P68B1DB1-Normal11"/>
              <w:spacing w:after="0" w:line="240" w:lineRule="auto"/>
              <w:jc w:val="center"/>
              <w:rPr>
                <w:noProof/>
              </w:rPr>
            </w:pPr>
            <w:r>
              <w:rPr>
                <w:noProof/>
              </w:rPr>
              <w:t>Mesure connexe (réforme ou investissement)</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C" w14:textId="77777777" w:rsidR="00F74E13" w:rsidRDefault="009274FC">
            <w:pPr>
              <w:pStyle w:val="P68B1DB1-Normal11"/>
              <w:spacing w:after="0" w:line="240" w:lineRule="auto"/>
              <w:jc w:val="center"/>
              <w:rPr>
                <w:noProof/>
              </w:rPr>
            </w:pPr>
            <w:r>
              <w:rPr>
                <w:noProof/>
              </w:rPr>
              <w:t>Étape/cible</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D" w14:textId="77777777" w:rsidR="00F74E13" w:rsidRDefault="009274FC">
            <w:pPr>
              <w:pStyle w:val="P68B1DB1-Normal11"/>
              <w:spacing w:after="0" w:line="240" w:lineRule="auto"/>
              <w:jc w:val="center"/>
              <w:rPr>
                <w:noProof/>
              </w:rPr>
            </w:pPr>
            <w:r>
              <w:rPr>
                <w:noProof/>
              </w:rPr>
              <w:t>Nom</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E" w14:textId="77777777" w:rsidR="00F74E13" w:rsidRDefault="009274FC">
            <w:pPr>
              <w:pStyle w:val="P68B1DB1-Normal24"/>
              <w:spacing w:after="0" w:line="240" w:lineRule="auto"/>
              <w:jc w:val="center"/>
              <w:rPr>
                <w:rFonts w:ascii="Times New Roman" w:hAnsi="Times New Roman"/>
                <w:b/>
                <w:noProof/>
              </w:rPr>
            </w:pPr>
            <w:r>
              <w:rPr>
                <w:rFonts w:ascii="Times New Roman" w:hAnsi="Times New Roman"/>
                <w:b/>
                <w:noProof/>
              </w:rPr>
              <w:t xml:space="preserve">Indicateurs qualitatifs </w:t>
            </w:r>
            <w:r>
              <w:rPr>
                <w:rFonts w:ascii="Times New Roman" w:hAnsi="Times New Roman" w:cs="Times New Roman"/>
                <w:noProof/>
                <w:szCs w:val="20"/>
              </w:rPr>
              <w:br/>
            </w:r>
            <w:r>
              <w:rPr>
                <w:rFonts w:ascii="Times New Roman" w:hAnsi="Times New Roman"/>
                <w:b/>
                <w:noProof/>
              </w:rPr>
              <w:t>(pour les jalons)</w:t>
            </w:r>
          </w:p>
        </w:tc>
        <w:tc>
          <w:tcPr>
            <w:tcW w:w="310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F" w14:textId="77777777" w:rsidR="00F74E13" w:rsidRDefault="009274FC">
            <w:pPr>
              <w:pStyle w:val="P68B1DB1-Normal24"/>
              <w:spacing w:after="0" w:line="240" w:lineRule="auto"/>
              <w:jc w:val="center"/>
              <w:rPr>
                <w:rFonts w:ascii="Times New Roman" w:hAnsi="Times New Roman"/>
                <w:b/>
                <w:noProof/>
              </w:rPr>
            </w:pPr>
            <w:r>
              <w:rPr>
                <w:rFonts w:ascii="Times New Roman" w:hAnsi="Times New Roman"/>
                <w:b/>
                <w:noProof/>
              </w:rPr>
              <w:t xml:space="preserve">Indicateurs quantitatifs </w:t>
            </w:r>
            <w:r>
              <w:rPr>
                <w:rFonts w:ascii="Times New Roman" w:hAnsi="Times New Roman" w:cs="Times New Roman"/>
                <w:noProof/>
                <w:szCs w:val="20"/>
              </w:rPr>
              <w:br/>
            </w:r>
            <w:r>
              <w:rPr>
                <w:rFonts w:ascii="Times New Roman" w:hAnsi="Times New Roman"/>
                <w:b/>
                <w:noProof/>
              </w:rPr>
              <w:t>(pour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0" w14:textId="77777777" w:rsidR="00F74E13" w:rsidRDefault="009274FC">
            <w:pPr>
              <w:pStyle w:val="P68B1DB1-Normal11"/>
              <w:spacing w:after="0" w:line="240" w:lineRule="auto"/>
              <w:jc w:val="center"/>
              <w:rPr>
                <w:noProof/>
              </w:rPr>
            </w:pPr>
            <w:r>
              <w:rPr>
                <w:noProof/>
              </w:rPr>
              <w:t>Calendrier indicatif d'achèvement</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1" w14:textId="77777777" w:rsidR="00F74E13" w:rsidRDefault="009274FC">
            <w:pPr>
              <w:pStyle w:val="P68B1DB1-Normal11"/>
              <w:spacing w:after="0" w:line="240" w:lineRule="auto"/>
              <w:jc w:val="center"/>
              <w:rPr>
                <w:noProof/>
              </w:rPr>
            </w:pPr>
            <w:r>
              <w:rPr>
                <w:noProof/>
              </w:rPr>
              <w:t>Description de chaque jalon et cible</w:t>
            </w:r>
          </w:p>
        </w:tc>
      </w:tr>
      <w:tr w:rsidR="00F74E13" w14:paraId="1CEBD88E" w14:textId="77777777">
        <w:trPr>
          <w:trHeight w:val="196"/>
          <w:tblHeader/>
          <w:jc w:val="center"/>
        </w:trPr>
        <w:tc>
          <w:tcPr>
            <w:tcW w:w="789" w:type="dxa"/>
            <w:vMerge/>
            <w:tcBorders>
              <w:top w:val="single" w:sz="4" w:space="0" w:color="auto"/>
              <w:left w:val="single" w:sz="4" w:space="0" w:color="auto"/>
              <w:bottom w:val="single" w:sz="4" w:space="0" w:color="auto"/>
              <w:right w:val="single" w:sz="4" w:space="0" w:color="auto"/>
            </w:tcBorders>
            <w:vAlign w:val="center"/>
            <w:hideMark/>
          </w:tcPr>
          <w:p w14:paraId="1CEBD883" w14:textId="77777777" w:rsidR="00F74E13" w:rsidRDefault="00F74E13">
            <w:pPr>
              <w:spacing w:after="0" w:line="240" w:lineRule="auto"/>
              <w:jc w:val="center"/>
              <w:rPr>
                <w:rFonts w:ascii="Times New Roman" w:hAnsi="Times New Roman"/>
                <w:b/>
                <w:noProof/>
                <w:sz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14:paraId="1CEBD884" w14:textId="77777777" w:rsidR="00F74E13" w:rsidRDefault="00F74E13">
            <w:pPr>
              <w:spacing w:after="0" w:line="240" w:lineRule="auto"/>
              <w:rPr>
                <w:rFonts w:ascii="Times New Roman" w:hAnsi="Times New Roman"/>
                <w:b/>
                <w:noProof/>
                <w:sz w:val="20"/>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1CEBD885" w14:textId="77777777" w:rsidR="00F74E13" w:rsidRDefault="00F74E13">
            <w:pPr>
              <w:spacing w:after="0" w:line="240" w:lineRule="auto"/>
              <w:jc w:val="center"/>
              <w:rPr>
                <w:rFonts w:ascii="Times New Roman" w:hAnsi="Times New Roman"/>
                <w:b/>
                <w:noProof/>
                <w:sz w:val="20"/>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14:paraId="1CEBD886" w14:textId="77777777" w:rsidR="00F74E13" w:rsidRDefault="00F74E13">
            <w:pPr>
              <w:spacing w:after="0" w:line="240" w:lineRule="auto"/>
              <w:rPr>
                <w:rFonts w:ascii="Times New Roman" w:hAnsi="Times New Roman"/>
                <w:b/>
                <w:noProof/>
                <w:sz w:val="20"/>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1CEBD887" w14:textId="77777777" w:rsidR="00F74E13" w:rsidRDefault="00F74E13">
            <w:pPr>
              <w:spacing w:after="0" w:line="240" w:lineRule="auto"/>
              <w:rPr>
                <w:rFonts w:ascii="Times New Roman" w:hAnsi="Times New Roman"/>
                <w:b/>
                <w:noProof/>
                <w:sz w:val="20"/>
              </w:rPr>
            </w:pPr>
          </w:p>
        </w:tc>
        <w:tc>
          <w:tcPr>
            <w:tcW w:w="11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8" w14:textId="77777777" w:rsidR="00F74E13" w:rsidRDefault="009274FC">
            <w:pPr>
              <w:pStyle w:val="P68B1DB1-Normal11"/>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9" w14:textId="77777777" w:rsidR="00F74E13" w:rsidRDefault="009274FC">
            <w:pPr>
              <w:pStyle w:val="P68B1DB1-Normal11"/>
              <w:spacing w:after="0" w:line="240" w:lineRule="auto"/>
              <w:jc w:val="center"/>
              <w:rPr>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A" w14:textId="77777777" w:rsidR="00F74E13" w:rsidRDefault="009274FC">
            <w:pPr>
              <w:pStyle w:val="P68B1DB1-Normal11"/>
              <w:spacing w:after="0" w:line="240" w:lineRule="auto"/>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B" w14:textId="77777777" w:rsidR="00F74E13" w:rsidRDefault="009274FC">
            <w:pPr>
              <w:pStyle w:val="P68B1DB1-Normal11"/>
              <w:spacing w:after="0" w:line="240" w:lineRule="auto"/>
              <w:jc w:val="center"/>
              <w:rPr>
                <w:noProof/>
              </w:rPr>
            </w:pPr>
            <w:r>
              <w:rPr>
                <w:noProof/>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C" w14:textId="77777777" w:rsidR="00F74E13" w:rsidRDefault="009274FC">
            <w:pPr>
              <w:pStyle w:val="P68B1DB1-Normal11"/>
              <w:spacing w:after="0" w:line="240" w:lineRule="auto"/>
              <w:jc w:val="center"/>
              <w:rPr>
                <w:noProof/>
              </w:rPr>
            </w:pPr>
            <w:r>
              <w:rPr>
                <w:noProof/>
              </w:rPr>
              <w:t>Année</w:t>
            </w: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CEBD88D" w14:textId="77777777" w:rsidR="00F74E13" w:rsidRDefault="00F74E13">
            <w:pPr>
              <w:spacing w:after="0" w:line="240" w:lineRule="auto"/>
              <w:rPr>
                <w:rFonts w:ascii="Times New Roman" w:hAnsi="Times New Roman"/>
                <w:b/>
                <w:noProof/>
                <w:sz w:val="20"/>
              </w:rPr>
            </w:pPr>
          </w:p>
        </w:tc>
      </w:tr>
      <w:tr w:rsidR="00F74E13" w14:paraId="1CEBD89A"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hideMark/>
          </w:tcPr>
          <w:p w14:paraId="1CEBD88F" w14:textId="77777777" w:rsidR="00F74E13" w:rsidRDefault="009274FC">
            <w:pPr>
              <w:pStyle w:val="P68B1DB1-Normal15"/>
              <w:spacing w:after="0" w:line="240" w:lineRule="auto"/>
              <w:jc w:val="center"/>
              <w:rPr>
                <w:noProof/>
              </w:rPr>
            </w:pPr>
            <w:r>
              <w:rPr>
                <w:noProof/>
              </w:rPr>
              <w:t>126</w:t>
            </w:r>
          </w:p>
        </w:tc>
        <w:tc>
          <w:tcPr>
            <w:tcW w:w="2013" w:type="dxa"/>
            <w:tcBorders>
              <w:top w:val="single" w:sz="4" w:space="0" w:color="auto"/>
              <w:left w:val="single" w:sz="4" w:space="0" w:color="auto"/>
              <w:bottom w:val="single" w:sz="4" w:space="0" w:color="auto"/>
              <w:right w:val="single" w:sz="4" w:space="0" w:color="auto"/>
            </w:tcBorders>
            <w:shd w:val="clear" w:color="auto" w:fill="C6EFCE"/>
            <w:noWrap/>
            <w:hideMark/>
          </w:tcPr>
          <w:p w14:paraId="1CEBD890" w14:textId="77777777" w:rsidR="00F74E13" w:rsidRDefault="009274FC">
            <w:pPr>
              <w:pStyle w:val="P68B1DB1-Normal33"/>
              <w:spacing w:after="0" w:line="240" w:lineRule="auto"/>
              <w:rPr>
                <w:noProof/>
                <w:color w:val="006100"/>
              </w:rPr>
            </w:pPr>
            <w:r>
              <w:rPr>
                <w:noProof/>
                <w:color w:val="006100"/>
              </w:rPr>
              <w:t>C5.R1 :</w:t>
            </w:r>
            <w:r>
              <w:rPr>
                <w:noProof/>
                <w:color w:val="1F497D"/>
              </w:rPr>
              <w:t xml:space="preserve"> </w:t>
            </w:r>
            <w:r>
              <w:rPr>
                <w:noProof/>
                <w:color w:val="006100"/>
              </w:rPr>
              <w:t>Mise en place de la structure de gouvernance de Natural 2000 Network</w:t>
            </w:r>
            <w:r>
              <w:rPr>
                <w:noProof/>
                <w:color w:val="1F497D"/>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C6EFCE"/>
            <w:noWrap/>
            <w:hideMark/>
          </w:tcPr>
          <w:p w14:paraId="1CEBD891" w14:textId="77777777" w:rsidR="00F74E13" w:rsidRDefault="009274FC">
            <w:pPr>
              <w:pStyle w:val="P68B1DB1-Normal15"/>
              <w:spacing w:after="0" w:line="240" w:lineRule="auto"/>
              <w:jc w:val="center"/>
              <w:rPr>
                <w:noProof/>
              </w:rPr>
            </w:pPr>
            <w:r>
              <w:rPr>
                <w:noProof/>
              </w:rPr>
              <w:t>Étape</w:t>
            </w:r>
          </w:p>
        </w:tc>
        <w:tc>
          <w:tcPr>
            <w:tcW w:w="1897" w:type="dxa"/>
            <w:tcBorders>
              <w:top w:val="single" w:sz="4" w:space="0" w:color="auto"/>
              <w:left w:val="single" w:sz="4" w:space="0" w:color="auto"/>
              <w:bottom w:val="single" w:sz="4" w:space="0" w:color="auto"/>
              <w:right w:val="single" w:sz="4" w:space="0" w:color="auto"/>
            </w:tcBorders>
            <w:shd w:val="clear" w:color="auto" w:fill="C6EFCE"/>
            <w:noWrap/>
            <w:hideMark/>
          </w:tcPr>
          <w:p w14:paraId="1CEBD892" w14:textId="77777777" w:rsidR="00F74E13" w:rsidRDefault="009274FC">
            <w:pPr>
              <w:pStyle w:val="P68B1DB1-Normal15"/>
              <w:spacing w:after="0" w:line="240" w:lineRule="auto"/>
              <w:rPr>
                <w:noProof/>
              </w:rPr>
            </w:pPr>
            <w:r>
              <w:rPr>
                <w:noProof/>
              </w:rPr>
              <w:t>Modifications de la loi sur la biodiversité</w:t>
            </w:r>
          </w:p>
        </w:tc>
        <w:tc>
          <w:tcPr>
            <w:tcW w:w="1531" w:type="dxa"/>
            <w:tcBorders>
              <w:top w:val="single" w:sz="4" w:space="0" w:color="auto"/>
              <w:left w:val="single" w:sz="4" w:space="0" w:color="auto"/>
              <w:bottom w:val="single" w:sz="4" w:space="0" w:color="auto"/>
              <w:right w:val="single" w:sz="4" w:space="0" w:color="auto"/>
            </w:tcBorders>
            <w:shd w:val="clear" w:color="auto" w:fill="C6EFCE"/>
            <w:noWrap/>
            <w:hideMark/>
          </w:tcPr>
          <w:p w14:paraId="1CEBD893" w14:textId="77777777" w:rsidR="00F74E13" w:rsidRDefault="009274FC">
            <w:pPr>
              <w:pStyle w:val="P68B1DB1-Normal15"/>
              <w:spacing w:after="0" w:line="240" w:lineRule="auto"/>
              <w:rPr>
                <w:noProof/>
              </w:rPr>
            </w:pPr>
            <w:r>
              <w:rPr>
                <w:noProof/>
              </w:rPr>
              <w:t>Entrée en vigueur</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1CEBD894"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95" w14:textId="77777777" w:rsidR="00F74E13" w:rsidRDefault="00F74E13">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9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897" w14:textId="77777777" w:rsidR="00F74E13" w:rsidRDefault="009274FC">
            <w:pPr>
              <w:pStyle w:val="P68B1DB1-Normal15"/>
              <w:spacing w:after="0" w:line="240" w:lineRule="auto"/>
              <w:jc w:val="center"/>
              <w:rPr>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898" w14:textId="77777777" w:rsidR="00F74E13" w:rsidRDefault="009274FC">
            <w:pPr>
              <w:pStyle w:val="P68B1DB1-Normal15"/>
              <w:spacing w:after="0" w:line="240" w:lineRule="auto"/>
              <w:jc w:val="center"/>
              <w:rPr>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bottom"/>
            <w:hideMark/>
          </w:tcPr>
          <w:p w14:paraId="1CEBD899" w14:textId="77777777" w:rsidR="00F74E13" w:rsidRDefault="009274FC">
            <w:pPr>
              <w:pStyle w:val="P68B1DB1-Normal15"/>
              <w:spacing w:after="0" w:line="240" w:lineRule="auto"/>
              <w:jc w:val="both"/>
              <w:rPr>
                <w:noProof/>
              </w:rPr>
            </w:pPr>
            <w:r>
              <w:rPr>
                <w:noProof/>
              </w:rPr>
              <w:t>Les modifications apportées à la loi sur la biodiversité introduisent l’obligation de créer des structures pour la gestion du réseau Natura 2000 aux niveaux national et régional et d’élaborer des plans de gestion du réseau. Les modifications introduisent également l’exigence que toutes les zones protégées soient gérées sur la base de documents de planification, qui définissent des objectifs et des mesures de conservation spécifiques au site.</w:t>
            </w:r>
          </w:p>
        </w:tc>
      </w:tr>
    </w:tbl>
    <w:p w14:paraId="1CEBD89B" w14:textId="77777777" w:rsidR="00F74E13" w:rsidRDefault="00F74E13">
      <w:pPr>
        <w:tabs>
          <w:tab w:val="left" w:pos="3483"/>
        </w:tabs>
        <w:rPr>
          <w:rFonts w:ascii="Times New Roman" w:eastAsia="Calibri" w:hAnsi="Times New Roman" w:cs="Times New Roman"/>
          <w:b/>
          <w:noProof/>
        </w:rPr>
        <w:sectPr w:rsidR="00F74E13">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1CEBD89C" w14:textId="77777777" w:rsidR="00F74E13" w:rsidRDefault="009274FC">
      <w:pPr>
        <w:pStyle w:val="P68B1DB1-Normal5"/>
        <w:keepNext/>
        <w:pageBreakBefore/>
        <w:tabs>
          <w:tab w:val="left" w:pos="850"/>
        </w:tabs>
        <w:spacing w:before="360" w:after="120" w:line="240" w:lineRule="auto"/>
        <w:ind w:left="851" w:hanging="851"/>
        <w:jc w:val="both"/>
        <w:outlineLvl w:val="0"/>
        <w:rPr>
          <w:bCs/>
          <w:noProof/>
        </w:rPr>
      </w:pPr>
      <w:r>
        <w:rPr>
          <w:noProof/>
        </w:rPr>
        <w:t xml:space="preserve">F. Élément 6: Agriculture durable </w:t>
      </w:r>
    </w:p>
    <w:p w14:paraId="1CEBD89D" w14:textId="77777777" w:rsidR="00F74E13" w:rsidRDefault="009274FC">
      <w:pPr>
        <w:pStyle w:val="P68B1DB1-Normal6"/>
        <w:spacing w:before="120" w:after="0" w:line="240" w:lineRule="auto"/>
        <w:ind w:left="425"/>
        <w:jc w:val="both"/>
        <w:rPr>
          <w:noProof/>
        </w:rPr>
      </w:pPr>
      <w:r>
        <w:rPr>
          <w:noProof/>
        </w:rPr>
        <w:t>Ce volet du plan bulgare pour la reprise et la résilience vise à renforcer la gestion durable et la compétitivité du secteur agricole bulgare dans le contexte de la transition écologique.</w:t>
      </w:r>
    </w:p>
    <w:p w14:paraId="1CEBD89E" w14:textId="77777777" w:rsidR="00F74E13" w:rsidRDefault="009274FC">
      <w:pPr>
        <w:pStyle w:val="P68B1DB1-Normal6"/>
        <w:spacing w:before="120" w:after="0" w:line="240" w:lineRule="auto"/>
        <w:ind w:left="425"/>
        <w:jc w:val="both"/>
        <w:rPr>
          <w:noProof/>
        </w:rPr>
      </w:pPr>
      <w:r>
        <w:rPr>
          <w:noProof/>
        </w:rPr>
        <w:t>Ce volet contribue à donner suite aux recommandations par pays pour les années 2019 et 2020, qui recommandent d’axer les politiques d’investissement et les politiques liées à l’investissement sur la transition écologique (recommandation par pays no 3 de 2019 et recommandation par pays no 3 de 2020).</w:t>
      </w:r>
    </w:p>
    <w:p w14:paraId="1CEBD89F" w14:textId="77777777" w:rsidR="00F74E13" w:rsidRDefault="009274FC">
      <w:pPr>
        <w:pStyle w:val="P68B1DB1-Normal6"/>
        <w:spacing w:before="120" w:after="120" w:line="240" w:lineRule="auto"/>
        <w:ind w:left="426"/>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CEBD8A1" w14:textId="77777777" w:rsidR="00F74E13" w:rsidRDefault="009274FC">
      <w:pPr>
        <w:pStyle w:val="P68B1DB1-Normal8"/>
        <w:spacing w:before="120" w:after="120" w:line="240" w:lineRule="auto"/>
        <w:ind w:left="425"/>
        <w:jc w:val="both"/>
        <w:rPr>
          <w:i/>
          <w:noProof/>
          <w:color w:val="4F81BD"/>
        </w:rPr>
      </w:pPr>
      <w:r>
        <w:rPr>
          <w:noProof/>
        </w:rPr>
        <w:t>F.1. Description des réformes et des investissements pour le soutien financier non remboursable</w:t>
      </w:r>
    </w:p>
    <w:p w14:paraId="1CEBD8A2" w14:textId="77777777" w:rsidR="00F74E13" w:rsidRDefault="009274FC">
      <w:pPr>
        <w:pStyle w:val="P68B1DB1-Normal9"/>
        <w:spacing w:before="120" w:after="120" w:line="240" w:lineRule="auto"/>
        <w:ind w:left="425"/>
        <w:jc w:val="both"/>
        <w:rPr>
          <w:noProof/>
        </w:rPr>
      </w:pPr>
      <w:r>
        <w:rPr>
          <w:noProof/>
        </w:rPr>
        <w:t>Réforme 1 (C6.R1): Programme d'action national</w:t>
      </w:r>
    </w:p>
    <w:p w14:paraId="1CEBD8A3" w14:textId="77777777" w:rsidR="00F74E13" w:rsidRDefault="009274FC">
      <w:pPr>
        <w:pStyle w:val="P68B1DB1-Normal6"/>
        <w:spacing w:before="120" w:after="0" w:line="240" w:lineRule="auto"/>
        <w:ind w:left="425"/>
        <w:jc w:val="both"/>
        <w:rPr>
          <w:noProof/>
        </w:rPr>
      </w:pPr>
      <w:r>
        <w:rPr>
          <w:noProof/>
        </w:rPr>
        <w:t>L’objectif de cette réforme est de contribuer aux objectifs de la stratégie «De la ferme à la table» à l’horizon 2030.</w:t>
      </w:r>
    </w:p>
    <w:p w14:paraId="1CEBD8A4" w14:textId="77777777" w:rsidR="00F74E13" w:rsidRDefault="009274FC">
      <w:pPr>
        <w:pStyle w:val="P68B1DB1-Normal6"/>
        <w:spacing w:before="120" w:after="120" w:line="240" w:lineRule="auto"/>
        <w:ind w:left="425"/>
        <w:jc w:val="both"/>
        <w:rPr>
          <w:noProof/>
        </w:rPr>
      </w:pPr>
      <w:r>
        <w:rPr>
          <w:noProof/>
        </w:rPr>
        <w:t>La mesure consiste à adopter le programme d'action national.</w:t>
      </w:r>
    </w:p>
    <w:p w14:paraId="1CEBD8A6" w14:textId="77777777" w:rsidR="00F74E13" w:rsidRDefault="009274FC">
      <w:pPr>
        <w:pStyle w:val="P68B1DB1-Normal9"/>
        <w:spacing w:before="120" w:after="120" w:line="240" w:lineRule="auto"/>
        <w:ind w:left="426"/>
        <w:jc w:val="both"/>
        <w:rPr>
          <w:noProof/>
        </w:rPr>
      </w:pPr>
      <w:r>
        <w:rPr>
          <w:noProof/>
        </w:rPr>
        <w:t>Investissement 1 (C6.I1): Transition technologique et écologique de l'agriculture</w:t>
      </w:r>
    </w:p>
    <w:p w14:paraId="1CEBD8A7" w14:textId="77777777" w:rsidR="00F74E13" w:rsidRDefault="009274FC">
      <w:pPr>
        <w:pStyle w:val="P68B1DB1-Normal6"/>
        <w:spacing w:before="120" w:after="0" w:line="240" w:lineRule="auto"/>
        <w:ind w:left="425"/>
        <w:jc w:val="both"/>
        <w:rPr>
          <w:noProof/>
        </w:rPr>
      </w:pPr>
      <w:r>
        <w:rPr>
          <w:noProof/>
        </w:rPr>
        <w:t xml:space="preserve">L’objectif de cet investissement est de soutenir la transition technologique et écologique du secteur agricole bulgare. </w:t>
      </w:r>
    </w:p>
    <w:p w14:paraId="1CEBD8A8" w14:textId="2767345D" w:rsidR="00F74E13" w:rsidRDefault="009274FC">
      <w:pPr>
        <w:pStyle w:val="P68B1DB1-Normal41"/>
        <w:spacing w:before="120" w:after="120" w:line="240" w:lineRule="auto"/>
        <w:ind w:left="426"/>
        <w:jc w:val="both"/>
        <w:rPr>
          <w:rFonts w:hint="default"/>
          <w:noProof/>
        </w:rPr>
      </w:pPr>
      <w:r>
        <w:rPr>
          <w:noProof/>
        </w:rPr>
        <w:t>La mesure consiste en un ou plusieurs extraits du ou des paiements provenant du système d</w:t>
      </w:r>
      <w:r>
        <w:rPr>
          <w:noProof/>
        </w:rPr>
        <w:t>’</w:t>
      </w:r>
      <w:r>
        <w:rPr>
          <w:noProof/>
        </w:rPr>
        <w:t>information pour la gestion et le suivi des fonds de l</w:t>
      </w:r>
      <w:r>
        <w:rPr>
          <w:noProof/>
        </w:rPr>
        <w:t>’</w:t>
      </w:r>
      <w:r>
        <w:rPr>
          <w:noProof/>
        </w:rPr>
        <w:t>UE en Bulgarie (EUMIS) pour au moins 1 700 projets visant à promouvoir la transition technologique et écologique de l</w:t>
      </w:r>
      <w:r>
        <w:rPr>
          <w:noProof/>
        </w:rPr>
        <w:t>’</w:t>
      </w:r>
      <w:r>
        <w:rPr>
          <w:noProof/>
        </w:rPr>
        <w:t>agriculture.</w:t>
      </w:r>
    </w:p>
    <w:p w14:paraId="1CEBD8AA" w14:textId="77777777" w:rsidR="00F74E13" w:rsidRDefault="009274FC">
      <w:pPr>
        <w:pStyle w:val="P68B1DB1-Normal9"/>
        <w:spacing w:before="120" w:after="120" w:line="240" w:lineRule="auto"/>
        <w:ind w:left="426"/>
        <w:jc w:val="both"/>
        <w:rPr>
          <w:noProof/>
        </w:rPr>
      </w:pPr>
      <w:r>
        <w:rPr>
          <w:noProof/>
        </w:rPr>
        <w:t>Investissement 2 (C6.I2): Numérisation des processus de la ferme à la table</w:t>
      </w:r>
    </w:p>
    <w:p w14:paraId="1CEBD8AB" w14:textId="77777777" w:rsidR="00F74E13" w:rsidRDefault="009274FC">
      <w:pPr>
        <w:pStyle w:val="P68B1DB1-Normal6"/>
        <w:spacing w:before="120" w:after="120" w:line="240" w:lineRule="auto"/>
        <w:ind w:left="426"/>
        <w:jc w:val="both"/>
        <w:rPr>
          <w:noProof/>
        </w:rPr>
      </w:pPr>
      <w:r>
        <w:rPr>
          <w:noProof/>
        </w:rPr>
        <w:t>L’objectif de la mesure est de faciliter l’échange automatisé de données entre l’administration et les agriculteurs.</w:t>
      </w:r>
    </w:p>
    <w:p w14:paraId="1CEBD8AC" w14:textId="77777777" w:rsidR="00F74E13" w:rsidRDefault="009274FC">
      <w:pPr>
        <w:pStyle w:val="P68B1DB1-Normal6"/>
        <w:spacing w:before="120" w:after="120" w:line="240" w:lineRule="auto"/>
        <w:ind w:left="426"/>
        <w:jc w:val="both"/>
        <w:rPr>
          <w:noProof/>
        </w:rPr>
      </w:pPr>
      <w:r>
        <w:rPr>
          <w:noProof/>
        </w:rPr>
        <w:t>La mesure consiste à rendre accessible le système électronique d'information agricole.</w:t>
      </w:r>
    </w:p>
    <w:p w14:paraId="1CEBD8AD" w14:textId="77777777" w:rsidR="00F74E13" w:rsidRDefault="00F74E13">
      <w:pPr>
        <w:spacing w:before="120" w:after="120" w:line="240" w:lineRule="auto"/>
        <w:ind w:left="426"/>
        <w:jc w:val="both"/>
        <w:rPr>
          <w:rFonts w:ascii="Times New Roman" w:hAnsi="Times New Roman"/>
          <w:noProof/>
        </w:rPr>
        <w:sectPr w:rsidR="00F74E13">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1CEBD8AE" w14:textId="77777777" w:rsidR="00F74E13" w:rsidRDefault="009274FC">
      <w:pPr>
        <w:pStyle w:val="P68B1DB1-Normal8"/>
        <w:pageBreakBefore/>
        <w:spacing w:before="120" w:after="120" w:line="240" w:lineRule="auto"/>
        <w:ind w:left="851"/>
        <w:jc w:val="both"/>
        <w:rPr>
          <w:noProof/>
        </w:rPr>
      </w:pPr>
      <w:r>
        <w:rPr>
          <w:noProof/>
        </w:rPr>
        <w:t>F.2. Étapes, cibles, indicateurs et calendrier pour le suivi et la mise en œuvre du soutien financier non remboursable</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64"/>
        <w:gridCol w:w="1271"/>
        <w:gridCol w:w="1564"/>
        <w:gridCol w:w="1417"/>
        <w:gridCol w:w="1134"/>
        <w:gridCol w:w="1129"/>
        <w:gridCol w:w="993"/>
        <w:gridCol w:w="1134"/>
        <w:gridCol w:w="850"/>
        <w:gridCol w:w="3549"/>
      </w:tblGrid>
      <w:tr w:rsidR="00F74E13" w14:paraId="1CEBD8B7" w14:textId="77777777" w:rsidTr="00540AC2">
        <w:trPr>
          <w:trHeight w:val="927"/>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AF" w14:textId="77777777" w:rsidR="00F74E13" w:rsidRDefault="009274FC">
            <w:pPr>
              <w:pStyle w:val="P68B1DB1-Normal11"/>
              <w:spacing w:after="0"/>
              <w:jc w:val="center"/>
              <w:rPr>
                <w:noProof/>
              </w:rPr>
            </w:pPr>
            <w:r>
              <w:rPr>
                <w:noProof/>
              </w:rPr>
              <w:t>Numéro de série</w:t>
            </w:r>
          </w:p>
        </w:tc>
        <w:tc>
          <w:tcPr>
            <w:tcW w:w="1564"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0" w14:textId="77777777" w:rsidR="00F74E13" w:rsidRDefault="009274FC">
            <w:pPr>
              <w:pStyle w:val="P68B1DB1-Normal11"/>
              <w:spacing w:after="0"/>
              <w:jc w:val="center"/>
              <w:rPr>
                <w:noProof/>
              </w:rPr>
            </w:pPr>
            <w:r>
              <w:rPr>
                <w:noProof/>
              </w:rPr>
              <w:t>Mesure connexe (réforme ou investissement)</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1" w14:textId="77777777" w:rsidR="00F74E13" w:rsidRDefault="009274FC">
            <w:pPr>
              <w:pStyle w:val="P68B1DB1-Normal11"/>
              <w:spacing w:after="0"/>
              <w:jc w:val="center"/>
              <w:rPr>
                <w:noProof/>
              </w:rPr>
            </w:pPr>
            <w:r>
              <w:rPr>
                <w:noProof/>
              </w:rPr>
              <w:t>Étape/cible</w:t>
            </w:r>
          </w:p>
        </w:tc>
        <w:tc>
          <w:tcPr>
            <w:tcW w:w="1564"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2" w14:textId="77777777" w:rsidR="00F74E13" w:rsidRDefault="009274FC">
            <w:pPr>
              <w:pStyle w:val="P68B1DB1-Normal11"/>
              <w:spacing w:after="0"/>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3" w14:textId="77777777" w:rsidR="00F74E13" w:rsidRDefault="009274FC">
            <w:pPr>
              <w:pStyle w:val="P68B1DB1-Normal11"/>
              <w:spacing w:after="0"/>
              <w:jc w:val="center"/>
              <w:rPr>
                <w:noProof/>
              </w:rPr>
            </w:pPr>
            <w:r>
              <w:rPr>
                <w:noProof/>
              </w:rPr>
              <w:t xml:space="preserve">Indicateurs qualitatifs </w:t>
            </w:r>
            <w:r>
              <w:rPr>
                <w:noProof/>
              </w:rPr>
              <w:br/>
              <w:t>(pour les jalons)</w:t>
            </w:r>
          </w:p>
        </w:tc>
        <w:tc>
          <w:tcPr>
            <w:tcW w:w="3256" w:type="dxa"/>
            <w:gridSpan w:val="3"/>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4" w14:textId="77777777" w:rsidR="00F74E13" w:rsidRDefault="009274FC">
            <w:pPr>
              <w:pStyle w:val="P68B1DB1-Normal11"/>
              <w:spacing w:after="0"/>
              <w:jc w:val="center"/>
              <w:rPr>
                <w:noProof/>
              </w:rPr>
            </w:pPr>
            <w:r>
              <w:rPr>
                <w:noProof/>
              </w:rPr>
              <w:t xml:space="preserve">Indicateurs quantitatifs </w:t>
            </w:r>
            <w:r>
              <w:rPr>
                <w:noProof/>
              </w:rPr>
              <w:b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5" w14:textId="77777777" w:rsidR="00F74E13" w:rsidRDefault="009274FC">
            <w:pPr>
              <w:pStyle w:val="P68B1DB1-Normal11"/>
              <w:spacing w:after="0"/>
              <w:jc w:val="center"/>
              <w:rPr>
                <w:noProof/>
              </w:rPr>
            </w:pPr>
            <w:r>
              <w:rPr>
                <w:noProof/>
              </w:rPr>
              <w:t xml:space="preserve">Calendrier indicatif d'achèvement </w:t>
            </w:r>
          </w:p>
        </w:tc>
        <w:tc>
          <w:tcPr>
            <w:tcW w:w="3549"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6" w14:textId="77777777" w:rsidR="00F74E13" w:rsidRDefault="009274FC">
            <w:pPr>
              <w:pStyle w:val="P68B1DB1-Normal11"/>
              <w:spacing w:after="0"/>
              <w:jc w:val="center"/>
              <w:rPr>
                <w:noProof/>
              </w:rPr>
            </w:pPr>
            <w:r>
              <w:rPr>
                <w:noProof/>
              </w:rPr>
              <w:t>Description de chaque jalon et cible</w:t>
            </w:r>
          </w:p>
        </w:tc>
      </w:tr>
      <w:tr w:rsidR="00F74E13" w14:paraId="1CEBD8C3" w14:textId="77777777" w:rsidTr="00540AC2">
        <w:trPr>
          <w:trHeight w:val="704"/>
          <w:tblHeader/>
          <w:jc w:val="center"/>
        </w:trPr>
        <w:tc>
          <w:tcPr>
            <w:tcW w:w="988" w:type="dxa"/>
            <w:vMerge/>
            <w:hideMark/>
          </w:tcPr>
          <w:p w14:paraId="1CEBD8B8" w14:textId="77777777" w:rsidR="00F74E13" w:rsidRDefault="00F74E13">
            <w:pPr>
              <w:spacing w:after="0"/>
              <w:jc w:val="center"/>
              <w:rPr>
                <w:rFonts w:ascii="Times New Roman" w:hAnsi="Times New Roman"/>
                <w:b/>
                <w:noProof/>
                <w:sz w:val="20"/>
              </w:rPr>
            </w:pPr>
          </w:p>
        </w:tc>
        <w:tc>
          <w:tcPr>
            <w:tcW w:w="1564" w:type="dxa"/>
            <w:vMerge/>
            <w:vAlign w:val="center"/>
            <w:hideMark/>
          </w:tcPr>
          <w:p w14:paraId="1CEBD8B9" w14:textId="77777777" w:rsidR="00F74E13" w:rsidRDefault="00F74E13">
            <w:pPr>
              <w:spacing w:after="0"/>
              <w:rPr>
                <w:rFonts w:ascii="Times New Roman" w:hAnsi="Times New Roman"/>
                <w:b/>
                <w:noProof/>
                <w:sz w:val="20"/>
              </w:rPr>
            </w:pPr>
          </w:p>
        </w:tc>
        <w:tc>
          <w:tcPr>
            <w:tcW w:w="1271" w:type="dxa"/>
            <w:vMerge/>
            <w:vAlign w:val="center"/>
            <w:hideMark/>
          </w:tcPr>
          <w:p w14:paraId="1CEBD8BA" w14:textId="77777777" w:rsidR="00F74E13" w:rsidRDefault="00F74E13">
            <w:pPr>
              <w:spacing w:after="0"/>
              <w:jc w:val="center"/>
              <w:rPr>
                <w:rFonts w:ascii="Times New Roman" w:hAnsi="Times New Roman"/>
                <w:b/>
                <w:noProof/>
                <w:sz w:val="20"/>
              </w:rPr>
            </w:pPr>
          </w:p>
        </w:tc>
        <w:tc>
          <w:tcPr>
            <w:tcW w:w="1564" w:type="dxa"/>
            <w:vMerge/>
            <w:vAlign w:val="center"/>
            <w:hideMark/>
          </w:tcPr>
          <w:p w14:paraId="1CEBD8BB" w14:textId="77777777" w:rsidR="00F74E13" w:rsidRDefault="00F74E13">
            <w:pPr>
              <w:spacing w:after="0"/>
              <w:rPr>
                <w:rFonts w:ascii="Times New Roman" w:hAnsi="Times New Roman"/>
                <w:b/>
                <w:noProof/>
                <w:sz w:val="20"/>
              </w:rPr>
            </w:pPr>
          </w:p>
        </w:tc>
        <w:tc>
          <w:tcPr>
            <w:tcW w:w="1417" w:type="dxa"/>
            <w:vMerge/>
            <w:vAlign w:val="center"/>
            <w:hideMark/>
          </w:tcPr>
          <w:p w14:paraId="1CEBD8BC" w14:textId="77777777" w:rsidR="00F74E13" w:rsidRDefault="00F74E13">
            <w:pPr>
              <w:spacing w:after="0"/>
              <w:rPr>
                <w:rFonts w:ascii="Times New Roman" w:hAnsi="Times New Roman"/>
                <w:b/>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D" w14:textId="77777777" w:rsidR="00F74E13" w:rsidRDefault="009274FC">
            <w:pPr>
              <w:pStyle w:val="P68B1DB1-Normal11"/>
              <w:spacing w:after="0"/>
              <w:jc w:val="center"/>
              <w:rPr>
                <w:noProof/>
              </w:rPr>
            </w:pPr>
            <w:r>
              <w:rPr>
                <w:noProof/>
              </w:rPr>
              <w:t>Unité de mesure</w:t>
            </w:r>
          </w:p>
        </w:tc>
        <w:tc>
          <w:tcPr>
            <w:tcW w:w="1129"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E" w14:textId="77777777" w:rsidR="00F74E13" w:rsidRDefault="009274FC">
            <w:pPr>
              <w:pStyle w:val="P68B1DB1-Normal11"/>
              <w:spacing w:after="0"/>
              <w:jc w:val="center"/>
              <w:rPr>
                <w:noProof/>
              </w:rPr>
            </w:pPr>
            <w:r>
              <w:rPr>
                <w:noProof/>
              </w:rPr>
              <w:t xml:space="preserve">Données de référence </w:t>
            </w:r>
          </w:p>
        </w:tc>
        <w:tc>
          <w:tcPr>
            <w:tcW w:w="993"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F" w14:textId="77777777" w:rsidR="00F74E13" w:rsidRDefault="009274FC">
            <w:pPr>
              <w:pStyle w:val="P68B1DB1-Normal11"/>
              <w:spacing w:after="0"/>
              <w:jc w:val="center"/>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C0" w14:textId="77777777" w:rsidR="00F74E13" w:rsidRDefault="009274FC">
            <w:pPr>
              <w:pStyle w:val="P68B1DB1-Normal11"/>
              <w:spacing w:after="0"/>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C1" w14:textId="77777777" w:rsidR="00F74E13" w:rsidRDefault="009274FC">
            <w:pPr>
              <w:pStyle w:val="P68B1DB1-Normal11"/>
              <w:spacing w:after="0"/>
              <w:jc w:val="center"/>
              <w:rPr>
                <w:noProof/>
              </w:rPr>
            </w:pPr>
            <w:r>
              <w:rPr>
                <w:noProof/>
              </w:rPr>
              <w:t>Année</w:t>
            </w:r>
          </w:p>
        </w:tc>
        <w:tc>
          <w:tcPr>
            <w:tcW w:w="3549" w:type="dxa"/>
            <w:vMerge/>
            <w:vAlign w:val="center"/>
            <w:hideMark/>
          </w:tcPr>
          <w:p w14:paraId="1CEBD8C2" w14:textId="77777777" w:rsidR="00F74E13" w:rsidRDefault="00F74E13">
            <w:pPr>
              <w:spacing w:after="0"/>
              <w:jc w:val="both"/>
              <w:rPr>
                <w:rFonts w:ascii="Times New Roman" w:hAnsi="Times New Roman"/>
                <w:b/>
                <w:noProof/>
                <w:sz w:val="20"/>
              </w:rPr>
            </w:pPr>
          </w:p>
        </w:tc>
      </w:tr>
      <w:tr w:rsidR="00F74E13" w14:paraId="1CEBD8D1" w14:textId="77777777" w:rsidTr="00540AC2">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C4" w14:textId="77777777" w:rsidR="00F74E13" w:rsidRDefault="009274FC">
            <w:pPr>
              <w:pStyle w:val="P68B1DB1-Normal12"/>
              <w:spacing w:after="0" w:line="240" w:lineRule="auto"/>
              <w:jc w:val="center"/>
              <w:rPr>
                <w:noProof/>
              </w:rPr>
            </w:pPr>
            <w:r>
              <w:rPr>
                <w:noProof/>
              </w:rPr>
              <w:t>131</w:t>
            </w:r>
          </w:p>
        </w:tc>
        <w:tc>
          <w:tcPr>
            <w:tcW w:w="1564" w:type="dxa"/>
            <w:tcBorders>
              <w:top w:val="single" w:sz="4" w:space="0" w:color="auto"/>
              <w:left w:val="single" w:sz="4" w:space="0" w:color="auto"/>
              <w:bottom w:val="single" w:sz="4" w:space="0" w:color="auto"/>
              <w:right w:val="single" w:sz="4" w:space="0" w:color="auto"/>
            </w:tcBorders>
            <w:shd w:val="clear" w:color="auto" w:fill="C6EFCE"/>
            <w:noWrap/>
          </w:tcPr>
          <w:p w14:paraId="1CEBD8C5" w14:textId="77777777" w:rsidR="00F74E13" w:rsidRDefault="009274FC">
            <w:pPr>
              <w:pStyle w:val="P68B1DB1-Normal12"/>
              <w:spacing w:after="0" w:line="240" w:lineRule="auto"/>
              <w:rPr>
                <w:noProof/>
              </w:rPr>
            </w:pPr>
            <w:r>
              <w:rPr>
                <w:noProof/>
              </w:rPr>
              <w:t xml:space="preserve">C6.R1 : </w:t>
            </w:r>
          </w:p>
          <w:p w14:paraId="1CEBD8C6" w14:textId="77777777" w:rsidR="00F74E13" w:rsidRDefault="009274FC">
            <w:pPr>
              <w:pStyle w:val="P68B1DB1-Normal12"/>
              <w:spacing w:after="0" w:line="240" w:lineRule="auto"/>
              <w:rPr>
                <w:noProof/>
              </w:rPr>
            </w:pPr>
            <w:r>
              <w:rPr>
                <w:noProof/>
              </w:rPr>
              <w:t>Programme d'action national</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1CEBD8C7" w14:textId="77777777" w:rsidR="00F74E13" w:rsidRDefault="009274FC">
            <w:pPr>
              <w:pStyle w:val="P68B1DB1-Normal12"/>
              <w:spacing w:after="0" w:line="240" w:lineRule="auto"/>
              <w:jc w:val="center"/>
              <w:rPr>
                <w:noProof/>
              </w:rPr>
            </w:pPr>
            <w:r>
              <w:rPr>
                <w:noProof/>
              </w:rPr>
              <w:t>Étape</w:t>
            </w:r>
          </w:p>
        </w:tc>
        <w:tc>
          <w:tcPr>
            <w:tcW w:w="1564" w:type="dxa"/>
            <w:tcBorders>
              <w:top w:val="single" w:sz="4" w:space="0" w:color="auto"/>
              <w:left w:val="single" w:sz="4" w:space="0" w:color="auto"/>
              <w:bottom w:val="single" w:sz="4" w:space="0" w:color="auto"/>
              <w:right w:val="single" w:sz="4" w:space="0" w:color="auto"/>
            </w:tcBorders>
            <w:shd w:val="clear" w:color="auto" w:fill="C6EFCE"/>
            <w:noWrap/>
          </w:tcPr>
          <w:p w14:paraId="1CEBD8C8" w14:textId="77777777" w:rsidR="00F74E13" w:rsidRDefault="009274FC">
            <w:pPr>
              <w:pStyle w:val="P68B1DB1-Normal12"/>
              <w:spacing w:after="0" w:line="240" w:lineRule="auto"/>
              <w:rPr>
                <w:noProof/>
              </w:rPr>
            </w:pPr>
            <w:r>
              <w:rPr>
                <w:noProof/>
              </w:rPr>
              <w:t xml:space="preserve">Adoption du programme d'action national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C9" w14:textId="77777777" w:rsidR="00F74E13" w:rsidRDefault="009274FC">
            <w:pPr>
              <w:pStyle w:val="P68B1DB1-Normal12"/>
              <w:spacing w:after="0" w:line="240" w:lineRule="auto"/>
              <w:rPr>
                <w:noProof/>
              </w:rPr>
            </w:pPr>
            <w:r>
              <w:rPr>
                <w:noProof/>
              </w:rPr>
              <w:t>Adoption par le Conseil des ministres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CA" w14:textId="77777777" w:rsidR="00F74E13" w:rsidRDefault="00F74E13">
            <w:pPr>
              <w:spacing w:after="0" w:line="240" w:lineRule="auto"/>
              <w:rPr>
                <w:rFonts w:ascii="Times New Roman" w:hAnsi="Times New Roman" w:cs="Times New Roman"/>
                <w:noProof/>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EBD8CB" w14:textId="77777777" w:rsidR="00F74E13" w:rsidRDefault="00F74E13">
            <w:pPr>
              <w:spacing w:after="0" w:line="240" w:lineRule="auto"/>
              <w:rPr>
                <w:rFonts w:ascii="Times New Roman" w:hAnsi="Times New Roman" w:cs="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CC" w14:textId="77777777" w:rsidR="00F74E13" w:rsidRDefault="00F74E13">
            <w:pPr>
              <w:spacing w:after="0" w:line="240" w:lineRule="auto"/>
              <w:rPr>
                <w:rFonts w:ascii="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CD" w14:textId="77777777" w:rsidR="00F74E13" w:rsidRDefault="009274FC">
            <w:pPr>
              <w:pStyle w:val="P68B1DB1-Normal35"/>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CE" w14:textId="77777777" w:rsidR="00F74E13" w:rsidRDefault="009274FC">
            <w:pPr>
              <w:pStyle w:val="P68B1DB1-Normal35"/>
              <w:spacing w:after="0" w:line="240" w:lineRule="auto"/>
              <w:jc w:val="center"/>
              <w:rPr>
                <w:noProof/>
              </w:rPr>
            </w:pPr>
            <w:r>
              <w:rPr>
                <w:noProof/>
              </w:rPr>
              <w:t>2025</w:t>
            </w:r>
          </w:p>
        </w:tc>
        <w:tc>
          <w:tcPr>
            <w:tcW w:w="3549"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EBD8D0" w14:textId="0835F05C" w:rsidR="00F74E13" w:rsidRDefault="009274FC">
            <w:pPr>
              <w:pStyle w:val="P68B1DB1-Normal12"/>
              <w:spacing w:after="0" w:line="240" w:lineRule="auto"/>
              <w:jc w:val="both"/>
              <w:rPr>
                <w:noProof/>
              </w:rPr>
            </w:pPr>
            <w:r>
              <w:rPr>
                <w:noProof/>
              </w:rPr>
              <w:t xml:space="preserve">Le programme d’action national visant à contribuer à la réalisation des objectifs de la stratégie «De la ferme à la table» à l’horizon 2030 est adopté. </w:t>
            </w:r>
          </w:p>
        </w:tc>
      </w:tr>
      <w:tr w:rsidR="00F74E13" w14:paraId="1CEBD8E0" w14:textId="77777777" w:rsidTr="00540AC2">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D2" w14:textId="77777777" w:rsidR="00F74E13" w:rsidRDefault="009274FC">
            <w:pPr>
              <w:pStyle w:val="P68B1DB1-Normal13"/>
              <w:spacing w:after="0"/>
              <w:jc w:val="center"/>
              <w:rPr>
                <w:noProof/>
              </w:rPr>
            </w:pPr>
            <w:r>
              <w:rPr>
                <w:noProof/>
              </w:rPr>
              <w:t>134</w:t>
            </w:r>
          </w:p>
        </w:tc>
        <w:tc>
          <w:tcPr>
            <w:tcW w:w="1564" w:type="dxa"/>
            <w:tcBorders>
              <w:top w:val="single" w:sz="4" w:space="0" w:color="auto"/>
              <w:left w:val="single" w:sz="4" w:space="0" w:color="auto"/>
              <w:bottom w:val="single" w:sz="4" w:space="0" w:color="auto"/>
              <w:right w:val="single" w:sz="4" w:space="0" w:color="auto"/>
            </w:tcBorders>
            <w:shd w:val="clear" w:color="auto" w:fill="C6EFCE"/>
            <w:noWrap/>
          </w:tcPr>
          <w:p w14:paraId="1CEBD8D3" w14:textId="77777777" w:rsidR="00F74E13" w:rsidRDefault="009274FC">
            <w:pPr>
              <w:pStyle w:val="P68B1DB1-Normal15"/>
              <w:spacing w:after="0" w:line="240" w:lineRule="auto"/>
              <w:rPr>
                <w:noProof/>
              </w:rPr>
            </w:pPr>
            <w:r>
              <w:rPr>
                <w:noProof/>
              </w:rPr>
              <w:t>C6.I1 : </w:t>
            </w:r>
          </w:p>
          <w:p w14:paraId="1CEBD8D4" w14:textId="77777777" w:rsidR="00F74E13" w:rsidRDefault="009274FC">
            <w:pPr>
              <w:pStyle w:val="P68B1DB1-Normal15"/>
              <w:spacing w:after="0" w:line="240" w:lineRule="auto"/>
              <w:rPr>
                <w:noProof/>
              </w:rPr>
            </w:pPr>
            <w:r>
              <w:rPr>
                <w:noProof/>
              </w:rPr>
              <w:t>Transition technologique et écologique de l'agriculture</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1CEBD8D5" w14:textId="77777777" w:rsidR="00F74E13" w:rsidRDefault="009274FC">
            <w:pPr>
              <w:pStyle w:val="P68B1DB1-Normal12"/>
              <w:spacing w:after="0" w:line="240" w:lineRule="auto"/>
              <w:jc w:val="center"/>
              <w:rPr>
                <w:noProof/>
              </w:rPr>
            </w:pPr>
            <w:r>
              <w:rPr>
                <w:noProof/>
              </w:rPr>
              <w:t>Objectif</w:t>
            </w:r>
          </w:p>
        </w:tc>
        <w:tc>
          <w:tcPr>
            <w:tcW w:w="1564" w:type="dxa"/>
            <w:tcBorders>
              <w:top w:val="single" w:sz="4" w:space="0" w:color="auto"/>
              <w:left w:val="single" w:sz="4" w:space="0" w:color="auto"/>
              <w:bottom w:val="single" w:sz="4" w:space="0" w:color="auto"/>
              <w:right w:val="single" w:sz="4" w:space="0" w:color="auto"/>
            </w:tcBorders>
            <w:shd w:val="clear" w:color="auto" w:fill="C6EFCE"/>
            <w:noWrap/>
          </w:tcPr>
          <w:p w14:paraId="1CEBD8D6" w14:textId="5AC6B1BF" w:rsidR="00F74E13" w:rsidRDefault="009274FC">
            <w:pPr>
              <w:pStyle w:val="P68B1DB1-Normal12"/>
              <w:spacing w:after="0" w:line="240" w:lineRule="auto"/>
              <w:rPr>
                <w:noProof/>
              </w:rPr>
            </w:pPr>
            <w:r>
              <w:rPr>
                <w:noProof/>
              </w:rPr>
              <w:t>Extrait(s) sur paiement(s)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D7" w14:textId="0B019BCD" w:rsidR="00F74E13" w:rsidRDefault="00F74E13">
            <w:pPr>
              <w:spacing w:after="0" w:line="240" w:lineRule="auto"/>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D8" w14:textId="77777777" w:rsidR="00F74E13" w:rsidRDefault="009274FC">
            <w:pPr>
              <w:pStyle w:val="P68B1DB1-Normal12"/>
              <w:spacing w:after="0" w:line="240" w:lineRule="auto"/>
              <w:jc w:val="center"/>
              <w:rPr>
                <w:noProof/>
              </w:rPr>
            </w:pPr>
            <w:r>
              <w:rPr>
                <w:noProof/>
              </w:rPr>
              <w:t>Numéro</w:t>
            </w:r>
          </w:p>
        </w:tc>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EBD8D9" w14:textId="77777777" w:rsidR="00F74E13" w:rsidRDefault="009274FC">
            <w:pPr>
              <w:pStyle w:val="P68B1DB1-Normal12"/>
              <w:spacing w:after="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DA" w14:textId="77777777" w:rsidR="00F74E13" w:rsidRDefault="009274FC">
            <w:pPr>
              <w:pStyle w:val="P68B1DB1-Normal12"/>
              <w:spacing w:after="0" w:line="240" w:lineRule="auto"/>
              <w:jc w:val="center"/>
              <w:rPr>
                <w:noProof/>
              </w:rPr>
            </w:pPr>
            <w:r>
              <w:rPr>
                <w:noProof/>
              </w:rPr>
              <w:t>1 700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DB" w14:textId="77777777" w:rsidR="00F74E13" w:rsidRDefault="009274FC">
            <w:pPr>
              <w:pStyle w:val="P68B1DB1-Normal12"/>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DC" w14:textId="77777777" w:rsidR="00F74E13" w:rsidRDefault="009274FC">
            <w:pPr>
              <w:pStyle w:val="P68B1DB1-Normal12"/>
              <w:spacing w:after="0" w:line="240" w:lineRule="auto"/>
              <w:jc w:val="center"/>
              <w:rPr>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EBD8DF" w14:textId="2D67F038" w:rsidR="00F74E13" w:rsidRDefault="009274FC">
            <w:pPr>
              <w:pStyle w:val="P68B1DB1-Normal12"/>
              <w:spacing w:after="0" w:line="240" w:lineRule="auto"/>
              <w:jc w:val="both"/>
              <w:rPr>
                <w:noProof/>
              </w:rPr>
            </w:pPr>
            <w:r>
              <w:rPr>
                <w:noProof/>
              </w:rPr>
              <w:t>Extrait(s) du ou des paiements provenant du système d’information pour la gestion et le suivi des fonds de l’UE en Bulgarie (EUMIS) pour au moins 1 700 projets visant à promouvoir la transition technologique et écologique de l’agriculture.</w:t>
            </w:r>
          </w:p>
        </w:tc>
      </w:tr>
      <w:tr w:rsidR="00F74E13" w14:paraId="1CEBD8ED" w14:textId="77777777" w:rsidTr="00540AC2">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8E1" w14:textId="77777777" w:rsidR="00F74E13" w:rsidRDefault="009274FC">
            <w:pPr>
              <w:pStyle w:val="P68B1DB1-Normal15"/>
              <w:spacing w:after="0"/>
              <w:jc w:val="center"/>
              <w:rPr>
                <w:noProof/>
              </w:rPr>
            </w:pPr>
            <w:r>
              <w:rPr>
                <w:noProof/>
              </w:rPr>
              <w:t>136</w:t>
            </w:r>
          </w:p>
        </w:tc>
        <w:tc>
          <w:tcPr>
            <w:tcW w:w="1564" w:type="dxa"/>
            <w:tcBorders>
              <w:top w:val="single" w:sz="4" w:space="0" w:color="auto"/>
              <w:left w:val="single" w:sz="4" w:space="0" w:color="auto"/>
              <w:bottom w:val="single" w:sz="4" w:space="0" w:color="auto"/>
              <w:right w:val="single" w:sz="4" w:space="0" w:color="auto"/>
            </w:tcBorders>
            <w:shd w:val="clear" w:color="auto" w:fill="C6EFCE"/>
            <w:noWrap/>
          </w:tcPr>
          <w:p w14:paraId="1CEBD8E2" w14:textId="77777777" w:rsidR="00F74E13" w:rsidRDefault="009274FC">
            <w:pPr>
              <w:pStyle w:val="P68B1DB1-Normal15"/>
              <w:spacing w:after="0" w:line="240" w:lineRule="auto"/>
              <w:rPr>
                <w:noProof/>
              </w:rPr>
            </w:pPr>
            <w:r>
              <w:rPr>
                <w:noProof/>
              </w:rPr>
              <w:t>C6.I2 :</w:t>
            </w:r>
          </w:p>
          <w:p w14:paraId="1CEBD8E3" w14:textId="77777777" w:rsidR="00F74E13" w:rsidRDefault="009274FC">
            <w:pPr>
              <w:pStyle w:val="P68B1DB1-Normal15"/>
              <w:spacing w:after="0" w:line="240" w:lineRule="auto"/>
              <w:rPr>
                <w:noProof/>
              </w:rPr>
            </w:pPr>
            <w:r>
              <w:rPr>
                <w:noProof/>
              </w:rPr>
              <w:t>Numérisation des processus de la ferme à la table</w:t>
            </w:r>
          </w:p>
        </w:tc>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1CEBD8E4" w14:textId="77777777" w:rsidR="00F74E13" w:rsidRDefault="009274FC">
            <w:pPr>
              <w:pStyle w:val="P68B1DB1-Normal15"/>
              <w:spacing w:after="0"/>
              <w:jc w:val="center"/>
              <w:rPr>
                <w:noProof/>
              </w:rPr>
            </w:pPr>
            <w:r>
              <w:rPr>
                <w:noProof/>
              </w:rPr>
              <w:t>Étape</w:t>
            </w:r>
          </w:p>
        </w:tc>
        <w:tc>
          <w:tcPr>
            <w:tcW w:w="1564" w:type="dxa"/>
            <w:tcBorders>
              <w:top w:val="single" w:sz="4" w:space="0" w:color="auto"/>
              <w:left w:val="single" w:sz="4" w:space="0" w:color="auto"/>
              <w:bottom w:val="single" w:sz="4" w:space="0" w:color="auto"/>
              <w:right w:val="single" w:sz="4" w:space="0" w:color="auto"/>
            </w:tcBorders>
            <w:shd w:val="clear" w:color="auto" w:fill="C6EFCE"/>
            <w:noWrap/>
          </w:tcPr>
          <w:p w14:paraId="1CEBD8E5" w14:textId="77777777" w:rsidR="00F74E13" w:rsidRDefault="009274FC">
            <w:pPr>
              <w:pStyle w:val="P68B1DB1-Normal15"/>
              <w:spacing w:after="0" w:line="240" w:lineRule="auto"/>
              <w:rPr>
                <w:noProof/>
                <w:szCs w:val="20"/>
              </w:rPr>
            </w:pPr>
            <w:r>
              <w:rPr>
                <w:noProof/>
              </w:rPr>
              <w:t>Système électronique d'information agricole</w:t>
            </w:r>
            <w:r>
              <w:rPr>
                <w:noProof/>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E6" w14:textId="77777777" w:rsidR="00F74E13" w:rsidRDefault="009274FC">
            <w:pPr>
              <w:pStyle w:val="P68B1DB1-Normal22"/>
              <w:spacing w:after="0" w:line="240" w:lineRule="auto"/>
              <w:rPr>
                <w:rFonts w:ascii="Times New Roman" w:hAnsi="Times New Roman"/>
                <w:noProof/>
                <w:szCs w:val="20"/>
              </w:rPr>
            </w:pPr>
            <w:r>
              <w:rPr>
                <w:rFonts w:ascii="Times New Roman" w:hAnsi="Times New Roman"/>
                <w:noProof/>
              </w:rPr>
              <w:t>Système électronique d'information agricole</w:t>
            </w:r>
            <w:r>
              <w:rPr>
                <w:noProof/>
                <w:szCs w:val="20"/>
              </w:rPr>
              <w:t xml:space="preserve"> </w:t>
            </w:r>
            <w:r>
              <w:rPr>
                <w:rFonts w:ascii="Times New Roman" w:hAnsi="Times New Roman"/>
                <w:noProof/>
              </w:rPr>
              <w:t>accessible</w:t>
            </w:r>
            <w:r>
              <w:rPr>
                <w:noProof/>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E7" w14:textId="77777777" w:rsidR="00F74E13" w:rsidRDefault="009274FC">
            <w:pPr>
              <w:pStyle w:val="P68B1DB1-Normal15"/>
              <w:spacing w:after="0"/>
              <w:jc w:val="center"/>
              <w:rPr>
                <w:noProof/>
              </w:rPr>
            </w:pPr>
            <w:r>
              <w:rPr>
                <w:noProof/>
              </w:rPr>
              <w:t> </w:t>
            </w:r>
          </w:p>
        </w:tc>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EBD8E8" w14:textId="77777777" w:rsidR="00F74E13" w:rsidRDefault="009274FC">
            <w:pPr>
              <w:pStyle w:val="P68B1DB1-Normal15"/>
              <w:spacing w:after="0"/>
              <w:jc w:val="center"/>
              <w:rPr>
                <w:noProof/>
              </w:rPr>
            </w:pPr>
            <w:r>
              <w:rPr>
                <w:noProof/>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E9" w14:textId="77777777" w:rsidR="00F74E13" w:rsidRDefault="009274FC">
            <w:pPr>
              <w:pStyle w:val="P68B1DB1-Normal15"/>
              <w:spacing w:after="0"/>
              <w:jc w:val="center"/>
              <w:rPr>
                <w:noProof/>
              </w:rPr>
            </w:pPr>
            <w:r>
              <w:rPr>
                <w:noProof/>
              </w:rPr>
              <w: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EA" w14:textId="77777777" w:rsidR="00F74E13" w:rsidRDefault="009274FC">
            <w:pPr>
              <w:pStyle w:val="P68B1DB1-Normal15"/>
              <w:spacing w:after="0"/>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8EB" w14:textId="77777777" w:rsidR="00F74E13" w:rsidRDefault="009274FC">
            <w:pPr>
              <w:pStyle w:val="P68B1DB1-Normal15"/>
              <w:spacing w:after="0"/>
              <w:jc w:val="center"/>
              <w:rPr>
                <w:noProof/>
              </w:rPr>
            </w:pPr>
            <w:r>
              <w:rPr>
                <w:noProof/>
              </w:rPr>
              <w:t>2025</w:t>
            </w:r>
          </w:p>
        </w:tc>
        <w:tc>
          <w:tcPr>
            <w:tcW w:w="3549" w:type="dxa"/>
            <w:tcBorders>
              <w:top w:val="single" w:sz="4" w:space="0" w:color="auto"/>
              <w:left w:val="single" w:sz="4" w:space="0" w:color="auto"/>
              <w:bottom w:val="single" w:sz="4" w:space="0" w:color="auto"/>
              <w:right w:val="single" w:sz="4" w:space="0" w:color="auto"/>
            </w:tcBorders>
            <w:shd w:val="clear" w:color="auto" w:fill="C6EFCE"/>
            <w:noWrap/>
          </w:tcPr>
          <w:p w14:paraId="1CEBD8EC" w14:textId="77777777" w:rsidR="00F74E13" w:rsidRDefault="009274FC">
            <w:pPr>
              <w:pStyle w:val="P68B1DB1-Normal13"/>
              <w:spacing w:line="240" w:lineRule="auto"/>
              <w:jc w:val="both"/>
              <w:rPr>
                <w:noProof/>
              </w:rPr>
            </w:pPr>
            <w:r>
              <w:rPr>
                <w:noProof/>
              </w:rPr>
              <w:t xml:space="preserve">Un protocole d'acceptation et de livraison est délivré, confirmant que le système électronique d'information agricole, y compris le réseau de communication des capteurs de champ et de pluie et quatre modules supplémentaires, est accessible. </w:t>
            </w:r>
          </w:p>
        </w:tc>
      </w:tr>
    </w:tbl>
    <w:p w14:paraId="1CEBD8EE" w14:textId="77777777" w:rsidR="00F74E13" w:rsidRDefault="00F74E13">
      <w:pPr>
        <w:rPr>
          <w:rFonts w:ascii="Times New Roman" w:eastAsia="Calibri" w:hAnsi="Times New Roman" w:cs="Times New Roman"/>
          <w:noProof/>
        </w:rPr>
      </w:pPr>
    </w:p>
    <w:p w14:paraId="1CEBD8EF" w14:textId="77777777" w:rsidR="00F74E13" w:rsidRDefault="00F74E13">
      <w:pPr>
        <w:pageBreakBefore/>
        <w:spacing w:before="360" w:after="120" w:line="240" w:lineRule="auto"/>
        <w:ind w:left="851"/>
        <w:outlineLvl w:val="0"/>
        <w:rPr>
          <w:rFonts w:ascii="Times New Roman" w:hAnsi="Times New Roman"/>
          <w:b/>
          <w:smallCaps/>
          <w:noProof/>
        </w:rPr>
        <w:sectPr w:rsidR="00F74E13">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CEBD8F0" w14:textId="77777777" w:rsidR="00F74E13" w:rsidRDefault="009274FC">
      <w:pPr>
        <w:pStyle w:val="P68B1DB1-Normal5"/>
        <w:pageBreakBefore/>
        <w:spacing w:before="360" w:after="120" w:line="240" w:lineRule="auto"/>
        <w:outlineLvl w:val="0"/>
        <w:rPr>
          <w:noProof/>
        </w:rPr>
      </w:pPr>
      <w:r>
        <w:rPr>
          <w:noProof/>
        </w:rPr>
        <w:t xml:space="preserve">G. Élément 7: Connectivité numérique </w:t>
      </w:r>
    </w:p>
    <w:p w14:paraId="1CEBD8F1" w14:textId="77777777" w:rsidR="00F74E13" w:rsidRDefault="009274FC">
      <w:pPr>
        <w:pStyle w:val="Text1"/>
        <w:spacing w:after="0"/>
        <w:ind w:left="425"/>
        <w:rPr>
          <w:noProof/>
        </w:rPr>
      </w:pPr>
      <w:r>
        <w:rPr>
          <w:noProof/>
        </w:rPr>
        <w:t xml:space="preserve">Ce volet du plan bulgare pour la reprise et la résilience contient des mesures visant à mettre en place une infrastructure numérique moderne et sécurisée et à maximiser l’accès aux services en ligne pour les citoyens, les entreprises, les administrations publiques et les institutions, en particulier dans les zones rurales et reculées. </w:t>
      </w:r>
    </w:p>
    <w:p w14:paraId="1CEBD8F2" w14:textId="77777777" w:rsidR="00F74E13" w:rsidRDefault="009274FC">
      <w:pPr>
        <w:pStyle w:val="Text1"/>
        <w:spacing w:after="0"/>
        <w:ind w:left="425"/>
        <w:rPr>
          <w:rFonts w:eastAsiaTheme="minorEastAsia"/>
          <w:noProof/>
        </w:rPr>
      </w:pPr>
      <w:r>
        <w:rPr>
          <w:noProof/>
        </w:rPr>
        <w:t>Les investissements inclus dans ce volet concernent l’expansion à grande échelle de l’infrastructure numérique,</w:t>
      </w:r>
      <w:r>
        <w:rPr>
          <w:rFonts w:eastAsiaTheme="minorEastAsia"/>
          <w:noProof/>
        </w:rPr>
        <w:t xml:space="preserve"> </w:t>
      </w:r>
      <w:r>
        <w:rPr>
          <w:noProof/>
        </w:rPr>
        <w:t>du système numérique TETRA et du réseau de relais radio.</w:t>
      </w:r>
    </w:p>
    <w:p w14:paraId="1CEBD8F3" w14:textId="77777777" w:rsidR="00F74E13" w:rsidRDefault="009274FC">
      <w:pPr>
        <w:pStyle w:val="Text1"/>
        <w:spacing w:after="0"/>
        <w:ind w:left="425"/>
        <w:rPr>
          <w:rFonts w:eastAsiaTheme="minorEastAsia"/>
          <w:noProof/>
        </w:rPr>
      </w:pPr>
      <w:r>
        <w:rPr>
          <w:noProof/>
        </w:rPr>
        <w:t>Les réformes incluses dans ce volet visent à contribuer à</w:t>
      </w:r>
      <w:r>
        <w:rPr>
          <w:rFonts w:eastAsiaTheme="minorEastAsia"/>
          <w:noProof/>
        </w:rPr>
        <w:t xml:space="preserve"> l’élaboration et à la mise en œuvre d’un cadre politique et réglementaire efficace, à l’attribution du spectre des radiofréquences pour le développement des réseaux et services 5G et à la création d’un environnement d’investissement favorable.</w:t>
      </w:r>
    </w:p>
    <w:p w14:paraId="1CEBD8F4" w14:textId="77777777" w:rsidR="00F74E13" w:rsidRDefault="009274FC">
      <w:pPr>
        <w:pStyle w:val="Text1"/>
        <w:spacing w:after="0"/>
        <w:ind w:left="425"/>
        <w:rPr>
          <w:noProof/>
        </w:rPr>
      </w:pPr>
      <w:r>
        <w:rPr>
          <w:noProof/>
        </w:rPr>
        <w:t>Le volet soutient la mise en œuvre des recommandations par pays du Conseil pour 2019 et 2020 et contribuera directement ou indirectement à la mise en œuvre de certains aspects des recommandations par pays pour 2019 et 2020. En particulier, les réformes et les investissements inclus dans ce volet contribuent à renforcer «l’employabilité en renforçant les compétences numériques» (recommandation par pays no 4, 2019), à améliorer l’accès au travail à distance et à promouvoir les compétences numériques et l’égalité d’accès à l’éducation (recommandation par pays no 2, 2020), et à concentrer les investissements sur la transition écologique et numérique (recommandation par pays no 3, 2020), à réduire au minimum la charge administrative pesant sur les entreprises en améliorant l’efficacité de l’administration publique et en renforçant l’administration numérique (recommandation par pays no 4, 2020).</w:t>
      </w:r>
    </w:p>
    <w:p w14:paraId="1CEBD8F5" w14:textId="77777777" w:rsidR="00F74E13" w:rsidRDefault="009274FC">
      <w:pPr>
        <w:pStyle w:val="Text1"/>
        <w:ind w:left="426"/>
        <w:rPr>
          <w:noProof/>
        </w:rPr>
      </w:pPr>
      <w:r>
        <w:rPr>
          <w:noProof/>
        </w:rPr>
        <w:t xml:space="preserve">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 </w:t>
      </w:r>
    </w:p>
    <w:p w14:paraId="1CEBD8F7" w14:textId="77777777" w:rsidR="00F74E13" w:rsidRDefault="009274FC">
      <w:pPr>
        <w:pStyle w:val="P68B1DB1-Text142"/>
        <w:spacing w:after="0"/>
        <w:ind w:left="425"/>
        <w:rPr>
          <w:noProof/>
        </w:rPr>
      </w:pPr>
      <w:r>
        <w:rPr>
          <w:noProof/>
        </w:rPr>
        <w:t>G.1. Description des réformes et des investissements pour le soutien financier non remboursable</w:t>
      </w:r>
    </w:p>
    <w:p w14:paraId="1CEBD8F8" w14:textId="77777777" w:rsidR="00F74E13" w:rsidRDefault="009274FC">
      <w:pPr>
        <w:pStyle w:val="P68B1DB1-Text143"/>
        <w:spacing w:before="240"/>
        <w:ind w:left="425"/>
        <w:rPr>
          <w:b/>
          <w:noProof/>
        </w:rPr>
      </w:pPr>
      <w:r>
        <w:rPr>
          <w:noProof/>
        </w:rPr>
        <w:t>Réforme 2 (C7.R2): Attribution du spectre des radiofréquences</w:t>
      </w:r>
    </w:p>
    <w:p w14:paraId="1CEBD8F9" w14:textId="77777777" w:rsidR="00F74E13" w:rsidRDefault="009274FC">
      <w:pPr>
        <w:pStyle w:val="P68B1DB1-Bodytext2044"/>
        <w:spacing w:after="120" w:line="240" w:lineRule="auto"/>
        <w:ind w:left="426" w:firstLine="0"/>
        <w:rPr>
          <w:noProof/>
        </w:rPr>
      </w:pPr>
      <w:r>
        <w:rPr>
          <w:noProof/>
        </w:rPr>
        <w:t xml:space="preserve">L’objectif de la réforme est de relever les défis liés à la préparation à la 5G et de promouvoir le déploiement accéléré des réseaux 5G. </w:t>
      </w:r>
    </w:p>
    <w:p w14:paraId="1CEBD8FA" w14:textId="77777777" w:rsidR="00F74E13" w:rsidRDefault="009274FC">
      <w:pPr>
        <w:pStyle w:val="P68B1DB1-Bodytext2044"/>
        <w:spacing w:after="120" w:line="240" w:lineRule="auto"/>
        <w:ind w:left="425" w:firstLine="0"/>
        <w:rPr>
          <w:noProof/>
        </w:rPr>
      </w:pPr>
      <w:r>
        <w:rPr>
          <w:noProof/>
        </w:rPr>
        <w:t>La réforme consiste à réduire les droits d'utilisation du spectre et à attribuer des droits d'utilisation du spectre dans plusieurs bandes.</w:t>
      </w:r>
    </w:p>
    <w:p w14:paraId="1CEBD8FC" w14:textId="77777777" w:rsidR="00F74E13" w:rsidRDefault="009274FC">
      <w:pPr>
        <w:pStyle w:val="P68B1DB1-Normal9"/>
        <w:spacing w:after="0" w:line="360" w:lineRule="auto"/>
        <w:ind w:left="425"/>
        <w:jc w:val="both"/>
        <w:rPr>
          <w:noProof/>
        </w:rPr>
      </w:pPr>
      <w:r>
        <w:rPr>
          <w:noProof/>
        </w:rPr>
        <w:t>Réforme 3 (C7.R3): Créer un environnement favorable à l'investissement</w:t>
      </w:r>
    </w:p>
    <w:p w14:paraId="1CEBD8FD" w14:textId="77777777" w:rsidR="00F74E13" w:rsidRDefault="009274FC">
      <w:pPr>
        <w:pStyle w:val="Bodytext20"/>
        <w:spacing w:after="120" w:line="240" w:lineRule="auto"/>
        <w:ind w:left="426" w:firstLine="0"/>
        <w:rPr>
          <w:rFonts w:ascii="Times New Roman" w:hAnsi="Times New Roman"/>
          <w:noProof/>
        </w:rPr>
      </w:pPr>
      <w:r>
        <w:rPr>
          <w:rFonts w:ascii="Times New Roman" w:hAnsi="Times New Roman"/>
          <w:noProof/>
        </w:rPr>
        <w:t>La réforme vise à donner suite aux principales recommandations de la boîte à outils commune de l’Union pour la connectivité</w:t>
      </w:r>
      <w:r>
        <w:rPr>
          <w:rStyle w:val="FootnoteReference"/>
          <w:rFonts w:ascii="Times New Roman" w:hAnsi="Times New Roman"/>
          <w:noProof/>
        </w:rPr>
        <w:footnoteReference w:id="22"/>
      </w:r>
      <w:r>
        <w:rPr>
          <w:rFonts w:ascii="Times New Roman" w:hAnsi="Times New Roman"/>
          <w:noProof/>
        </w:rPr>
        <w:t xml:space="preserve"> et:</w:t>
      </w:r>
    </w:p>
    <w:p w14:paraId="1CEBD8FE" w14:textId="77777777" w:rsidR="00F74E13" w:rsidRDefault="009274FC">
      <w:pPr>
        <w:pStyle w:val="P68B1DB1-Bodytext2044"/>
        <w:numPr>
          <w:ilvl w:val="0"/>
          <w:numId w:val="41"/>
        </w:numPr>
        <w:shd w:val="clear" w:color="auto" w:fill="auto"/>
        <w:spacing w:after="120" w:line="240" w:lineRule="auto"/>
        <w:ind w:left="1230" w:hanging="380"/>
        <w:jc w:val="left"/>
        <w:rPr>
          <w:noProof/>
        </w:rPr>
      </w:pPr>
      <w:r>
        <w:rPr>
          <w:noProof/>
        </w:rPr>
        <w:t>Rationaliser les procédures d'autorisation pour la construction, l'entretien, l'équipement et/ou l'amélioration des systèmes de transmission radio, ainsi que leur remplacement ou leur achèvement par l'assemblage ou le démontage d'éléments du système de transmission radio;</w:t>
      </w:r>
    </w:p>
    <w:p w14:paraId="1CEBD8FF" w14:textId="77777777" w:rsidR="00F74E13" w:rsidRDefault="009274FC">
      <w:pPr>
        <w:pStyle w:val="P68B1DB1-Bodytext2044"/>
        <w:numPr>
          <w:ilvl w:val="0"/>
          <w:numId w:val="41"/>
        </w:numPr>
        <w:shd w:val="clear" w:color="auto" w:fill="auto"/>
        <w:tabs>
          <w:tab w:val="left" w:pos="765"/>
        </w:tabs>
        <w:spacing w:after="120" w:line="240" w:lineRule="auto"/>
        <w:ind w:left="1230" w:hanging="380"/>
        <w:jc w:val="left"/>
        <w:rPr>
          <w:noProof/>
        </w:rPr>
      </w:pPr>
      <w:r>
        <w:rPr>
          <w:noProof/>
        </w:rPr>
        <w:t>étendre le droit d'accès aux infrastructures physiques existantes contrôlées par des organismes du secteur public aux opérateurs commerciaux lorsque ces derniers n'ont aucun intérêt à construire de tels réseaux ou envisageraient une utilisation partagée comme une possibilité de réduire leurs coûts d'investissement;</w:t>
      </w:r>
    </w:p>
    <w:p w14:paraId="1CEBD900" w14:textId="77777777" w:rsidR="00F74E13" w:rsidRDefault="009274FC">
      <w:pPr>
        <w:pStyle w:val="P68B1DB1-Bodytext2044"/>
        <w:spacing w:after="120" w:line="240" w:lineRule="auto"/>
        <w:ind w:left="426" w:firstLine="0"/>
        <w:rPr>
          <w:noProof/>
        </w:rPr>
      </w:pPr>
      <w:r>
        <w:rPr>
          <w:noProof/>
        </w:rPr>
        <w:t>La mise en œuvre de cette mesure est achevée au plus tard le 30 juin 2021.</w:t>
      </w:r>
    </w:p>
    <w:p w14:paraId="1CEBD901" w14:textId="77777777" w:rsidR="00F74E13" w:rsidRDefault="00F74E13">
      <w:pPr>
        <w:pStyle w:val="Text1"/>
        <w:spacing w:before="0"/>
        <w:ind w:left="851"/>
        <w:rPr>
          <w:b/>
          <w:bCs/>
          <w:noProof/>
        </w:rPr>
      </w:pPr>
    </w:p>
    <w:p w14:paraId="1CEBD902" w14:textId="77777777" w:rsidR="00F74E13" w:rsidRDefault="009274FC">
      <w:pPr>
        <w:pStyle w:val="P68B1DB1-Normal9"/>
        <w:spacing w:before="120" w:after="120" w:line="240" w:lineRule="auto"/>
        <w:ind w:left="426"/>
        <w:jc w:val="both"/>
        <w:rPr>
          <w:b/>
          <w:bCs/>
          <w:noProof/>
        </w:rPr>
      </w:pPr>
      <w:r>
        <w:rPr>
          <w:noProof/>
        </w:rPr>
        <w:t>Investissement 1 (C7.I1): Extension à grande échelle de l'infrastructure numérique</w:t>
      </w:r>
    </w:p>
    <w:p w14:paraId="1CEBD903" w14:textId="77777777" w:rsidR="00F74E13" w:rsidRDefault="009274FC">
      <w:pPr>
        <w:pStyle w:val="Text1"/>
        <w:spacing w:before="0"/>
        <w:ind w:left="426"/>
        <w:rPr>
          <w:noProof/>
        </w:rPr>
      </w:pPr>
      <w:r>
        <w:rPr>
          <w:noProof/>
        </w:rPr>
        <w:t xml:space="preserve">L'objectif de cet investissement est de soutenir l'expansion de l'infrastructure numérique. </w:t>
      </w:r>
    </w:p>
    <w:p w14:paraId="1CEBD904" w14:textId="77777777" w:rsidR="00F74E13" w:rsidRDefault="009274FC">
      <w:pPr>
        <w:pStyle w:val="Text1"/>
        <w:spacing w:before="0"/>
        <w:ind w:left="426"/>
        <w:rPr>
          <w:noProof/>
        </w:rPr>
      </w:pPr>
      <w:r>
        <w:rPr>
          <w:noProof/>
        </w:rPr>
        <w:t>L’investissement consiste à moderniser le réseau dorsal de l’État et à soutenir l’expansion des réseaux à très haute capacité (VHCN).</w:t>
      </w:r>
    </w:p>
    <w:p w14:paraId="1CEBD906" w14:textId="77777777" w:rsidR="00F74E13" w:rsidRDefault="009274FC">
      <w:pPr>
        <w:pStyle w:val="P68B1DB1-Normal9"/>
        <w:spacing w:before="120" w:after="120" w:line="240" w:lineRule="auto"/>
        <w:ind w:left="426"/>
        <w:jc w:val="both"/>
        <w:rPr>
          <w:noProof/>
        </w:rPr>
      </w:pPr>
      <w:r>
        <w:rPr>
          <w:noProof/>
        </w:rPr>
        <w:t>Investissement 2 (C7.I2): Système TETRA et réseau de relais radio</w:t>
      </w:r>
    </w:p>
    <w:p w14:paraId="1CEBD907" w14:textId="77777777" w:rsidR="00F74E13" w:rsidRDefault="009274FC">
      <w:pPr>
        <w:pStyle w:val="Text1"/>
        <w:spacing w:before="0"/>
        <w:ind w:left="426"/>
        <w:rPr>
          <w:noProof/>
        </w:rPr>
      </w:pPr>
      <w:r>
        <w:rPr>
          <w:noProof/>
        </w:rPr>
        <w:t xml:space="preserve">L'objectif de l'investissement est d'accroître la couverture nationale du réseau TETRA. </w:t>
      </w:r>
    </w:p>
    <w:p w14:paraId="1CEBD908" w14:textId="77777777" w:rsidR="00F74E13" w:rsidRDefault="009274FC">
      <w:pPr>
        <w:pStyle w:val="Text1"/>
        <w:spacing w:before="0"/>
        <w:ind w:left="426"/>
        <w:rPr>
          <w:noProof/>
        </w:rPr>
      </w:pPr>
      <w:r>
        <w:rPr>
          <w:noProof/>
        </w:rPr>
        <w:t>L'investissement consiste en la livraison d'équipements basés sur la norme TETRA.</w:t>
      </w:r>
    </w:p>
    <w:p w14:paraId="1CEBD909" w14:textId="77777777" w:rsidR="00F74E13" w:rsidRDefault="00F74E13">
      <w:pPr>
        <w:pStyle w:val="Text1"/>
        <w:spacing w:before="0"/>
        <w:ind w:left="426"/>
        <w:rPr>
          <w:b/>
          <w:bCs/>
          <w:noProof/>
        </w:rPr>
        <w:sectPr w:rsidR="00F74E13">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1CEBD90A" w14:textId="77777777" w:rsidR="00F74E13" w:rsidRDefault="009274FC">
      <w:pPr>
        <w:pStyle w:val="P68B1DB1-Normal8"/>
        <w:pageBreakBefore/>
        <w:spacing w:before="120" w:after="120" w:line="240" w:lineRule="auto"/>
        <w:ind w:left="851"/>
        <w:jc w:val="center"/>
        <w:rPr>
          <w:noProof/>
        </w:rPr>
      </w:pPr>
      <w:r>
        <w:rPr>
          <w:noProof/>
        </w:rPr>
        <w:t xml:space="preserve">G.2. </w:t>
      </w:r>
      <w:r>
        <w:rPr>
          <w:noProof/>
        </w:rPr>
        <w:tab/>
        <w:t>Étapes, cibles, indicateurs et calendrier pour le suivi et la mise en œuvre du soutien financier non remboursable</w:t>
      </w:r>
    </w:p>
    <w:tbl>
      <w:tblPr>
        <w:tblW w:w="16132" w:type="dxa"/>
        <w:jc w:val="center"/>
        <w:tblLayout w:type="fixed"/>
        <w:tblLook w:val="04A0" w:firstRow="1" w:lastRow="0" w:firstColumn="1" w:lastColumn="0" w:noHBand="0" w:noVBand="1"/>
      </w:tblPr>
      <w:tblGrid>
        <w:gridCol w:w="988"/>
        <w:gridCol w:w="1559"/>
        <w:gridCol w:w="1276"/>
        <w:gridCol w:w="1565"/>
        <w:gridCol w:w="1701"/>
        <w:gridCol w:w="1134"/>
        <w:gridCol w:w="1275"/>
        <w:gridCol w:w="987"/>
        <w:gridCol w:w="1134"/>
        <w:gridCol w:w="992"/>
        <w:gridCol w:w="3521"/>
      </w:tblGrid>
      <w:tr w:rsidR="00F74E13" w14:paraId="1CEBD913" w14:textId="77777777" w:rsidTr="009552A1">
        <w:trPr>
          <w:trHeight w:val="927"/>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B" w14:textId="77777777" w:rsidR="00F74E13" w:rsidRDefault="009274FC">
            <w:pPr>
              <w:pStyle w:val="P68B1DB1-Normal45"/>
              <w:spacing w:after="0" w:line="240" w:lineRule="auto"/>
              <w:jc w:val="center"/>
              <w:rPr>
                <w:noProof/>
              </w:rPr>
            </w:pPr>
            <w:r>
              <w:rPr>
                <w:noProof/>
              </w:rPr>
              <w:t>Numéro de série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C" w14:textId="77777777" w:rsidR="00F74E13" w:rsidRDefault="009274FC">
            <w:pPr>
              <w:pStyle w:val="P68B1DB1-Normal45"/>
              <w:spacing w:after="0" w:line="240" w:lineRule="auto"/>
              <w:jc w:val="center"/>
              <w:rPr>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D" w14:textId="77777777" w:rsidR="00F74E13" w:rsidRDefault="009274FC">
            <w:pPr>
              <w:pStyle w:val="P68B1DB1-Normal45"/>
              <w:spacing w:after="0" w:line="240" w:lineRule="auto"/>
              <w:jc w:val="center"/>
              <w:rPr>
                <w:noProof/>
              </w:rPr>
            </w:pPr>
            <w:r>
              <w:rPr>
                <w:noProof/>
              </w:rPr>
              <w:t>Étape/cible</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E" w14:textId="77777777" w:rsidR="00F74E13" w:rsidRDefault="009274FC">
            <w:pPr>
              <w:pStyle w:val="P68B1DB1-Normal45"/>
              <w:spacing w:after="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F" w14:textId="77777777" w:rsidR="00F74E13" w:rsidRDefault="009274FC">
            <w:pPr>
              <w:pStyle w:val="P68B1DB1-Normal46"/>
              <w:spacing w:after="0" w:line="240" w:lineRule="auto"/>
              <w:jc w:val="center"/>
              <w:rPr>
                <w:b/>
                <w:noProof/>
              </w:rPr>
            </w:pPr>
            <w:r>
              <w:rPr>
                <w:b/>
                <w:noProof/>
              </w:rPr>
              <w:t>Indicateurs qualitatifs</w:t>
            </w:r>
            <w:r>
              <w:rPr>
                <w:noProof/>
              </w:rPr>
              <w:br/>
            </w:r>
            <w:r>
              <w:rPr>
                <w:b/>
                <w:noProof/>
              </w:rPr>
              <w:t>(pour les jalons)</w:t>
            </w:r>
          </w:p>
        </w:tc>
        <w:tc>
          <w:tcPr>
            <w:tcW w:w="339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0" w14:textId="77777777" w:rsidR="00F74E13" w:rsidRDefault="009274FC">
            <w:pPr>
              <w:pStyle w:val="P68B1DB1-Normal46"/>
              <w:spacing w:after="0" w:line="240" w:lineRule="auto"/>
              <w:jc w:val="center"/>
              <w:rPr>
                <w:b/>
                <w:noProof/>
              </w:rPr>
            </w:pPr>
            <w:r>
              <w:rPr>
                <w:b/>
                <w:noProof/>
              </w:rPr>
              <w:t>Indicateurs quantitatifs</w:t>
            </w:r>
            <w:r>
              <w:rPr>
                <w:noProof/>
              </w:rPr>
              <w:br/>
            </w:r>
            <w:r>
              <w:rPr>
                <w:b/>
                <w:noProof/>
              </w:rPr>
              <w:t>(pour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1" w14:textId="77777777" w:rsidR="00F74E13" w:rsidRDefault="009274FC">
            <w:pPr>
              <w:pStyle w:val="P68B1DB1-Normal45"/>
              <w:spacing w:after="0" w:line="240" w:lineRule="auto"/>
              <w:jc w:val="center"/>
              <w:rPr>
                <w:noProof/>
              </w:rPr>
            </w:pPr>
            <w:r>
              <w:rPr>
                <w:noProof/>
              </w:rPr>
              <w:t>Calendrier indicatif d'achèvement</w:t>
            </w:r>
          </w:p>
        </w:tc>
        <w:tc>
          <w:tcPr>
            <w:tcW w:w="35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2" w14:textId="77777777" w:rsidR="00F74E13" w:rsidRDefault="009274FC">
            <w:pPr>
              <w:pStyle w:val="P68B1DB1-Normal45"/>
              <w:spacing w:after="0" w:line="240" w:lineRule="auto"/>
              <w:jc w:val="center"/>
              <w:rPr>
                <w:noProof/>
              </w:rPr>
            </w:pPr>
            <w:r>
              <w:rPr>
                <w:noProof/>
              </w:rPr>
              <w:t>Description de chaque jalon et cible</w:t>
            </w:r>
          </w:p>
        </w:tc>
      </w:tr>
      <w:tr w:rsidR="00F74E13" w14:paraId="1CEBD91F" w14:textId="77777777" w:rsidTr="009552A1">
        <w:trPr>
          <w:trHeight w:val="338"/>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CEBD914" w14:textId="77777777" w:rsidR="00F74E13" w:rsidRDefault="00F74E13">
            <w:pPr>
              <w:spacing w:after="0" w:line="240" w:lineRule="auto"/>
              <w:rPr>
                <w:rFonts w:ascii="Times New Roman" w:hAnsi="Times New Roman" w:cs="Times New Roman"/>
                <w:b/>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CEBD915" w14:textId="77777777" w:rsidR="00F74E13" w:rsidRDefault="00F74E13">
            <w:pPr>
              <w:spacing w:after="0" w:line="240" w:lineRule="auto"/>
              <w:rPr>
                <w:rFonts w:ascii="Times New Roman" w:hAnsi="Times New Roman" w:cs="Times New Roman"/>
                <w:b/>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EBD916" w14:textId="77777777" w:rsidR="00F74E13" w:rsidRDefault="00F74E13">
            <w:pPr>
              <w:spacing w:after="0" w:line="240" w:lineRule="auto"/>
              <w:jc w:val="center"/>
              <w:rPr>
                <w:rFonts w:ascii="Times New Roman" w:hAnsi="Times New Roman" w:cs="Times New Roman"/>
                <w:b/>
                <w:noProof/>
                <w:sz w:val="20"/>
                <w:szCs w:val="20"/>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14:paraId="1CEBD917" w14:textId="77777777" w:rsidR="00F74E13" w:rsidRDefault="00F74E13">
            <w:pPr>
              <w:spacing w:after="0" w:line="240" w:lineRule="auto"/>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EBD918" w14:textId="77777777" w:rsidR="00F74E13" w:rsidRDefault="00F74E13">
            <w:pPr>
              <w:spacing w:after="0" w:line="240" w:lineRule="auto"/>
              <w:rPr>
                <w:rFonts w:ascii="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9" w14:textId="77777777" w:rsidR="00F74E13" w:rsidRDefault="009274FC">
            <w:pPr>
              <w:pStyle w:val="P68B1DB1-Normal45"/>
              <w:spacing w:after="0" w:line="240" w:lineRule="auto"/>
              <w:jc w:val="center"/>
              <w:rPr>
                <w:noProof/>
              </w:rPr>
            </w:pPr>
            <w:r>
              <w:rPr>
                <w:noProof/>
              </w:rPr>
              <w:t>Unité de mesure</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A" w14:textId="77777777" w:rsidR="00F74E13" w:rsidRDefault="009274FC">
            <w:pPr>
              <w:pStyle w:val="P68B1DB1-Normal45"/>
              <w:spacing w:after="0" w:line="240" w:lineRule="auto"/>
              <w:jc w:val="center"/>
              <w:rPr>
                <w:noProof/>
              </w:rPr>
            </w:pPr>
            <w:r>
              <w:rPr>
                <w:noProof/>
              </w:rPr>
              <w:t>Données de référence</w:t>
            </w:r>
          </w:p>
        </w:tc>
        <w:tc>
          <w:tcPr>
            <w:tcW w:w="9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B" w14:textId="77777777" w:rsidR="00F74E13" w:rsidRDefault="009274FC">
            <w:pPr>
              <w:pStyle w:val="P68B1DB1-Normal45"/>
              <w:spacing w:after="0" w:line="240" w:lineRule="auto"/>
              <w:jc w:val="center"/>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C" w14:textId="77777777" w:rsidR="00F74E13" w:rsidRDefault="009274FC">
            <w:pPr>
              <w:pStyle w:val="P68B1DB1-Normal45"/>
              <w:spacing w:after="0" w:line="240" w:lineRule="auto"/>
              <w:jc w:val="center"/>
              <w:rPr>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D" w14:textId="77777777" w:rsidR="00F74E13" w:rsidRDefault="009274FC">
            <w:pPr>
              <w:pStyle w:val="P68B1DB1-Normal45"/>
              <w:spacing w:after="0" w:line="240" w:lineRule="auto"/>
              <w:jc w:val="center"/>
              <w:rPr>
                <w:noProof/>
              </w:rPr>
            </w:pPr>
            <w:r>
              <w:rPr>
                <w:noProof/>
              </w:rPr>
              <w:t>Année</w:t>
            </w:r>
          </w:p>
        </w:tc>
        <w:tc>
          <w:tcPr>
            <w:tcW w:w="3521" w:type="dxa"/>
            <w:vMerge/>
            <w:tcBorders>
              <w:top w:val="single" w:sz="4" w:space="0" w:color="auto"/>
              <w:left w:val="single" w:sz="4" w:space="0" w:color="auto"/>
              <w:bottom w:val="single" w:sz="4" w:space="0" w:color="auto"/>
              <w:right w:val="single" w:sz="4" w:space="0" w:color="auto"/>
            </w:tcBorders>
            <w:vAlign w:val="center"/>
            <w:hideMark/>
          </w:tcPr>
          <w:p w14:paraId="1CEBD91E" w14:textId="77777777" w:rsidR="00F74E13" w:rsidRDefault="00F74E13">
            <w:pPr>
              <w:spacing w:after="0" w:line="240" w:lineRule="auto"/>
              <w:jc w:val="both"/>
              <w:rPr>
                <w:rFonts w:ascii="Times New Roman" w:hAnsi="Times New Roman" w:cs="Times New Roman"/>
                <w:b/>
                <w:noProof/>
                <w:sz w:val="20"/>
                <w:szCs w:val="20"/>
              </w:rPr>
            </w:pPr>
          </w:p>
        </w:tc>
      </w:tr>
      <w:tr w:rsidR="00F74E13" w14:paraId="1CEBD92D"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20" w14:textId="77777777" w:rsidR="00F74E13" w:rsidRDefault="009274FC">
            <w:pPr>
              <w:pStyle w:val="P68B1DB1-Normal12"/>
              <w:spacing w:after="0" w:line="240" w:lineRule="auto"/>
              <w:jc w:val="center"/>
              <w:rPr>
                <w:noProof/>
              </w:rPr>
            </w:pPr>
            <w:r>
              <w:rPr>
                <w:noProof/>
              </w:rPr>
              <w:t>137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21" w14:textId="77777777" w:rsidR="00F74E13" w:rsidRDefault="009274FC">
            <w:pPr>
              <w:pStyle w:val="P68B1DB1-Normal12"/>
              <w:spacing w:after="0" w:line="240" w:lineRule="auto"/>
              <w:rPr>
                <w:noProof/>
              </w:rPr>
            </w:pPr>
            <w:r>
              <w:rPr>
                <w:noProof/>
              </w:rPr>
              <w:t xml:space="preserve">C7.R2 : </w:t>
            </w:r>
          </w:p>
          <w:p w14:paraId="1CEBD922" w14:textId="77777777" w:rsidR="00F74E13" w:rsidRDefault="009274FC">
            <w:pPr>
              <w:pStyle w:val="P68B1DB1-Normal12"/>
              <w:spacing w:after="0" w:line="240" w:lineRule="auto"/>
              <w:rPr>
                <w:noProof/>
              </w:rPr>
            </w:pPr>
            <w:r>
              <w:rPr>
                <w:noProof/>
              </w:rPr>
              <w:t>Attribution du spectre des radiofréquences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24" w14:textId="050C350A" w:rsidR="00F74E13" w:rsidRDefault="009274FC">
            <w:pPr>
              <w:pStyle w:val="P68B1DB1-Normal12"/>
              <w:spacing w:after="0" w:line="276"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25" w14:textId="77777777" w:rsidR="00F74E13" w:rsidRDefault="009274FC">
            <w:pPr>
              <w:pStyle w:val="P68B1DB1-Normal12"/>
              <w:spacing w:after="0" w:line="240" w:lineRule="auto"/>
              <w:rPr>
                <w:noProof/>
              </w:rPr>
            </w:pPr>
            <w:r>
              <w:rPr>
                <w:noProof/>
              </w:rPr>
              <w:t>Entrée en vigueur du décret sur la réduction des redevances du spectre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26" w14:textId="0E7DAA36" w:rsidR="00F74E13" w:rsidRDefault="009274FC">
            <w:pPr>
              <w:pStyle w:val="P68B1DB1-Normal12"/>
              <w:spacing w:after="0" w:line="240" w:lineRule="auto"/>
              <w:rPr>
                <w:noProof/>
              </w:rPr>
            </w:pPr>
            <w:r>
              <w:rPr>
                <w:noProof/>
              </w:rPr>
              <w:t>Disposition du décret du Conseil des ministres indiquant l'entrée en vigueur de la réduction des redevances du spectre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27"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28"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29"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2A" w14:textId="77777777" w:rsidR="00F74E13" w:rsidRDefault="009274FC">
            <w:pPr>
              <w:pStyle w:val="P68B1DB1-Normal12"/>
              <w:spacing w:after="0" w:line="240" w:lineRule="auto"/>
              <w:jc w:val="center"/>
              <w:rPr>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2B" w14:textId="77777777" w:rsidR="00F74E13" w:rsidRDefault="009274FC">
            <w:pPr>
              <w:pStyle w:val="P68B1DB1-Normal12"/>
              <w:spacing w:after="0" w:line="240" w:lineRule="auto"/>
              <w:jc w:val="center"/>
              <w:rPr>
                <w:noProof/>
              </w:rPr>
            </w:pPr>
            <w:r>
              <w:rPr>
                <w:noProof/>
              </w:rPr>
              <w:t>2021</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2C" w14:textId="77777777" w:rsidR="00F74E13" w:rsidRDefault="009274FC">
            <w:pPr>
              <w:pStyle w:val="P68B1DB1-Normal12"/>
              <w:spacing w:after="0" w:line="240" w:lineRule="auto"/>
              <w:jc w:val="both"/>
              <w:rPr>
                <w:noProof/>
              </w:rPr>
            </w:pPr>
            <w:r>
              <w:rPr>
                <w:noProof/>
              </w:rPr>
              <w:t>Le décret du Conseil des ministres prévoit la réduction de 50 % de la redevance unique pour l'utilisation du spectre radioélectrique et de 35 % de la redevance annuelle pour l'utilisation du spectre. Il s’agit des redevances au titre de la loi sur les communications électroniques perçues par la commission de régulation des communications.</w:t>
            </w:r>
          </w:p>
        </w:tc>
      </w:tr>
      <w:tr w:rsidR="00F74E13" w14:paraId="1CEBD93A"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2E" w14:textId="77777777" w:rsidR="00F74E13" w:rsidRDefault="009274FC">
            <w:pPr>
              <w:pStyle w:val="P68B1DB1-Normal12"/>
              <w:spacing w:after="0" w:line="240" w:lineRule="auto"/>
              <w:jc w:val="center"/>
              <w:rPr>
                <w:noProof/>
              </w:rPr>
            </w:pPr>
            <w:r>
              <w:rPr>
                <w:noProof/>
              </w:rPr>
              <w:t>138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2F" w14:textId="77777777" w:rsidR="00F74E13" w:rsidRDefault="009274FC">
            <w:pPr>
              <w:pStyle w:val="P68B1DB1-Normal12"/>
              <w:spacing w:after="0" w:line="240" w:lineRule="auto"/>
              <w:rPr>
                <w:noProof/>
              </w:rPr>
            </w:pPr>
            <w:r>
              <w:rPr>
                <w:noProof/>
              </w:rPr>
              <w:t xml:space="preserve">C7.R2 : </w:t>
            </w:r>
          </w:p>
          <w:p w14:paraId="1CEBD930" w14:textId="77777777" w:rsidR="00F74E13" w:rsidRDefault="009274FC">
            <w:pPr>
              <w:pStyle w:val="P68B1DB1-Normal12"/>
              <w:spacing w:after="0" w:line="240" w:lineRule="auto"/>
              <w:rPr>
                <w:noProof/>
              </w:rPr>
            </w:pPr>
            <w:r>
              <w:rPr>
                <w:noProof/>
              </w:rPr>
              <w:t>Attribution du spectre des radiofréquences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31" w14:textId="77777777" w:rsidR="00F74E13" w:rsidRDefault="009274FC">
            <w:pPr>
              <w:pStyle w:val="P68B1DB1-Normal12"/>
              <w:spacing w:after="0" w:line="276"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32" w14:textId="0E8529D4" w:rsidR="00F74E13" w:rsidRDefault="009274FC">
            <w:pPr>
              <w:pStyle w:val="P68B1DB1-Normal12"/>
              <w:spacing w:after="0" w:line="240" w:lineRule="auto"/>
              <w:rPr>
                <w:noProof/>
              </w:rPr>
            </w:pPr>
            <w:r>
              <w:rPr>
                <w:noProof/>
              </w:rPr>
              <w:t xml:space="preserve">Notification de l'attribution des droits d'utilisation aux opérateurs dans la bande de fréquences 26 GHz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33" w14:textId="77777777" w:rsidR="00F74E13" w:rsidRDefault="009274FC">
            <w:pPr>
              <w:pStyle w:val="P68B1DB1-Normal12"/>
              <w:spacing w:after="0" w:line="240" w:lineRule="auto"/>
              <w:rPr>
                <w:noProof/>
              </w:rPr>
            </w:pPr>
            <w:r>
              <w:rPr>
                <w:noProof/>
              </w:rPr>
              <w:t xml:space="preserve">Notification de cession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34"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35"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36"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37" w14:textId="77777777" w:rsidR="00F74E13" w:rsidRDefault="009274FC">
            <w:pPr>
              <w:pStyle w:val="P68B1DB1-Normal12"/>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38" w14:textId="77777777" w:rsidR="00F74E13" w:rsidRDefault="009274FC">
            <w:pPr>
              <w:pStyle w:val="P68B1DB1-Normal12"/>
              <w:spacing w:after="0" w:line="240" w:lineRule="auto"/>
              <w:jc w:val="center"/>
              <w:rPr>
                <w:noProof/>
              </w:rPr>
            </w:pPr>
            <w:r>
              <w:rPr>
                <w:noProof/>
              </w:rPr>
              <w:t>2022</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39" w14:textId="77777777" w:rsidR="00F74E13" w:rsidRDefault="009274FC">
            <w:pPr>
              <w:pStyle w:val="P68B1DB1-Normal12"/>
              <w:spacing w:after="0" w:line="240" w:lineRule="auto"/>
              <w:jc w:val="both"/>
              <w:rPr>
                <w:noProof/>
              </w:rPr>
            </w:pPr>
            <w:r>
              <w:rPr>
                <w:noProof/>
              </w:rPr>
              <w:t>Notification de l'attribution de droits d'utilisation aux opérateurs dans la bande de fréquences 26 GHz.</w:t>
            </w:r>
          </w:p>
        </w:tc>
      </w:tr>
      <w:tr w:rsidR="00F74E13" w14:paraId="1CEBD948"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3B" w14:textId="77777777" w:rsidR="00F74E13" w:rsidRDefault="009274FC">
            <w:pPr>
              <w:pStyle w:val="P68B1DB1-Normal12"/>
              <w:spacing w:after="0" w:line="240" w:lineRule="auto"/>
              <w:jc w:val="center"/>
              <w:rPr>
                <w:noProof/>
              </w:rPr>
            </w:pPr>
            <w:r>
              <w:rPr>
                <w:noProof/>
              </w:rPr>
              <w:t>139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3C" w14:textId="77777777" w:rsidR="00F74E13" w:rsidRDefault="009274FC">
            <w:pPr>
              <w:pStyle w:val="P68B1DB1-Normal12"/>
              <w:spacing w:after="0" w:line="240" w:lineRule="auto"/>
              <w:rPr>
                <w:noProof/>
              </w:rPr>
            </w:pPr>
            <w:r>
              <w:rPr>
                <w:noProof/>
              </w:rPr>
              <w:t xml:space="preserve">C7.R2 : </w:t>
            </w:r>
          </w:p>
          <w:p w14:paraId="1CEBD93D" w14:textId="77777777" w:rsidR="00F74E13" w:rsidRDefault="009274FC">
            <w:pPr>
              <w:pStyle w:val="P68B1DB1-Normal12"/>
              <w:spacing w:after="0" w:line="240" w:lineRule="auto"/>
              <w:rPr>
                <w:noProof/>
              </w:rPr>
            </w:pPr>
            <w:r>
              <w:rPr>
                <w:noProof/>
              </w:rPr>
              <w:t>Attribution du spectre des radiofréquences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3F" w14:textId="405B669F" w:rsidR="00F74E13" w:rsidRDefault="009274FC">
            <w:pPr>
              <w:pStyle w:val="P68B1DB1-Normal12"/>
              <w:spacing w:after="0" w:line="276"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40" w14:textId="77777777" w:rsidR="00F74E13" w:rsidRDefault="009274FC">
            <w:pPr>
              <w:pStyle w:val="P68B1DB1-Normal12"/>
              <w:spacing w:after="0" w:line="240" w:lineRule="auto"/>
              <w:rPr>
                <w:noProof/>
              </w:rPr>
            </w:pPr>
            <w:r>
              <w:rPr>
                <w:noProof/>
              </w:rPr>
              <w:t>Entrée en vigueur de la ou des décisions de la Commission portant attribution de droits dans les bandes de fréquences 700 MHz et 800 MHz</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41" w14:textId="77777777" w:rsidR="00F74E13" w:rsidRDefault="009274FC">
            <w:pPr>
              <w:pStyle w:val="P68B1DB1-Normal12"/>
              <w:spacing w:after="0" w:line="240" w:lineRule="auto"/>
              <w:rPr>
                <w:noProof/>
              </w:rPr>
            </w:pPr>
            <w:r>
              <w:rPr>
                <w:noProof/>
              </w:rPr>
              <w:t xml:space="preserve">Disposition de la ou des décisions indiquant l’entrée en vigueur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42"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43"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44"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45"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46" w14:textId="77777777" w:rsidR="00F74E13" w:rsidRDefault="009274FC">
            <w:pPr>
              <w:pStyle w:val="P68B1DB1-Normal35"/>
              <w:spacing w:after="0" w:line="240" w:lineRule="auto"/>
              <w:jc w:val="center"/>
              <w:rPr>
                <w:noProof/>
              </w:rPr>
            </w:pPr>
            <w:r>
              <w:rPr>
                <w:noProof/>
              </w:rPr>
              <w:t>2025</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47" w14:textId="03EDA5F0" w:rsidR="00F74E13" w:rsidRDefault="009274FC">
            <w:pPr>
              <w:pStyle w:val="P68B1DB1-Normal12"/>
              <w:spacing w:after="0" w:line="240" w:lineRule="auto"/>
              <w:jc w:val="both"/>
              <w:rPr>
                <w:noProof/>
              </w:rPr>
            </w:pPr>
            <w:r>
              <w:rPr>
                <w:noProof/>
              </w:rPr>
              <w:t xml:space="preserve">Entrée en vigueur de la ou des décisions de la Commission de régulation des communications attribuant des droits d'utilisation aux opérateurs dans les bandes de fréquences 700 MHz et 800 MHz. </w:t>
            </w:r>
          </w:p>
        </w:tc>
      </w:tr>
      <w:tr w:rsidR="00F74E13" w14:paraId="1CEBD958"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949" w14:textId="77777777" w:rsidR="00F74E13" w:rsidRDefault="009274FC">
            <w:pPr>
              <w:pStyle w:val="P68B1DB1-Normal12"/>
              <w:spacing w:after="0" w:line="240" w:lineRule="auto"/>
              <w:jc w:val="center"/>
              <w:rPr>
                <w:noProof/>
              </w:rPr>
            </w:pPr>
            <w:r>
              <w:rPr>
                <w:noProof/>
              </w:rPr>
              <w:t>140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94A" w14:textId="77777777" w:rsidR="00F74E13" w:rsidRDefault="009274FC">
            <w:pPr>
              <w:pStyle w:val="P68B1DB1-Normal12"/>
              <w:spacing w:after="0" w:line="240" w:lineRule="auto"/>
              <w:rPr>
                <w:noProof/>
              </w:rPr>
            </w:pPr>
            <w:r>
              <w:rPr>
                <w:noProof/>
              </w:rPr>
              <w:t xml:space="preserve">C7.R3 : </w:t>
            </w:r>
          </w:p>
          <w:p w14:paraId="1CEBD94B" w14:textId="77777777" w:rsidR="00F74E13" w:rsidRDefault="009274FC">
            <w:pPr>
              <w:pStyle w:val="P68B1DB1-Normal12"/>
              <w:spacing w:after="0" w:line="240" w:lineRule="auto"/>
              <w:rPr>
                <w:noProof/>
              </w:rPr>
            </w:pPr>
            <w:r>
              <w:rPr>
                <w:noProof/>
              </w:rPr>
              <w:t>Créer un environnement favorable à l'investissement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4C" w14:textId="77777777" w:rsidR="00F74E13" w:rsidRDefault="009274FC">
            <w:pPr>
              <w:pStyle w:val="P68B1DB1-Normal12"/>
              <w:spacing w:after="0" w:line="240"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hideMark/>
          </w:tcPr>
          <w:p w14:paraId="1CEBD94D" w14:textId="77777777" w:rsidR="00F74E13" w:rsidRDefault="009274FC">
            <w:pPr>
              <w:pStyle w:val="P68B1DB1-Normal12"/>
              <w:spacing w:after="0" w:line="240" w:lineRule="auto"/>
              <w:rPr>
                <w:noProof/>
              </w:rPr>
            </w:pPr>
            <w:r>
              <w:rPr>
                <w:noProof/>
              </w:rPr>
              <w:t>Entrée en vigueur des modifications législatives mettant en œuvre les recommandations de la boîte à outils pour la connectivité</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4E" w14:textId="77777777" w:rsidR="00F74E13" w:rsidRDefault="009274FC">
            <w:pPr>
              <w:pStyle w:val="P68B1DB1-Normal12"/>
              <w:spacing w:after="0" w:line="240" w:lineRule="auto"/>
              <w:rPr>
                <w:noProof/>
              </w:rPr>
            </w:pPr>
            <w:r>
              <w:rPr>
                <w:noProof/>
              </w:rPr>
              <w:t>Disposition de la loi sur l'aménagement du territoire et de la décision 558 du Conseil des ministres indiquant l'entrée en vigueur des modifications législatives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4F"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950"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hideMark/>
          </w:tcPr>
          <w:p w14:paraId="1CEBD951"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52" w14:textId="77777777" w:rsidR="00F74E13" w:rsidRDefault="009274FC">
            <w:pPr>
              <w:pStyle w:val="P68B1DB1-Normal12"/>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953" w14:textId="77777777" w:rsidR="00F74E13" w:rsidRDefault="009274FC">
            <w:pPr>
              <w:pStyle w:val="P68B1DB1-Normal12"/>
              <w:spacing w:after="0" w:line="240" w:lineRule="auto"/>
              <w:jc w:val="center"/>
              <w:rPr>
                <w:noProof/>
              </w:rPr>
            </w:pPr>
            <w:r>
              <w:rPr>
                <w:noProof/>
              </w:rPr>
              <w:t>2020</w:t>
            </w:r>
          </w:p>
        </w:tc>
        <w:tc>
          <w:tcPr>
            <w:tcW w:w="3521" w:type="dxa"/>
            <w:tcBorders>
              <w:top w:val="single" w:sz="4" w:space="0" w:color="auto"/>
              <w:left w:val="single" w:sz="4" w:space="0" w:color="auto"/>
              <w:bottom w:val="single" w:sz="4" w:space="0" w:color="auto"/>
              <w:right w:val="single" w:sz="4" w:space="0" w:color="auto"/>
            </w:tcBorders>
            <w:shd w:val="clear" w:color="auto" w:fill="C6EFCE"/>
            <w:noWrap/>
            <w:hideMark/>
          </w:tcPr>
          <w:p w14:paraId="1CEBD954" w14:textId="77777777" w:rsidR="00F74E13" w:rsidRDefault="009274FC">
            <w:pPr>
              <w:pStyle w:val="P68B1DB1-Normal12"/>
              <w:spacing w:after="0" w:line="240" w:lineRule="auto"/>
              <w:jc w:val="both"/>
              <w:rPr>
                <w:noProof/>
              </w:rPr>
            </w:pPr>
            <w:r>
              <w:rPr>
                <w:noProof/>
              </w:rPr>
              <w:t>Les modifications législatives garantissent que:</w:t>
            </w:r>
          </w:p>
          <w:p w14:paraId="1CEBD955" w14:textId="77777777" w:rsidR="00F74E13" w:rsidRDefault="009274FC">
            <w:pPr>
              <w:pStyle w:val="P68B1DB1-ListParagraph20"/>
              <w:numPr>
                <w:ilvl w:val="0"/>
                <w:numId w:val="42"/>
              </w:numPr>
              <w:spacing w:after="0" w:line="240" w:lineRule="auto"/>
              <w:ind w:left="359"/>
              <w:jc w:val="both"/>
              <w:rPr>
                <w:noProof/>
              </w:rPr>
            </w:pPr>
            <w:r>
              <w:rPr>
                <w:noProof/>
              </w:rPr>
              <w:t xml:space="preserve">Aucun permis de construire n'est requis pour l'entretien, l'équipement et/ou l'amélioration des éléments des systèmes de transmission radio, ainsi que leur remplacement; </w:t>
            </w:r>
          </w:p>
          <w:p w14:paraId="1CEBD956" w14:textId="77777777" w:rsidR="00F74E13" w:rsidRDefault="009274FC">
            <w:pPr>
              <w:pStyle w:val="P68B1DB1-ListParagraph20"/>
              <w:numPr>
                <w:ilvl w:val="0"/>
                <w:numId w:val="42"/>
              </w:numPr>
              <w:spacing w:after="0" w:line="240" w:lineRule="auto"/>
              <w:ind w:left="359"/>
              <w:jc w:val="both"/>
              <w:rPr>
                <w:noProof/>
              </w:rPr>
            </w:pPr>
            <w:r>
              <w:rPr>
                <w:noProof/>
              </w:rPr>
              <w:t xml:space="preserve">La capacité gratuite des réseaux en fibre optique contrôlés par des organismes du secteur public peut être mise à la disposition des opérateurs commerciaux; </w:t>
            </w:r>
          </w:p>
          <w:p w14:paraId="1CEBD957" w14:textId="77777777" w:rsidR="00F74E13" w:rsidRDefault="009274FC">
            <w:pPr>
              <w:pStyle w:val="P68B1DB1-ListParagraph20"/>
              <w:numPr>
                <w:ilvl w:val="0"/>
                <w:numId w:val="42"/>
              </w:numPr>
              <w:spacing w:after="0" w:line="240" w:lineRule="auto"/>
              <w:ind w:left="359"/>
              <w:jc w:val="both"/>
              <w:rPr>
                <w:noProof/>
              </w:rPr>
            </w:pPr>
            <w:r>
              <w:rPr>
                <w:noProof/>
              </w:rPr>
              <w:t>Les projets d'infrastructure financés par des fonds publics conçoivent par défaut la construction de tuyaux de protection et de canalisations de câbles d'une manière qui soit ouverte à tous les opérateurs.</w:t>
            </w:r>
          </w:p>
        </w:tc>
      </w:tr>
      <w:tr w:rsidR="00F74E13" w14:paraId="1CEBD968"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59" w14:textId="77777777" w:rsidR="00F74E13" w:rsidRDefault="009274FC">
            <w:pPr>
              <w:pStyle w:val="P68B1DB1-Normal35"/>
              <w:spacing w:after="0" w:line="240" w:lineRule="auto"/>
              <w:jc w:val="center"/>
              <w:rPr>
                <w:noProof/>
              </w:rPr>
            </w:pPr>
            <w:r>
              <w:rPr>
                <w:noProof/>
              </w:rPr>
              <w:t>146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5A" w14:textId="77777777" w:rsidR="00F74E13" w:rsidRDefault="009274FC">
            <w:pPr>
              <w:pStyle w:val="P68B1DB1-Normal12"/>
              <w:spacing w:after="0" w:line="240" w:lineRule="auto"/>
              <w:rPr>
                <w:noProof/>
              </w:rPr>
            </w:pPr>
            <w:r>
              <w:rPr>
                <w:noProof/>
              </w:rPr>
              <w:t>C7.I1 :</w:t>
            </w:r>
          </w:p>
          <w:p w14:paraId="1CEBD95B" w14:textId="77777777" w:rsidR="00F74E13" w:rsidRDefault="009274FC">
            <w:pPr>
              <w:pStyle w:val="P68B1DB1-Normal12"/>
              <w:spacing w:after="0" w:line="240" w:lineRule="auto"/>
              <w:rPr>
                <w:noProof/>
              </w:rPr>
            </w:pPr>
            <w:r>
              <w:rPr>
                <w:noProof/>
              </w:rPr>
              <w:t>Extension à grande échelle de l'infrastructure numérique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5C" w14:textId="77777777" w:rsidR="00F74E13" w:rsidRDefault="009274FC">
            <w:pPr>
              <w:pStyle w:val="P68B1DB1-Normal12"/>
              <w:spacing w:after="0" w:line="240"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5D" w14:textId="77777777" w:rsidR="00F74E13" w:rsidRDefault="009274FC">
            <w:pPr>
              <w:pStyle w:val="P68B1DB1-Normal35"/>
              <w:spacing w:after="0" w:line="240" w:lineRule="auto"/>
              <w:rPr>
                <w:noProof/>
              </w:rPr>
            </w:pPr>
            <w:r>
              <w:rPr>
                <w:noProof/>
              </w:rPr>
              <w:t>Mise à niveau du réseau dorsal de l'État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5E" w14:textId="77777777" w:rsidR="00F74E13" w:rsidRDefault="009274FC">
            <w:pPr>
              <w:pStyle w:val="P68B1DB1-Normal12"/>
              <w:spacing w:after="0" w:line="240" w:lineRule="auto"/>
              <w:rPr>
                <w:noProof/>
              </w:rPr>
            </w:pPr>
            <w:r>
              <w:rPr>
                <w:noProof/>
              </w:rPr>
              <w:t>Mise à niveau du réseau dorsal de l'État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5F"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60"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61"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62"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63" w14:textId="77777777" w:rsidR="00F74E13" w:rsidRDefault="009274FC">
            <w:pPr>
              <w:pStyle w:val="P68B1DB1-Normal12"/>
              <w:spacing w:after="0" w:line="240" w:lineRule="auto"/>
              <w:jc w:val="center"/>
              <w:rPr>
                <w:noProof/>
              </w:rPr>
            </w:pPr>
            <w:r>
              <w:rPr>
                <w:noProof/>
              </w:rPr>
              <w:t>2026</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64" w14:textId="77777777" w:rsidR="00F74E13" w:rsidRDefault="009274FC">
            <w:pPr>
              <w:pStyle w:val="P68B1DB1-Normal35"/>
              <w:spacing w:after="0" w:line="240" w:lineRule="auto"/>
              <w:jc w:val="both"/>
              <w:rPr>
                <w:noProof/>
              </w:rPr>
            </w:pPr>
            <w:r>
              <w:rPr>
                <w:noProof/>
              </w:rPr>
              <w:t xml:space="preserve">Un ou plusieurs protocoles de réception doivent être fournis, démontrant la livraison et/ou l'installation d'équipements, avec lesquels: </w:t>
            </w:r>
          </w:p>
          <w:p w14:paraId="1CEBD965" w14:textId="77777777" w:rsidR="00F74E13" w:rsidRDefault="009274FC">
            <w:pPr>
              <w:pStyle w:val="P68B1DB1-ListParagraph47"/>
              <w:numPr>
                <w:ilvl w:val="0"/>
                <w:numId w:val="43"/>
              </w:numPr>
              <w:spacing w:after="0" w:line="240" w:lineRule="auto"/>
              <w:ind w:left="312"/>
              <w:jc w:val="both"/>
              <w:rPr>
                <w:rFonts w:ascii="Times New Roman" w:eastAsia="Times New Roman" w:hAnsi="Times New Roman" w:cs="Times New Roman"/>
                <w:noProof/>
                <w:color w:val="006100"/>
              </w:rPr>
            </w:pPr>
            <w:r>
              <w:rPr>
                <w:rFonts w:ascii="Times New Roman" w:eastAsia="Times New Roman" w:hAnsi="Times New Roman" w:cs="Times New Roman"/>
                <w:noProof/>
                <w:color w:val="006100"/>
              </w:rPr>
              <w:t>1</w:t>
            </w:r>
            <w:r>
              <w:rPr>
                <w:rFonts w:ascii="Times New Roman" w:eastAsia="Calibri" w:hAnsi="Times New Roman" w:cs="Times New Roman"/>
                <w:noProof/>
              </w:rPr>
              <w:t> </w:t>
            </w:r>
            <w:r>
              <w:rPr>
                <w:rFonts w:ascii="Times New Roman" w:eastAsia="Times New Roman" w:hAnsi="Times New Roman" w:cs="Times New Roman"/>
                <w:noProof/>
                <w:color w:val="006100"/>
              </w:rPr>
              <w:t>200 prestataires de services d’intérêt général ont obtenu l’accès à au moins 10 points d’accès Gbps;</w:t>
            </w:r>
          </w:p>
          <w:p w14:paraId="1CEBD966" w14:textId="77777777" w:rsidR="00F74E13" w:rsidRDefault="009274FC">
            <w:pPr>
              <w:pStyle w:val="P68B1DB1-ListParagraph20"/>
              <w:numPr>
                <w:ilvl w:val="0"/>
                <w:numId w:val="43"/>
              </w:numPr>
              <w:spacing w:after="0" w:line="240" w:lineRule="auto"/>
              <w:ind w:left="312"/>
              <w:jc w:val="both"/>
              <w:rPr>
                <w:noProof/>
              </w:rPr>
            </w:pPr>
            <w:r>
              <w:rPr>
                <w:noProof/>
              </w:rPr>
              <w:t>24 universités et instituts scientifiques ont obtenu l'accès à des points d'accès de 200 Gbps;</w:t>
            </w:r>
          </w:p>
          <w:p w14:paraId="1CEBD967" w14:textId="77777777" w:rsidR="00F74E13" w:rsidRDefault="009274FC">
            <w:pPr>
              <w:pStyle w:val="P68B1DB1-ListParagraph20"/>
              <w:numPr>
                <w:ilvl w:val="0"/>
                <w:numId w:val="43"/>
              </w:numPr>
              <w:spacing w:after="0" w:line="240" w:lineRule="auto"/>
              <w:ind w:left="312"/>
              <w:jc w:val="both"/>
              <w:rPr>
                <w:noProof/>
              </w:rPr>
            </w:pPr>
            <w:r>
              <w:rPr>
                <w:noProof/>
              </w:rPr>
              <w:t>185 municipalités ont été dotées de nœuds d'accès, faisant partie du réseau de l'État.</w:t>
            </w:r>
          </w:p>
        </w:tc>
      </w:tr>
      <w:tr w:rsidR="00F74E13" w14:paraId="1CEBD975"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69" w14:textId="77777777" w:rsidR="00F74E13" w:rsidRDefault="009274FC">
            <w:pPr>
              <w:pStyle w:val="P68B1DB1-Normal12"/>
              <w:spacing w:after="0" w:line="240" w:lineRule="auto"/>
              <w:jc w:val="center"/>
              <w:rPr>
                <w:noProof/>
              </w:rPr>
            </w:pPr>
            <w:r>
              <w:rPr>
                <w:noProof/>
              </w:rPr>
              <w:t>147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6A" w14:textId="77777777" w:rsidR="00F74E13" w:rsidRDefault="009274FC">
            <w:pPr>
              <w:pStyle w:val="P68B1DB1-Normal12"/>
              <w:spacing w:after="0" w:line="240" w:lineRule="auto"/>
              <w:rPr>
                <w:noProof/>
              </w:rPr>
            </w:pPr>
            <w:r>
              <w:rPr>
                <w:noProof/>
              </w:rPr>
              <w:t xml:space="preserve">C7.I1 : </w:t>
            </w:r>
          </w:p>
          <w:p w14:paraId="1CEBD96B" w14:textId="77777777" w:rsidR="00F74E13" w:rsidRDefault="009274FC">
            <w:pPr>
              <w:pStyle w:val="P68B1DB1-Normal12"/>
              <w:spacing w:after="0" w:line="240" w:lineRule="auto"/>
              <w:rPr>
                <w:noProof/>
              </w:rPr>
            </w:pPr>
            <w:r>
              <w:rPr>
                <w:noProof/>
              </w:rPr>
              <w:t>Extension à grande échelle de l'infrastructure numérique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6C" w14:textId="77777777" w:rsidR="00F74E13" w:rsidRDefault="009274FC">
            <w:pPr>
              <w:pStyle w:val="P68B1DB1-Normal12"/>
              <w:spacing w:after="0" w:line="240"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6D" w14:textId="77777777" w:rsidR="00F74E13" w:rsidRDefault="009274FC">
            <w:pPr>
              <w:pStyle w:val="P68B1DB1-Normal12"/>
              <w:spacing w:after="0" w:line="240" w:lineRule="auto"/>
              <w:rPr>
                <w:noProof/>
              </w:rPr>
            </w:pPr>
            <w:r>
              <w:rPr>
                <w:noProof/>
              </w:rPr>
              <w:t xml:space="preserve">Accès aux réseaux à très haute capacité (VHCN)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6E" w14:textId="77777777" w:rsidR="00F74E13" w:rsidRDefault="009274FC">
            <w:pPr>
              <w:pStyle w:val="P68B1DB1-Normal12"/>
              <w:spacing w:after="0" w:line="240" w:lineRule="auto"/>
              <w:rPr>
                <w:noProof/>
              </w:rPr>
            </w:pPr>
            <w:r>
              <w:rPr>
                <w:noProof/>
              </w:rPr>
              <w:t>Accès aux réseaux à très haute capacité fournis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6F"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70"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71"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72"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73" w14:textId="77777777" w:rsidR="00F74E13" w:rsidRDefault="009274FC">
            <w:pPr>
              <w:pStyle w:val="P68B1DB1-Normal12"/>
              <w:spacing w:after="0" w:line="240" w:lineRule="auto"/>
              <w:jc w:val="center"/>
              <w:rPr>
                <w:noProof/>
              </w:rPr>
            </w:pPr>
            <w:r>
              <w:rPr>
                <w:noProof/>
              </w:rPr>
              <w:t>2026</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74" w14:textId="603184B8" w:rsidR="00F74E13" w:rsidRDefault="009274FC">
            <w:pPr>
              <w:pStyle w:val="P68B1DB1-Normal12"/>
              <w:spacing w:after="0" w:line="240" w:lineRule="auto"/>
              <w:jc w:val="both"/>
              <w:rPr>
                <w:rFonts w:eastAsia="Times New Roman"/>
                <w:noProof/>
              </w:rPr>
            </w:pPr>
            <w:r>
              <w:rPr>
                <w:noProof/>
              </w:rPr>
              <w:t xml:space="preserve">L’accès aux réseaux à très haute capacité est prévu pour les établissements couvrant au moins 350 000 personnes. </w:t>
            </w:r>
          </w:p>
        </w:tc>
      </w:tr>
      <w:tr w:rsidR="00F74E13" w14:paraId="1CEBD984"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76" w14:textId="77777777" w:rsidR="00F74E13" w:rsidRDefault="009274FC">
            <w:pPr>
              <w:pStyle w:val="P68B1DB1-Normal12"/>
              <w:spacing w:after="0" w:line="240" w:lineRule="auto"/>
              <w:jc w:val="center"/>
              <w:rPr>
                <w:noProof/>
              </w:rPr>
            </w:pPr>
            <w:r>
              <w:rPr>
                <w:noProof/>
              </w:rPr>
              <w:t>148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77" w14:textId="77777777" w:rsidR="00F74E13" w:rsidRDefault="009274FC">
            <w:pPr>
              <w:pStyle w:val="P68B1DB1-Normal12"/>
              <w:spacing w:after="0" w:line="240" w:lineRule="auto"/>
              <w:rPr>
                <w:noProof/>
              </w:rPr>
            </w:pPr>
            <w:r>
              <w:rPr>
                <w:noProof/>
              </w:rPr>
              <w:t>C7.I2 : Système TETRA et réseau de relais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78" w14:textId="77777777" w:rsidR="00F74E13" w:rsidRDefault="009274FC">
            <w:pPr>
              <w:pStyle w:val="P68B1DB1-Normal12"/>
              <w:spacing w:after="0" w:line="240"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79" w14:textId="77777777" w:rsidR="00F74E13" w:rsidRDefault="009274FC">
            <w:pPr>
              <w:pStyle w:val="P68B1DB1-Normal12"/>
              <w:spacing w:after="0" w:line="240" w:lineRule="auto"/>
              <w:rPr>
                <w:noProof/>
              </w:rPr>
            </w:pPr>
            <w:r>
              <w:rPr>
                <w:noProof/>
              </w:rPr>
              <w:t>Attribution de contrats pour le développement du système TETRA et du réseau de relais radio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7A" w14:textId="77777777" w:rsidR="00F74E13" w:rsidRDefault="009274FC">
            <w:pPr>
              <w:pStyle w:val="P68B1DB1-Normal12"/>
              <w:spacing w:after="0" w:line="240" w:lineRule="auto"/>
              <w:rPr>
                <w:noProof/>
              </w:rPr>
            </w:pPr>
            <w:r>
              <w:rPr>
                <w:noProof/>
              </w:rPr>
              <w:t>Communication des prix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7B"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7C"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7D"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7E"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7F" w14:textId="77777777" w:rsidR="00F74E13" w:rsidRDefault="009274FC">
            <w:pPr>
              <w:pStyle w:val="P68B1DB1-Normal12"/>
              <w:spacing w:after="0" w:line="240" w:lineRule="auto"/>
              <w:jc w:val="center"/>
              <w:rPr>
                <w:noProof/>
              </w:rPr>
            </w:pPr>
            <w:r>
              <w:rPr>
                <w:noProof/>
              </w:rPr>
              <w:t>2022</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80" w14:textId="77777777" w:rsidR="00F74E13" w:rsidRDefault="009274FC">
            <w:pPr>
              <w:pStyle w:val="P68B1DB1-Normal12"/>
              <w:spacing w:after="0" w:line="240" w:lineRule="auto"/>
              <w:jc w:val="both"/>
              <w:rPr>
                <w:noProof/>
              </w:rPr>
            </w:pPr>
            <w:r>
              <w:rPr>
                <w:noProof/>
              </w:rPr>
              <w:t>Les procédures de passation des marchés publics sont menées dans le cadre d'un appel d'offres ouvert et concurrentiel.</w:t>
            </w:r>
          </w:p>
          <w:p w14:paraId="1CEBD981" w14:textId="77777777" w:rsidR="00F74E13" w:rsidRDefault="009274FC">
            <w:pPr>
              <w:pStyle w:val="P68B1DB1-Normal12"/>
              <w:spacing w:after="0" w:line="240" w:lineRule="auto"/>
              <w:jc w:val="both"/>
              <w:rPr>
                <w:noProof/>
              </w:rPr>
            </w:pPr>
            <w:r>
              <w:rPr>
                <w:noProof/>
              </w:rPr>
              <w:t>Deux procédures de passation de marchés publics portant sur les sujets suivants sont menées:</w:t>
            </w:r>
          </w:p>
          <w:p w14:paraId="1CEBD982" w14:textId="77777777" w:rsidR="00F74E13" w:rsidRDefault="009274FC">
            <w:pPr>
              <w:pStyle w:val="P68B1DB1-ListParagraph20"/>
              <w:numPr>
                <w:ilvl w:val="0"/>
                <w:numId w:val="42"/>
              </w:numPr>
              <w:spacing w:after="0" w:line="240" w:lineRule="auto"/>
              <w:ind w:left="170" w:hanging="170"/>
              <w:jc w:val="both"/>
              <w:rPr>
                <w:noProof/>
              </w:rPr>
            </w:pPr>
            <w:r>
              <w:rPr>
                <w:noProof/>
              </w:rPr>
              <w:t>Construction, développement et optimisation du système numérique TETRA et du réseau à micro-ondes gérés par le ministère de l'Intérieur nécessaires à sa construction en tant que système de radiocommunication unifié pour fournir un environnement de communication pour la gestion, l'interaction et la coordination des unités de l'État;</w:t>
            </w:r>
          </w:p>
          <w:p w14:paraId="1CEBD983" w14:textId="77777777" w:rsidR="00F74E13" w:rsidRDefault="009274FC">
            <w:pPr>
              <w:pStyle w:val="P68B1DB1-ListParagraph47"/>
              <w:numPr>
                <w:ilvl w:val="0"/>
                <w:numId w:val="42"/>
              </w:numPr>
              <w:spacing w:after="0" w:line="240" w:lineRule="auto"/>
              <w:ind w:left="170" w:hanging="170"/>
              <w:jc w:val="both"/>
              <w:rPr>
                <w:rFonts w:ascii="Times New Roman" w:eastAsia="Times New Roman" w:hAnsi="Times New Roman" w:cs="Times New Roman"/>
                <w:noProof/>
                <w:color w:val="006100"/>
              </w:rPr>
            </w:pPr>
            <w:r>
              <w:rPr>
                <w:rFonts w:ascii="Times New Roman" w:eastAsia="Times New Roman" w:hAnsi="Times New Roman" w:cs="Times New Roman"/>
                <w:noProof/>
                <w:color w:val="006100"/>
              </w:rPr>
              <w:t>Livraison des terminaux et équipements nécessaires à l'ajout de 14</w:t>
            </w:r>
            <w:r>
              <w:rPr>
                <w:rFonts w:ascii="Times New Roman" w:eastAsia="Calibri" w:hAnsi="Times New Roman" w:cs="Times New Roman"/>
                <w:noProof/>
              </w:rPr>
              <w:t> </w:t>
            </w:r>
            <w:r>
              <w:rPr>
                <w:rFonts w:ascii="Times New Roman" w:eastAsia="Times New Roman" w:hAnsi="Times New Roman" w:cs="Times New Roman"/>
                <w:noProof/>
                <w:color w:val="006100"/>
              </w:rPr>
              <w:t>000 abonnés de toutes les institutions publiques au réseau TETRA.</w:t>
            </w:r>
          </w:p>
        </w:tc>
      </w:tr>
      <w:tr w:rsidR="00F74E13" w14:paraId="1CEBD992" w14:textId="77777777" w:rsidTr="009552A1">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85" w14:textId="77777777" w:rsidR="00F74E13" w:rsidRDefault="009274FC">
            <w:pPr>
              <w:pStyle w:val="P68B1DB1-Normal12"/>
              <w:spacing w:after="0" w:line="240" w:lineRule="auto"/>
              <w:jc w:val="center"/>
              <w:rPr>
                <w:noProof/>
              </w:rPr>
            </w:pPr>
            <w:r>
              <w:rPr>
                <w:noProof/>
              </w:rPr>
              <w:t>149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86" w14:textId="77777777" w:rsidR="00F74E13" w:rsidRDefault="009274FC">
            <w:pPr>
              <w:pStyle w:val="P68B1DB1-Normal12"/>
              <w:spacing w:after="0" w:line="240" w:lineRule="auto"/>
              <w:rPr>
                <w:noProof/>
              </w:rPr>
            </w:pPr>
            <w:r>
              <w:rPr>
                <w:noProof/>
              </w:rPr>
              <w:t>C7.I2 : Système TETRA et réseau de relais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87" w14:textId="77777777" w:rsidR="00F74E13" w:rsidRDefault="009274FC">
            <w:pPr>
              <w:pStyle w:val="P68B1DB1-Normal12"/>
              <w:spacing w:after="0" w:line="240" w:lineRule="auto"/>
              <w:jc w:val="center"/>
              <w:rPr>
                <w:noProof/>
              </w:rPr>
            </w:pPr>
            <w:r>
              <w:rPr>
                <w:noProof/>
              </w:rPr>
              <w:t>Étape</w:t>
            </w:r>
          </w:p>
        </w:tc>
        <w:tc>
          <w:tcPr>
            <w:tcW w:w="1565" w:type="dxa"/>
            <w:tcBorders>
              <w:top w:val="single" w:sz="4" w:space="0" w:color="auto"/>
              <w:left w:val="single" w:sz="4" w:space="0" w:color="auto"/>
              <w:bottom w:val="single" w:sz="4" w:space="0" w:color="auto"/>
              <w:right w:val="single" w:sz="4" w:space="0" w:color="auto"/>
            </w:tcBorders>
            <w:shd w:val="clear" w:color="auto" w:fill="C6EFCE"/>
            <w:noWrap/>
          </w:tcPr>
          <w:p w14:paraId="1CEBD988" w14:textId="77777777" w:rsidR="00F74E13" w:rsidRDefault="009274FC">
            <w:pPr>
              <w:pStyle w:val="P68B1DB1-Normal12"/>
              <w:spacing w:after="0" w:line="240" w:lineRule="auto"/>
              <w:rPr>
                <w:noProof/>
              </w:rPr>
            </w:pPr>
            <w:r>
              <w:rPr>
                <w:noProof/>
              </w:rPr>
              <w:t xml:space="preserve">Livraison d'équipements selon la norme TETRA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89" w14:textId="77777777" w:rsidR="00F74E13" w:rsidRDefault="009274FC">
            <w:pPr>
              <w:pStyle w:val="P68B1DB1-Normal12"/>
              <w:spacing w:after="0" w:line="240" w:lineRule="auto"/>
              <w:rPr>
                <w:noProof/>
              </w:rPr>
            </w:pPr>
            <w:r>
              <w:rPr>
                <w:noProof/>
              </w:rPr>
              <w:t>Équipements livrés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8A" w14:textId="77777777" w:rsidR="00F74E13" w:rsidRDefault="00F74E13">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8B" w14:textId="77777777" w:rsidR="00F74E13" w:rsidRDefault="00F74E13">
            <w:pPr>
              <w:spacing w:after="0" w:line="240" w:lineRule="auto"/>
              <w:jc w:val="center"/>
              <w:rPr>
                <w:rFonts w:ascii="Times New Roman" w:hAnsi="Times New Roman" w:cs="Times New Roman"/>
                <w:noProof/>
                <w:color w:val="006100"/>
                <w:sz w:val="20"/>
                <w:szCs w:val="20"/>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CEBD98C" w14:textId="77777777" w:rsidR="00F74E13" w:rsidRDefault="00F74E13">
            <w:pPr>
              <w:spacing w:after="0" w:line="240" w:lineRule="auto"/>
              <w:jc w:val="center"/>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8D" w14:textId="77777777" w:rsidR="00F74E13" w:rsidRDefault="009274FC">
            <w:pPr>
              <w:pStyle w:val="P68B1DB1-Normal12"/>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8E" w14:textId="77777777" w:rsidR="00F74E13" w:rsidRDefault="009274FC">
            <w:pPr>
              <w:pStyle w:val="P68B1DB1-Normal35"/>
              <w:spacing w:after="0" w:line="240" w:lineRule="auto"/>
              <w:jc w:val="center"/>
              <w:rPr>
                <w:noProof/>
              </w:rPr>
            </w:pPr>
            <w:r>
              <w:rPr>
                <w:noProof/>
              </w:rPr>
              <w:t>2025</w:t>
            </w:r>
          </w:p>
        </w:tc>
        <w:tc>
          <w:tcPr>
            <w:tcW w:w="3521" w:type="dxa"/>
            <w:tcBorders>
              <w:top w:val="single" w:sz="4" w:space="0" w:color="auto"/>
              <w:left w:val="single" w:sz="4" w:space="0" w:color="auto"/>
              <w:bottom w:val="single" w:sz="4" w:space="0" w:color="auto"/>
              <w:right w:val="single" w:sz="4" w:space="0" w:color="auto"/>
            </w:tcBorders>
            <w:shd w:val="clear" w:color="auto" w:fill="C6EFCE"/>
            <w:noWrap/>
          </w:tcPr>
          <w:p w14:paraId="1CEBD98F" w14:textId="77777777" w:rsidR="00F74E13" w:rsidRDefault="009274FC">
            <w:pPr>
              <w:pStyle w:val="P68B1DB1-Normal12"/>
              <w:spacing w:after="0" w:line="240" w:lineRule="auto"/>
              <w:jc w:val="both"/>
              <w:rPr>
                <w:noProof/>
              </w:rPr>
            </w:pPr>
            <w:r>
              <w:rPr>
                <w:noProof/>
              </w:rPr>
              <w:t>Des protocoles d'acceptation doivent être fournis prouvant la livraison:</w:t>
            </w:r>
          </w:p>
          <w:p w14:paraId="1CEBD990" w14:textId="77777777" w:rsidR="00F74E13" w:rsidRDefault="009274FC">
            <w:pPr>
              <w:pStyle w:val="P68B1DB1-ListParagraph16"/>
              <w:numPr>
                <w:ilvl w:val="0"/>
                <w:numId w:val="42"/>
              </w:numPr>
              <w:spacing w:after="0" w:line="240" w:lineRule="auto"/>
              <w:ind w:left="170" w:hanging="141"/>
              <w:jc w:val="both"/>
              <w:rPr>
                <w:noProof/>
                <w:color w:val="385623"/>
              </w:rPr>
            </w:pPr>
            <w:r>
              <w:rPr>
                <w:noProof/>
              </w:rPr>
              <w:t>14 000 dispositifs d'utilisateur final basés sur la norme TETRA;</w:t>
            </w:r>
          </w:p>
          <w:p w14:paraId="1CEBD991" w14:textId="77777777" w:rsidR="00F74E13" w:rsidRDefault="009274FC">
            <w:pPr>
              <w:pStyle w:val="P68B1DB1-ListParagraph16"/>
              <w:numPr>
                <w:ilvl w:val="0"/>
                <w:numId w:val="42"/>
              </w:numPr>
              <w:spacing w:after="0" w:line="240" w:lineRule="auto"/>
              <w:ind w:left="170" w:hanging="141"/>
              <w:jc w:val="both"/>
              <w:rPr>
                <w:noProof/>
                <w:color w:val="385623"/>
              </w:rPr>
            </w:pPr>
            <w:r>
              <w:rPr>
                <w:noProof/>
              </w:rPr>
              <w:t>109 stations de base basées sur la norme TETRA.</w:t>
            </w:r>
          </w:p>
        </w:tc>
      </w:tr>
    </w:tbl>
    <w:p w14:paraId="1CEBD993" w14:textId="77777777" w:rsidR="00F74E13" w:rsidRDefault="00F74E13">
      <w:pPr>
        <w:keepNext/>
        <w:spacing w:before="360" w:after="120" w:line="240" w:lineRule="auto"/>
        <w:jc w:val="both"/>
        <w:outlineLvl w:val="0"/>
        <w:rPr>
          <w:rFonts w:ascii="Times New Roman" w:hAnsi="Times New Roman"/>
          <w:b/>
          <w:smallCaps/>
          <w:noProof/>
        </w:rPr>
        <w:sectPr w:rsidR="00F74E13">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CEBD994" w14:textId="77777777" w:rsidR="00F74E13" w:rsidRDefault="009274FC">
      <w:pPr>
        <w:pStyle w:val="P68B1DB1-Normal5"/>
        <w:keepNext/>
        <w:spacing w:before="360" w:after="120" w:line="240" w:lineRule="auto"/>
        <w:jc w:val="both"/>
        <w:outlineLvl w:val="0"/>
        <w:rPr>
          <w:noProof/>
        </w:rPr>
      </w:pPr>
      <w:r>
        <w:rPr>
          <w:noProof/>
        </w:rPr>
        <w:t>H. Élément 8: Transports durables</w:t>
      </w:r>
    </w:p>
    <w:p w14:paraId="1CEBD995" w14:textId="77777777" w:rsidR="00F74E13" w:rsidRDefault="009274FC">
      <w:pPr>
        <w:pStyle w:val="P68B1DB1-Normal6"/>
        <w:spacing w:line="256" w:lineRule="auto"/>
        <w:ind w:left="284"/>
        <w:jc w:val="both"/>
        <w:rPr>
          <w:noProof/>
        </w:rPr>
      </w:pPr>
      <w:r>
        <w:rPr>
          <w:noProof/>
          <w:color w:val="474747"/>
        </w:rPr>
        <w:t xml:space="preserve">L’objectif </w:t>
      </w:r>
      <w:r>
        <w:rPr>
          <w:noProof/>
        </w:rPr>
        <w:t>principal de ce volet est d’améliorer la durabilité du secteur des transports en réformant les secteurs routier et ferroviaire, en promouvant les véhicules à émissions nulles, en renforçant la sécurité routière et en investissant dans les chemins de fer, le transport intermodal et la mobilité urbaine durable. Il s’agit notamment d’investissements dans la modernisation et la numérisation des chemins de fer, de nouveaux matériels roulants à émissions nulles et de transports publics propres. Ce volet devrait contribuer à la transition écologique et numérique, ainsi qu’à une croissance territoriale plus équilibrée.</w:t>
      </w:r>
    </w:p>
    <w:p w14:paraId="1CEBD996" w14:textId="77777777" w:rsidR="00F74E13" w:rsidRDefault="009274FC">
      <w:pPr>
        <w:pStyle w:val="P68B1DB1-Normal6"/>
        <w:spacing w:line="256" w:lineRule="auto"/>
        <w:ind w:left="284"/>
        <w:jc w:val="both"/>
        <w:rPr>
          <w:noProof/>
        </w:rPr>
      </w:pPr>
      <w:r>
        <w:rPr>
          <w:noProof/>
        </w:rPr>
        <w:t>Les réformes et les investissements inclus dans le volet 8 sur les transports durables devraient contribuer à donner suite aux recommandations par pays transmises à la Bulgarie en 2019 et 2020 sur la nécessité de concentrer les investissements sur les transports durables.</w:t>
      </w:r>
    </w:p>
    <w:p w14:paraId="1CEBD997" w14:textId="77777777" w:rsidR="00F74E13" w:rsidRDefault="009274FC">
      <w:pPr>
        <w:pStyle w:val="P68B1DB1-Normal6"/>
        <w:spacing w:line="256" w:lineRule="auto"/>
        <w:ind w:left="284"/>
        <w:jc w:val="both"/>
        <w:rPr>
          <w:noProof/>
        </w:rPr>
      </w:pPr>
      <w:r>
        <w:rPr>
          <w:noProof/>
        </w:rPr>
        <w:t xml:space="preserve">Aucune mesure relevant de ce volet n’est susceptible de causer un préjudice important aux objectifs environnementaux au sens de l’article 17 du règlement (UE) 2020/852, compte tenu de la description des mesures figurant dans le plan pour la reprise et la résilience conformément aux orientations techniques DNSH (2021/C58/01). </w:t>
      </w:r>
    </w:p>
    <w:p w14:paraId="1CEBD999" w14:textId="77777777" w:rsidR="00F74E13" w:rsidRDefault="009274FC">
      <w:pPr>
        <w:pStyle w:val="P68B1DB1-Normal8"/>
        <w:spacing w:before="120" w:after="120" w:line="240" w:lineRule="auto"/>
        <w:ind w:left="284"/>
        <w:jc w:val="both"/>
        <w:rPr>
          <w:noProof/>
        </w:rPr>
      </w:pPr>
      <w:r>
        <w:rPr>
          <w:noProof/>
        </w:rPr>
        <w:t>H.1. Description des réformes et des investissements pour le soutien financier non remboursable</w:t>
      </w:r>
    </w:p>
    <w:p w14:paraId="1CEBD99A" w14:textId="77777777" w:rsidR="00F74E13" w:rsidRDefault="009274FC">
      <w:pPr>
        <w:pStyle w:val="P68B1DB1-Normal9"/>
        <w:spacing w:before="120" w:after="120" w:line="240" w:lineRule="auto"/>
        <w:ind w:left="284"/>
        <w:jc w:val="both"/>
        <w:rPr>
          <w:noProof/>
        </w:rPr>
      </w:pPr>
      <w:r>
        <w:rPr>
          <w:noProof/>
        </w:rPr>
        <w:t>Réforme 1 (C8.R1): Cadre stratégique des transports</w:t>
      </w:r>
    </w:p>
    <w:p w14:paraId="1CEBD99B" w14:textId="77777777" w:rsidR="00F74E13" w:rsidRDefault="009274FC">
      <w:pPr>
        <w:pStyle w:val="P68B1DB1-Normal6"/>
        <w:spacing w:after="120" w:line="240" w:lineRule="auto"/>
        <w:ind w:left="284"/>
        <w:jc w:val="both"/>
        <w:rPr>
          <w:noProof/>
        </w:rPr>
      </w:pPr>
      <w:r>
        <w:rPr>
          <w:noProof/>
        </w:rPr>
        <w:t>L'objectif de la réforme est d'accroître la durabilité des transports en Bulgarie.</w:t>
      </w:r>
    </w:p>
    <w:p w14:paraId="1CEBD99C" w14:textId="77777777" w:rsidR="00F74E13" w:rsidRDefault="009274FC">
      <w:pPr>
        <w:pStyle w:val="P68B1DB1-Normal6"/>
        <w:spacing w:after="0" w:line="240" w:lineRule="auto"/>
        <w:ind w:left="284"/>
        <w:jc w:val="both"/>
        <w:rPr>
          <w:noProof/>
        </w:rPr>
      </w:pPr>
      <w:r>
        <w:rPr>
          <w:noProof/>
        </w:rPr>
        <w:t>La réforme consiste en l’entrée en vigueur d’un plan national, la publication d’une évaluation du marché et la signature d’un ou de plusieurs nouveaux contrats de service public pour la fourniture de services publics de transport ferroviaire.</w:t>
      </w:r>
    </w:p>
    <w:p w14:paraId="1CEBD99D" w14:textId="77777777" w:rsidR="00F74E13" w:rsidRDefault="00F74E13">
      <w:pPr>
        <w:spacing w:after="0" w:line="240" w:lineRule="auto"/>
        <w:ind w:left="284"/>
        <w:jc w:val="both"/>
        <w:rPr>
          <w:rFonts w:ascii="Times New Roman" w:hAnsi="Times New Roman"/>
          <w:noProof/>
        </w:rPr>
      </w:pPr>
    </w:p>
    <w:p w14:paraId="1CEBD99E" w14:textId="77777777" w:rsidR="00F74E13" w:rsidRDefault="009274FC">
      <w:pPr>
        <w:pStyle w:val="P68B1DB1-Normal9"/>
        <w:spacing w:before="120" w:after="0" w:line="240" w:lineRule="auto"/>
        <w:ind w:left="284"/>
        <w:jc w:val="both"/>
        <w:rPr>
          <w:noProof/>
        </w:rPr>
      </w:pPr>
      <w:r>
        <w:rPr>
          <w:noProof/>
        </w:rPr>
        <w:t>Réforme 2 (C8.R2): Sécurité routière</w:t>
      </w:r>
    </w:p>
    <w:p w14:paraId="1CEBD99F" w14:textId="00D0A9EF" w:rsidR="00F74E13" w:rsidRDefault="009274FC">
      <w:pPr>
        <w:pStyle w:val="P68B1DB1-Normal6"/>
        <w:spacing w:before="120" w:after="0" w:line="240" w:lineRule="auto"/>
        <w:ind w:left="284"/>
        <w:jc w:val="both"/>
        <w:rPr>
          <w:noProof/>
        </w:rPr>
      </w:pPr>
      <w:r>
        <w:rPr>
          <w:noProof/>
        </w:rPr>
        <w:t>L'objectif de la réforme est d'améliorer la sécurité routière, étant donné que la Bulgarie affiche l'un des taux de mortalité par accident de la route les plus élevés de l'UE.</w:t>
      </w:r>
    </w:p>
    <w:p w14:paraId="1CEBD9A0" w14:textId="6CE25AC7" w:rsidR="00F74E13" w:rsidRDefault="009274FC">
      <w:pPr>
        <w:pStyle w:val="P68B1DB1-Normal6"/>
        <w:spacing w:before="120" w:after="120" w:line="240" w:lineRule="auto"/>
        <w:ind w:left="284"/>
        <w:jc w:val="both"/>
        <w:rPr>
          <w:noProof/>
        </w:rPr>
      </w:pPr>
      <w:r>
        <w:rPr>
          <w:noProof/>
        </w:rPr>
        <w:t>La réforme comprend la mise en place d’un cadre conceptuel pour une nouvelle gestion de la sécurité routière dans un document stratégique intégré unique pour la période 2021-2030.</w:t>
      </w:r>
    </w:p>
    <w:p w14:paraId="1CEBD9A2" w14:textId="77777777" w:rsidR="00F74E13" w:rsidRDefault="009274FC">
      <w:pPr>
        <w:pStyle w:val="P68B1DB1-Normal9"/>
        <w:spacing w:before="120" w:after="0" w:line="240" w:lineRule="auto"/>
        <w:ind w:left="284"/>
        <w:jc w:val="both"/>
        <w:rPr>
          <w:noProof/>
        </w:rPr>
      </w:pPr>
      <w:r>
        <w:rPr>
          <w:noProof/>
        </w:rPr>
        <w:t>Réforme 3 (C8.R3): Mobilité urbaine durable</w:t>
      </w:r>
    </w:p>
    <w:p w14:paraId="1CEBD9A3" w14:textId="77777777" w:rsidR="00F74E13" w:rsidRDefault="009274FC">
      <w:pPr>
        <w:pStyle w:val="P68B1DB1-Normal6"/>
        <w:spacing w:before="120" w:after="120" w:line="240" w:lineRule="auto"/>
        <w:ind w:left="284"/>
        <w:jc w:val="both"/>
        <w:rPr>
          <w:noProof/>
        </w:rPr>
      </w:pPr>
      <w:r>
        <w:rPr>
          <w:noProof/>
        </w:rPr>
        <w:t xml:space="preserve">L’objectif de la réforme est de promouvoir la mobilité urbaine durable, grâce à l’utilisation de plans de mobilité urbaine durable intégrés dans les stratégies territoriales pour le développement des régions de planification NUTS 2 (nomenclature des unités territoriales statistiques) et intégrés dans les plans municipaux de développement. </w:t>
      </w:r>
    </w:p>
    <w:p w14:paraId="1CEBD9A5" w14:textId="77777777" w:rsidR="00F74E13" w:rsidRDefault="009274FC">
      <w:pPr>
        <w:pStyle w:val="P68B1DB1-Normal9"/>
        <w:spacing w:before="120" w:after="120" w:line="240" w:lineRule="auto"/>
        <w:ind w:left="284"/>
        <w:jc w:val="both"/>
        <w:rPr>
          <w:strike/>
          <w:noProof/>
        </w:rPr>
      </w:pPr>
      <w:r>
        <w:rPr>
          <w:noProof/>
        </w:rPr>
        <w:t>Réforme 4 (C8.R4): Transports publics intégrés</w:t>
      </w:r>
    </w:p>
    <w:p w14:paraId="1CEBD9A6" w14:textId="1200C865" w:rsidR="00F74E13" w:rsidRDefault="009274FC">
      <w:pPr>
        <w:pStyle w:val="P68B1DB1-Normal6"/>
        <w:spacing w:after="0" w:line="240" w:lineRule="auto"/>
        <w:ind w:left="284"/>
        <w:jc w:val="both"/>
        <w:rPr>
          <w:noProof/>
        </w:rPr>
      </w:pPr>
      <w:r>
        <w:rPr>
          <w:noProof/>
        </w:rPr>
        <w:t>L'objectif de la réforme est d'accroître la qualité et l'efficacité du service de transport public.</w:t>
      </w:r>
    </w:p>
    <w:p w14:paraId="1CEBD9A7" w14:textId="5AC1583A" w:rsidR="00F74E13" w:rsidRDefault="009274FC">
      <w:pPr>
        <w:pStyle w:val="P68B1DB1-Normal6"/>
        <w:spacing w:before="120" w:after="120" w:line="240" w:lineRule="auto"/>
        <w:ind w:left="284"/>
        <w:jc w:val="both"/>
        <w:rPr>
          <w:noProof/>
        </w:rPr>
      </w:pPr>
      <w:r>
        <w:rPr>
          <w:noProof/>
        </w:rPr>
        <w:t>La réforme consiste en l’entrée en vigueur d’un ou de plusieurs actes juridiques relatifs aux transports publics. Le système national de document de transport unique, y compris le système de compensation pour la répartition des recettes provenant de la vente des documents de transport uniques, ainsi que l’élaboration, la mise en œuvre et la mise à jour ultérieure du système de gestion intelligente des transports publics et du système national de points d’accès, ne font pas partie de la mesure FRR.</w:t>
      </w:r>
    </w:p>
    <w:p w14:paraId="1CEBD9A9" w14:textId="77777777" w:rsidR="00F74E13" w:rsidRDefault="009274FC">
      <w:pPr>
        <w:pStyle w:val="P68B1DB1-Normal9"/>
        <w:spacing w:before="120" w:after="120" w:line="240" w:lineRule="auto"/>
        <w:ind w:left="284"/>
        <w:jc w:val="both"/>
        <w:rPr>
          <w:noProof/>
        </w:rPr>
      </w:pPr>
      <w:r>
        <w:rPr>
          <w:noProof/>
        </w:rPr>
        <w:t>Réforme 5 (C8.R5): Mobilité électrique</w:t>
      </w:r>
    </w:p>
    <w:p w14:paraId="1CEBD9AA" w14:textId="77777777" w:rsidR="00F74E13" w:rsidRDefault="009274FC">
      <w:pPr>
        <w:pStyle w:val="P68B1DB1-Normal6"/>
        <w:spacing w:before="120" w:after="120" w:line="240" w:lineRule="auto"/>
        <w:ind w:left="284"/>
        <w:jc w:val="both"/>
        <w:rPr>
          <w:noProof/>
        </w:rPr>
      </w:pPr>
      <w:r>
        <w:rPr>
          <w:noProof/>
        </w:rPr>
        <w:t xml:space="preserve">L’objectif de la réforme est d’accroître l’adoption de transports à émissions nulles et à faibles émissions en Bulgarie. </w:t>
      </w:r>
    </w:p>
    <w:p w14:paraId="1CEBD9AB" w14:textId="77777777" w:rsidR="00F74E13" w:rsidRDefault="009274FC">
      <w:pPr>
        <w:pStyle w:val="P68B1DB1-Normal6"/>
        <w:spacing w:after="120" w:line="240" w:lineRule="auto"/>
        <w:ind w:left="284"/>
        <w:jc w:val="both"/>
        <w:rPr>
          <w:noProof/>
        </w:rPr>
      </w:pPr>
      <w:r>
        <w:rPr>
          <w:noProof/>
        </w:rPr>
        <w:t>La réforme consiste en l’entrée en vigueur d’un ou de plusieurs actes juridiques sur la mobilité électrique ainsi qu’en l’introduction de zones à faibles émissions.</w:t>
      </w:r>
    </w:p>
    <w:p w14:paraId="1CEBD9AD" w14:textId="77777777" w:rsidR="00F74E13" w:rsidRDefault="009274FC">
      <w:pPr>
        <w:pStyle w:val="P68B1DB1-Normal48"/>
        <w:spacing w:before="120" w:after="120" w:line="257" w:lineRule="auto"/>
        <w:ind w:left="284"/>
        <w:jc w:val="both"/>
        <w:rPr>
          <w:noProof/>
        </w:rPr>
      </w:pPr>
      <w:r>
        <w:rPr>
          <w:noProof/>
        </w:rPr>
        <w:t>Investissement 1 (C8.I1): Matériel roulant ferroviaire</w:t>
      </w:r>
    </w:p>
    <w:p w14:paraId="1CEBD9AE" w14:textId="77777777" w:rsidR="00F74E13" w:rsidRDefault="009274FC">
      <w:pPr>
        <w:pStyle w:val="P68B1DB1-Normal6"/>
        <w:spacing w:after="120" w:line="240" w:lineRule="auto"/>
        <w:ind w:left="284"/>
        <w:jc w:val="both"/>
        <w:rPr>
          <w:noProof/>
        </w:rPr>
      </w:pPr>
      <w:r>
        <w:rPr>
          <w:noProof/>
        </w:rPr>
        <w:t xml:space="preserve">L’objectif de l’investissement est d’accroître l’utilisation du matériel roulant ferroviaire à émissions nulles. </w:t>
      </w:r>
    </w:p>
    <w:p w14:paraId="1CEBD9AF" w14:textId="2629BF5A" w:rsidR="00F74E13" w:rsidRDefault="009274FC">
      <w:pPr>
        <w:pStyle w:val="P68B1DB1-Normal6"/>
        <w:spacing w:after="240" w:line="240" w:lineRule="auto"/>
        <w:ind w:left="284"/>
        <w:jc w:val="both"/>
        <w:rPr>
          <w:noProof/>
        </w:rPr>
      </w:pPr>
      <w:r>
        <w:rPr>
          <w:noProof/>
        </w:rPr>
        <w:t xml:space="preserve">L'investissement consiste en l'acquisition de matériel roulant ferroviaire. </w:t>
      </w:r>
    </w:p>
    <w:p w14:paraId="1CEBD9B0" w14:textId="77777777" w:rsidR="00F74E13" w:rsidRDefault="009274FC">
      <w:pPr>
        <w:pStyle w:val="P68B1DB1-Normal48"/>
        <w:spacing w:before="120" w:after="0" w:line="240" w:lineRule="auto"/>
        <w:ind w:left="284"/>
        <w:jc w:val="both"/>
        <w:rPr>
          <w:noProof/>
        </w:rPr>
      </w:pPr>
      <w:r>
        <w:rPr>
          <w:noProof/>
        </w:rPr>
        <w:t>Investissement 5 (C8.I5): Sécurité routière</w:t>
      </w:r>
    </w:p>
    <w:p w14:paraId="1CEBD9B1" w14:textId="77777777" w:rsidR="00F74E13" w:rsidRDefault="009274FC">
      <w:pPr>
        <w:pStyle w:val="P68B1DB1-Normal6"/>
        <w:spacing w:before="120" w:after="0" w:line="240" w:lineRule="auto"/>
        <w:ind w:left="284"/>
        <w:jc w:val="both"/>
        <w:rPr>
          <w:rFonts w:cs="Times New Roman"/>
          <w:noProof/>
        </w:rPr>
      </w:pPr>
      <w:r>
        <w:rPr>
          <w:noProof/>
        </w:rPr>
        <w:t xml:space="preserve">L’objectif de l’investissement est de soutenir les activités de sécurité routière sur les routes bulgares. </w:t>
      </w:r>
    </w:p>
    <w:p w14:paraId="1CEBD9B2" w14:textId="6AD05BD9" w:rsidR="00F74E13" w:rsidRDefault="009274FC">
      <w:pPr>
        <w:pStyle w:val="P68B1DB1-Normal6"/>
        <w:spacing w:before="120" w:after="120" w:line="240" w:lineRule="auto"/>
        <w:ind w:left="284"/>
        <w:jc w:val="both"/>
        <w:rPr>
          <w:noProof/>
        </w:rPr>
      </w:pPr>
      <w:r>
        <w:rPr>
          <w:noProof/>
        </w:rPr>
        <w:t xml:space="preserve">L'investissement consiste en l'achat d'équipements. </w:t>
      </w:r>
    </w:p>
    <w:p w14:paraId="1CEBD9B4" w14:textId="77777777" w:rsidR="00F74E13" w:rsidRDefault="009274FC">
      <w:pPr>
        <w:pStyle w:val="P68B1DB1-Normal48"/>
        <w:spacing w:before="120" w:after="0" w:line="240" w:lineRule="auto"/>
        <w:ind w:left="284"/>
        <w:jc w:val="both"/>
        <w:rPr>
          <w:noProof/>
        </w:rPr>
      </w:pPr>
      <w:r>
        <w:rPr>
          <w:noProof/>
        </w:rPr>
        <w:t>Investissement 6 (C.8.I6): Ligne 3 du métro de Sofia</w:t>
      </w:r>
    </w:p>
    <w:p w14:paraId="1CEBD9B5" w14:textId="77777777" w:rsidR="00F74E13" w:rsidRDefault="009274FC">
      <w:pPr>
        <w:pStyle w:val="P68B1DB1-Normal6"/>
        <w:spacing w:after="120" w:line="240" w:lineRule="auto"/>
        <w:ind w:left="284"/>
        <w:jc w:val="both"/>
        <w:rPr>
          <w:noProof/>
        </w:rPr>
      </w:pPr>
      <w:r>
        <w:rPr>
          <w:noProof/>
        </w:rPr>
        <w:t>L'objectif de l'investissement est de construire des kilomètres et des stations de métro à Sofia.</w:t>
      </w:r>
    </w:p>
    <w:p w14:paraId="1CEBD9B6" w14:textId="77777777" w:rsidR="00F74E13" w:rsidRDefault="009274FC">
      <w:pPr>
        <w:pStyle w:val="P68B1DB1-Normal6"/>
        <w:spacing w:before="120" w:after="0" w:line="240" w:lineRule="auto"/>
        <w:ind w:left="284"/>
        <w:jc w:val="both"/>
        <w:rPr>
          <w:rFonts w:cs="Times New Roman"/>
          <w:noProof/>
        </w:rPr>
      </w:pPr>
      <w:r>
        <w:rPr>
          <w:noProof/>
        </w:rPr>
        <w:t>L'investissement consiste à construire 3 kilomètres et 3 stations de métro à Sofia.</w:t>
      </w:r>
    </w:p>
    <w:p w14:paraId="1CEBD9B8" w14:textId="77777777" w:rsidR="00F74E13" w:rsidRDefault="009274FC">
      <w:pPr>
        <w:pStyle w:val="P68B1DB1-Normal48"/>
        <w:spacing w:before="240" w:after="0" w:line="240" w:lineRule="auto"/>
        <w:ind w:left="284"/>
        <w:jc w:val="both"/>
        <w:rPr>
          <w:noProof/>
        </w:rPr>
      </w:pPr>
      <w:r>
        <w:rPr>
          <w:noProof/>
        </w:rPr>
        <w:t xml:space="preserve">Investissement 7 (C8.I7): Mobilité verte </w:t>
      </w:r>
    </w:p>
    <w:p w14:paraId="1CEBD9B9" w14:textId="77777777" w:rsidR="00F74E13" w:rsidRDefault="009274FC">
      <w:pPr>
        <w:pStyle w:val="P68B1DB1-Normal6"/>
        <w:spacing w:line="256" w:lineRule="auto"/>
        <w:ind w:left="284"/>
        <w:jc w:val="both"/>
        <w:rPr>
          <w:noProof/>
          <w:color w:val="000000" w:themeColor="text1"/>
        </w:rPr>
      </w:pPr>
      <w:r>
        <w:rPr>
          <w:noProof/>
        </w:rPr>
        <w:t xml:space="preserve">L’objectif de l’investissement </w:t>
      </w:r>
      <w:r>
        <w:rPr>
          <w:noProof/>
          <w:color w:val="000000" w:themeColor="text1"/>
        </w:rPr>
        <w:t xml:space="preserve">est de soutenir des mesures de mobilité urbaine durable. </w:t>
      </w:r>
    </w:p>
    <w:p w14:paraId="1CEBD9BA" w14:textId="4A97E45A" w:rsidR="00F74E13" w:rsidRDefault="009274FC">
      <w:pPr>
        <w:pStyle w:val="P68B1DB1-Normal49"/>
        <w:spacing w:before="120" w:line="257" w:lineRule="auto"/>
        <w:ind w:left="284"/>
        <w:jc w:val="both"/>
        <w:rPr>
          <w:noProof/>
        </w:rPr>
      </w:pPr>
      <w:r>
        <w:rPr>
          <w:noProof/>
        </w:rPr>
        <w:t xml:space="preserve">L’investissement consiste en l’acceptation et/ou la remise d’autobus et/ou de trolleybus à émissions nulles, l’installation de bornes de recharge pour les autobus, la construction et/ou la rénovation d’infrastructures cyclables ainsi que l’éclairage des passages pour piétons. </w:t>
      </w:r>
    </w:p>
    <w:p w14:paraId="1CEBD9BC" w14:textId="182C624E" w:rsidR="00F74E13" w:rsidRDefault="009274FC">
      <w:pPr>
        <w:pStyle w:val="P68B1DB1-Normal50"/>
        <w:spacing w:before="120" w:after="120" w:line="240" w:lineRule="auto"/>
        <w:ind w:left="284"/>
        <w:jc w:val="both"/>
        <w:rPr>
          <w:noProof/>
        </w:rPr>
      </w:pPr>
      <w:r>
        <w:rPr>
          <w:noProof/>
        </w:rPr>
        <w:t>Investissement 8 (C8.I8): Équipements et wagons pour la surveillance ou l'entretien des voies ferrées et des lignes aériennes</w:t>
      </w:r>
    </w:p>
    <w:p w14:paraId="1CEBD9BD" w14:textId="77777777" w:rsidR="00F74E13" w:rsidRDefault="009274FC">
      <w:pPr>
        <w:pStyle w:val="P68B1DB1-Normal51"/>
        <w:spacing w:before="120" w:after="0" w:line="240" w:lineRule="auto"/>
        <w:ind w:left="284"/>
        <w:jc w:val="both"/>
        <w:rPr>
          <w:noProof/>
        </w:rPr>
      </w:pPr>
      <w:r>
        <w:rPr>
          <w:noProof/>
        </w:rPr>
        <w:t>L'objectif de l'investissement est de soutenir la surveillance ou l'entretien des voies ferrées et des lignes aériennes.</w:t>
      </w:r>
    </w:p>
    <w:p w14:paraId="1CEBD9BE" w14:textId="7958EE80" w:rsidR="00F74E13" w:rsidRDefault="009274FC">
      <w:pPr>
        <w:pStyle w:val="P68B1DB1-Normal51"/>
        <w:spacing w:before="120" w:after="120" w:line="240" w:lineRule="auto"/>
        <w:ind w:left="284"/>
        <w:jc w:val="both"/>
        <w:rPr>
          <w:noProof/>
        </w:rPr>
      </w:pPr>
      <w:r>
        <w:rPr>
          <w:noProof/>
        </w:rPr>
        <w:t>L'investissement consiste en l'acceptation et/ou la livraison d'équipements et de wagons.</w:t>
      </w:r>
    </w:p>
    <w:p w14:paraId="1CEBD9C0" w14:textId="77777777" w:rsidR="00F74E13" w:rsidRDefault="009274FC">
      <w:pPr>
        <w:pStyle w:val="P68B1DB1-Normal52"/>
        <w:spacing w:before="120" w:after="120" w:line="240" w:lineRule="auto"/>
        <w:ind w:left="284"/>
        <w:jc w:val="both"/>
        <w:rPr>
          <w:noProof/>
        </w:rPr>
      </w:pPr>
      <w:r>
        <w:rPr>
          <w:noProof/>
        </w:rPr>
        <w:t>Investissement 9 (C8.I9): Rénovation de l'infrastructure ferroviaire</w:t>
      </w:r>
    </w:p>
    <w:p w14:paraId="1CEBD9C1" w14:textId="77777777" w:rsidR="00F74E13" w:rsidRDefault="009274FC">
      <w:pPr>
        <w:pStyle w:val="P68B1DB1-Normal53"/>
        <w:spacing w:after="120" w:line="240" w:lineRule="auto"/>
        <w:ind w:left="284"/>
        <w:jc w:val="both"/>
        <w:rPr>
          <w:noProof/>
        </w:rPr>
      </w:pPr>
      <w:r>
        <w:rPr>
          <w:noProof/>
        </w:rPr>
        <w:t>L’objectif de l’investissement est de soutenir la rénovation du réseau ferroviaire bulgare.</w:t>
      </w:r>
    </w:p>
    <w:p w14:paraId="1CEBD9C2" w14:textId="402030D4" w:rsidR="00F74E13" w:rsidRDefault="009274FC">
      <w:pPr>
        <w:pStyle w:val="P68B1DB1-Normal53"/>
        <w:spacing w:before="120" w:after="0" w:line="240" w:lineRule="auto"/>
        <w:ind w:left="284"/>
        <w:jc w:val="both"/>
        <w:rPr>
          <w:noProof/>
        </w:rPr>
      </w:pPr>
      <w:r>
        <w:rPr>
          <w:noProof/>
        </w:rPr>
        <w:t>L'investissement consiste en la rénovation des lignes ferroviaires, des lignes aériennes et de l'aménagement des voies ferrées.</w:t>
      </w:r>
    </w:p>
    <w:p w14:paraId="1CEBD9C3" w14:textId="77777777" w:rsidR="00F74E13" w:rsidRDefault="00F74E13">
      <w:pPr>
        <w:spacing w:after="0" w:line="240" w:lineRule="auto"/>
        <w:ind w:left="284"/>
        <w:jc w:val="both"/>
        <w:rPr>
          <w:rFonts w:ascii="Times New Roman" w:hAnsi="Times New Roman" w:cs="Times New Roman"/>
          <w:noProof/>
        </w:rPr>
      </w:pPr>
    </w:p>
    <w:p w14:paraId="1CEBD9C4" w14:textId="77777777" w:rsidR="00F74E13" w:rsidRDefault="009274FC">
      <w:pPr>
        <w:pStyle w:val="P68B1DB1-Normal48"/>
        <w:spacing w:line="256" w:lineRule="auto"/>
        <w:ind w:left="284"/>
        <w:jc w:val="both"/>
        <w:rPr>
          <w:rFonts w:eastAsia="Times New Roman" w:cs="Times New Roman"/>
          <w:noProof/>
        </w:rPr>
      </w:pPr>
      <w:r>
        <w:rPr>
          <w:noProof/>
        </w:rPr>
        <w:t xml:space="preserve">Investissement 10 (C8.I10): Matériel roulant du métro </w:t>
      </w:r>
    </w:p>
    <w:p w14:paraId="1CEBD9C5" w14:textId="77777777" w:rsidR="00F74E13" w:rsidRDefault="009274FC">
      <w:pPr>
        <w:pStyle w:val="FooterText"/>
        <w:ind w:left="284"/>
        <w:jc w:val="both"/>
        <w:rPr>
          <w:noProof/>
          <w:color w:val="000000" w:themeColor="text1"/>
          <w:u w:val="single"/>
        </w:rPr>
      </w:pPr>
      <w:r>
        <w:rPr>
          <w:noProof/>
        </w:rPr>
        <w:t>L'objectif de l'investissement est d'acheter du matériel roulant pour le métro.</w:t>
      </w:r>
    </w:p>
    <w:p w14:paraId="1CEBD9C6" w14:textId="77777777" w:rsidR="00F74E13" w:rsidRDefault="009274FC">
      <w:pPr>
        <w:pStyle w:val="P68B1DB1-Normal51"/>
        <w:spacing w:before="120" w:after="0" w:line="240" w:lineRule="auto"/>
        <w:ind w:left="284"/>
        <w:jc w:val="both"/>
        <w:rPr>
          <w:noProof/>
          <w:color w:val="000000" w:themeColor="text1"/>
          <w:u w:val="single"/>
        </w:rPr>
      </w:pPr>
      <w:r>
        <w:rPr>
          <w:noProof/>
        </w:rPr>
        <w:t xml:space="preserve">L'investissement consiste en la livraison de 8 trains de métro. </w:t>
      </w:r>
    </w:p>
    <w:p w14:paraId="1CEBD9C7" w14:textId="77777777" w:rsidR="00F74E13" w:rsidRDefault="00F74E13">
      <w:pPr>
        <w:spacing w:before="120" w:after="120" w:line="240" w:lineRule="auto"/>
        <w:ind w:left="851"/>
        <w:jc w:val="both"/>
        <w:rPr>
          <w:rFonts w:ascii="Times New Roman" w:hAnsi="Times New Roman"/>
          <w:noProof/>
        </w:rPr>
        <w:sectPr w:rsidR="00F74E13">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1CEBD9C8" w14:textId="77777777" w:rsidR="00F74E13" w:rsidRDefault="009274FC">
      <w:pPr>
        <w:pStyle w:val="P68B1DB1-Normal8"/>
        <w:pageBreakBefore/>
        <w:spacing w:before="120" w:after="120" w:line="240" w:lineRule="auto"/>
        <w:ind w:left="851"/>
        <w:jc w:val="center"/>
        <w:rPr>
          <w:noProof/>
        </w:rPr>
      </w:pPr>
      <w:r>
        <w:rPr>
          <w:noProof/>
        </w:rPr>
        <w:t xml:space="preserve">H.2. </w:t>
      </w:r>
      <w:r>
        <w:rPr>
          <w:noProof/>
        </w:rPr>
        <w:tab/>
        <w:t>Étapes, cibles, indicateurs et calendrier pour le suivi et la mise en œuvre du soutien financier non remboursable</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850"/>
        <w:gridCol w:w="1276"/>
        <w:gridCol w:w="1701"/>
        <w:gridCol w:w="1276"/>
        <w:gridCol w:w="1134"/>
        <w:gridCol w:w="1134"/>
        <w:gridCol w:w="1276"/>
        <w:gridCol w:w="1275"/>
        <w:gridCol w:w="3402"/>
      </w:tblGrid>
      <w:tr w:rsidR="00F74E13" w14:paraId="1CEBD9D2" w14:textId="77777777" w:rsidTr="00432E5F">
        <w:trPr>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A" w14:textId="745EEA9E" w:rsidR="00F74E13" w:rsidRDefault="009274FC">
            <w:pPr>
              <w:pStyle w:val="P68B1DB1-Normal31"/>
              <w:spacing w:after="0" w:line="240" w:lineRule="auto"/>
              <w:jc w:val="center"/>
              <w:rPr>
                <w:noProof/>
              </w:rPr>
            </w:pPr>
            <w:r>
              <w:rPr>
                <w:noProof/>
              </w:rPr>
              <w:t>Numéro de série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B" w14:textId="77777777" w:rsidR="00F74E13" w:rsidRDefault="009274FC">
            <w:pPr>
              <w:pStyle w:val="P68B1DB1-Normal31"/>
              <w:spacing w:after="0" w:line="240" w:lineRule="auto"/>
              <w:jc w:val="center"/>
              <w:rPr>
                <w:noProof/>
              </w:rPr>
            </w:pPr>
            <w:r>
              <w:rPr>
                <w:noProof/>
              </w:rPr>
              <w:t>Mesure connexe (réforme ou investissement)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C" w14:textId="77777777" w:rsidR="00F74E13" w:rsidRDefault="009274FC">
            <w:pPr>
              <w:pStyle w:val="P68B1DB1-Normal31"/>
              <w:spacing w:after="0" w:line="240" w:lineRule="auto"/>
              <w:jc w:val="center"/>
              <w:rPr>
                <w:noProof/>
              </w:rPr>
            </w:pPr>
            <w:r>
              <w:rPr>
                <w:noProof/>
              </w:rPr>
              <w:t>Étape/cible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D" w14:textId="77777777" w:rsidR="00F74E13" w:rsidRDefault="009274FC">
            <w:pPr>
              <w:pStyle w:val="P68B1DB1-Normal31"/>
              <w:spacing w:after="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E" w14:textId="77777777" w:rsidR="00F74E13" w:rsidRDefault="009274FC">
            <w:pPr>
              <w:pStyle w:val="P68B1DB1-Normal31"/>
              <w:spacing w:after="0" w:line="240" w:lineRule="auto"/>
              <w:jc w:val="center"/>
              <w:rPr>
                <w:noProof/>
              </w:rPr>
            </w:pPr>
            <w:r>
              <w:rPr>
                <w:noProof/>
              </w:rPr>
              <w:t xml:space="preserve">Indicateurs qualitatifs </w:t>
            </w:r>
            <w:r>
              <w:rPr>
                <w:noProof/>
              </w:rPr>
              <w:br/>
              <w:t>(pour les jalons)</w:t>
            </w:r>
          </w:p>
        </w:tc>
        <w:tc>
          <w:tcPr>
            <w:tcW w:w="3544" w:type="dxa"/>
            <w:gridSpan w:val="3"/>
            <w:tcBorders>
              <w:top w:val="single" w:sz="4" w:space="0" w:color="auto"/>
              <w:left w:val="single" w:sz="4" w:space="0" w:color="auto"/>
              <w:bottom w:val="single" w:sz="4" w:space="0" w:color="auto"/>
              <w:right w:val="single" w:sz="4" w:space="0" w:color="auto"/>
            </w:tcBorders>
            <w:shd w:val="clear" w:color="auto" w:fill="C1DAF1"/>
            <w:noWrap/>
            <w:vAlign w:val="center"/>
          </w:tcPr>
          <w:p w14:paraId="1CEBD9CF" w14:textId="77777777" w:rsidR="00F74E13" w:rsidRDefault="009274FC">
            <w:pPr>
              <w:pStyle w:val="P68B1DB1-Normal31"/>
              <w:spacing w:after="0" w:line="240" w:lineRule="auto"/>
              <w:jc w:val="center"/>
              <w:rPr>
                <w:noProof/>
              </w:rPr>
            </w:pPr>
            <w:r>
              <w:rPr>
                <w:noProof/>
              </w:rPr>
              <w:t xml:space="preserve">Indicateurs quantitatifs </w:t>
            </w:r>
            <w:r>
              <w:rPr>
                <w:noProof/>
              </w:rPr>
              <w:br/>
              <w:t>(pour les objectifs)</w:t>
            </w:r>
          </w:p>
        </w:tc>
        <w:tc>
          <w:tcPr>
            <w:tcW w:w="2551" w:type="dxa"/>
            <w:gridSpan w:val="2"/>
            <w:tcBorders>
              <w:top w:val="single" w:sz="4" w:space="0" w:color="auto"/>
              <w:left w:val="single" w:sz="4" w:space="0" w:color="auto"/>
              <w:bottom w:val="single" w:sz="4" w:space="0" w:color="auto"/>
              <w:right w:val="single" w:sz="4" w:space="0" w:color="auto"/>
            </w:tcBorders>
            <w:shd w:val="clear" w:color="auto" w:fill="C1DAF1"/>
            <w:noWrap/>
            <w:vAlign w:val="center"/>
          </w:tcPr>
          <w:p w14:paraId="1CEBD9D0" w14:textId="77777777" w:rsidR="00F74E13" w:rsidRDefault="009274FC">
            <w:pPr>
              <w:pStyle w:val="P68B1DB1-Normal31"/>
              <w:spacing w:after="0" w:line="240" w:lineRule="auto"/>
              <w:jc w:val="center"/>
              <w:rPr>
                <w:noProof/>
              </w:rPr>
            </w:pPr>
            <w:r>
              <w:rPr>
                <w:noProof/>
              </w:rPr>
              <w:t>Calendrier indicatif d'achèvement</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D1" w14:textId="77777777" w:rsidR="00F74E13" w:rsidRDefault="009274FC">
            <w:pPr>
              <w:pStyle w:val="P68B1DB1-Normal31"/>
              <w:spacing w:after="0" w:line="240" w:lineRule="auto"/>
              <w:jc w:val="center"/>
              <w:rPr>
                <w:rFonts w:eastAsia="Times New Roman" w:cs="Times New Roman"/>
                <w:noProof/>
                <w:color w:val="006100"/>
              </w:rPr>
            </w:pPr>
            <w:r>
              <w:rPr>
                <w:noProof/>
              </w:rPr>
              <w:t>Description de chaque jalon et cible</w:t>
            </w:r>
          </w:p>
        </w:tc>
      </w:tr>
      <w:tr w:rsidR="00F74E13" w14:paraId="1CEBD9DE" w14:textId="77777777" w:rsidTr="00432E5F">
        <w:trPr>
          <w:tblHeader/>
          <w:jc w:val="center"/>
        </w:trPr>
        <w:tc>
          <w:tcPr>
            <w:tcW w:w="988" w:type="dxa"/>
            <w:vMerge/>
            <w:noWrap/>
          </w:tcPr>
          <w:p w14:paraId="1CEBD9D3" w14:textId="77777777" w:rsidR="00F74E13" w:rsidRDefault="00F74E13">
            <w:pPr>
              <w:spacing w:after="0" w:line="240" w:lineRule="auto"/>
              <w:jc w:val="center"/>
              <w:rPr>
                <w:rFonts w:ascii="Times New Roman" w:hAnsi="Times New Roman"/>
                <w:b/>
                <w:noProof/>
                <w:sz w:val="20"/>
              </w:rPr>
            </w:pPr>
          </w:p>
        </w:tc>
        <w:tc>
          <w:tcPr>
            <w:tcW w:w="1559" w:type="dxa"/>
            <w:vMerge/>
            <w:noWrap/>
          </w:tcPr>
          <w:p w14:paraId="1CEBD9D4" w14:textId="77777777" w:rsidR="00F74E13" w:rsidRDefault="00F74E13">
            <w:pPr>
              <w:spacing w:after="0" w:line="240" w:lineRule="auto"/>
              <w:jc w:val="center"/>
              <w:rPr>
                <w:rFonts w:ascii="Times New Roman" w:hAnsi="Times New Roman"/>
                <w:b/>
                <w:noProof/>
                <w:sz w:val="20"/>
              </w:rPr>
            </w:pPr>
          </w:p>
        </w:tc>
        <w:tc>
          <w:tcPr>
            <w:tcW w:w="850" w:type="dxa"/>
            <w:vMerge/>
            <w:noWrap/>
          </w:tcPr>
          <w:p w14:paraId="1CEBD9D5" w14:textId="77777777" w:rsidR="00F74E13" w:rsidRDefault="00F74E13">
            <w:pPr>
              <w:spacing w:after="0" w:line="240" w:lineRule="auto"/>
              <w:jc w:val="center"/>
              <w:rPr>
                <w:rFonts w:ascii="Times New Roman" w:hAnsi="Times New Roman"/>
                <w:b/>
                <w:noProof/>
                <w:sz w:val="20"/>
              </w:rPr>
            </w:pPr>
          </w:p>
        </w:tc>
        <w:tc>
          <w:tcPr>
            <w:tcW w:w="1276" w:type="dxa"/>
            <w:vMerge/>
            <w:noWrap/>
          </w:tcPr>
          <w:p w14:paraId="1CEBD9D6" w14:textId="77777777" w:rsidR="00F74E13" w:rsidRDefault="00F74E13">
            <w:pPr>
              <w:spacing w:after="0" w:line="240" w:lineRule="auto"/>
              <w:jc w:val="center"/>
              <w:rPr>
                <w:rFonts w:ascii="Times New Roman" w:hAnsi="Times New Roman"/>
                <w:b/>
                <w:noProof/>
                <w:sz w:val="20"/>
              </w:rPr>
            </w:pPr>
          </w:p>
        </w:tc>
        <w:tc>
          <w:tcPr>
            <w:tcW w:w="1701" w:type="dxa"/>
            <w:vMerge/>
            <w:noWrap/>
          </w:tcPr>
          <w:p w14:paraId="1CEBD9D7" w14:textId="77777777" w:rsidR="00F74E13" w:rsidRDefault="00F74E13">
            <w:pPr>
              <w:spacing w:after="0" w:line="240" w:lineRule="auto"/>
              <w:jc w:val="center"/>
              <w:rPr>
                <w:rFonts w:ascii="Times New Roman" w:hAnsi="Times New Roman"/>
                <w:b/>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DAF1"/>
            <w:noWrap/>
          </w:tcPr>
          <w:p w14:paraId="1CEBD9D8" w14:textId="77777777" w:rsidR="00F74E13" w:rsidRDefault="009274FC">
            <w:pPr>
              <w:pStyle w:val="P68B1DB1-Normal31"/>
              <w:spacing w:after="0" w:line="240" w:lineRule="auto"/>
              <w:jc w:val="center"/>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1CEBD9D9" w14:textId="77777777" w:rsidR="00F74E13" w:rsidRDefault="009274FC">
            <w:pPr>
              <w:pStyle w:val="P68B1DB1-Normal31"/>
              <w:spacing w:after="0" w:line="240" w:lineRule="auto"/>
              <w:jc w:val="center"/>
              <w:rPr>
                <w:noProof/>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1CEBD9DA" w14:textId="77777777" w:rsidR="00F74E13" w:rsidRDefault="009274FC">
            <w:pPr>
              <w:pStyle w:val="P68B1DB1-Normal31"/>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1DAF1"/>
            <w:noWrap/>
          </w:tcPr>
          <w:p w14:paraId="1CEBD9DB" w14:textId="77777777" w:rsidR="00F74E13" w:rsidRDefault="009274FC">
            <w:pPr>
              <w:pStyle w:val="P68B1DB1-Normal31"/>
              <w:spacing w:after="0" w:line="240" w:lineRule="auto"/>
              <w:jc w:val="center"/>
              <w:rPr>
                <w:noProof/>
              </w:rPr>
            </w:pPr>
            <w:r>
              <w:rPr>
                <w:noProof/>
              </w:rPr>
              <w:t>Trimestre</w:t>
            </w:r>
          </w:p>
        </w:tc>
        <w:tc>
          <w:tcPr>
            <w:tcW w:w="1275" w:type="dxa"/>
            <w:tcBorders>
              <w:top w:val="single" w:sz="4" w:space="0" w:color="auto"/>
              <w:left w:val="single" w:sz="4" w:space="0" w:color="auto"/>
              <w:bottom w:val="single" w:sz="4" w:space="0" w:color="auto"/>
              <w:right w:val="single" w:sz="4" w:space="0" w:color="auto"/>
            </w:tcBorders>
            <w:shd w:val="clear" w:color="auto" w:fill="C1DAF1"/>
            <w:noWrap/>
          </w:tcPr>
          <w:p w14:paraId="1CEBD9DC" w14:textId="77777777" w:rsidR="00F74E13" w:rsidRDefault="009274FC">
            <w:pPr>
              <w:pStyle w:val="P68B1DB1-Normal31"/>
              <w:spacing w:after="0" w:line="240" w:lineRule="auto"/>
              <w:jc w:val="center"/>
              <w:rPr>
                <w:noProof/>
              </w:rPr>
            </w:pPr>
            <w:r>
              <w:rPr>
                <w:noProof/>
              </w:rPr>
              <w:t>Année</w:t>
            </w:r>
          </w:p>
        </w:tc>
        <w:tc>
          <w:tcPr>
            <w:tcW w:w="3402" w:type="dxa"/>
            <w:vMerge/>
            <w:noWrap/>
          </w:tcPr>
          <w:p w14:paraId="1CEBD9DD" w14:textId="77777777" w:rsidR="00F74E13" w:rsidRDefault="00F74E13">
            <w:pPr>
              <w:spacing w:after="0" w:line="240" w:lineRule="auto"/>
              <w:jc w:val="both"/>
              <w:rPr>
                <w:rFonts w:ascii="Times New Roman" w:eastAsia="Times New Roman" w:hAnsi="Times New Roman" w:cs="Times New Roman"/>
                <w:noProof/>
                <w:color w:val="006100"/>
                <w:sz w:val="20"/>
                <w:szCs w:val="20"/>
              </w:rPr>
            </w:pPr>
          </w:p>
        </w:tc>
      </w:tr>
      <w:tr w:rsidR="00F74E13" w14:paraId="1CEBD9EB"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9DF" w14:textId="77777777" w:rsidR="00F74E13" w:rsidRDefault="009274FC">
            <w:pPr>
              <w:pStyle w:val="P68B1DB1-Normal35"/>
              <w:spacing w:after="0" w:line="240" w:lineRule="auto"/>
              <w:jc w:val="center"/>
              <w:rPr>
                <w:noProof/>
              </w:rPr>
            </w:pPr>
            <w:r>
              <w:rPr>
                <w:noProof/>
              </w:rPr>
              <w:t>161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0" w14:textId="77777777" w:rsidR="00F74E13" w:rsidRDefault="009274FC">
            <w:pPr>
              <w:pStyle w:val="P68B1DB1-Normal35"/>
              <w:spacing w:after="0" w:line="240" w:lineRule="auto"/>
              <w:jc w:val="both"/>
              <w:rPr>
                <w:noProof/>
              </w:rPr>
            </w:pPr>
            <w:r>
              <w:rPr>
                <w:noProof/>
              </w:rPr>
              <w:t>C8.R1 : Cadre stratégique des transports</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9E1"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E2" w14:textId="77777777" w:rsidR="00F74E13" w:rsidRDefault="009274FC">
            <w:pPr>
              <w:pStyle w:val="P68B1DB1-Normal35"/>
              <w:spacing w:after="0" w:line="240" w:lineRule="auto"/>
              <w:rPr>
                <w:noProof/>
              </w:rPr>
            </w:pPr>
            <w:r>
              <w:rPr>
                <w:noProof/>
              </w:rPr>
              <w:t>Entrée en vigueur du plan national pour le développement du transport combiné en Bulgarie d’ici à 2030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E3" w14:textId="77777777" w:rsidR="00F74E13" w:rsidRDefault="009274FC">
            <w:pPr>
              <w:pStyle w:val="P68B1DB1-Normal35"/>
              <w:spacing w:after="0" w:line="240" w:lineRule="auto"/>
              <w:rPr>
                <w:noProof/>
              </w:rPr>
            </w:pPr>
            <w:r>
              <w:rPr>
                <w:noProof/>
              </w:rPr>
              <w:t xml:space="preserve">Entrée en vigueur du plan par l'approbation du gouvernement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E4"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E5"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E6"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E7"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9E8" w14:textId="77777777" w:rsidR="00F74E13" w:rsidRDefault="009274FC">
            <w:pPr>
              <w:pStyle w:val="P68B1DB1-Normal35"/>
              <w:spacing w:after="0" w:line="240" w:lineRule="auto"/>
              <w:jc w:val="center"/>
              <w:rPr>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9E9" w14:textId="77777777" w:rsidR="00F74E13" w:rsidRDefault="009274FC">
            <w:pPr>
              <w:pStyle w:val="P68B1DB1-Normal21"/>
              <w:spacing w:after="0" w:line="240" w:lineRule="auto"/>
              <w:jc w:val="both"/>
              <w:rPr>
                <w:rFonts w:ascii="Times New Roman" w:eastAsia="Times New Roman" w:hAnsi="Times New Roman" w:cs="Times New Roman"/>
                <w:noProof/>
                <w:color w:val="006100"/>
              </w:rPr>
            </w:pPr>
            <w:r>
              <w:rPr>
                <w:rFonts w:ascii="Times New Roman" w:eastAsia="Times New Roman" w:hAnsi="Times New Roman" w:cs="Times New Roman"/>
                <w:noProof/>
                <w:color w:val="006100"/>
              </w:rPr>
              <w:t>Le plan national pour le développement du transport combiné en Bulgarie d’ici à 2030 entre en vigueur avec</w:t>
            </w:r>
            <w:r>
              <w:rPr>
                <w:rFonts w:ascii="Times New Roman" w:hAnsi="Times New Roman" w:cs="Times New Roman"/>
                <w:noProof/>
              </w:rPr>
              <w:t xml:space="preserve"> </w:t>
            </w:r>
            <w:r>
              <w:rPr>
                <w:rFonts w:ascii="Times New Roman" w:eastAsia="Times New Roman" w:hAnsi="Times New Roman" w:cs="Times New Roman"/>
                <w:noProof/>
                <w:color w:val="006100"/>
              </w:rPr>
              <w:t xml:space="preserve">l’approbation du Conseil des ministres. </w:t>
            </w:r>
          </w:p>
          <w:p w14:paraId="1CEBD9EA" w14:textId="77777777" w:rsidR="00F74E13" w:rsidRDefault="009274FC">
            <w:pPr>
              <w:pStyle w:val="P68B1DB1-Normal35"/>
              <w:spacing w:after="0" w:line="240" w:lineRule="auto"/>
              <w:jc w:val="both"/>
              <w:rPr>
                <w:noProof/>
              </w:rPr>
            </w:pPr>
            <w:r>
              <w:rPr>
                <w:noProof/>
              </w:rPr>
              <w:t>Le plan national pour le développement du transport combiné en République de Bulgarie d’ici à 2030 encourage et facilite le transfert modal vers des modes de transport plus respectueux de l’environnement – ferroviaire, fluvial et maritime – et permet d’obtenir des incidences plus durables et moins polluantes des transports grâce à un plan d’action clair comprenant des objectifs, des ressources et un calendrier jusqu’en 2030.</w:t>
            </w:r>
          </w:p>
        </w:tc>
      </w:tr>
      <w:tr w:rsidR="00F74E13" w14:paraId="1CEBD9F7"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EC" w14:textId="77777777" w:rsidR="00F74E13" w:rsidRDefault="009274FC">
            <w:pPr>
              <w:pStyle w:val="P68B1DB1-Normal35"/>
              <w:spacing w:after="0" w:line="240" w:lineRule="auto"/>
              <w:jc w:val="center"/>
              <w:rPr>
                <w:noProof/>
              </w:rPr>
            </w:pPr>
            <w:r>
              <w:rPr>
                <w:noProof/>
              </w:rPr>
              <w:t>162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ED" w14:textId="77777777" w:rsidR="00F74E13" w:rsidRDefault="009274FC">
            <w:pPr>
              <w:pStyle w:val="P68B1DB1-Normal35"/>
              <w:spacing w:after="0" w:line="240" w:lineRule="auto"/>
              <w:jc w:val="both"/>
              <w:rPr>
                <w:noProof/>
              </w:rPr>
            </w:pPr>
            <w:r>
              <w:rPr>
                <w:noProof/>
              </w:rPr>
              <w:t>C8.R1 : Cadre stratégique des transports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9EE"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EF" w14:textId="77777777" w:rsidR="00F74E13" w:rsidRDefault="009274FC">
            <w:pPr>
              <w:pStyle w:val="P68B1DB1-Normal35"/>
              <w:spacing w:after="0" w:line="240" w:lineRule="auto"/>
              <w:rPr>
                <w:noProof/>
              </w:rPr>
            </w:pPr>
            <w:r>
              <w:rPr>
                <w:noProof/>
              </w:rPr>
              <w:t>Renforcement de la capacité de gestion et de mise en œuvre des projets ferroviaires RTE-T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F0" w14:textId="77777777" w:rsidR="00F74E13" w:rsidRDefault="009274FC">
            <w:pPr>
              <w:pStyle w:val="P68B1DB1-Normal35"/>
              <w:spacing w:after="0" w:line="240" w:lineRule="auto"/>
              <w:jc w:val="both"/>
              <w:rPr>
                <w:noProof/>
              </w:rPr>
            </w:pPr>
            <w:r>
              <w:rPr>
                <w:noProof/>
              </w:rPr>
              <w:t>Audit indépendant achevé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3"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4" w14:textId="77777777" w:rsidR="00F74E13" w:rsidRDefault="009274FC">
            <w:pPr>
              <w:pStyle w:val="P68B1DB1-Normal35"/>
              <w:spacing w:after="0" w:line="240" w:lineRule="auto"/>
              <w:jc w:val="center"/>
              <w:rPr>
                <w:noProof/>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F5" w14:textId="77777777" w:rsidR="00F74E13" w:rsidRDefault="009274FC">
            <w:pPr>
              <w:pStyle w:val="P68B1DB1-Normal35"/>
              <w:spacing w:after="0" w:line="240" w:lineRule="auto"/>
              <w:jc w:val="center"/>
              <w:rPr>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9F6" w14:textId="77777777" w:rsidR="00F74E13" w:rsidRDefault="009274FC">
            <w:pPr>
              <w:pStyle w:val="P68B1DB1-Normal35"/>
              <w:spacing w:after="0" w:line="240" w:lineRule="auto"/>
              <w:jc w:val="both"/>
              <w:rPr>
                <w:noProof/>
              </w:rPr>
            </w:pPr>
            <w:r>
              <w:rPr>
                <w:noProof/>
              </w:rPr>
              <w:t xml:space="preserve">Les organismes responsables des investissements dans les transports, tels que la compagnie nationale des infrastructures ferroviaires (NRIC), l’agence des infrastructures routières, ainsi que le ministère des transports et des communications, font l’objet d’un audit indépendant de leur organisation, de leur capacité administrative et technique à assurer la gestion et la coordination, les procédures d’appel d’offres, la gestion financière, le suivi, ainsi que le contrôle interne de la qualité et l’établissement de rapports. L’audit comprend la définition de l’organisation, de la coordination, de la répartition des responsabilités et des ressources (quantité et profil du personnel, autres ressources techniques) nécessaires à la préparation et à la mise en œuvre des projets RTE-T en vue de l’objectif d’achèvement du réseau central RTE-T d’ici à 2030. </w:t>
            </w:r>
          </w:p>
        </w:tc>
      </w:tr>
      <w:tr w:rsidR="00F74E13" w14:paraId="1CEBDA06"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9F8" w14:textId="77777777" w:rsidR="00F74E13" w:rsidRDefault="009274FC">
            <w:pPr>
              <w:pStyle w:val="P68B1DB1-Normal35"/>
              <w:spacing w:after="0" w:line="240" w:lineRule="auto"/>
              <w:jc w:val="center"/>
              <w:rPr>
                <w:noProof/>
              </w:rPr>
            </w:pPr>
            <w:r>
              <w:rPr>
                <w:noProof/>
              </w:rPr>
              <w:t>163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F9" w14:textId="77777777" w:rsidR="00F74E13" w:rsidRDefault="009274FC">
            <w:pPr>
              <w:pStyle w:val="P68B1DB1-Normal35"/>
              <w:spacing w:after="0" w:line="240" w:lineRule="auto"/>
              <w:rPr>
                <w:noProof/>
              </w:rPr>
            </w:pPr>
            <w:r>
              <w:rPr>
                <w:noProof/>
              </w:rPr>
              <w:t>C8.R1 : Cadre stratégique des transports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9FA"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B" w14:textId="77777777" w:rsidR="00F74E13" w:rsidRDefault="009274FC">
            <w:pPr>
              <w:pStyle w:val="P68B1DB1-Normal35"/>
              <w:spacing w:after="0" w:line="240" w:lineRule="auto"/>
              <w:rPr>
                <w:noProof/>
              </w:rPr>
            </w:pPr>
            <w:r>
              <w:rPr>
                <w:noProof/>
              </w:rPr>
              <w:t>Mesures relatives aux transports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FC" w14:textId="77777777" w:rsidR="00F74E13" w:rsidRDefault="009274FC">
            <w:pPr>
              <w:pStyle w:val="P68B1DB1-Normal35"/>
              <w:spacing w:after="0" w:line="240" w:lineRule="auto"/>
              <w:rPr>
                <w:noProof/>
              </w:rPr>
            </w:pPr>
            <w:r>
              <w:rPr>
                <w:noProof/>
              </w:rPr>
              <w:t>Mesures prises par le Ministère des transports et des communications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D"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E"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F"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00" w14:textId="77777777" w:rsidR="00F74E13" w:rsidRDefault="009274FC">
            <w:pPr>
              <w:pStyle w:val="P68B1DB1-Normal35"/>
              <w:spacing w:after="0" w:line="240" w:lineRule="auto"/>
              <w:jc w:val="center"/>
              <w:rPr>
                <w:noProof/>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01" w14:textId="77777777" w:rsidR="00F74E13" w:rsidRDefault="009274FC">
            <w:pPr>
              <w:pStyle w:val="P68B1DB1-Normal35"/>
              <w:spacing w:after="0" w:line="240" w:lineRule="auto"/>
              <w:jc w:val="center"/>
              <w:rPr>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02" w14:textId="77777777" w:rsidR="00F74E13" w:rsidRDefault="009274FC">
            <w:pPr>
              <w:pStyle w:val="P68B1DB1-Normal35"/>
              <w:spacing w:after="0" w:line="240" w:lineRule="auto"/>
              <w:jc w:val="both"/>
              <w:rPr>
                <w:noProof/>
              </w:rPr>
            </w:pPr>
            <w:r>
              <w:rPr>
                <w:noProof/>
              </w:rPr>
              <w:t>Le ministère des transports et des communications (MTC) approuve:</w:t>
            </w:r>
          </w:p>
          <w:p w14:paraId="1CEBDA03" w14:textId="77777777" w:rsidR="00F74E13" w:rsidRDefault="009274FC">
            <w:pPr>
              <w:pStyle w:val="P68B1DB1-Normal35"/>
              <w:numPr>
                <w:ilvl w:val="0"/>
                <w:numId w:val="44"/>
              </w:numPr>
              <w:spacing w:after="0" w:line="240" w:lineRule="auto"/>
              <w:ind w:left="320"/>
              <w:jc w:val="both"/>
              <w:rPr>
                <w:noProof/>
              </w:rPr>
            </w:pPr>
            <w:r>
              <w:rPr>
                <w:noProof/>
              </w:rPr>
              <w:t>un plan d’action comportant des jalons, un calendrier et des indicateurs de performance sur la capacité de la compagnie nationale des infrastructures ferroviaires (NRIC) et du MTC à gérer les projets RTE-T;</w:t>
            </w:r>
          </w:p>
          <w:p w14:paraId="1CEBDA04" w14:textId="77777777" w:rsidR="00F74E13" w:rsidRDefault="009274FC">
            <w:pPr>
              <w:pStyle w:val="P68B1DB1-Normal35"/>
              <w:numPr>
                <w:ilvl w:val="0"/>
                <w:numId w:val="44"/>
              </w:numPr>
              <w:spacing w:after="0" w:line="240" w:lineRule="auto"/>
              <w:ind w:left="320"/>
              <w:jc w:val="both"/>
              <w:rPr>
                <w:noProof/>
              </w:rPr>
            </w:pPr>
            <w:r>
              <w:rPr>
                <w:noProof/>
              </w:rPr>
              <w:t>la création d'un ou de plusieurs groupes de travail conjoints de coordination entre le CTM et le NRIC sur la planification des projets et l'établissement de rapports;</w:t>
            </w:r>
          </w:p>
          <w:p w14:paraId="1CEBDA05" w14:textId="77777777" w:rsidR="00F74E13" w:rsidRDefault="009274FC">
            <w:pPr>
              <w:pStyle w:val="P68B1DB1-Normal35"/>
              <w:numPr>
                <w:ilvl w:val="0"/>
                <w:numId w:val="44"/>
              </w:numPr>
              <w:spacing w:after="0" w:line="240" w:lineRule="auto"/>
              <w:ind w:left="320"/>
              <w:jc w:val="both"/>
              <w:rPr>
                <w:i/>
                <w:iCs/>
                <w:noProof/>
              </w:rPr>
            </w:pPr>
            <w:r>
              <w:rPr>
                <w:noProof/>
              </w:rPr>
              <w:t>la création d'une base de données pour suivre l'état d'avancement de la mise en œuvre des projets d'infrastructure ferroviaire RTE-T.</w:t>
            </w:r>
            <w:r>
              <w:rPr>
                <w:i/>
                <w:noProof/>
              </w:rPr>
              <w:t xml:space="preserve"> </w:t>
            </w:r>
          </w:p>
        </w:tc>
      </w:tr>
      <w:tr w:rsidR="00F74E13" w14:paraId="1CEBDA12"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07" w14:textId="77777777" w:rsidR="00F74E13" w:rsidRDefault="009274FC">
            <w:pPr>
              <w:pStyle w:val="P68B1DB1-Normal35"/>
              <w:spacing w:after="0" w:line="240" w:lineRule="auto"/>
              <w:jc w:val="center"/>
              <w:rPr>
                <w:noProof/>
              </w:rPr>
            </w:pPr>
            <w:r>
              <w:rPr>
                <w:noProof/>
              </w:rPr>
              <w:t>164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08" w14:textId="77777777" w:rsidR="00F74E13" w:rsidRDefault="009274FC">
            <w:pPr>
              <w:pStyle w:val="P68B1DB1-Normal35"/>
              <w:spacing w:after="0" w:line="240" w:lineRule="auto"/>
              <w:rPr>
                <w:noProof/>
              </w:rPr>
            </w:pPr>
            <w:r>
              <w:rPr>
                <w:noProof/>
              </w:rPr>
              <w:t>C8.R1 : Cadre stratégique des transports</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09" w14:textId="77777777" w:rsidR="00F74E13" w:rsidRDefault="009274FC">
            <w:pPr>
              <w:pStyle w:val="P68B1DB1-Normal35"/>
              <w:spacing w:after="0" w:line="240" w:lineRule="auto"/>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0A" w14:textId="0F165460" w:rsidR="00F74E13" w:rsidRDefault="009274FC">
            <w:pPr>
              <w:pStyle w:val="P68B1DB1-Normal35"/>
              <w:spacing w:after="0" w:line="240" w:lineRule="auto"/>
              <w:rPr>
                <w:noProof/>
              </w:rPr>
            </w:pPr>
            <w:r>
              <w:rPr>
                <w:noProof/>
              </w:rPr>
              <w:t>Évaluation du marché concernant le champ d'application des obligations de service public</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0B" w14:textId="77777777" w:rsidR="00F74E13" w:rsidRDefault="009274FC">
            <w:pPr>
              <w:pStyle w:val="P68B1DB1-Normal54"/>
              <w:spacing w:after="0" w:line="240" w:lineRule="auto"/>
              <w:rPr>
                <w:noProof/>
                <w:color w:val="FF0000"/>
              </w:rPr>
            </w:pPr>
            <w:r>
              <w:rPr>
                <w:noProof/>
                <w:color w:val="006100"/>
              </w:rPr>
              <w:t>Publication de l’évaluation du marché sur le site web du ministère des transports et des communications</w:t>
            </w: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0C" w14:textId="77777777" w:rsidR="00F74E13" w:rsidRDefault="00F74E13">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0D" w14:textId="77777777" w:rsidR="00F74E13" w:rsidRDefault="00F74E13">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0E" w14:textId="77777777" w:rsidR="00F74E13" w:rsidRDefault="00F74E13">
            <w:pPr>
              <w:spacing w:after="0" w:line="240" w:lineRule="auto"/>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0F"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10" w14:textId="77777777" w:rsidR="00F74E13" w:rsidRDefault="009274FC">
            <w:pPr>
              <w:pStyle w:val="P68B1DB1-Normal35"/>
              <w:spacing w:after="0" w:line="240" w:lineRule="auto"/>
              <w:jc w:val="center"/>
              <w:rPr>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11" w14:textId="77777777" w:rsidR="00F74E13" w:rsidRDefault="009274FC">
            <w:pPr>
              <w:pStyle w:val="P68B1DB1-Normal35"/>
              <w:spacing w:after="0" w:line="240" w:lineRule="auto"/>
              <w:jc w:val="both"/>
              <w:rPr>
                <w:noProof/>
              </w:rPr>
            </w:pPr>
            <w:r>
              <w:rPr>
                <w:noProof/>
              </w:rPr>
              <w:t>L'évaluation du marché concernant la portée de l'obligation de service public pour le nouveau contrat de service public (CSP) est publiée. L’évaluation du marché indique s’il est possible d’utiliser une mesure entraînant moins de distorsions qu’une décision d’un COPS.</w:t>
            </w:r>
          </w:p>
        </w:tc>
      </w:tr>
      <w:tr w:rsidR="00F74E13" w14:paraId="1CEBDA25"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13" w14:textId="77777777" w:rsidR="00F74E13" w:rsidRDefault="009274FC">
            <w:pPr>
              <w:pStyle w:val="P68B1DB1-Normal35"/>
              <w:spacing w:after="0" w:line="240" w:lineRule="auto"/>
              <w:jc w:val="center"/>
              <w:rPr>
                <w:noProof/>
              </w:rPr>
            </w:pPr>
            <w:r>
              <w:rPr>
                <w:noProof/>
              </w:rPr>
              <w:t>165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4" w14:textId="77777777" w:rsidR="00F74E13" w:rsidRDefault="009274FC">
            <w:pPr>
              <w:pStyle w:val="P68B1DB1-Normal35"/>
              <w:spacing w:after="0" w:line="240" w:lineRule="auto"/>
              <w:rPr>
                <w:noProof/>
              </w:rPr>
            </w:pPr>
            <w:r>
              <w:rPr>
                <w:noProof/>
              </w:rPr>
              <w:t>C8.R1 : Cadre stratégique des transports</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15"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16" w14:textId="77777777" w:rsidR="00F74E13" w:rsidRDefault="009274FC">
            <w:pPr>
              <w:pStyle w:val="P68B1DB1-Normal35"/>
              <w:spacing w:after="0" w:line="240" w:lineRule="auto"/>
              <w:rPr>
                <w:noProof/>
              </w:rPr>
            </w:pPr>
            <w:r>
              <w:rPr>
                <w:noProof/>
              </w:rPr>
              <w:t>Nouveau(x) contrat(s) de service public (CSP) pour les services publics de transport ferroviaire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17" w14:textId="77777777" w:rsidR="00F74E13" w:rsidRDefault="009274FC">
            <w:pPr>
              <w:pStyle w:val="P68B1DB1-Normal35"/>
              <w:spacing w:after="0" w:line="240" w:lineRule="auto"/>
              <w:rPr>
                <w:noProof/>
              </w:rPr>
            </w:pPr>
            <w:r>
              <w:rPr>
                <w:noProof/>
              </w:rPr>
              <w:t>Signature du ou des contrats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18"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19"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1A"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1B" w14:textId="77777777" w:rsidR="00F74E13" w:rsidRDefault="009274FC">
            <w:pPr>
              <w:pStyle w:val="P68B1DB1-Normal35"/>
              <w:spacing w:after="0" w:line="240" w:lineRule="auto"/>
              <w:jc w:val="center"/>
              <w:rPr>
                <w:noProof/>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1C" w14:textId="77777777" w:rsidR="00F74E13" w:rsidRDefault="009274FC">
            <w:pPr>
              <w:pStyle w:val="P68B1DB1-Normal35"/>
              <w:spacing w:after="0" w:line="240" w:lineRule="auto"/>
              <w:jc w:val="center"/>
              <w:rPr>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1D" w14:textId="391D7A69" w:rsidR="00F74E13" w:rsidRDefault="009274FC">
            <w:pPr>
              <w:pStyle w:val="P68B1DB1-Normal22"/>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Le ou les nouveaux contrats de service public pour la fourniture de services de transport public par chemin de fer en Bulgarie sont signés à la suite d’une procédure d’appel d’offres. Le ou les nouveaux contrats de service public prévoient leur entrée en vigueur au plus tard</w:t>
            </w:r>
            <w:r>
              <w:rPr>
                <w:rFonts w:ascii="Times New Roman" w:hAnsi="Times New Roman"/>
                <w:noProof/>
              </w:rPr>
              <w:t> </w:t>
            </w:r>
            <w:r>
              <w:rPr>
                <w:rFonts w:ascii="Times New Roman" w:eastAsia="Times New Roman" w:hAnsi="Times New Roman" w:cs="Times New Roman"/>
                <w:noProof/>
                <w:szCs w:val="20"/>
              </w:rPr>
              <w:t>le 13 décembre</w:t>
            </w:r>
            <w:r>
              <w:rPr>
                <w:rFonts w:ascii="Times New Roman" w:hAnsi="Times New Roman"/>
                <w:noProof/>
              </w:rPr>
              <w:t> </w:t>
            </w:r>
            <w:r>
              <w:rPr>
                <w:rFonts w:ascii="Times New Roman" w:eastAsia="Times New Roman" w:hAnsi="Times New Roman" w:cs="Times New Roman"/>
                <w:noProof/>
                <w:szCs w:val="20"/>
              </w:rPr>
              <w:t>2026.</w:t>
            </w:r>
          </w:p>
          <w:p w14:paraId="1CEBDA1E" w14:textId="77777777" w:rsidR="00F74E13" w:rsidRDefault="009274FC">
            <w:pPr>
              <w:pStyle w:val="P68B1DB1-Normal35"/>
              <w:spacing w:after="0" w:line="240" w:lineRule="auto"/>
              <w:jc w:val="both"/>
              <w:rPr>
                <w:noProof/>
              </w:rPr>
            </w:pPr>
            <w:r>
              <w:rPr>
                <w:noProof/>
              </w:rPr>
              <w:t>L'offre est divisée en plusieurs lots.</w:t>
            </w:r>
          </w:p>
          <w:p w14:paraId="1CEBDA20" w14:textId="77777777" w:rsidR="00F74E13" w:rsidRDefault="009274FC">
            <w:pPr>
              <w:pStyle w:val="P68B1DB1-Normal35"/>
              <w:spacing w:before="120" w:after="0" w:line="240" w:lineRule="auto"/>
              <w:jc w:val="both"/>
              <w:rPr>
                <w:noProof/>
              </w:rPr>
            </w:pPr>
            <w:r>
              <w:rPr>
                <w:noProof/>
              </w:rPr>
              <w:t>Le(s) nouveau(x) contrat(s) comporte(nt) les dispositions suivantes:</w:t>
            </w:r>
          </w:p>
          <w:p w14:paraId="1CEBDA21" w14:textId="71009856" w:rsidR="00F74E13" w:rsidRDefault="009274FC">
            <w:pPr>
              <w:pStyle w:val="P68B1DB1-ListParagraph20"/>
              <w:numPr>
                <w:ilvl w:val="0"/>
                <w:numId w:val="45"/>
              </w:numPr>
              <w:spacing w:after="0" w:line="240" w:lineRule="auto"/>
              <w:ind w:left="179" w:hanging="142"/>
              <w:jc w:val="both"/>
              <w:rPr>
                <w:noProof/>
              </w:rPr>
            </w:pPr>
            <w:r>
              <w:rPr>
                <w:noProof/>
              </w:rPr>
              <w:t>Le matériel roulant acquis après 2009, y compris dans le cadre du PRR, est fourni gratuitement à l’exploitant ou aux exploitants et est déterminé proportionnellement au volume du service qui sera fourni.</w:t>
            </w:r>
          </w:p>
          <w:p w14:paraId="1CEBDA22" w14:textId="77777777" w:rsidR="00F74E13" w:rsidRDefault="009274FC">
            <w:pPr>
              <w:pStyle w:val="P68B1DB1-ListParagraph20"/>
              <w:numPr>
                <w:ilvl w:val="0"/>
                <w:numId w:val="45"/>
              </w:numPr>
              <w:spacing w:after="0" w:line="240" w:lineRule="auto"/>
              <w:ind w:left="179" w:hanging="142"/>
              <w:jc w:val="both"/>
              <w:rPr>
                <w:noProof/>
              </w:rPr>
            </w:pPr>
            <w:r>
              <w:rPr>
                <w:noProof/>
              </w:rPr>
              <w:t>Le ou les exploitants ont la possibilité de louer le matériel roulant acquis avant 2009 et détenu par l'exploitant actuel.</w:t>
            </w:r>
          </w:p>
          <w:p w14:paraId="1CEBDA23" w14:textId="77777777" w:rsidR="00F74E13" w:rsidRDefault="009274FC">
            <w:pPr>
              <w:pStyle w:val="P68B1DB1-ListParagraph20"/>
              <w:numPr>
                <w:ilvl w:val="0"/>
                <w:numId w:val="45"/>
              </w:numPr>
              <w:spacing w:after="0" w:line="240" w:lineRule="auto"/>
              <w:ind w:left="179" w:hanging="142"/>
              <w:jc w:val="both"/>
              <w:rPr>
                <w:noProof/>
              </w:rPr>
            </w:pPr>
            <w:r>
              <w:rPr>
                <w:noProof/>
              </w:rPr>
              <w:t>Le ou les exploitants sont tenus de restituer le matériel roulant au propriétaire dans l'état dans lequel il a été reçu, en tenant compte du taux d'amortissement normal.</w:t>
            </w:r>
          </w:p>
          <w:p w14:paraId="1CEBDA24" w14:textId="77777777" w:rsidR="00F74E13" w:rsidRDefault="009274FC">
            <w:pPr>
              <w:pStyle w:val="P68B1DB1-ListParagraph20"/>
              <w:numPr>
                <w:ilvl w:val="0"/>
                <w:numId w:val="45"/>
              </w:numPr>
              <w:spacing w:after="0" w:line="240" w:lineRule="auto"/>
              <w:ind w:left="179" w:hanging="142"/>
              <w:jc w:val="both"/>
              <w:rPr>
                <w:noProof/>
              </w:rPr>
            </w:pPr>
            <w:r>
              <w:rPr>
                <w:noProof/>
              </w:rPr>
              <w:t>Lors du calcul de l’indemnisation du ou des opérateurs, il est tenu compte du financement public des véhicules pour toute leur durée de vie utile sur le plan économique.</w:t>
            </w:r>
          </w:p>
        </w:tc>
      </w:tr>
      <w:tr w:rsidR="00F74E13" w14:paraId="1CEBDA39"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A26" w14:textId="77777777" w:rsidR="00F74E13" w:rsidRDefault="009274FC">
            <w:pPr>
              <w:pStyle w:val="P68B1DB1-Normal15"/>
              <w:spacing w:after="0" w:line="240" w:lineRule="auto"/>
              <w:jc w:val="center"/>
              <w:rPr>
                <w:noProof/>
              </w:rPr>
            </w:pPr>
            <w:r>
              <w:rPr>
                <w:noProof/>
              </w:rPr>
              <w:t>169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27" w14:textId="77777777"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C8.R2 : </w:t>
            </w:r>
            <w:r>
              <w:rPr>
                <w:rFonts w:ascii="Times New Roman" w:hAnsi="Times New Roman"/>
                <w:noProof/>
              </w:rPr>
              <w:t>Sécurité routière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28" w14:textId="77777777" w:rsidR="00F74E13" w:rsidRDefault="009274FC">
            <w:pPr>
              <w:pStyle w:val="P68B1DB1-Normal1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29" w14:textId="77777777" w:rsidR="00F74E13" w:rsidRDefault="009274FC">
            <w:pPr>
              <w:pStyle w:val="P68B1DB1-Normal15"/>
              <w:spacing w:after="0" w:line="240" w:lineRule="auto"/>
              <w:rPr>
                <w:noProof/>
              </w:rPr>
            </w:pPr>
            <w:r>
              <w:rPr>
                <w:noProof/>
              </w:rPr>
              <w:t>Nouvelle stratégie de sécurité routière et son plan d'action</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2A" w14:textId="77777777" w:rsidR="00F74E13" w:rsidRDefault="009274FC">
            <w:pPr>
              <w:pStyle w:val="P68B1DB1-Normal15"/>
              <w:spacing w:after="0" w:line="240" w:lineRule="auto"/>
              <w:rPr>
                <w:noProof/>
              </w:rPr>
            </w:pPr>
            <w:r>
              <w:rPr>
                <w:noProof/>
              </w:rPr>
              <w:t>Adoption par le gouvernement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2B"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2C"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2D" w14:textId="77777777" w:rsidR="00F74E13" w:rsidRDefault="00F74E13">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2E" w14:textId="77777777" w:rsidR="00F74E13" w:rsidRDefault="009274FC">
            <w:pPr>
              <w:pStyle w:val="P68B1DB1-Normal15"/>
              <w:spacing w:after="0" w:line="240" w:lineRule="auto"/>
              <w:jc w:val="center"/>
              <w:rPr>
                <w:noProof/>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2F" w14:textId="77777777" w:rsidR="00F74E13" w:rsidRDefault="009274FC">
            <w:pPr>
              <w:pStyle w:val="P68B1DB1-Normal15"/>
              <w:spacing w:after="0" w:line="240" w:lineRule="auto"/>
              <w:jc w:val="center"/>
              <w:rPr>
                <w:noProof/>
              </w:rPr>
            </w:pPr>
            <w:r>
              <w:rPr>
                <w:noProof/>
              </w:rPr>
              <w:t>2020</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30" w14:textId="77777777" w:rsidR="00F74E13" w:rsidRDefault="009274FC">
            <w:pPr>
              <w:pStyle w:val="P68B1DB1-Normal15"/>
              <w:spacing w:after="0" w:line="240" w:lineRule="auto"/>
              <w:jc w:val="both"/>
              <w:rPr>
                <w:noProof/>
              </w:rPr>
            </w:pPr>
            <w:r>
              <w:rPr>
                <w:noProof/>
              </w:rPr>
              <w:t>La stratégie nationale pour la sécurité routière en République de Bulgarie pour la période 2021-2030 et le plan d’action (2021-2023) entrent en vigueur.</w:t>
            </w:r>
          </w:p>
          <w:p w14:paraId="1CEBDA31" w14:textId="77777777" w:rsidR="00F74E13" w:rsidRDefault="009274FC">
            <w:pPr>
              <w:pStyle w:val="P68B1DB1-Normal15"/>
              <w:spacing w:after="0" w:line="240" w:lineRule="auto"/>
              <w:jc w:val="both"/>
              <w:rPr>
                <w:noProof/>
              </w:rPr>
            </w:pPr>
            <w:r>
              <w:rPr>
                <w:noProof/>
              </w:rPr>
              <w:t xml:space="preserve">La nouvelle stratégie de sécurité routière comprend les objectifs suivants: </w:t>
            </w:r>
          </w:p>
          <w:p w14:paraId="1CEBDA32" w14:textId="77777777" w:rsidR="00F74E13" w:rsidRDefault="009274FC">
            <w:pPr>
              <w:pStyle w:val="P68B1DB1-ListParagraph20"/>
              <w:numPr>
                <w:ilvl w:val="0"/>
                <w:numId w:val="46"/>
              </w:numPr>
              <w:spacing w:after="0" w:line="240" w:lineRule="auto"/>
              <w:ind w:left="179" w:hanging="181"/>
              <w:jc w:val="both"/>
              <w:rPr>
                <w:noProof/>
              </w:rPr>
            </w:pPr>
            <w:r>
              <w:rPr>
                <w:noProof/>
              </w:rPr>
              <w:t>réduction de 50 % des décès et des blessures graves dus aux accidents de la route d’ici à 2030 par rapport au niveau de référence de 2019, conformément au cadre de la stratégie routière de l’UE et à la vision «zéro»;</w:t>
            </w:r>
          </w:p>
          <w:p w14:paraId="1CEBDA33" w14:textId="77777777" w:rsidR="00F74E13" w:rsidRDefault="009274FC">
            <w:pPr>
              <w:pStyle w:val="P68B1DB1-ListParagraph20"/>
              <w:numPr>
                <w:ilvl w:val="0"/>
                <w:numId w:val="46"/>
              </w:numPr>
              <w:spacing w:after="0" w:line="240" w:lineRule="auto"/>
              <w:ind w:left="179" w:hanging="181"/>
              <w:jc w:val="both"/>
              <w:rPr>
                <w:noProof/>
              </w:rPr>
            </w:pPr>
            <w:r>
              <w:rPr>
                <w:noProof/>
              </w:rPr>
              <w:t xml:space="preserve">gestion intégrée de toutes les questions de sécurité routière - coordination approfondie des institutions concernées et renforcement des capacités administratives en matière de gestion de la sécurité routière (sur la base d'études, d'analyses, d'évaluations des besoins, de la hiérarchisation et de la planification, du suivi, de l'évaluation et de l'établissement de rapports); </w:t>
            </w:r>
          </w:p>
          <w:p w14:paraId="1CEBDA34" w14:textId="77777777" w:rsidR="00F74E13" w:rsidRDefault="009274FC">
            <w:pPr>
              <w:pStyle w:val="P68B1DB1-ListParagraph20"/>
              <w:numPr>
                <w:ilvl w:val="0"/>
                <w:numId w:val="46"/>
              </w:numPr>
              <w:spacing w:after="0" w:line="240" w:lineRule="auto"/>
              <w:ind w:left="179" w:hanging="181"/>
              <w:jc w:val="both"/>
              <w:rPr>
                <w:noProof/>
              </w:rPr>
            </w:pPr>
            <w:r>
              <w:rPr>
                <w:noProof/>
              </w:rPr>
              <w:t>la responsabilité sociale et les changements de comportement des usagers de la route;</w:t>
            </w:r>
          </w:p>
          <w:p w14:paraId="1CEBDA35" w14:textId="77777777" w:rsidR="00F74E13" w:rsidRDefault="009274FC">
            <w:pPr>
              <w:pStyle w:val="P68B1DB1-ListParagraph20"/>
              <w:numPr>
                <w:ilvl w:val="0"/>
                <w:numId w:val="46"/>
              </w:numPr>
              <w:spacing w:after="0" w:line="240" w:lineRule="auto"/>
              <w:ind w:left="179" w:hanging="181"/>
              <w:jc w:val="both"/>
              <w:rPr>
                <w:noProof/>
              </w:rPr>
            </w:pPr>
            <w:r>
              <w:rPr>
                <w:noProof/>
              </w:rPr>
              <w:t xml:space="preserve">le soutien à l’application de la loi, la prévention efficace des violations des règles de sécurité routière et l’augmentation des sanctions en cas d’infractions à la sécurité routière; </w:t>
            </w:r>
          </w:p>
          <w:p w14:paraId="1CEBDA36" w14:textId="77777777" w:rsidR="00F74E13" w:rsidRDefault="009274FC">
            <w:pPr>
              <w:pStyle w:val="P68B1DB1-ListParagraph20"/>
              <w:numPr>
                <w:ilvl w:val="0"/>
                <w:numId w:val="46"/>
              </w:numPr>
              <w:spacing w:after="0" w:line="240" w:lineRule="auto"/>
              <w:ind w:left="179" w:hanging="181"/>
              <w:jc w:val="both"/>
              <w:rPr>
                <w:noProof/>
              </w:rPr>
            </w:pPr>
            <w:r>
              <w:rPr>
                <w:noProof/>
              </w:rPr>
              <w:t xml:space="preserve">le renforcement de la sécurité des véhicules; </w:t>
            </w:r>
          </w:p>
          <w:p w14:paraId="1CEBDA37" w14:textId="77777777" w:rsidR="00F74E13" w:rsidRDefault="009274FC">
            <w:pPr>
              <w:pStyle w:val="P68B1DB1-ListParagraph20"/>
              <w:numPr>
                <w:ilvl w:val="0"/>
                <w:numId w:val="46"/>
              </w:numPr>
              <w:spacing w:after="0" w:line="240" w:lineRule="auto"/>
              <w:ind w:left="179" w:hanging="181"/>
              <w:jc w:val="both"/>
              <w:rPr>
                <w:noProof/>
              </w:rPr>
            </w:pPr>
            <w:r>
              <w:rPr>
                <w:noProof/>
              </w:rPr>
              <w:t>la protection des usagers vulnérables de la route, par exemple les piétons et les cyclistes;</w:t>
            </w:r>
          </w:p>
          <w:p w14:paraId="1CEBDA38" w14:textId="77777777" w:rsidR="00F74E13" w:rsidRDefault="009274FC">
            <w:pPr>
              <w:pStyle w:val="P68B1DB1-ListParagraph20"/>
              <w:numPr>
                <w:ilvl w:val="0"/>
                <w:numId w:val="46"/>
              </w:numPr>
              <w:spacing w:after="0" w:line="240" w:lineRule="auto"/>
              <w:ind w:left="179" w:hanging="181"/>
              <w:jc w:val="both"/>
              <w:rPr>
                <w:noProof/>
              </w:rPr>
            </w:pPr>
            <w:r>
              <w:rPr>
                <w:noProof/>
              </w:rPr>
              <w:t>amélioration de l'intervention après un accident de la route.</w:t>
            </w:r>
          </w:p>
        </w:tc>
      </w:tr>
      <w:tr w:rsidR="00F74E13" w14:paraId="1CEBDA49"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3A" w14:textId="77777777" w:rsidR="00F74E13" w:rsidRDefault="009274FC">
            <w:pPr>
              <w:pStyle w:val="P68B1DB1-Normal35"/>
              <w:spacing w:after="0" w:line="240" w:lineRule="auto"/>
              <w:jc w:val="center"/>
              <w:rPr>
                <w:noProof/>
              </w:rPr>
            </w:pPr>
            <w:r>
              <w:rPr>
                <w:noProof/>
              </w:rPr>
              <w:t>173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3B" w14:textId="77777777" w:rsidR="00F74E13" w:rsidRDefault="009274FC">
            <w:pPr>
              <w:pStyle w:val="P68B1DB1-Normal35"/>
              <w:spacing w:after="0" w:line="240" w:lineRule="auto"/>
              <w:rPr>
                <w:noProof/>
              </w:rPr>
            </w:pPr>
            <w:r>
              <w:rPr>
                <w:noProof/>
              </w:rPr>
              <w:t xml:space="preserve">C8.R3 : Mobilité urbaine durable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3C"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3D" w14:textId="77777777" w:rsidR="00F74E13" w:rsidRDefault="009274FC">
            <w:pPr>
              <w:pStyle w:val="P68B1DB1-Normal35"/>
              <w:spacing w:after="0" w:line="240" w:lineRule="auto"/>
              <w:rPr>
                <w:noProof/>
              </w:rPr>
            </w:pPr>
            <w:r>
              <w:rPr>
                <w:noProof/>
              </w:rPr>
              <w:t>Intégration de la mobilité urbaine durable dans les stratégies territoriales et la planification du développement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3E" w14:textId="77777777" w:rsidR="00F74E13" w:rsidRDefault="009274FC">
            <w:pPr>
              <w:pStyle w:val="P68B1DB1-Normal35"/>
              <w:spacing w:after="0" w:line="240" w:lineRule="auto"/>
              <w:rPr>
                <w:noProof/>
              </w:rPr>
            </w:pPr>
            <w:r>
              <w:rPr>
                <w:noProof/>
              </w:rPr>
              <w:t xml:space="preserve">Entrée en vigueur des stratégies territoriales intégrées et des plans intégrés de développement municipal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3F"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40"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4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42" w14:textId="77777777" w:rsidR="00F74E13" w:rsidRDefault="009274FC">
            <w:pPr>
              <w:pStyle w:val="P68B1DB1-Normal35"/>
              <w:spacing w:after="0" w:line="240" w:lineRule="auto"/>
              <w:jc w:val="center"/>
              <w:rPr>
                <w:noProof/>
              </w:rPr>
            </w:pPr>
            <w:r>
              <w:rPr>
                <w:noProof/>
              </w:rPr>
              <w:t>T3</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43" w14:textId="77777777" w:rsidR="00F74E13" w:rsidRDefault="009274FC">
            <w:pPr>
              <w:pStyle w:val="P68B1DB1-Normal35"/>
              <w:spacing w:after="0" w:line="240" w:lineRule="auto"/>
              <w:jc w:val="center"/>
              <w:rPr>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44" w14:textId="77777777" w:rsidR="00F74E13" w:rsidRDefault="009274FC">
            <w:pPr>
              <w:pStyle w:val="P68B1DB1-Normal35"/>
              <w:spacing w:line="240" w:lineRule="auto"/>
              <w:jc w:val="both"/>
              <w:rPr>
                <w:noProof/>
              </w:rPr>
            </w:pPr>
            <w:r>
              <w:rPr>
                <w:noProof/>
              </w:rPr>
              <w:t>Le jalon concerne la préparation et l’entrée en vigueur:</w:t>
            </w:r>
          </w:p>
          <w:p w14:paraId="1CEBDA45" w14:textId="77777777" w:rsidR="00F74E13" w:rsidRDefault="009274FC">
            <w:pPr>
              <w:pStyle w:val="P68B1DB1-ListParagraph20"/>
              <w:numPr>
                <w:ilvl w:val="0"/>
                <w:numId w:val="47"/>
              </w:numPr>
              <w:spacing w:line="240" w:lineRule="auto"/>
              <w:ind w:left="179" w:hanging="179"/>
              <w:jc w:val="both"/>
              <w:rPr>
                <w:noProof/>
              </w:rPr>
            </w:pPr>
            <w:r>
              <w:rPr>
                <w:noProof/>
              </w:rPr>
              <w:t xml:space="preserve">Stratégies territoriales intégrées pour le développement des régions de planification NUTS 2 (nomenclature des unités territoriales statistiques) avec inclusion d’éléments de mobilité urbaine durable </w:t>
            </w:r>
          </w:p>
          <w:p w14:paraId="1CEBDA46" w14:textId="77777777" w:rsidR="00F74E13" w:rsidRDefault="009274FC">
            <w:pPr>
              <w:pStyle w:val="P68B1DB1-ListParagraph20"/>
              <w:numPr>
                <w:ilvl w:val="0"/>
                <w:numId w:val="47"/>
              </w:numPr>
              <w:spacing w:line="240" w:lineRule="auto"/>
              <w:ind w:left="179" w:hanging="179"/>
              <w:jc w:val="both"/>
              <w:rPr>
                <w:noProof/>
              </w:rPr>
            </w:pPr>
            <w:r>
              <w:rPr>
                <w:noProof/>
              </w:rPr>
              <w:t xml:space="preserve">Plans intégrés de développement municipal </w:t>
            </w:r>
          </w:p>
          <w:p w14:paraId="1CEBDA47" w14:textId="77777777" w:rsidR="00F74E13" w:rsidRDefault="009274FC">
            <w:pPr>
              <w:pStyle w:val="P68B1DB1-Normal35"/>
              <w:spacing w:line="240" w:lineRule="auto"/>
              <w:jc w:val="both"/>
              <w:rPr>
                <w:noProof/>
              </w:rPr>
            </w:pPr>
            <w:r>
              <w:rPr>
                <w:noProof/>
              </w:rPr>
              <w:t xml:space="preserve">Les stratégies territoriales intégrées des régions de planification de niveau NUTS 2 définissent les objectifs et priorités de développement de chacune des six régions de planification ainsi que les mesures nécessaires à leur mise en œuvre. Les stratégies territoriales intégrées comprennent des éléments de planification de la mobilité urbaine durable au niveau régional. </w:t>
            </w:r>
          </w:p>
          <w:p w14:paraId="1CEBDA48" w14:textId="77777777" w:rsidR="00F74E13" w:rsidRDefault="009274FC">
            <w:pPr>
              <w:pStyle w:val="P68B1DB1-Normal35"/>
              <w:spacing w:after="0" w:line="240" w:lineRule="auto"/>
              <w:jc w:val="both"/>
              <w:rPr>
                <w:noProof/>
              </w:rPr>
            </w:pPr>
            <w:r>
              <w:rPr>
                <w:noProof/>
              </w:rPr>
              <w:t>En outre, les plans de mobilité urbaine durable des municipalités font partie des plans de développement municipal intégré ou sont adoptés et publiés individuellement par les municipalités.</w:t>
            </w:r>
          </w:p>
        </w:tc>
      </w:tr>
      <w:tr w:rsidR="00F74E13" w14:paraId="1CEBDA5C"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A4A" w14:textId="77777777" w:rsidR="00F74E13" w:rsidRDefault="009274FC">
            <w:pPr>
              <w:pStyle w:val="P68B1DB1-Normal35"/>
              <w:spacing w:after="0" w:line="240" w:lineRule="auto"/>
              <w:jc w:val="center"/>
              <w:rPr>
                <w:noProof/>
              </w:rPr>
            </w:pPr>
            <w:r>
              <w:rPr>
                <w:noProof/>
              </w:rPr>
              <w:t>176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4B" w14:textId="77777777" w:rsidR="00F74E13" w:rsidRDefault="009274FC">
            <w:pPr>
              <w:pStyle w:val="P68B1DB1-Normal35"/>
              <w:spacing w:after="0" w:line="240" w:lineRule="auto"/>
              <w:rPr>
                <w:noProof/>
              </w:rPr>
            </w:pPr>
            <w:r>
              <w:rPr>
                <w:noProof/>
              </w:rPr>
              <w:t>C8.R4 : Transports publics intégrés</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4C"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4D" w14:textId="77777777" w:rsidR="00F74E13" w:rsidRDefault="009274FC">
            <w:pPr>
              <w:pStyle w:val="P68B1DB1-Normal35"/>
              <w:spacing w:after="0" w:line="240" w:lineRule="auto"/>
              <w:rPr>
                <w:strike/>
                <w:noProof/>
              </w:rPr>
            </w:pPr>
            <w:r>
              <w:rPr>
                <w:noProof/>
              </w:rPr>
              <w:t>Entrée en vigueur du ou des actes juridiques relatifs aux transports publics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4E" w14:textId="77777777" w:rsidR="00F74E13" w:rsidRDefault="009274FC">
            <w:pPr>
              <w:pStyle w:val="P68B1DB1-Normal35"/>
              <w:spacing w:after="0" w:line="240" w:lineRule="auto"/>
              <w:rPr>
                <w:strike/>
                <w:noProof/>
              </w:rPr>
            </w:pPr>
            <w:r>
              <w:rPr>
                <w:noProof/>
              </w:rPr>
              <w:t>Disposition du ou des actes juridiques indiquant l’entrée en vigueur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4F"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50"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51" w14:textId="77777777" w:rsidR="00F74E13" w:rsidRDefault="00F74E13">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52" w14:textId="77777777" w:rsidR="00F74E13" w:rsidRDefault="009274FC">
            <w:pPr>
              <w:pStyle w:val="P68B1DB1-Normal35"/>
              <w:spacing w:after="0" w:line="240" w:lineRule="auto"/>
              <w:jc w:val="center"/>
              <w:rPr>
                <w:noProof/>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53" w14:textId="77777777" w:rsidR="00F74E13" w:rsidRDefault="009274FC">
            <w:pPr>
              <w:pStyle w:val="P68B1DB1-Normal35"/>
              <w:spacing w:after="0" w:line="240" w:lineRule="auto"/>
              <w:jc w:val="center"/>
              <w:rPr>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54" w14:textId="77777777" w:rsidR="00F74E13" w:rsidRDefault="009274FC">
            <w:pPr>
              <w:pStyle w:val="P68B1DB1-Normal35"/>
              <w:spacing w:after="0" w:line="240" w:lineRule="auto"/>
              <w:jc w:val="both"/>
              <w:rPr>
                <w:noProof/>
              </w:rPr>
            </w:pPr>
            <w:r>
              <w:rPr>
                <w:noProof/>
              </w:rPr>
              <w:t>Le ou les actes juridiques relatifs aux transports publics prévoient:</w:t>
            </w:r>
          </w:p>
          <w:p w14:paraId="1CEBDA55" w14:textId="17154449" w:rsidR="00F74E13" w:rsidRDefault="009274FC">
            <w:pPr>
              <w:pStyle w:val="P68B1DB1-ListParagraph20"/>
              <w:numPr>
                <w:ilvl w:val="0"/>
                <w:numId w:val="48"/>
              </w:numPr>
              <w:spacing w:after="0" w:line="240" w:lineRule="auto"/>
              <w:ind w:left="320" w:hanging="283"/>
              <w:jc w:val="both"/>
              <w:rPr>
                <w:noProof/>
              </w:rPr>
            </w:pPr>
            <w:r>
              <w:rPr>
                <w:noProof/>
              </w:rPr>
              <w:t xml:space="preserve">les règles relatives à la fourniture de données en temps réel sur les déplacements, </w:t>
            </w:r>
          </w:p>
          <w:p w14:paraId="1CEBDA56" w14:textId="77777777" w:rsidR="00F74E13" w:rsidRDefault="009274FC">
            <w:pPr>
              <w:pStyle w:val="P68B1DB1-ListParagraph20"/>
              <w:numPr>
                <w:ilvl w:val="0"/>
                <w:numId w:val="48"/>
              </w:numPr>
              <w:spacing w:after="0" w:line="240" w:lineRule="auto"/>
              <w:ind w:left="320" w:hanging="283"/>
              <w:jc w:val="both"/>
              <w:rPr>
                <w:noProof/>
              </w:rPr>
            </w:pPr>
            <w:r>
              <w:rPr>
                <w:noProof/>
              </w:rPr>
              <w:t xml:space="preserve">la mise en place d'un système de transport avec des horaires coordonnés, </w:t>
            </w:r>
          </w:p>
          <w:p w14:paraId="1CEBDA57" w14:textId="25E963C3" w:rsidR="00F74E13" w:rsidRDefault="009274FC">
            <w:pPr>
              <w:pStyle w:val="P68B1DB1-ListParagraph20"/>
              <w:numPr>
                <w:ilvl w:val="0"/>
                <w:numId w:val="48"/>
              </w:numPr>
              <w:spacing w:after="0" w:line="240" w:lineRule="auto"/>
              <w:ind w:left="320" w:hanging="283"/>
              <w:jc w:val="both"/>
              <w:rPr>
                <w:noProof/>
              </w:rPr>
            </w:pPr>
            <w:r>
              <w:rPr>
                <w:noProof/>
              </w:rPr>
              <w:t>les droits et/ou obligations du ou des opérateurs et du ou des passagers,</w:t>
            </w:r>
          </w:p>
          <w:p w14:paraId="2B5F1649" w14:textId="11641A67" w:rsidR="00F74E13" w:rsidRDefault="009274FC">
            <w:pPr>
              <w:pStyle w:val="P68B1DB1-ListParagraph20"/>
              <w:numPr>
                <w:ilvl w:val="0"/>
                <w:numId w:val="48"/>
              </w:numPr>
              <w:spacing w:after="0" w:line="240" w:lineRule="auto"/>
              <w:ind w:left="320" w:hanging="283"/>
              <w:jc w:val="both"/>
              <w:rPr>
                <w:noProof/>
              </w:rPr>
            </w:pPr>
            <w:r>
              <w:rPr>
                <w:noProof/>
              </w:rPr>
              <w:t xml:space="preserve">les principes des politiques tarifaires applicables aux services publics de transport de voyageurs, </w:t>
            </w:r>
          </w:p>
          <w:p w14:paraId="1CEBDA5B" w14:textId="68CFFD5D" w:rsidR="00F74E13" w:rsidRDefault="009274FC">
            <w:pPr>
              <w:pStyle w:val="P68B1DB1-ListParagraph20"/>
              <w:numPr>
                <w:ilvl w:val="0"/>
                <w:numId w:val="48"/>
              </w:numPr>
              <w:spacing w:after="0" w:line="240" w:lineRule="auto"/>
              <w:ind w:left="320" w:hanging="283"/>
              <w:jc w:val="both"/>
              <w:rPr>
                <w:noProof/>
              </w:rPr>
            </w:pPr>
            <w:r>
              <w:rPr>
                <w:noProof/>
              </w:rPr>
              <w:t>les principes de planification et de gestion des transports publics.</w:t>
            </w:r>
          </w:p>
        </w:tc>
      </w:tr>
      <w:tr w:rsidR="00F74E13" w14:paraId="1CEBDA6C"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5D" w14:textId="77777777" w:rsidR="00F74E13" w:rsidRDefault="009274FC">
            <w:pPr>
              <w:pStyle w:val="P68B1DB1-Normal35"/>
              <w:spacing w:after="0" w:line="240" w:lineRule="auto"/>
              <w:jc w:val="center"/>
              <w:rPr>
                <w:noProof/>
              </w:rPr>
            </w:pPr>
            <w:r>
              <w:rPr>
                <w:noProof/>
              </w:rPr>
              <w:t>178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5E" w14:textId="77777777" w:rsidR="00F74E13" w:rsidRDefault="009274FC">
            <w:pPr>
              <w:pStyle w:val="P68B1DB1-Normal13"/>
              <w:spacing w:after="0" w:line="240" w:lineRule="auto"/>
              <w:rPr>
                <w:rFonts w:eastAsia="Times New Roman" w:cs="Times New Roman"/>
                <w:noProof/>
              </w:rPr>
            </w:pPr>
            <w:r>
              <w:rPr>
                <w:noProof/>
              </w:rPr>
              <w:t>C8.R5 : Mobilité électrique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5F"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60" w14:textId="77777777" w:rsidR="00F74E13" w:rsidRDefault="009274FC">
            <w:pPr>
              <w:pStyle w:val="P68B1DB1-Normal35"/>
              <w:spacing w:after="0" w:line="240" w:lineRule="auto"/>
              <w:rPr>
                <w:noProof/>
                <w:color w:val="FF0000"/>
              </w:rPr>
            </w:pPr>
            <w:r>
              <w:rPr>
                <w:noProof/>
              </w:rPr>
              <w:t>Entrée en vigueur du ou des actes juridiques sur la mobilité électrique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61" w14:textId="77777777" w:rsidR="00F74E13" w:rsidRDefault="009274FC">
            <w:pPr>
              <w:pStyle w:val="P68B1DB1-Normal35"/>
              <w:spacing w:after="0" w:line="240" w:lineRule="auto"/>
              <w:rPr>
                <w:noProof/>
                <w:color w:val="FF0000"/>
              </w:rPr>
            </w:pPr>
            <w:r>
              <w:rPr>
                <w:noProof/>
              </w:rPr>
              <w:t>Disposition indiquant l’entrée en vigueur d’un ou de plusieurs 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6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63"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64"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65" w14:textId="77777777" w:rsidR="00F74E13" w:rsidRDefault="009274FC">
            <w:pPr>
              <w:pStyle w:val="P68B1DB1-Normal55"/>
              <w:spacing w:after="0" w:line="240" w:lineRule="auto"/>
              <w:jc w:val="center"/>
              <w:rPr>
                <w:noProof/>
                <w:color w:val="006100"/>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66" w14:textId="77777777" w:rsidR="00F74E13" w:rsidRDefault="009274FC">
            <w:pPr>
              <w:pStyle w:val="P68B1DB1-Normal35"/>
              <w:spacing w:after="0" w:line="240" w:lineRule="auto"/>
              <w:jc w:val="center"/>
              <w:rPr>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67" w14:textId="77777777" w:rsidR="00F74E13" w:rsidRDefault="009274FC">
            <w:pPr>
              <w:pStyle w:val="P68B1DB1-Normal35"/>
              <w:spacing w:after="0" w:line="240" w:lineRule="auto"/>
              <w:jc w:val="both"/>
              <w:rPr>
                <w:noProof/>
              </w:rPr>
            </w:pPr>
            <w:r>
              <w:rPr>
                <w:noProof/>
              </w:rPr>
              <w:t>Le ou les actes juridiques prévoient:</w:t>
            </w:r>
          </w:p>
          <w:p w14:paraId="1CEBDA68" w14:textId="77777777" w:rsidR="00F74E13" w:rsidRDefault="009274FC">
            <w:pPr>
              <w:pStyle w:val="P68B1DB1-Normal35"/>
              <w:numPr>
                <w:ilvl w:val="0"/>
                <w:numId w:val="48"/>
              </w:numPr>
              <w:spacing w:after="0" w:line="240" w:lineRule="auto"/>
              <w:ind w:left="360"/>
              <w:jc w:val="both"/>
              <w:rPr>
                <w:noProof/>
              </w:rPr>
            </w:pPr>
            <w:r>
              <w:rPr>
                <w:noProof/>
              </w:rPr>
              <w:t xml:space="preserve">simplification de la procédure de raccordement des bornes de recharge installées pour un usage personnel; </w:t>
            </w:r>
          </w:p>
          <w:p w14:paraId="1CEBDA69" w14:textId="77777777" w:rsidR="00F74E13" w:rsidRDefault="009274FC">
            <w:pPr>
              <w:numPr>
                <w:ilvl w:val="0"/>
                <w:numId w:val="48"/>
              </w:numPr>
              <w:spacing w:after="0" w:line="240" w:lineRule="auto"/>
              <w:ind w:left="360"/>
              <w:jc w:val="both"/>
              <w:rPr>
                <w:rFonts w:ascii="Times New Roman" w:eastAsia="Times New Roman" w:hAnsi="Times New Roman" w:cs="Times New Roman"/>
                <w:noProof/>
                <w:color w:val="006100"/>
                <w:sz w:val="20"/>
                <w:szCs w:val="20"/>
              </w:rPr>
            </w:pPr>
            <w:r>
              <w:rPr>
                <w:rFonts w:ascii="Times New Roman" w:hAnsi="Times New Roman"/>
                <w:noProof/>
                <w:color w:val="006100"/>
                <w:sz w:val="20"/>
                <w:szCs w:val="20"/>
              </w:rPr>
              <w:t>l’obligation pour les maires des communes de plus de 5 000 habitants de</w:t>
            </w:r>
            <w:r>
              <w:rPr>
                <w:noProof/>
              </w:rPr>
              <w:t xml:space="preserve"> </w:t>
            </w:r>
            <w:r>
              <w:rPr>
                <w:rFonts w:ascii="Times New Roman" w:eastAsia="Times New Roman" w:hAnsi="Times New Roman" w:cs="Times New Roman"/>
                <w:noProof/>
                <w:color w:val="006100"/>
                <w:sz w:val="20"/>
                <w:szCs w:val="20"/>
              </w:rPr>
              <w:t>construire au moins une borne de recharge accessible au public.</w:t>
            </w:r>
            <w:r>
              <w:rPr>
                <w:noProof/>
              </w:rPr>
              <w:t xml:space="preserve"> </w:t>
            </w:r>
          </w:p>
          <w:p w14:paraId="1CEBDA6B" w14:textId="77777777" w:rsidR="00F74E13" w:rsidRDefault="009274FC">
            <w:pPr>
              <w:pStyle w:val="P68B1DB1-Normal35"/>
              <w:spacing w:before="120" w:after="0" w:line="240" w:lineRule="auto"/>
              <w:jc w:val="both"/>
              <w:rPr>
                <w:noProof/>
              </w:rPr>
            </w:pPr>
            <w:r>
              <w:rPr>
                <w:noProof/>
              </w:rPr>
              <w:t xml:space="preserve">Le ou les actes juridiques instaurent également un taux annuel d’amortissement fiscal pour les véhicules électriques. </w:t>
            </w:r>
          </w:p>
        </w:tc>
      </w:tr>
      <w:tr w:rsidR="00F74E13" w14:paraId="1CEBDA78"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6D" w14:textId="77777777" w:rsidR="00F74E13" w:rsidRDefault="009274FC">
            <w:pPr>
              <w:pStyle w:val="P68B1DB1-Normal35"/>
              <w:spacing w:after="0" w:line="240" w:lineRule="auto"/>
              <w:jc w:val="center"/>
              <w:rPr>
                <w:noProof/>
              </w:rPr>
            </w:pPr>
            <w:r>
              <w:rPr>
                <w:noProof/>
              </w:rPr>
              <w:t>181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6E" w14:textId="77777777"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C8.R5 : </w:t>
            </w:r>
            <w:r>
              <w:rPr>
                <w:rFonts w:ascii="Times New Roman" w:hAnsi="Times New Roman"/>
                <w:noProof/>
              </w:rPr>
              <w:t>Mobilité électrique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6F" w14:textId="77777777" w:rsidR="00F74E13" w:rsidRDefault="009274FC">
            <w:pPr>
              <w:pStyle w:val="P68B1DB1-Normal15"/>
              <w:spacing w:after="0" w:line="240" w:lineRule="auto"/>
              <w:jc w:val="center"/>
              <w:rPr>
                <w:rFonts w:eastAsia="Times New Roman" w:cs="Times New Roman"/>
                <w:noProof/>
                <w:szCs w:val="20"/>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0" w14:textId="77777777" w:rsidR="00F74E13" w:rsidRDefault="009274FC">
            <w:pPr>
              <w:pStyle w:val="P68B1DB1-Normal15"/>
              <w:spacing w:after="0" w:line="240" w:lineRule="auto"/>
              <w:rPr>
                <w:rFonts w:eastAsia="Times New Roman" w:cs="Times New Roman"/>
                <w:noProof/>
                <w:szCs w:val="20"/>
              </w:rPr>
            </w:pPr>
            <w:r>
              <w:rPr>
                <w:noProof/>
              </w:rPr>
              <w:t>Zones à faibles émissions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71" w14:textId="77777777" w:rsidR="00F74E13" w:rsidRDefault="009274FC">
            <w:pPr>
              <w:pStyle w:val="P68B1DB1-Normal56"/>
              <w:spacing w:after="0" w:line="240" w:lineRule="auto"/>
              <w:rPr>
                <w:noProof/>
              </w:rPr>
            </w:pPr>
            <w:r>
              <w:rPr>
                <w:noProof/>
              </w:rPr>
              <w:t>Mise en place de zones à faibles émissions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3"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4"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5" w14:textId="77777777" w:rsidR="00F74E13" w:rsidRDefault="009274FC">
            <w:pPr>
              <w:pStyle w:val="P68B1DB1-Normal55"/>
              <w:spacing w:after="0" w:line="240" w:lineRule="auto"/>
              <w:jc w:val="center"/>
              <w:rPr>
                <w:noProof/>
              </w:rPr>
            </w:pPr>
            <w:r>
              <w:rPr>
                <w:noProof/>
              </w:rPr>
              <w:t>T4</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76" w14:textId="77777777" w:rsidR="00F74E13" w:rsidRDefault="009274FC">
            <w:pPr>
              <w:pStyle w:val="P68B1DB1-Normal57"/>
              <w:spacing w:after="0" w:line="240" w:lineRule="auto"/>
              <w:jc w:val="center"/>
              <w:rPr>
                <w:rFonts w:eastAsia="Times New Roman" w:cs="Times New Roman"/>
                <w:noProof/>
                <w:color w:val="006100"/>
                <w:szCs w:val="20"/>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77" w14:textId="77777777" w:rsidR="00F74E13" w:rsidRDefault="009274FC">
            <w:pPr>
              <w:pStyle w:val="P68B1DB1-Normal21"/>
              <w:spacing w:after="0" w:line="240" w:lineRule="auto"/>
              <w:jc w:val="both"/>
              <w:rPr>
                <w:rFonts w:ascii="Times New Roman" w:eastAsia="Times New Roman" w:hAnsi="Times New Roman" w:cs="Times New Roman"/>
                <w:noProof/>
                <w:color w:val="006100"/>
              </w:rPr>
            </w:pPr>
            <w:r>
              <w:rPr>
                <w:rFonts w:ascii="Times New Roman" w:hAnsi="Times New Roman"/>
                <w:noProof/>
                <w:color w:val="006100"/>
              </w:rPr>
              <w:t>Des zones à faibles émissions sont introduites et applicables pendant au moins une partie de l’année à Sofia et à Plovdiv. L'entrée et la circulation de véhicules des catégories M1 et N1 appartenant au moins au premier groupe environnemental en vertu de la législation bulgare sont interdites dans ces zones.</w:t>
            </w:r>
            <w:r>
              <w:rPr>
                <w:rFonts w:ascii="Times New Roman" w:eastAsia="Times New Roman" w:hAnsi="Times New Roman" w:cs="Times New Roman"/>
                <w:i/>
                <w:noProof/>
                <w:color w:val="FF0000"/>
              </w:rPr>
              <w:t xml:space="preserve"> </w:t>
            </w:r>
          </w:p>
        </w:tc>
      </w:tr>
      <w:tr w:rsidR="00F74E13" w14:paraId="1CEBDA88"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79" w14:textId="77777777" w:rsidR="00F74E13" w:rsidRDefault="009274FC">
            <w:pPr>
              <w:pStyle w:val="P68B1DB1-Normal35"/>
              <w:spacing w:after="0" w:line="240" w:lineRule="auto"/>
              <w:jc w:val="center"/>
              <w:rPr>
                <w:noProof/>
              </w:rPr>
            </w:pPr>
            <w:r>
              <w:rPr>
                <w:noProof/>
              </w:rPr>
              <w:t>184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7A" w14:textId="77777777" w:rsidR="00F74E13" w:rsidRDefault="009274FC">
            <w:pPr>
              <w:pStyle w:val="P68B1DB1-Normal35"/>
              <w:spacing w:after="0" w:line="240" w:lineRule="auto"/>
              <w:rPr>
                <w:noProof/>
              </w:rPr>
            </w:pPr>
            <w:r>
              <w:rPr>
                <w:noProof/>
              </w:rPr>
              <w:t>C8.I1 : Matériel roulant ferroviaire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7B"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C" w14:textId="77777777" w:rsidR="00F74E13" w:rsidRDefault="009274FC">
            <w:pPr>
              <w:pStyle w:val="P68B1DB1-Normal15"/>
              <w:spacing w:after="0" w:line="240" w:lineRule="auto"/>
              <w:rPr>
                <w:rFonts w:eastAsia="Times New Roman" w:cs="Times New Roman"/>
                <w:noProof/>
                <w:szCs w:val="20"/>
              </w:rPr>
            </w:pPr>
            <w:r>
              <w:rPr>
                <w:noProof/>
              </w:rPr>
              <w:t xml:space="preserve">Signature de contrats d’achat de matériel roulant ferroviaire à émissions nulles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7D" w14:textId="77777777" w:rsidR="00F74E13" w:rsidRDefault="009274FC">
            <w:pPr>
              <w:pStyle w:val="P68B1DB1-Normal21"/>
              <w:spacing w:after="0" w:line="240" w:lineRule="auto"/>
              <w:rPr>
                <w:rFonts w:ascii="Times New Roman" w:eastAsia="Calibri" w:hAnsi="Times New Roman" w:cs="Times New Roman"/>
                <w:noProof/>
                <w:color w:val="004377"/>
                <w:u w:val="single"/>
              </w:rPr>
            </w:pPr>
            <w:r>
              <w:rPr>
                <w:rFonts w:ascii="Times New Roman" w:eastAsia="Times New Roman" w:hAnsi="Times New Roman" w:cs="Times New Roman"/>
                <w:noProof/>
                <w:color w:val="006100"/>
              </w:rPr>
              <w:t>Contrats signés</w:t>
            </w:r>
            <w:r>
              <w:rPr>
                <w:rFonts w:ascii="Times New Roman" w:eastAsia="Calibri" w:hAnsi="Times New Roman" w:cs="Times New Roman"/>
                <w:noProof/>
                <w:color w:val="004377"/>
                <w:u w:val="singl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E"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F"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80"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81" w14:textId="77777777" w:rsidR="00F74E13" w:rsidRDefault="009274FC">
            <w:pPr>
              <w:pStyle w:val="P68B1DB1-Normal35"/>
              <w:spacing w:after="0" w:line="240" w:lineRule="auto"/>
              <w:jc w:val="center"/>
              <w:rPr>
                <w:noProof/>
                <w:color w:val="FF0000"/>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82" w14:textId="77777777" w:rsidR="00F74E13" w:rsidRDefault="009274FC">
            <w:pPr>
              <w:pStyle w:val="P68B1DB1-Normal35"/>
              <w:spacing w:after="0" w:line="240" w:lineRule="auto"/>
              <w:jc w:val="center"/>
              <w:rPr>
                <w:noProof/>
                <w:color w:val="FF0000"/>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83" w14:textId="77777777" w:rsidR="00F74E13" w:rsidRDefault="009274FC">
            <w:pPr>
              <w:pStyle w:val="P68B1DB1-Normal35"/>
              <w:spacing w:after="0" w:line="240" w:lineRule="auto"/>
              <w:jc w:val="both"/>
              <w:rPr>
                <w:noProof/>
              </w:rPr>
            </w:pPr>
            <w:r>
              <w:rPr>
                <w:noProof/>
              </w:rPr>
              <w:t xml:space="preserve">Des contrats sont signés, à l’issue d’une ou de plusieurs procédures de passation de marchés publics, pour l’achat: </w:t>
            </w:r>
          </w:p>
          <w:p w14:paraId="1CEBDA84" w14:textId="77777777" w:rsidR="00F74E13" w:rsidRDefault="009274FC">
            <w:pPr>
              <w:pStyle w:val="P68B1DB1-Normal35"/>
              <w:spacing w:after="0" w:line="240" w:lineRule="auto"/>
              <w:ind w:left="37"/>
              <w:jc w:val="both"/>
              <w:rPr>
                <w:noProof/>
              </w:rPr>
            </w:pPr>
            <w:r>
              <w:rPr>
                <w:noProof/>
              </w:rPr>
              <w:t>- au moins 12 unités électriques multiples à émission nulle d’une capacité minimale de 200 sièges, équipées d’un équipement embarqué ERTMS;</w:t>
            </w:r>
          </w:p>
          <w:p w14:paraId="1CEBDA85" w14:textId="77777777" w:rsidR="00F74E13" w:rsidRDefault="009274FC">
            <w:pPr>
              <w:pStyle w:val="P68B1DB1-Normal22"/>
              <w:spacing w:after="0" w:line="240" w:lineRule="auto"/>
              <w:ind w:left="37"/>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- 20 trains à unités multiples électriques à un étage et zéro émission d’une</w:t>
            </w:r>
            <w:r>
              <w:rPr>
                <w:rFonts w:ascii="Times New Roman" w:hAnsi="Times New Roman"/>
                <w:noProof/>
              </w:rPr>
              <w:t xml:space="preserve"> capacité d’au </w:t>
            </w:r>
            <w:r>
              <w:rPr>
                <w:rFonts w:ascii="Times New Roman" w:eastAsia="Times New Roman" w:hAnsi="Times New Roman" w:cs="Times New Roman"/>
                <w:noProof/>
                <w:szCs w:val="20"/>
              </w:rPr>
              <w:t xml:space="preserve">moins </w:t>
            </w:r>
            <w:r>
              <w:rPr>
                <w:rFonts w:ascii="Times New Roman" w:hAnsi="Times New Roman"/>
                <w:noProof/>
              </w:rPr>
              <w:t xml:space="preserve">300 </w:t>
            </w:r>
            <w:r>
              <w:rPr>
                <w:rFonts w:ascii="Times New Roman" w:eastAsia="Times New Roman" w:hAnsi="Times New Roman" w:cs="Times New Roman"/>
                <w:noProof/>
                <w:szCs w:val="20"/>
              </w:rPr>
              <w:t>places,</w:t>
            </w:r>
            <w:r>
              <w:rPr>
                <w:rFonts w:ascii="Times New Roman" w:hAnsi="Times New Roman"/>
                <w:noProof/>
              </w:rPr>
              <w:t xml:space="preserve"> équipés d’équipements ERTMS embarqués;</w:t>
            </w:r>
          </w:p>
          <w:p w14:paraId="1CEBDA86" w14:textId="77777777" w:rsidR="00F74E13" w:rsidRDefault="009274FC">
            <w:pPr>
              <w:pStyle w:val="P68B1DB1-Normal35"/>
              <w:spacing w:after="0" w:line="240" w:lineRule="auto"/>
              <w:ind w:left="37"/>
              <w:jc w:val="both"/>
              <w:rPr>
                <w:noProof/>
              </w:rPr>
            </w:pPr>
            <w:r>
              <w:rPr>
                <w:noProof/>
              </w:rPr>
              <w:t>- 9 locomotives de manœuvre de batteries avec télécommande numérique.</w:t>
            </w:r>
          </w:p>
          <w:p w14:paraId="1CEBDA87" w14:textId="77777777" w:rsidR="00F74E13" w:rsidRDefault="009274FC">
            <w:pPr>
              <w:pStyle w:val="P68B1DB1-Normal35"/>
              <w:spacing w:after="0" w:line="240" w:lineRule="auto"/>
              <w:jc w:val="both"/>
              <w:rPr>
                <w:noProof/>
                <w:color w:val="FF0000"/>
              </w:rPr>
            </w:pPr>
            <w:r>
              <w:rPr>
                <w:noProof/>
              </w:rPr>
              <w:t>Les contrats précisent que le ministère bulgare des transports et des communications devient propriétaire du matériel roulant.</w:t>
            </w:r>
          </w:p>
        </w:tc>
      </w:tr>
      <w:tr w:rsidR="00F74E13" w14:paraId="1CEBDA96"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89" w14:textId="77777777" w:rsidR="00F74E13" w:rsidRDefault="009274FC">
            <w:pPr>
              <w:pStyle w:val="P68B1DB1-Normal35"/>
              <w:spacing w:after="0" w:line="240" w:lineRule="auto"/>
              <w:jc w:val="center"/>
              <w:rPr>
                <w:noProof/>
              </w:rPr>
            </w:pPr>
            <w:r>
              <w:rPr>
                <w:noProof/>
              </w:rPr>
              <w:t>186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8A" w14:textId="77777777" w:rsidR="00F74E13" w:rsidRDefault="009274FC">
            <w:pPr>
              <w:pStyle w:val="P68B1DB1-Normal35"/>
              <w:spacing w:after="0" w:line="240" w:lineRule="auto"/>
              <w:rPr>
                <w:noProof/>
              </w:rPr>
            </w:pPr>
            <w:r>
              <w:rPr>
                <w:noProof/>
              </w:rPr>
              <w:t>C8.I1 : Matériel roulant ferroviaire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8B" w14:textId="77777777" w:rsidR="00F74E13" w:rsidRDefault="009274FC">
            <w:pPr>
              <w:pStyle w:val="P68B1DB1-Normal35"/>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8C" w14:textId="6E5595F2" w:rsidR="00F74E13" w:rsidRDefault="009274FC">
            <w:pPr>
              <w:pStyle w:val="P68B1DB1-Normal13"/>
              <w:spacing w:after="0" w:line="240" w:lineRule="auto"/>
              <w:rPr>
                <w:noProof/>
              </w:rPr>
            </w:pPr>
            <w:r>
              <w:rPr>
                <w:noProof/>
              </w:rPr>
              <w:t>Matériel roulant ferroviaire à émissions nulles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8D" w14:textId="77777777" w:rsidR="00F74E13" w:rsidRDefault="009274FC">
            <w:pPr>
              <w:pStyle w:val="P68B1DB1-Normal35"/>
              <w:spacing w:after="0" w:line="240" w:lineRule="auto"/>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8E" w14:textId="77777777" w:rsidR="00F74E13" w:rsidRDefault="009274FC">
            <w:pPr>
              <w:pStyle w:val="P68B1DB1-Normal3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8F" w14:textId="77777777" w:rsidR="00F74E13" w:rsidRDefault="009274FC">
            <w:pPr>
              <w:pStyle w:val="P68B1DB1-Normal35"/>
              <w:spacing w:after="0"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0" w14:textId="77777777" w:rsidR="00F74E13" w:rsidRDefault="009274FC">
            <w:pPr>
              <w:pStyle w:val="P68B1DB1-Normal35"/>
              <w:spacing w:after="0" w:line="240" w:lineRule="auto"/>
              <w:jc w:val="center"/>
              <w:rPr>
                <w:noProof/>
              </w:rPr>
            </w:pPr>
            <w:r>
              <w:rPr>
                <w:noProof/>
              </w:rPr>
              <w:t>41</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91" w14:textId="77777777" w:rsidR="00F74E13" w:rsidRDefault="009274FC">
            <w:pPr>
              <w:pStyle w:val="P68B1DB1-Normal35"/>
              <w:spacing w:after="0" w:line="240" w:lineRule="auto"/>
              <w:jc w:val="center"/>
              <w:rPr>
                <w:noProof/>
                <w:color w:val="FF0000"/>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92" w14:textId="77777777" w:rsidR="00F74E13" w:rsidRDefault="009274FC">
            <w:pPr>
              <w:pStyle w:val="P68B1DB1-Normal35"/>
              <w:spacing w:after="0" w:line="240" w:lineRule="auto"/>
              <w:jc w:val="center"/>
              <w:rPr>
                <w:noProof/>
                <w:color w:val="FF0000"/>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93" w14:textId="11623D27" w:rsidR="00F74E13" w:rsidRDefault="009274FC">
            <w:pPr>
              <w:pStyle w:val="P68B1DB1-Normal13"/>
              <w:spacing w:after="0" w:line="240" w:lineRule="auto"/>
              <w:jc w:val="both"/>
              <w:rPr>
                <w:rFonts w:eastAsia="Times New Roman" w:cs="Times New Roman"/>
                <w:noProof/>
              </w:rPr>
            </w:pPr>
            <w:r>
              <w:rPr>
                <w:noProof/>
              </w:rPr>
              <w:t xml:space="preserve">- Le ou les rapports de constatations doivent être signés pour 12 unités électriques multiples à émissions nulles. Un protocole de réception doit être signé pour au moins une unité électrique multiple zéro émission (sur 12). </w:t>
            </w:r>
          </w:p>
          <w:p w14:paraId="1CEBDA94" w14:textId="2DFE1094" w:rsidR="00F74E13" w:rsidRDefault="009274FC">
            <w:pPr>
              <w:pStyle w:val="P68B1DB1-Normal13"/>
              <w:spacing w:after="0" w:line="240" w:lineRule="auto"/>
              <w:jc w:val="both"/>
              <w:rPr>
                <w:noProof/>
              </w:rPr>
            </w:pPr>
            <w:r>
              <w:rPr>
                <w:noProof/>
              </w:rPr>
              <w:t xml:space="preserve">- Le ou les rapports de constatations doivent être signés pour 20 unités électriques multiples à émission nulle à un seul pont. Un protocole de réception doit être signé pour au moins une unité électrique multiple à émission nulle (sur 20). </w:t>
            </w:r>
          </w:p>
          <w:p w14:paraId="1CEBDA95" w14:textId="6CE0192E" w:rsidR="00F74E13" w:rsidRDefault="009274FC">
            <w:pPr>
              <w:pStyle w:val="P68B1DB1-Normal13"/>
              <w:spacing w:after="0" w:line="240" w:lineRule="auto"/>
              <w:jc w:val="both"/>
              <w:rPr>
                <w:rFonts w:eastAsia="Times New Roman" w:cs="Times New Roman"/>
                <w:noProof/>
              </w:rPr>
            </w:pPr>
            <w:r>
              <w:rPr>
                <w:noProof/>
              </w:rPr>
              <w:t xml:space="preserve">- Le ou les protocoles d'acceptation doivent être signés pour 9 locomotives de manœuvre de batteries. </w:t>
            </w:r>
          </w:p>
        </w:tc>
      </w:tr>
      <w:tr w:rsidR="00F74E13" w14:paraId="1CEBDAA6"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97" w14:textId="77777777" w:rsidR="00F74E13" w:rsidRDefault="009274FC">
            <w:pPr>
              <w:pStyle w:val="P68B1DB1-Normal35"/>
              <w:spacing w:after="0" w:line="240" w:lineRule="auto"/>
              <w:jc w:val="center"/>
              <w:rPr>
                <w:noProof/>
              </w:rPr>
            </w:pPr>
            <w:r>
              <w:rPr>
                <w:noProof/>
              </w:rPr>
              <w:t>197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98" w14:textId="77777777"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C8.I5 : </w:t>
            </w:r>
            <w:r>
              <w:rPr>
                <w:rFonts w:ascii="Times New Roman" w:hAnsi="Times New Roman"/>
                <w:noProof/>
              </w:rPr>
              <w:t>Sécurité routière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99" w14:textId="77777777" w:rsidR="00F74E13" w:rsidRDefault="009274FC">
            <w:pPr>
              <w:pStyle w:val="P68B1DB1-Normal1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9A" w14:textId="3D508C0F" w:rsidR="00F74E13" w:rsidRDefault="009274FC">
            <w:pPr>
              <w:pStyle w:val="P68B1DB1-Normal35"/>
              <w:spacing w:after="0" w:line="240" w:lineRule="auto"/>
              <w:rPr>
                <w:noProof/>
              </w:rPr>
            </w:pPr>
            <w:r>
              <w:rPr>
                <w:noProof/>
              </w:rPr>
              <w:t>Signature des contrats d'achat d'équipements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9B" w14:textId="3D00DE43" w:rsidR="00F74E13" w:rsidRDefault="009274FC">
            <w:pPr>
              <w:pStyle w:val="P68B1DB1-Normal13"/>
              <w:spacing w:after="0" w:line="240" w:lineRule="auto"/>
              <w:rPr>
                <w:noProof/>
              </w:rPr>
            </w:pPr>
            <w:r>
              <w:rPr>
                <w:noProof/>
              </w:rPr>
              <w:t>Signature des contrats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9C"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D" w14:textId="77777777" w:rsidR="00F74E13" w:rsidRDefault="00F74E13">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E" w14:textId="77777777" w:rsidR="00F74E13" w:rsidRDefault="00F74E13">
            <w:pPr>
              <w:spacing w:after="0" w:line="240" w:lineRule="auto"/>
              <w:jc w:val="center"/>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9F"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A0" w14:textId="77777777" w:rsidR="00F74E13" w:rsidRDefault="009274FC">
            <w:pPr>
              <w:pStyle w:val="P68B1DB1-Normal15"/>
              <w:spacing w:after="0" w:line="240" w:lineRule="auto"/>
              <w:jc w:val="center"/>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9853B71" w14:textId="10B6041B" w:rsidR="00F74E13" w:rsidRDefault="009274FC">
            <w:pPr>
              <w:pStyle w:val="P68B1DB1-Normal35"/>
              <w:spacing w:after="0" w:line="240" w:lineRule="auto"/>
              <w:jc w:val="both"/>
              <w:rPr>
                <w:noProof/>
              </w:rPr>
            </w:pPr>
            <w:r>
              <w:rPr>
                <w:noProof/>
              </w:rPr>
              <w:t xml:space="preserve">Des contrats sont signés pour l'achat des équipements suivants: </w:t>
            </w:r>
          </w:p>
          <w:p w14:paraId="1CEBDAA2" w14:textId="4C3DFA0E" w:rsidR="00F74E13" w:rsidRDefault="009274FC">
            <w:pPr>
              <w:pStyle w:val="P68B1DB1-Normal35"/>
              <w:spacing w:after="0" w:line="240" w:lineRule="auto"/>
              <w:jc w:val="both"/>
              <w:rPr>
                <w:noProof/>
              </w:rPr>
            </w:pPr>
            <w:r>
              <w:rPr>
                <w:noProof/>
              </w:rPr>
              <w:t>- 31 véhicules à usage spécial;</w:t>
            </w:r>
          </w:p>
          <w:p w14:paraId="1CEBDAA3" w14:textId="5619DEBC" w:rsidR="00F74E13" w:rsidRDefault="009274FC">
            <w:pPr>
              <w:pStyle w:val="P68B1DB1-Normal35"/>
              <w:spacing w:after="0" w:line="240" w:lineRule="auto"/>
              <w:jc w:val="both"/>
              <w:rPr>
                <w:noProof/>
              </w:rPr>
            </w:pPr>
            <w:r>
              <w:rPr>
                <w:noProof/>
              </w:rPr>
              <w:t>- 1 logiciel de signalisation sur les infrastructures routières.</w:t>
            </w:r>
          </w:p>
          <w:p w14:paraId="1CEBDAA5" w14:textId="52C1C2CF" w:rsidR="00F74E13" w:rsidRDefault="009274FC">
            <w:pPr>
              <w:pStyle w:val="P68B1DB1-Normal35"/>
              <w:spacing w:before="120" w:after="0" w:line="240" w:lineRule="auto"/>
              <w:jc w:val="both"/>
              <w:rPr>
                <w:noProof/>
              </w:rPr>
            </w:pPr>
            <w:r>
              <w:rPr>
                <w:noProof/>
              </w:rPr>
              <w:t>Les véhicules à usage spécial représentent les meilleurs niveaux de performance environnementale disponibles dans le secteur.</w:t>
            </w:r>
          </w:p>
        </w:tc>
      </w:tr>
      <w:tr w:rsidR="00F74E13" w14:paraId="1CEBDAB4"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A7" w14:textId="77777777" w:rsidR="00F74E13" w:rsidRDefault="009274FC">
            <w:pPr>
              <w:pStyle w:val="P68B1DB1-Normal35"/>
              <w:spacing w:after="0" w:line="240" w:lineRule="auto"/>
              <w:jc w:val="center"/>
              <w:rPr>
                <w:noProof/>
              </w:rPr>
            </w:pPr>
            <w:r>
              <w:rPr>
                <w:noProof/>
              </w:rPr>
              <w:t>199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A8" w14:textId="77777777" w:rsidR="00F74E13" w:rsidRDefault="009274FC">
            <w:pPr>
              <w:pStyle w:val="P68B1DB1-Normal35"/>
              <w:spacing w:after="0" w:line="240" w:lineRule="auto"/>
              <w:rPr>
                <w:noProof/>
              </w:rPr>
            </w:pPr>
            <w:r>
              <w:rPr>
                <w:noProof/>
              </w:rPr>
              <w:t>C8.I6 : Ligne 3 du métro de Sofia</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A9" w14:textId="77777777" w:rsidR="00F74E13" w:rsidRDefault="009274FC">
            <w:pPr>
              <w:pStyle w:val="P68B1DB1-Normal1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AA" w14:textId="77777777" w:rsidR="00F74E13" w:rsidRDefault="009274FC">
            <w:pPr>
              <w:pStyle w:val="P68B1DB1-Normal35"/>
              <w:spacing w:line="240" w:lineRule="auto"/>
              <w:rPr>
                <w:noProof/>
              </w:rPr>
            </w:pPr>
            <w:r>
              <w:rPr>
                <w:noProof/>
              </w:rPr>
              <w:t>Contrats relatifs à la construction de nouveaux tronçons de la ligne 3 du métro de Sofia à la suite d’un appel d’offres ouvert et concurrentiel</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AB" w14:textId="77777777" w:rsidR="00F74E13" w:rsidRDefault="009274FC">
            <w:pPr>
              <w:pStyle w:val="P68B1DB1-Normal35"/>
              <w:spacing w:line="240" w:lineRule="auto"/>
              <w:rPr>
                <w:noProof/>
              </w:rPr>
            </w:pPr>
            <w:r>
              <w:rPr>
                <w:noProof/>
              </w:rPr>
              <w:t>Signature des contrats relatifs aux travaux de construction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AC" w14:textId="77777777" w:rsidR="00F74E13" w:rsidRDefault="00F74E13">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AD" w14:textId="77777777" w:rsidR="00F74E13" w:rsidRDefault="00F74E13">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AE" w14:textId="77777777" w:rsidR="00F74E13" w:rsidRDefault="00F74E13">
            <w:pPr>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AF" w14:textId="77777777" w:rsidR="00F74E13" w:rsidRDefault="009274FC">
            <w:pPr>
              <w:pStyle w:val="P68B1DB1-Normal35"/>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B0" w14:textId="77777777" w:rsidR="00F74E13" w:rsidRDefault="009274FC">
            <w:pPr>
              <w:pStyle w:val="P68B1DB1-Normal35"/>
              <w:jc w:val="center"/>
              <w:rPr>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hideMark/>
          </w:tcPr>
          <w:p w14:paraId="1CEBDAB1" w14:textId="77777777" w:rsidR="00F74E13" w:rsidRDefault="009274FC">
            <w:pPr>
              <w:pStyle w:val="P68B1DB1-Normal35"/>
              <w:spacing w:line="240" w:lineRule="auto"/>
              <w:jc w:val="both"/>
              <w:rPr>
                <w:noProof/>
              </w:rPr>
            </w:pPr>
            <w:r>
              <w:rPr>
                <w:noProof/>
              </w:rPr>
              <w:t>Les contrats relatifs à la ligne 3 du métro de Sofia seront signés à la suite d’un appel d’offres ouvert, public et concurrentiel.</w:t>
            </w:r>
          </w:p>
          <w:p w14:paraId="1CEBDAB2" w14:textId="77777777" w:rsidR="00F74E13" w:rsidRDefault="009274FC">
            <w:pPr>
              <w:pStyle w:val="P68B1DB1-Normal35"/>
              <w:spacing w:line="240" w:lineRule="auto"/>
              <w:jc w:val="both"/>
              <w:rPr>
                <w:noProof/>
              </w:rPr>
            </w:pPr>
            <w:r>
              <w:rPr>
                <w:noProof/>
              </w:rPr>
              <w:t>Les contrats comprendront la construction de 3 km de lignes de métro et de 3 stations sur le nouveau tronçon Hadzhi Dimitar – Levski.</w:t>
            </w:r>
          </w:p>
          <w:p w14:paraId="1CEBDAB3" w14:textId="77777777" w:rsidR="00F74E13" w:rsidRDefault="009274FC">
            <w:pPr>
              <w:pStyle w:val="P68B1DB1-Normal35"/>
              <w:spacing w:line="240" w:lineRule="auto"/>
              <w:jc w:val="both"/>
              <w:rPr>
                <w:noProof/>
              </w:rPr>
            </w:pPr>
            <w:r>
              <w:rPr>
                <w:noProof/>
              </w:rPr>
              <w:t>Les contrats prévoient une infrastructure de transport urbain propre pour l’exploitation de matériel roulant à émissions nulles, de sorte que cette infrastructure est exclusivement utilisée par du matériel roulant à émissions nulles.</w:t>
            </w:r>
          </w:p>
        </w:tc>
      </w:tr>
      <w:tr w:rsidR="00F74E13" w14:paraId="1CEBDAC1"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B5" w14:textId="77777777" w:rsidR="00F74E13" w:rsidRDefault="009274FC">
            <w:pPr>
              <w:pStyle w:val="P68B1DB1-Normal35"/>
              <w:spacing w:after="0" w:line="240" w:lineRule="auto"/>
              <w:jc w:val="center"/>
              <w:rPr>
                <w:noProof/>
              </w:rPr>
            </w:pPr>
            <w:r>
              <w:rPr>
                <w:noProof/>
              </w:rPr>
              <w:t>200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B6" w14:textId="77777777" w:rsidR="00F74E13" w:rsidRDefault="009274FC">
            <w:pPr>
              <w:pStyle w:val="P68B1DB1-Normal35"/>
              <w:spacing w:after="0" w:line="240" w:lineRule="auto"/>
              <w:rPr>
                <w:noProof/>
              </w:rPr>
            </w:pPr>
            <w:r>
              <w:rPr>
                <w:noProof/>
              </w:rPr>
              <w:t>C8.I6 : Ligne 3 du métro de Sofia</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B7" w14:textId="77777777" w:rsidR="00F74E13" w:rsidRDefault="009274FC">
            <w:pPr>
              <w:pStyle w:val="P68B1DB1-Normal15"/>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B8" w14:textId="77777777" w:rsidR="00F74E13" w:rsidRDefault="009274FC">
            <w:pPr>
              <w:pStyle w:val="P68B1DB1-Normal35"/>
              <w:spacing w:line="240" w:lineRule="auto"/>
              <w:jc w:val="both"/>
              <w:rPr>
                <w:noProof/>
              </w:rPr>
            </w:pPr>
            <w:r>
              <w:rPr>
                <w:noProof/>
              </w:rPr>
              <w:t>Construction de la ligne 3 du métro à Sofia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B9" w14:textId="77777777" w:rsidR="00F74E13" w:rsidRDefault="00F74E13">
            <w:pPr>
              <w:spacing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BA" w14:textId="77777777" w:rsidR="00F74E13" w:rsidRDefault="009274FC">
            <w:pPr>
              <w:pStyle w:val="P68B1DB1-Normal35"/>
              <w:spacing w:line="240" w:lineRule="auto"/>
              <w:jc w:val="center"/>
              <w:rPr>
                <w:noProof/>
              </w:rPr>
            </w:pPr>
            <w:r>
              <w:rPr>
                <w:noProof/>
              </w:rPr>
              <w:t>Pourcentage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BB" w14:textId="77777777" w:rsidR="00F74E13" w:rsidRDefault="009274FC">
            <w:pPr>
              <w:pStyle w:val="P68B1DB1-Normal35"/>
              <w:spacing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BC" w14:textId="77777777" w:rsidR="00F74E13" w:rsidRDefault="009274FC">
            <w:pPr>
              <w:pStyle w:val="P68B1DB1-Normal35"/>
              <w:spacing w:line="240" w:lineRule="auto"/>
              <w:jc w:val="center"/>
              <w:rPr>
                <w:noProof/>
              </w:rPr>
            </w:pPr>
            <w:r>
              <w:rPr>
                <w:noProof/>
              </w:rPr>
              <w:t>60</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BD" w14:textId="77777777" w:rsidR="00F74E13" w:rsidRDefault="009274FC">
            <w:pPr>
              <w:pStyle w:val="P68B1DB1-Normal35"/>
              <w:spacing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BE" w14:textId="77777777" w:rsidR="00F74E13" w:rsidRDefault="009274FC">
            <w:pPr>
              <w:pStyle w:val="P68B1DB1-Normal35"/>
              <w:spacing w:line="240" w:lineRule="auto"/>
              <w:jc w:val="center"/>
              <w:rPr>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hideMark/>
          </w:tcPr>
          <w:p w14:paraId="1CEBDAC0" w14:textId="55F5207B" w:rsidR="00F74E13" w:rsidRDefault="009274FC">
            <w:pPr>
              <w:pStyle w:val="P68B1DB1-Normal35"/>
              <w:spacing w:after="0" w:line="240" w:lineRule="auto"/>
              <w:jc w:val="both"/>
              <w:rPr>
                <w:noProof/>
              </w:rPr>
            </w:pPr>
            <w:r>
              <w:rPr>
                <w:noProof/>
              </w:rPr>
              <w:t>Les travaux de construction de la ligne de métro 3 à Sofia atteindront 60%, comme certifié par le rapport de supervision.</w:t>
            </w:r>
          </w:p>
        </w:tc>
      </w:tr>
      <w:tr w:rsidR="00F74E13" w14:paraId="1CEBDACD"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C2" w14:textId="77777777" w:rsidR="00F74E13" w:rsidRDefault="009274FC">
            <w:pPr>
              <w:pStyle w:val="P68B1DB1-Normal35"/>
              <w:spacing w:after="0" w:line="240" w:lineRule="auto"/>
              <w:jc w:val="center"/>
              <w:rPr>
                <w:noProof/>
              </w:rPr>
            </w:pPr>
            <w:r>
              <w:rPr>
                <w:noProof/>
              </w:rPr>
              <w:t>201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3" w14:textId="77777777" w:rsidR="00F74E13" w:rsidRDefault="009274FC">
            <w:pPr>
              <w:pStyle w:val="P68B1DB1-Normal35"/>
              <w:spacing w:after="0" w:line="240" w:lineRule="auto"/>
              <w:rPr>
                <w:noProof/>
              </w:rPr>
            </w:pPr>
            <w:r>
              <w:rPr>
                <w:noProof/>
              </w:rPr>
              <w:t>C8.I6 : Ligne 3 du métro de Sofia</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C4" w14:textId="77777777" w:rsidR="00F74E13" w:rsidRDefault="009274FC">
            <w:pPr>
              <w:pStyle w:val="P68B1DB1-Normal35"/>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C5" w14:textId="77777777" w:rsidR="00F74E13" w:rsidRDefault="009274FC">
            <w:pPr>
              <w:pStyle w:val="P68B1DB1-Normal35"/>
              <w:spacing w:after="0" w:line="240" w:lineRule="auto"/>
              <w:rPr>
                <w:noProof/>
              </w:rPr>
            </w:pPr>
            <w:r>
              <w:rPr>
                <w:noProof/>
              </w:rPr>
              <w:t xml:space="preserve">Métro ligne 3 à Sofia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C6" w14:textId="77777777" w:rsidR="00F74E13" w:rsidRDefault="00F74E13">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C7" w14:textId="77777777" w:rsidR="00F74E13" w:rsidRDefault="009274FC">
            <w:pPr>
              <w:pStyle w:val="P68B1DB1-Normal35"/>
              <w:spacing w:after="0" w:line="240" w:lineRule="auto"/>
              <w:jc w:val="center"/>
              <w:rPr>
                <w:noProof/>
              </w:rPr>
            </w:pPr>
            <w:r>
              <w:rPr>
                <w:noProof/>
              </w:rPr>
              <w:t>Nombre de km et de stations construites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C8" w14:textId="77777777" w:rsidR="00F74E13" w:rsidRDefault="009274FC">
            <w:pPr>
              <w:pStyle w:val="P68B1DB1-Normal35"/>
              <w:spacing w:after="0"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C9" w14:textId="77777777" w:rsidR="00F74E13" w:rsidRDefault="009274FC">
            <w:pPr>
              <w:pStyle w:val="P68B1DB1-Normal35"/>
              <w:spacing w:after="0" w:line="240" w:lineRule="auto"/>
              <w:jc w:val="center"/>
              <w:rPr>
                <w:noProof/>
              </w:rPr>
            </w:pPr>
            <w:r>
              <w:rPr>
                <w:noProof/>
              </w:rPr>
              <w:t>3/3</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CA"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CB" w14:textId="77777777" w:rsidR="00F74E13" w:rsidRDefault="009274FC">
            <w:pPr>
              <w:pStyle w:val="P68B1DB1-Normal35"/>
              <w:spacing w:after="0" w:line="240" w:lineRule="auto"/>
              <w:jc w:val="center"/>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CC" w14:textId="77777777" w:rsidR="00F74E13" w:rsidRDefault="009274FC">
            <w:pPr>
              <w:pStyle w:val="P68B1DB1-Normal35"/>
              <w:spacing w:after="0" w:line="240" w:lineRule="auto"/>
              <w:jc w:val="both"/>
              <w:rPr>
                <w:noProof/>
              </w:rPr>
            </w:pPr>
            <w:r>
              <w:rPr>
                <w:noProof/>
              </w:rPr>
              <w:t>3 km et 3 stations de métro de la ligne 3 à Sofia seront construits.</w:t>
            </w:r>
          </w:p>
        </w:tc>
      </w:tr>
      <w:tr w:rsidR="00F74E13" w14:paraId="1CEBDAD9"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CE" w14:textId="77777777" w:rsidR="00F74E13" w:rsidRDefault="009274FC">
            <w:pPr>
              <w:pStyle w:val="P68B1DB1-Normal35"/>
              <w:spacing w:after="0" w:line="240" w:lineRule="auto"/>
              <w:jc w:val="center"/>
              <w:rPr>
                <w:noProof/>
              </w:rPr>
            </w:pPr>
            <w:r>
              <w:rPr>
                <w:noProof/>
              </w:rPr>
              <w:t>201 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CF" w14:textId="77777777" w:rsidR="00F74E13" w:rsidRDefault="009274FC">
            <w:pPr>
              <w:pStyle w:val="P68B1DB1-Normal35"/>
              <w:spacing w:after="0" w:line="240" w:lineRule="auto"/>
              <w:rPr>
                <w:noProof/>
              </w:rPr>
            </w:pPr>
            <w:r>
              <w:rPr>
                <w:noProof/>
              </w:rPr>
              <w:t xml:space="preserve">C8.I10 Matériel roulant du métro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D0" w14:textId="77777777" w:rsidR="00F74E13" w:rsidRDefault="009274FC">
            <w:pPr>
              <w:pStyle w:val="P68B1DB1-Normal35"/>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D1" w14:textId="77777777" w:rsidR="00F74E13" w:rsidRDefault="009274FC">
            <w:pPr>
              <w:pStyle w:val="P68B1DB1-Normal35"/>
              <w:spacing w:after="0" w:line="240" w:lineRule="auto"/>
              <w:rPr>
                <w:noProof/>
              </w:rPr>
            </w:pPr>
            <w:r>
              <w:rPr>
                <w:noProof/>
              </w:rPr>
              <w:t xml:space="preserve">Trains de métro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D2" w14:textId="77777777" w:rsidR="00F74E13" w:rsidRDefault="00F74E13">
            <w:pPr>
              <w:spacing w:after="0" w:line="240" w:lineRule="auto"/>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D3" w14:textId="77777777" w:rsidR="00F74E13" w:rsidRDefault="009274FC">
            <w:pPr>
              <w:pStyle w:val="P68B1DB1-Normal35"/>
              <w:spacing w:after="0" w:line="240" w:lineRule="auto"/>
              <w:jc w:val="center"/>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D4" w14:textId="77777777" w:rsidR="00F74E13" w:rsidRDefault="009274FC">
            <w:pPr>
              <w:pStyle w:val="P68B1DB1-Normal35"/>
              <w:spacing w:after="0"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D5" w14:textId="77777777" w:rsidR="00F74E13" w:rsidRDefault="009274FC">
            <w:pPr>
              <w:pStyle w:val="P68B1DB1-Normal35"/>
              <w:spacing w:after="0" w:line="240" w:lineRule="auto"/>
              <w:jc w:val="center"/>
              <w:rPr>
                <w:noProof/>
              </w:rPr>
            </w:pPr>
            <w:r>
              <w:rPr>
                <w:noProof/>
              </w:rPr>
              <w:t>8</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D6"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D7" w14:textId="77777777" w:rsidR="00F74E13" w:rsidRDefault="009274FC">
            <w:pPr>
              <w:pStyle w:val="P68B1DB1-Normal35"/>
              <w:spacing w:after="0" w:line="240" w:lineRule="auto"/>
              <w:jc w:val="center"/>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D8" w14:textId="77777777" w:rsidR="00F74E13" w:rsidRDefault="009274FC">
            <w:pPr>
              <w:pStyle w:val="P68B1DB1-Normal35"/>
              <w:spacing w:after="0" w:line="240" w:lineRule="auto"/>
              <w:jc w:val="both"/>
              <w:rPr>
                <w:noProof/>
              </w:rPr>
            </w:pPr>
            <w:r>
              <w:rPr>
                <w:noProof/>
              </w:rPr>
              <w:t>Protocole(s) de mise en service signé(s) pour 8 trains de métro.</w:t>
            </w:r>
          </w:p>
        </w:tc>
      </w:tr>
      <w:tr w:rsidR="00F74E13" w14:paraId="1CEBDAE9"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CEBDADA" w14:textId="28928CEA" w:rsidR="00F74E13" w:rsidRDefault="009274FC">
            <w:pPr>
              <w:pStyle w:val="P68B1DB1-Normal35"/>
              <w:spacing w:after="0" w:line="240" w:lineRule="auto"/>
              <w:jc w:val="center"/>
              <w:rPr>
                <w:noProof/>
              </w:rPr>
            </w:pPr>
            <w:r>
              <w:rPr>
                <w:noProof/>
              </w:rPr>
              <w:t>203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DB" w14:textId="77777777" w:rsidR="00F74E13" w:rsidRDefault="009274FC">
            <w:pPr>
              <w:pStyle w:val="P68B1DB1-Normal35"/>
              <w:spacing w:after="0" w:line="240" w:lineRule="auto"/>
              <w:rPr>
                <w:noProof/>
              </w:rPr>
            </w:pPr>
            <w:r>
              <w:rPr>
                <w:noProof/>
              </w:rPr>
              <w:t xml:space="preserve">C8.I7: Mobilité verte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ADC" w14:textId="77777777" w:rsidR="00F74E13" w:rsidRDefault="009274FC">
            <w:pPr>
              <w:pStyle w:val="P68B1DB1-Normal35"/>
              <w:spacing w:after="0" w:line="240" w:lineRule="auto"/>
              <w:jc w:val="center"/>
              <w:rPr>
                <w:noProof/>
              </w:rPr>
            </w:pPr>
            <w:r>
              <w:rPr>
                <w:noProof/>
              </w:rPr>
              <w:t>Étape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DD" w14:textId="06CED642" w:rsidR="00F74E13" w:rsidRDefault="009274FC">
            <w:pPr>
              <w:pStyle w:val="P68B1DB1-Normal35"/>
              <w:spacing w:after="0" w:line="240" w:lineRule="auto"/>
              <w:rPr>
                <w:noProof/>
              </w:rPr>
            </w:pPr>
            <w:r>
              <w:rPr>
                <w:noProof/>
              </w:rPr>
              <w:t>Autobus et/ou trolleybus à émissions nulles, bornes de recharge, éclairage des passages pour piétons et infrastructures cyclables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DE" w14:textId="061AD28C" w:rsidR="00F74E13" w:rsidRDefault="009274FC">
            <w:pPr>
              <w:pStyle w:val="P68B1DB1-Normal35"/>
              <w:spacing w:after="0" w:line="240" w:lineRule="auto"/>
              <w:rPr>
                <w:noProof/>
              </w:rPr>
            </w:pPr>
            <w:r>
              <w:rPr>
                <w:noProof/>
              </w:rPr>
              <w:t>l’acceptation et/ou la remise d’autobus et/ou de trolleybus à émissions nulles; installation de bornes de recharge pour les autobus; éclairage des passages pour piétons; construction et/ou rénovation d'infrastructures cyclables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DF"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E0"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E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E2"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AE3" w14:textId="77777777" w:rsidR="00F74E13" w:rsidRDefault="009274FC">
            <w:pPr>
              <w:pStyle w:val="P68B1DB1-Normal15"/>
              <w:spacing w:after="0" w:line="240" w:lineRule="auto"/>
              <w:jc w:val="center"/>
              <w:rPr>
                <w:rFonts w:eastAsia="Times New Roman" w:cs="Times New Roman"/>
                <w:noProof/>
                <w:szCs w:val="20"/>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E4" w14:textId="72049A2D" w:rsidR="00F74E13" w:rsidRDefault="009274FC">
            <w:pPr>
              <w:pStyle w:val="P68B1DB1-Normal35"/>
              <w:spacing w:after="0" w:line="240" w:lineRule="auto"/>
              <w:jc w:val="both"/>
              <w:rPr>
                <w:noProof/>
              </w:rPr>
            </w:pPr>
            <w:r>
              <w:rPr>
                <w:noProof/>
              </w:rPr>
              <w:t>Acceptation et/ou remise de 68 autobus et/ou trolleybus à émissions nulles. Installation de 27 bornes de recharge pour bus.</w:t>
            </w:r>
          </w:p>
          <w:p w14:paraId="1CEBDAE6" w14:textId="2478C2D3" w:rsidR="00F74E13" w:rsidRDefault="009274FC">
            <w:pPr>
              <w:pStyle w:val="P68B1DB1-Normal35"/>
              <w:spacing w:before="120" w:after="0" w:line="240" w:lineRule="auto"/>
              <w:jc w:val="both"/>
              <w:rPr>
                <w:noProof/>
              </w:rPr>
            </w:pPr>
            <w:r>
              <w:rPr>
                <w:noProof/>
              </w:rPr>
              <w:t>L'éclairage de 258 passages pour piétons doit être construit.</w:t>
            </w:r>
          </w:p>
          <w:p w14:paraId="1CEBDAE8" w14:textId="7A3FBAAC" w:rsidR="00F74E13" w:rsidRDefault="009274FC">
            <w:pPr>
              <w:pStyle w:val="P68B1DB1-Normal35"/>
              <w:spacing w:before="120" w:after="0" w:line="240" w:lineRule="auto"/>
              <w:jc w:val="both"/>
              <w:rPr>
                <w:noProof/>
                <w:color w:val="FF0000"/>
              </w:rPr>
            </w:pPr>
            <w:r>
              <w:rPr>
                <w:noProof/>
              </w:rPr>
              <w:t>26 km d’infrastructures cyclables sont construits et/ou rénovés.</w:t>
            </w:r>
          </w:p>
        </w:tc>
      </w:tr>
      <w:tr w:rsidR="00F74E13" w14:paraId="1CEBDAF7"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EA" w14:textId="77777777" w:rsidR="00F74E13" w:rsidRDefault="009274FC">
            <w:pPr>
              <w:pStyle w:val="P68B1DB1-Normal35"/>
              <w:spacing w:after="0" w:line="240" w:lineRule="auto"/>
              <w:jc w:val="center"/>
              <w:rPr>
                <w:noProof/>
              </w:rPr>
            </w:pPr>
            <w:r>
              <w:rPr>
                <w:noProof/>
              </w:rPr>
              <w:t>206 bis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EB" w14:textId="247E933E" w:rsidR="00F74E13" w:rsidRDefault="009274FC">
            <w:pPr>
              <w:pStyle w:val="P68B1DB1-Normal35"/>
              <w:spacing w:after="0" w:line="240" w:lineRule="auto"/>
              <w:jc w:val="both"/>
              <w:rPr>
                <w:noProof/>
              </w:rPr>
            </w:pPr>
            <w:r>
              <w:rPr>
                <w:noProof/>
              </w:rPr>
              <w:t>C8.I8: Équipements et wagons pour la surveillance ou l'entretien des voies ferrées et des lignes aériennes</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EC" w14:textId="77777777" w:rsidR="00F74E13" w:rsidRDefault="009274FC">
            <w:pPr>
              <w:pStyle w:val="P68B1DB1-Normal35"/>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ED" w14:textId="23C8BF56" w:rsidR="00F74E13" w:rsidRDefault="009274FC">
            <w:pPr>
              <w:pStyle w:val="P68B1DB1-Normal35"/>
              <w:spacing w:after="0" w:line="240" w:lineRule="auto"/>
              <w:jc w:val="both"/>
              <w:rPr>
                <w:noProof/>
              </w:rPr>
            </w:pPr>
            <w:r>
              <w:rPr>
                <w:noProof/>
              </w:rPr>
              <w:t>Réception et/ou livraison d'équipements et de wagons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EE" w14:textId="77777777" w:rsidR="00F74E13" w:rsidRDefault="00F74E13">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EF" w14:textId="5F40609A" w:rsidR="00F74E13" w:rsidRDefault="009274FC">
            <w:pPr>
              <w:pStyle w:val="P68B1DB1-Normal35"/>
              <w:spacing w:after="0" w:line="240" w:lineRule="auto"/>
              <w:rPr>
                <w:noProof/>
              </w:rPr>
            </w:pPr>
            <w:r>
              <w:rPr>
                <w:noProof/>
              </w:rPr>
              <w:t>Unités d'équipement et wagons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0" w14:textId="77777777" w:rsidR="00F74E13" w:rsidRDefault="009274FC">
            <w:pPr>
              <w:pStyle w:val="P68B1DB1-Normal35"/>
              <w:spacing w:after="0"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1" w14:textId="77777777" w:rsidR="00F74E13" w:rsidRDefault="009274FC">
            <w:pPr>
              <w:pStyle w:val="P68B1DB1-Normal35"/>
              <w:spacing w:after="0" w:line="240" w:lineRule="auto"/>
              <w:jc w:val="center"/>
              <w:rPr>
                <w:noProof/>
              </w:rPr>
            </w:pPr>
            <w:r>
              <w:rPr>
                <w:noProof/>
              </w:rPr>
              <w:t>44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F2"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AF3" w14:textId="77777777" w:rsidR="00F74E13" w:rsidRDefault="009274FC">
            <w:pPr>
              <w:pStyle w:val="P68B1DB1-Normal35"/>
              <w:spacing w:after="0" w:line="240" w:lineRule="auto"/>
              <w:jc w:val="center"/>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AF4" w14:textId="73FD5946" w:rsidR="00F74E13" w:rsidRDefault="009274FC">
            <w:pPr>
              <w:pStyle w:val="P68B1DB1-Normal35"/>
              <w:spacing w:after="0" w:line="240" w:lineRule="auto"/>
              <w:jc w:val="both"/>
              <w:rPr>
                <w:noProof/>
              </w:rPr>
            </w:pPr>
            <w:r>
              <w:rPr>
                <w:noProof/>
              </w:rPr>
              <w:t>Réception et/ou livraison de 40 équipements et 4 wagons.</w:t>
            </w:r>
          </w:p>
          <w:p w14:paraId="1CEBDAF6" w14:textId="3982B07C" w:rsidR="00F74E13" w:rsidRDefault="009274FC">
            <w:pPr>
              <w:pStyle w:val="P68B1DB1-Normal35"/>
              <w:spacing w:before="120" w:after="0" w:line="240" w:lineRule="auto"/>
              <w:jc w:val="both"/>
              <w:rPr>
                <w:noProof/>
              </w:rPr>
            </w:pPr>
            <w:r>
              <w:rPr>
                <w:noProof/>
              </w:rPr>
              <w:t>Ces véhicules à usage spécial représentent les meilleurs niveaux de performance environnementale disponibles dans le secteur.</w:t>
            </w:r>
          </w:p>
        </w:tc>
      </w:tr>
      <w:tr w:rsidR="00F74E13" w14:paraId="1CEBDB03" w14:textId="77777777" w:rsidTr="00432E5F">
        <w:trPr>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1CEBDAF8" w14:textId="77777777" w:rsidR="00F74E13" w:rsidRDefault="009274FC">
            <w:pPr>
              <w:pStyle w:val="P68B1DB1-Normal35"/>
              <w:spacing w:after="0" w:line="240" w:lineRule="auto"/>
              <w:jc w:val="center"/>
              <w:rPr>
                <w:noProof/>
              </w:rPr>
            </w:pPr>
            <w:r>
              <w:rPr>
                <w:noProof/>
              </w:rPr>
              <w:t>206 ter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F9" w14:textId="77777777" w:rsidR="00F74E13" w:rsidRDefault="009274FC">
            <w:pPr>
              <w:pStyle w:val="P68B1DB1-Normal35"/>
              <w:spacing w:after="0" w:line="240" w:lineRule="auto"/>
              <w:jc w:val="both"/>
              <w:rPr>
                <w:noProof/>
              </w:rPr>
            </w:pPr>
            <w:r>
              <w:rPr>
                <w:noProof/>
              </w:rPr>
              <w:t>C8.I9: Rénovation de l'infrastructure ferroviaire</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AFA" w14:textId="77777777" w:rsidR="00F74E13" w:rsidRDefault="009274FC">
            <w:pPr>
              <w:pStyle w:val="P68B1DB1-Normal35"/>
              <w:spacing w:after="0" w:line="240" w:lineRule="auto"/>
              <w:jc w:val="center"/>
              <w:rPr>
                <w:noProof/>
              </w:rPr>
            </w:pPr>
            <w:r>
              <w:rPr>
                <w:noProof/>
              </w:rPr>
              <w:t>Objectif</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FB" w14:textId="24D906FE" w:rsidR="00F74E13" w:rsidRDefault="009274FC">
            <w:pPr>
              <w:pStyle w:val="P68B1DB1-Normal35"/>
              <w:spacing w:after="0" w:line="240" w:lineRule="auto"/>
              <w:jc w:val="both"/>
              <w:rPr>
                <w:noProof/>
              </w:rPr>
            </w:pPr>
            <w:r>
              <w:rPr>
                <w:noProof/>
              </w:rPr>
              <w:t xml:space="preserve">Rénovation des lignes ferroviaires, des lignes aériennes et de l'aménagement des voies ferrées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FC" w14:textId="77777777" w:rsidR="00F74E13" w:rsidRDefault="00F74E13">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FD" w14:textId="34EDF6C5" w:rsidR="00F74E13" w:rsidRDefault="009274FC">
            <w:pPr>
              <w:pStyle w:val="P68B1DB1-Normal35"/>
              <w:spacing w:after="0" w:line="240" w:lineRule="auto"/>
              <w:rPr>
                <w:noProof/>
              </w:rPr>
            </w:pPr>
            <w:r>
              <w:rPr>
                <w:noProof/>
              </w:rPr>
              <w:t>Km de lignes ferroviaires rénovées, de lignes aériennes et de voies ferrées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E" w14:textId="77777777" w:rsidR="00F74E13" w:rsidRDefault="009274FC">
            <w:pPr>
              <w:pStyle w:val="P68B1DB1-Normal35"/>
              <w:spacing w:after="0"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F" w14:textId="77777777" w:rsidR="00F74E13" w:rsidRDefault="009274FC">
            <w:pPr>
              <w:pStyle w:val="P68B1DB1-Normal35"/>
              <w:spacing w:after="0" w:line="240" w:lineRule="auto"/>
              <w:jc w:val="center"/>
              <w:rPr>
                <w:noProof/>
              </w:rPr>
            </w:pPr>
            <w:r>
              <w:rPr>
                <w:noProof/>
              </w:rPr>
              <w:t>65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B00" w14:textId="77777777" w:rsidR="00F74E13" w:rsidRDefault="009274FC">
            <w:pPr>
              <w:pStyle w:val="P68B1DB1-Normal35"/>
              <w:spacing w:after="0" w:line="240" w:lineRule="auto"/>
              <w:jc w:val="center"/>
              <w:rPr>
                <w:noProof/>
              </w:rPr>
            </w:pPr>
            <w:r>
              <w:rPr>
                <w:noProof/>
              </w:rPr>
              <w:t>T2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B01" w14:textId="77777777" w:rsidR="00F74E13" w:rsidRDefault="009274FC">
            <w:pPr>
              <w:pStyle w:val="P68B1DB1-Normal35"/>
              <w:spacing w:after="0" w:line="240" w:lineRule="auto"/>
              <w:jc w:val="center"/>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CEBDB02" w14:textId="0ACFD34D" w:rsidR="00F74E13" w:rsidRDefault="009274FC">
            <w:pPr>
              <w:pStyle w:val="P68B1DB1-Normal35"/>
              <w:spacing w:after="0" w:line="240" w:lineRule="auto"/>
              <w:jc w:val="both"/>
              <w:rPr>
                <w:noProof/>
              </w:rPr>
            </w:pPr>
            <w:r>
              <w:rPr>
                <w:noProof/>
              </w:rPr>
              <w:t xml:space="preserve">51 km de lignes ferroviaires et de lignes aériennes doivent être rénovés. 14 km d'aménagement de la voie doivent être rénovés. </w:t>
            </w:r>
          </w:p>
        </w:tc>
      </w:tr>
    </w:tbl>
    <w:p w14:paraId="1CEBDB04" w14:textId="77777777" w:rsidR="00F74E13" w:rsidRDefault="00F74E13">
      <w:pPr>
        <w:rPr>
          <w:noProof/>
        </w:rPr>
      </w:pPr>
    </w:p>
    <w:p w14:paraId="1CEBDB05" w14:textId="77777777" w:rsidR="00F74E13" w:rsidRDefault="00F74E13">
      <w:pPr>
        <w:rPr>
          <w:noProof/>
        </w:rPr>
      </w:pPr>
    </w:p>
    <w:p w14:paraId="1CEBDB06" w14:textId="77777777" w:rsidR="00F74E13" w:rsidRDefault="00F74E13">
      <w:pPr>
        <w:rPr>
          <w:noProof/>
        </w:rPr>
        <w:sectPr w:rsidR="00F74E13">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1134" w:right="1134" w:bottom="1134" w:left="1134" w:header="567" w:footer="567" w:gutter="0"/>
          <w:cols w:space="720"/>
          <w:docGrid w:linePitch="360"/>
        </w:sectPr>
      </w:pPr>
    </w:p>
    <w:p w14:paraId="1CEBDB07" w14:textId="77777777" w:rsidR="00F74E13" w:rsidRDefault="009274FC">
      <w:pPr>
        <w:pStyle w:val="P68B1DB1-Normal5"/>
        <w:keepNext/>
        <w:pageBreakBefore/>
        <w:spacing w:before="360" w:after="120" w:line="240" w:lineRule="auto"/>
        <w:jc w:val="both"/>
        <w:outlineLvl w:val="0"/>
        <w:rPr>
          <w:bCs/>
          <w:noProof/>
        </w:rPr>
      </w:pPr>
      <w:r>
        <w:rPr>
          <w:noProof/>
        </w:rPr>
        <w:t>I. Élément 9: Développement local</w:t>
      </w:r>
    </w:p>
    <w:p w14:paraId="1CEBDB08" w14:textId="77777777" w:rsidR="00F74E13" w:rsidRDefault="009274FC">
      <w:pPr>
        <w:pStyle w:val="P68B1DB1-Normal6"/>
        <w:spacing w:before="120" w:after="120" w:line="240" w:lineRule="auto"/>
        <w:ind w:left="426"/>
        <w:jc w:val="both"/>
        <w:rPr>
          <w:noProof/>
        </w:rPr>
      </w:pPr>
      <w:r>
        <w:rPr>
          <w:noProof/>
        </w:rPr>
        <w:t xml:space="preserve">Ce volet du plan bulgare pour la reprise et la résilience vise à établir le cadre nécessaire à l’amélioration de la compétitivité et du développement durable des régions du pays et à la promotion du développement local. Le volet cible également la gestion de l’eau, qui est un aspect important de la transition écologique. </w:t>
      </w:r>
    </w:p>
    <w:p w14:paraId="1CEBDB09" w14:textId="77777777" w:rsidR="00F74E13" w:rsidRDefault="009274FC">
      <w:pPr>
        <w:pStyle w:val="P68B1DB1-Normal6"/>
        <w:spacing w:before="120" w:after="120" w:line="240" w:lineRule="auto"/>
        <w:ind w:left="426"/>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CEBDB0B" w14:textId="77777777" w:rsidR="00F74E13" w:rsidRDefault="009274FC">
      <w:pPr>
        <w:pStyle w:val="P68B1DB1-Normal8"/>
        <w:spacing w:before="120" w:after="120" w:line="240" w:lineRule="auto"/>
        <w:ind w:left="425"/>
        <w:jc w:val="both"/>
        <w:rPr>
          <w:bCs/>
          <w:i/>
          <w:iCs/>
          <w:noProof/>
          <w:color w:val="4F81BD"/>
        </w:rPr>
      </w:pPr>
      <w:r>
        <w:rPr>
          <w:noProof/>
        </w:rPr>
        <w:t>I.1. Description des réformes et des investissements pour le soutien financier non remboursable</w:t>
      </w:r>
    </w:p>
    <w:p w14:paraId="1CEBDB0C" w14:textId="77777777" w:rsidR="00F74E13" w:rsidRDefault="009274FC">
      <w:pPr>
        <w:pStyle w:val="P68B1DB1-Normal9"/>
        <w:spacing w:before="120" w:after="0" w:line="240" w:lineRule="auto"/>
        <w:ind w:left="425"/>
        <w:jc w:val="both"/>
        <w:rPr>
          <w:noProof/>
        </w:rPr>
      </w:pPr>
      <w:r>
        <w:rPr>
          <w:noProof/>
        </w:rPr>
        <w:t>Réforme 1 (C9.R1): Une nouvelle approche régionale impliquant directement les communautés locales dans la gestion des fonds et instruments européens</w:t>
      </w:r>
    </w:p>
    <w:p w14:paraId="1CEBDB0D" w14:textId="77777777" w:rsidR="00F74E13" w:rsidRDefault="009274FC">
      <w:pPr>
        <w:pStyle w:val="P68B1DB1-Normal6"/>
        <w:spacing w:before="120" w:after="0" w:line="240" w:lineRule="auto"/>
        <w:ind w:left="425"/>
        <w:jc w:val="both"/>
        <w:rPr>
          <w:noProof/>
        </w:rPr>
      </w:pPr>
      <w:r>
        <w:rPr>
          <w:noProof/>
        </w:rPr>
        <w:t>L’objectif de la mesure est de promouvoir la participation directe des communautés locales de chaque région du pays à la gestion des fonds de l’UE. Cela devrait renforcer le sentiment d’appropriation au niveau local et accroître l’efficacité des politiques en répondant de manière plus ciblée aux besoins recensés au niveau local.</w:t>
      </w:r>
    </w:p>
    <w:p w14:paraId="1CEBDB0E" w14:textId="77777777" w:rsidR="00F74E13" w:rsidRDefault="009274FC">
      <w:pPr>
        <w:pStyle w:val="P68B1DB1-Normal6"/>
        <w:spacing w:before="120" w:after="120" w:line="240" w:lineRule="auto"/>
        <w:ind w:left="426"/>
        <w:jc w:val="both"/>
        <w:rPr>
          <w:noProof/>
        </w:rPr>
      </w:pPr>
      <w:r>
        <w:rPr>
          <w:noProof/>
        </w:rPr>
        <w:t xml:space="preserve">La mesure consiste en des modifications législatives renforçant le rôle des autorités régionales et locales dans la préparation et la mise en œuvre de stratégies territoriales intégrées et de projets financés par des fonds de l’UE. </w:t>
      </w:r>
    </w:p>
    <w:p w14:paraId="1CEBDB10" w14:textId="77777777" w:rsidR="00F74E13" w:rsidRDefault="009274FC">
      <w:pPr>
        <w:pStyle w:val="P68B1DB1-Normal9"/>
        <w:spacing w:before="120" w:after="120" w:line="240" w:lineRule="auto"/>
        <w:ind w:left="426"/>
        <w:jc w:val="both"/>
        <w:rPr>
          <w:rFonts w:eastAsia="Times New Roman" w:cs="Times New Roman"/>
          <w:noProof/>
        </w:rPr>
      </w:pPr>
      <w:r>
        <w:rPr>
          <w:noProof/>
        </w:rPr>
        <w:t>Réforme 2 (C9.R2): Réforme de l'approvisionnement en eau et de l'assainissement</w:t>
      </w:r>
    </w:p>
    <w:p w14:paraId="1CEBDB11" w14:textId="77777777" w:rsidR="00F74E13" w:rsidRDefault="009274FC">
      <w:pPr>
        <w:pStyle w:val="P68B1DB1-Normal6"/>
        <w:spacing w:before="120" w:after="0" w:line="240" w:lineRule="auto"/>
        <w:ind w:left="425"/>
        <w:jc w:val="both"/>
        <w:rPr>
          <w:noProof/>
        </w:rPr>
      </w:pPr>
      <w:r>
        <w:rPr>
          <w:noProof/>
        </w:rPr>
        <w:t xml:space="preserve">L’objectif de la mesure est de réformer le cadre réglementaire de l’approvisionnement en eau et de l’assainissement. </w:t>
      </w:r>
    </w:p>
    <w:p w14:paraId="1CEBDB12" w14:textId="1F6A06BC" w:rsidR="00F74E13" w:rsidRDefault="009274FC">
      <w:pPr>
        <w:pStyle w:val="P68B1DB1-Normal6"/>
        <w:spacing w:before="120" w:after="120" w:line="240" w:lineRule="auto"/>
        <w:ind w:left="426"/>
        <w:jc w:val="both"/>
        <w:rPr>
          <w:noProof/>
        </w:rPr>
      </w:pPr>
      <w:r>
        <w:rPr>
          <w:noProof/>
        </w:rPr>
        <w:t>Cette mesure consiste en l’adoption et l’entrée en vigueur d’un ou de plusieurs actes juridiques relatifs à l’introduction d’incitations, y compris financières, à la consolidation en ce qui concerne les services d’eau et d’assainissement.</w:t>
      </w:r>
    </w:p>
    <w:p w14:paraId="1CEBDB13" w14:textId="77777777" w:rsidR="00F74E13" w:rsidRDefault="00F74E13">
      <w:pPr>
        <w:ind w:left="426"/>
        <w:rPr>
          <w:noProof/>
        </w:rPr>
        <w:sectPr w:rsidR="00F74E13">
          <w:headerReference w:type="even" r:id="rId114"/>
          <w:headerReference w:type="default" r:id="rId115"/>
          <w:footerReference w:type="even" r:id="rId116"/>
          <w:footerReference w:type="default" r:id="rId117"/>
          <w:headerReference w:type="first" r:id="rId118"/>
          <w:footerReference w:type="first" r:id="rId119"/>
          <w:pgSz w:w="11906" w:h="16838"/>
          <w:pgMar w:top="1134" w:right="1134" w:bottom="1134" w:left="1134" w:header="567" w:footer="567" w:gutter="0"/>
          <w:cols w:space="720"/>
          <w:docGrid w:linePitch="360"/>
        </w:sectPr>
      </w:pPr>
    </w:p>
    <w:p w14:paraId="1CEBDB14" w14:textId="709B0786" w:rsidR="00F74E13" w:rsidRDefault="009274FC">
      <w:pPr>
        <w:pStyle w:val="P68B1DB1-Normal8"/>
        <w:jc w:val="center"/>
        <w:rPr>
          <w:noProof/>
        </w:rPr>
      </w:pPr>
      <w:r>
        <w:rPr>
          <w:noProof/>
        </w:rPr>
        <w:t>I.2. Étapes, cibles, indicateurs et calendrier pour le suivi et la mise en œuvre du soutien financier non remboursable</w:t>
      </w: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63"/>
        <w:gridCol w:w="1272"/>
        <w:gridCol w:w="1272"/>
        <w:gridCol w:w="1709"/>
        <w:gridCol w:w="992"/>
        <w:gridCol w:w="992"/>
        <w:gridCol w:w="280"/>
        <w:gridCol w:w="992"/>
        <w:gridCol w:w="1134"/>
        <w:gridCol w:w="850"/>
        <w:gridCol w:w="3623"/>
      </w:tblGrid>
      <w:tr w:rsidR="00F74E13" w14:paraId="1CEBDB1D" w14:textId="77777777" w:rsidTr="006624ED">
        <w:trPr>
          <w:trHeight w:val="927"/>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5" w14:textId="77777777" w:rsidR="00F74E13" w:rsidRDefault="009274FC">
            <w:pPr>
              <w:pStyle w:val="P68B1DB1-Normal58"/>
              <w:spacing w:after="0" w:line="240" w:lineRule="auto"/>
              <w:jc w:val="center"/>
              <w:rPr>
                <w:noProof/>
              </w:rPr>
            </w:pPr>
            <w:r>
              <w:rPr>
                <w:noProof/>
              </w:rPr>
              <w:t>Seq. N°</w:t>
            </w:r>
          </w:p>
        </w:tc>
        <w:tc>
          <w:tcPr>
            <w:tcW w:w="15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6" w14:textId="77777777" w:rsidR="00F74E13" w:rsidRDefault="009274FC">
            <w:pPr>
              <w:pStyle w:val="P68B1DB1-Normal58"/>
              <w:spacing w:after="0" w:line="240" w:lineRule="auto"/>
              <w:jc w:val="center"/>
              <w:rPr>
                <w:noProof/>
              </w:rPr>
            </w:pPr>
            <w:r>
              <w:rPr>
                <w:noProof/>
              </w:rPr>
              <w:t>Mesure connexe (réforme ou investissement)</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7" w14:textId="77777777" w:rsidR="00F74E13" w:rsidRDefault="009274FC">
            <w:pPr>
              <w:pStyle w:val="P68B1DB1-Normal58"/>
              <w:spacing w:after="0" w:line="240" w:lineRule="auto"/>
              <w:jc w:val="center"/>
              <w:rPr>
                <w:noProof/>
              </w:rPr>
            </w:pPr>
            <w:r>
              <w:rPr>
                <w:noProof/>
              </w:rPr>
              <w:t>Étape/cible</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8" w14:textId="77777777" w:rsidR="00F74E13" w:rsidRDefault="009274FC">
            <w:pPr>
              <w:pStyle w:val="P68B1DB1-Normal58"/>
              <w:spacing w:after="0" w:line="240" w:lineRule="auto"/>
              <w:jc w:val="center"/>
              <w:rPr>
                <w:noProof/>
              </w:rPr>
            </w:pPr>
            <w:r>
              <w:rPr>
                <w:noProof/>
              </w:rPr>
              <w:t>Nom</w:t>
            </w:r>
          </w:p>
        </w:tc>
        <w:tc>
          <w:tcPr>
            <w:tcW w:w="1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9" w14:textId="77777777" w:rsidR="00F74E13" w:rsidRDefault="009274FC">
            <w:pPr>
              <w:pStyle w:val="P68B1DB1-Normal58"/>
              <w:spacing w:after="0" w:line="240" w:lineRule="auto"/>
              <w:jc w:val="center"/>
              <w:rPr>
                <w:noProof/>
              </w:rPr>
            </w:pPr>
            <w:r>
              <w:rPr>
                <w:noProof/>
              </w:rPr>
              <w:t xml:space="preserve">Indicateurs qualitatifs </w:t>
            </w:r>
            <w:r>
              <w:rPr>
                <w:noProof/>
              </w:rPr>
              <w:br/>
              <w:t>(pour les jalons)</w:t>
            </w:r>
          </w:p>
        </w:tc>
        <w:tc>
          <w:tcPr>
            <w:tcW w:w="3256"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A" w14:textId="77777777" w:rsidR="00F74E13" w:rsidRDefault="009274FC">
            <w:pPr>
              <w:pStyle w:val="P68B1DB1-Normal58"/>
              <w:spacing w:after="0" w:line="240" w:lineRule="auto"/>
              <w:jc w:val="center"/>
              <w:rPr>
                <w:noProof/>
              </w:rPr>
            </w:pPr>
            <w:r>
              <w:rPr>
                <w:noProof/>
              </w:rPr>
              <w:t xml:space="preserve">Indicateurs quantitatifs </w:t>
            </w:r>
            <w:r>
              <w:rPr>
                <w:noProof/>
              </w:rPr>
              <w:b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B" w14:textId="77777777" w:rsidR="00F74E13" w:rsidRDefault="009274FC">
            <w:pPr>
              <w:pStyle w:val="P68B1DB1-Normal58"/>
              <w:spacing w:after="0" w:line="240" w:lineRule="auto"/>
              <w:jc w:val="center"/>
              <w:rPr>
                <w:noProof/>
              </w:rPr>
            </w:pPr>
            <w:r>
              <w:rPr>
                <w:noProof/>
              </w:rPr>
              <w:t xml:space="preserve">Calendrier indicatif d'achèvement </w:t>
            </w:r>
          </w:p>
        </w:tc>
        <w:tc>
          <w:tcPr>
            <w:tcW w:w="36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C" w14:textId="77777777" w:rsidR="00F74E13" w:rsidRDefault="009274FC">
            <w:pPr>
              <w:pStyle w:val="P68B1DB1-Normal58"/>
              <w:spacing w:after="0" w:line="240" w:lineRule="auto"/>
              <w:jc w:val="center"/>
              <w:rPr>
                <w:noProof/>
              </w:rPr>
            </w:pPr>
            <w:r>
              <w:rPr>
                <w:noProof/>
              </w:rPr>
              <w:t>Description de chaque jalon et cible</w:t>
            </w:r>
          </w:p>
        </w:tc>
      </w:tr>
      <w:tr w:rsidR="00F74E13" w14:paraId="1CEBDB29" w14:textId="77777777" w:rsidTr="006624ED">
        <w:trPr>
          <w:trHeight w:val="598"/>
          <w:tblHeader/>
          <w:jc w:val="center"/>
        </w:trPr>
        <w:tc>
          <w:tcPr>
            <w:tcW w:w="846" w:type="dxa"/>
            <w:vMerge/>
            <w:vAlign w:val="center"/>
            <w:hideMark/>
          </w:tcPr>
          <w:p w14:paraId="1CEBDB1E" w14:textId="77777777" w:rsidR="00F74E13" w:rsidRDefault="00F74E13">
            <w:pPr>
              <w:spacing w:after="0" w:line="278" w:lineRule="auto"/>
              <w:rPr>
                <w:rFonts w:ascii="Times New Roman" w:eastAsia="MS Mincho" w:hAnsi="Times New Roman" w:cs="Arial"/>
                <w:b/>
                <w:noProof/>
                <w:sz w:val="20"/>
                <w:szCs w:val="20"/>
              </w:rPr>
            </w:pPr>
          </w:p>
        </w:tc>
        <w:tc>
          <w:tcPr>
            <w:tcW w:w="1563" w:type="dxa"/>
            <w:vMerge/>
            <w:vAlign w:val="center"/>
            <w:hideMark/>
          </w:tcPr>
          <w:p w14:paraId="1CEBDB1F" w14:textId="77777777" w:rsidR="00F74E13" w:rsidRDefault="00F74E13">
            <w:pPr>
              <w:spacing w:after="0" w:line="278" w:lineRule="auto"/>
              <w:rPr>
                <w:rFonts w:ascii="Times New Roman" w:eastAsia="MS Mincho" w:hAnsi="Times New Roman" w:cs="Arial"/>
                <w:b/>
                <w:noProof/>
                <w:sz w:val="20"/>
                <w:szCs w:val="20"/>
              </w:rPr>
            </w:pPr>
          </w:p>
        </w:tc>
        <w:tc>
          <w:tcPr>
            <w:tcW w:w="1272" w:type="dxa"/>
            <w:vMerge/>
            <w:vAlign w:val="center"/>
            <w:hideMark/>
          </w:tcPr>
          <w:p w14:paraId="1CEBDB20" w14:textId="77777777" w:rsidR="00F74E13" w:rsidRDefault="00F74E13">
            <w:pPr>
              <w:spacing w:after="0" w:line="278" w:lineRule="auto"/>
              <w:rPr>
                <w:rFonts w:ascii="Times New Roman" w:eastAsia="MS Mincho" w:hAnsi="Times New Roman" w:cs="Arial"/>
                <w:b/>
                <w:noProof/>
                <w:sz w:val="20"/>
                <w:szCs w:val="20"/>
              </w:rPr>
            </w:pPr>
          </w:p>
        </w:tc>
        <w:tc>
          <w:tcPr>
            <w:tcW w:w="1272" w:type="dxa"/>
            <w:vMerge/>
            <w:vAlign w:val="center"/>
            <w:hideMark/>
          </w:tcPr>
          <w:p w14:paraId="1CEBDB21" w14:textId="77777777" w:rsidR="00F74E13" w:rsidRDefault="00F74E13">
            <w:pPr>
              <w:spacing w:after="0" w:line="278" w:lineRule="auto"/>
              <w:rPr>
                <w:rFonts w:ascii="Times New Roman" w:eastAsia="MS Mincho" w:hAnsi="Times New Roman" w:cs="Arial"/>
                <w:b/>
                <w:noProof/>
                <w:sz w:val="20"/>
                <w:szCs w:val="20"/>
              </w:rPr>
            </w:pPr>
          </w:p>
        </w:tc>
        <w:tc>
          <w:tcPr>
            <w:tcW w:w="1709" w:type="dxa"/>
            <w:vMerge/>
            <w:vAlign w:val="center"/>
            <w:hideMark/>
          </w:tcPr>
          <w:p w14:paraId="1CEBDB22" w14:textId="77777777" w:rsidR="00F74E13" w:rsidRDefault="00F74E13">
            <w:pPr>
              <w:spacing w:after="0" w:line="278" w:lineRule="auto"/>
              <w:rPr>
                <w:rFonts w:ascii="Times New Roman" w:eastAsia="MS Mincho" w:hAnsi="Times New Roman" w:cs="Arial"/>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3" w14:textId="77777777" w:rsidR="00F74E13" w:rsidRDefault="009274FC">
            <w:pPr>
              <w:pStyle w:val="P68B1DB1-Normal58"/>
              <w:spacing w:after="0" w:line="240" w:lineRule="auto"/>
              <w:jc w:val="center"/>
              <w:rPr>
                <w:noProof/>
              </w:rPr>
            </w:pPr>
            <w:r>
              <w:rPr>
                <w:noProof/>
              </w:rPr>
              <w:t>Unité de mesure</w:t>
            </w:r>
          </w:p>
        </w:tc>
        <w:tc>
          <w:tcPr>
            <w:tcW w:w="127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4" w14:textId="77777777" w:rsidR="00F74E13" w:rsidRDefault="009274FC">
            <w:pPr>
              <w:pStyle w:val="P68B1DB1-Normal58"/>
              <w:spacing w:after="0" w:line="240" w:lineRule="auto"/>
              <w:jc w:val="center"/>
              <w:rPr>
                <w:noProof/>
              </w:rPr>
            </w:pPr>
            <w:r>
              <w:rPr>
                <w:noProof/>
              </w:rPr>
              <w:t xml:space="preserve">Données de référence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5" w14:textId="77777777" w:rsidR="00F74E13" w:rsidRDefault="009274FC">
            <w:pPr>
              <w:pStyle w:val="P68B1DB1-Normal58"/>
              <w:spacing w:after="0" w:line="240" w:lineRule="auto"/>
              <w:jc w:val="center"/>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6" w14:textId="77777777" w:rsidR="00F74E13" w:rsidRDefault="009274FC">
            <w:pPr>
              <w:pStyle w:val="P68B1DB1-Normal58"/>
              <w:spacing w:after="0" w:line="240" w:lineRule="auto"/>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7" w14:textId="77777777" w:rsidR="00F74E13" w:rsidRDefault="009274FC">
            <w:pPr>
              <w:pStyle w:val="P68B1DB1-Normal58"/>
              <w:spacing w:after="0" w:line="240" w:lineRule="auto"/>
              <w:jc w:val="center"/>
              <w:rPr>
                <w:noProof/>
              </w:rPr>
            </w:pPr>
            <w:r>
              <w:rPr>
                <w:noProof/>
              </w:rPr>
              <w:t>Année</w:t>
            </w:r>
          </w:p>
        </w:tc>
        <w:tc>
          <w:tcPr>
            <w:tcW w:w="3623" w:type="dxa"/>
            <w:vMerge/>
            <w:vAlign w:val="center"/>
            <w:hideMark/>
          </w:tcPr>
          <w:p w14:paraId="1CEBDB28" w14:textId="77777777" w:rsidR="00F74E13" w:rsidRDefault="00F74E13">
            <w:pPr>
              <w:spacing w:after="0" w:line="278" w:lineRule="auto"/>
              <w:rPr>
                <w:rFonts w:ascii="Times New Roman" w:eastAsia="MS Mincho" w:hAnsi="Times New Roman" w:cs="Arial"/>
                <w:b/>
                <w:noProof/>
                <w:sz w:val="18"/>
              </w:rPr>
            </w:pPr>
          </w:p>
        </w:tc>
      </w:tr>
      <w:tr w:rsidR="00F74E13" w14:paraId="1CEBDB36" w14:textId="77777777" w:rsidTr="006624E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hideMark/>
          </w:tcPr>
          <w:p w14:paraId="1CEBDB2A" w14:textId="77777777" w:rsidR="00F74E13" w:rsidRDefault="009274FC">
            <w:pPr>
              <w:pStyle w:val="P68B1DB1-Normal59"/>
              <w:spacing w:after="0" w:line="240" w:lineRule="auto"/>
              <w:jc w:val="center"/>
              <w:rPr>
                <w:noProof/>
              </w:rPr>
            </w:pPr>
            <w:r>
              <w:rPr>
                <w:noProof/>
              </w:rPr>
              <w:t>207</w:t>
            </w:r>
          </w:p>
        </w:tc>
        <w:tc>
          <w:tcPr>
            <w:tcW w:w="1563" w:type="dxa"/>
            <w:tcBorders>
              <w:top w:val="single" w:sz="4" w:space="0" w:color="auto"/>
              <w:left w:val="single" w:sz="4" w:space="0" w:color="auto"/>
              <w:bottom w:val="single" w:sz="4" w:space="0" w:color="auto"/>
              <w:right w:val="single" w:sz="4" w:space="0" w:color="auto"/>
            </w:tcBorders>
            <w:shd w:val="clear" w:color="auto" w:fill="C6EFCE"/>
            <w:noWrap/>
            <w:hideMark/>
          </w:tcPr>
          <w:p w14:paraId="1CEBDB2B" w14:textId="77777777" w:rsidR="00F74E13" w:rsidRDefault="009274FC">
            <w:pPr>
              <w:pStyle w:val="P68B1DB1-Normal59"/>
              <w:spacing w:after="0" w:line="240" w:lineRule="auto"/>
              <w:rPr>
                <w:noProof/>
              </w:rPr>
            </w:pPr>
            <w:r>
              <w:rPr>
                <w:noProof/>
              </w:rPr>
              <w:t xml:space="preserve">C9.R1 : </w:t>
            </w:r>
          </w:p>
          <w:p w14:paraId="1CEBDB2C" w14:textId="77777777" w:rsidR="00F74E13" w:rsidRDefault="009274FC">
            <w:pPr>
              <w:pStyle w:val="P68B1DB1-Normal59"/>
              <w:spacing w:after="0" w:line="240" w:lineRule="auto"/>
              <w:rPr>
                <w:noProof/>
              </w:rPr>
            </w:pPr>
            <w:r>
              <w:rPr>
                <w:noProof/>
              </w:rPr>
              <w:t>Une nouvelle approche régionale impliquant directement les communautés locales dans la gestion des fonds et instruments européens</w:t>
            </w:r>
          </w:p>
        </w:tc>
        <w:tc>
          <w:tcPr>
            <w:tcW w:w="1272" w:type="dxa"/>
            <w:tcBorders>
              <w:top w:val="single" w:sz="4" w:space="0" w:color="auto"/>
              <w:left w:val="single" w:sz="4" w:space="0" w:color="auto"/>
              <w:bottom w:val="single" w:sz="4" w:space="0" w:color="auto"/>
              <w:right w:val="single" w:sz="4" w:space="0" w:color="auto"/>
            </w:tcBorders>
            <w:shd w:val="clear" w:color="auto" w:fill="C6EFCE"/>
            <w:noWrap/>
            <w:hideMark/>
          </w:tcPr>
          <w:p w14:paraId="1CEBDB2D" w14:textId="77777777" w:rsidR="00F74E13" w:rsidRDefault="009274FC">
            <w:pPr>
              <w:pStyle w:val="P68B1DB1-Normal59"/>
              <w:spacing w:after="0" w:line="240" w:lineRule="auto"/>
              <w:rPr>
                <w:noProof/>
              </w:rPr>
            </w:pPr>
            <w:r>
              <w:rPr>
                <w:noProof/>
              </w:rPr>
              <w:t>Étape</w:t>
            </w:r>
          </w:p>
        </w:tc>
        <w:tc>
          <w:tcPr>
            <w:tcW w:w="1272" w:type="dxa"/>
            <w:tcBorders>
              <w:top w:val="single" w:sz="4" w:space="0" w:color="auto"/>
              <w:left w:val="single" w:sz="4" w:space="0" w:color="auto"/>
              <w:bottom w:val="single" w:sz="4" w:space="0" w:color="auto"/>
              <w:right w:val="single" w:sz="4" w:space="0" w:color="auto"/>
            </w:tcBorders>
            <w:shd w:val="clear" w:color="auto" w:fill="C6EFCE"/>
            <w:noWrap/>
            <w:hideMark/>
          </w:tcPr>
          <w:p w14:paraId="1CEBDB2E" w14:textId="77777777" w:rsidR="00F74E13" w:rsidRDefault="009274FC">
            <w:pPr>
              <w:pStyle w:val="P68B1DB1-Normal59"/>
              <w:spacing w:after="0" w:line="240" w:lineRule="auto"/>
              <w:rPr>
                <w:noProof/>
              </w:rPr>
            </w:pPr>
            <w:r>
              <w:rPr>
                <w:noProof/>
              </w:rPr>
              <w:t>Modifications du cadre réglementaire relatif à la gestion du financement de l’UE</w:t>
            </w:r>
          </w:p>
        </w:tc>
        <w:tc>
          <w:tcPr>
            <w:tcW w:w="1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B2F" w14:textId="77777777" w:rsidR="00F74E13" w:rsidRDefault="009274FC">
            <w:pPr>
              <w:pStyle w:val="P68B1DB1-Normal59"/>
              <w:spacing w:after="0" w:line="240" w:lineRule="auto"/>
              <w:rPr>
                <w:noProof/>
              </w:rPr>
            </w:pPr>
            <w:r>
              <w:rPr>
                <w:noProof/>
              </w:rPr>
              <w:t>Entrée en vigueur des modifications de la loi sur la gestion des ressources financières des Fonds structurels et d’investissement européens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0" w14:textId="77777777" w:rsidR="00F74E13" w:rsidRDefault="00F74E13">
            <w:pPr>
              <w:spacing w:after="0" w:line="240" w:lineRule="auto"/>
              <w:rPr>
                <w:rFonts w:ascii="Times New Roman" w:eastAsia="MS Mincho"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1" w14:textId="77777777" w:rsidR="00F74E13" w:rsidRDefault="00F74E13">
            <w:pPr>
              <w:spacing w:after="0" w:line="240" w:lineRule="auto"/>
              <w:jc w:val="right"/>
              <w:rPr>
                <w:rFonts w:ascii="Times New Roman" w:eastAsia="MS Mincho" w:hAnsi="Times New Roman" w:cs="Arial"/>
                <w:noProof/>
                <w:color w:val="006100"/>
                <w:sz w:val="20"/>
                <w:szCs w:val="20"/>
              </w:rPr>
            </w:pPr>
          </w:p>
        </w:tc>
        <w:tc>
          <w:tcPr>
            <w:tcW w:w="127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CEBDB32" w14:textId="77777777" w:rsidR="00F74E13" w:rsidRDefault="00F74E13">
            <w:pPr>
              <w:spacing w:after="0" w:line="240" w:lineRule="auto"/>
              <w:jc w:val="right"/>
              <w:rPr>
                <w:rFonts w:ascii="Times New Roman" w:eastAsia="MS Mincho" w:hAnsi="Times New Roman" w:cs="Arial"/>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B33" w14:textId="77777777" w:rsidR="00F74E13" w:rsidRDefault="009274FC">
            <w:pPr>
              <w:pStyle w:val="P68B1DB1-Normal59"/>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CEBDB34" w14:textId="77777777" w:rsidR="00F74E13" w:rsidRDefault="009274FC">
            <w:pPr>
              <w:pStyle w:val="P68B1DB1-Normal59"/>
              <w:spacing w:after="0" w:line="240" w:lineRule="auto"/>
              <w:jc w:val="center"/>
              <w:rPr>
                <w:noProof/>
              </w:rPr>
            </w:pPr>
            <w:r>
              <w:rPr>
                <w:noProof/>
              </w:rPr>
              <w:t>2022</w:t>
            </w:r>
          </w:p>
        </w:tc>
        <w:tc>
          <w:tcPr>
            <w:tcW w:w="3623" w:type="dxa"/>
            <w:tcBorders>
              <w:top w:val="single" w:sz="4" w:space="0" w:color="auto"/>
              <w:left w:val="single" w:sz="4" w:space="0" w:color="auto"/>
              <w:bottom w:val="single" w:sz="4" w:space="0" w:color="auto"/>
              <w:right w:val="single" w:sz="4" w:space="0" w:color="auto"/>
            </w:tcBorders>
            <w:shd w:val="clear" w:color="auto" w:fill="C6EFCE"/>
            <w:noWrap/>
            <w:hideMark/>
          </w:tcPr>
          <w:p w14:paraId="1CEBDB35" w14:textId="77777777" w:rsidR="00F74E13" w:rsidRDefault="009274FC">
            <w:pPr>
              <w:pStyle w:val="P68B1DB1-Normal13"/>
              <w:spacing w:after="0" w:line="240" w:lineRule="auto"/>
              <w:jc w:val="both"/>
              <w:rPr>
                <w:rFonts w:eastAsia="MS Mincho" w:cs="Arial"/>
                <w:noProof/>
              </w:rPr>
            </w:pPr>
            <w:r>
              <w:rPr>
                <w:noProof/>
              </w:rPr>
              <w:t>Les modifications apportées à la gestion des ressources financières de la loi sur les Fonds structurels et d'investissement européens renforcent la participation directe des niveaux régional et local à la gestion des fonds de l'UE en renforçant leur rôle dans la conception et la mise en œuvre de stratégies et de projets territoriaux intégrés. En vertu de ce cadre juridique révisé, les conseils de développement régional (qui comprennent des représentants des autorités régionales et locales) jouent le rôle d’organes territoriaux chargés de la mise en œuvre des documents stratégiques au niveau de la planification régionale et de la présélection des projets à financer au moyen de fonds de l’UE au niveau local sur la base de stratégies intégrées de développement territorial.</w:t>
            </w:r>
          </w:p>
        </w:tc>
      </w:tr>
      <w:tr w:rsidR="00F74E13" w14:paraId="1CEBDB46" w14:textId="77777777" w:rsidTr="006624E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CEBDB37" w14:textId="77777777" w:rsidR="00F74E13" w:rsidRDefault="009274FC">
            <w:pPr>
              <w:pStyle w:val="P68B1DB1-Normal60"/>
              <w:spacing w:after="0" w:line="240" w:lineRule="auto"/>
              <w:jc w:val="center"/>
              <w:rPr>
                <w:noProof/>
              </w:rPr>
            </w:pPr>
            <w:r>
              <w:rPr>
                <w:noProof/>
              </w:rPr>
              <w:t>208</w:t>
            </w:r>
          </w:p>
        </w:tc>
        <w:tc>
          <w:tcPr>
            <w:tcW w:w="1563" w:type="dxa"/>
            <w:tcBorders>
              <w:top w:val="single" w:sz="4" w:space="0" w:color="auto"/>
              <w:left w:val="single" w:sz="4" w:space="0" w:color="auto"/>
              <w:bottom w:val="single" w:sz="4" w:space="0" w:color="auto"/>
              <w:right w:val="single" w:sz="4" w:space="0" w:color="auto"/>
            </w:tcBorders>
            <w:shd w:val="clear" w:color="auto" w:fill="C6EFCE"/>
            <w:noWrap/>
          </w:tcPr>
          <w:p w14:paraId="1CEBDB38" w14:textId="77777777" w:rsidR="00F74E13" w:rsidRDefault="009274FC">
            <w:pPr>
              <w:pStyle w:val="P68B1DB1-Normal60"/>
              <w:spacing w:after="0" w:line="240" w:lineRule="auto"/>
              <w:rPr>
                <w:noProof/>
              </w:rPr>
            </w:pPr>
            <w:r>
              <w:rPr>
                <w:noProof/>
              </w:rPr>
              <w:t xml:space="preserve">C9.R2 : </w:t>
            </w:r>
          </w:p>
          <w:p w14:paraId="1CEBDB39" w14:textId="77777777" w:rsidR="00F74E13" w:rsidRDefault="009274FC">
            <w:pPr>
              <w:pStyle w:val="P68B1DB1-Normal60"/>
              <w:spacing w:after="0" w:line="240" w:lineRule="auto"/>
              <w:rPr>
                <w:noProof/>
              </w:rPr>
            </w:pPr>
            <w:r>
              <w:rPr>
                <w:noProof/>
              </w:rPr>
              <w:t>Réforme de l'approvisionnement en eau et de l'assainissement</w:t>
            </w:r>
          </w:p>
        </w:tc>
        <w:tc>
          <w:tcPr>
            <w:tcW w:w="1272" w:type="dxa"/>
            <w:tcBorders>
              <w:top w:val="single" w:sz="4" w:space="0" w:color="auto"/>
              <w:left w:val="single" w:sz="4" w:space="0" w:color="auto"/>
              <w:bottom w:val="single" w:sz="4" w:space="0" w:color="auto"/>
              <w:right w:val="single" w:sz="4" w:space="0" w:color="auto"/>
            </w:tcBorders>
            <w:shd w:val="clear" w:color="auto" w:fill="C6EFCE"/>
            <w:noWrap/>
          </w:tcPr>
          <w:p w14:paraId="1CEBDB3A" w14:textId="77777777" w:rsidR="00F74E13" w:rsidRDefault="009274FC">
            <w:pPr>
              <w:pStyle w:val="P68B1DB1-Normal60"/>
              <w:spacing w:after="0" w:line="240" w:lineRule="auto"/>
              <w:rPr>
                <w:noProof/>
              </w:rPr>
            </w:pPr>
            <w:r>
              <w:rPr>
                <w:noProof/>
              </w:rPr>
              <w:t>Étape</w:t>
            </w:r>
          </w:p>
        </w:tc>
        <w:tc>
          <w:tcPr>
            <w:tcW w:w="1272" w:type="dxa"/>
            <w:tcBorders>
              <w:top w:val="single" w:sz="4" w:space="0" w:color="auto"/>
              <w:left w:val="single" w:sz="4" w:space="0" w:color="auto"/>
              <w:bottom w:val="single" w:sz="4" w:space="0" w:color="auto"/>
              <w:right w:val="single" w:sz="4" w:space="0" w:color="auto"/>
            </w:tcBorders>
            <w:shd w:val="clear" w:color="auto" w:fill="C6EFCE"/>
            <w:noWrap/>
          </w:tcPr>
          <w:p w14:paraId="1CEBDB3B" w14:textId="206E0D53" w:rsidR="00F74E13" w:rsidRDefault="009274FC">
            <w:pPr>
              <w:pStyle w:val="P68B1DB1-Normal60"/>
              <w:spacing w:after="0" w:line="240" w:lineRule="auto"/>
              <w:rPr>
                <w:noProof/>
              </w:rPr>
            </w:pPr>
            <w:r>
              <w:rPr>
                <w:noProof/>
              </w:rPr>
              <w:t>Adoption et entrée en vigueur d’un ou de plusieurs actes juridiques sur les incitations à la consolidation</w:t>
            </w:r>
          </w:p>
        </w:tc>
        <w:tc>
          <w:tcPr>
            <w:tcW w:w="1709" w:type="dxa"/>
            <w:tcBorders>
              <w:top w:val="single" w:sz="4" w:space="0" w:color="auto"/>
              <w:left w:val="single" w:sz="4" w:space="0" w:color="auto"/>
              <w:bottom w:val="single" w:sz="4" w:space="0" w:color="auto"/>
              <w:right w:val="single" w:sz="4" w:space="0" w:color="auto"/>
            </w:tcBorders>
            <w:shd w:val="clear" w:color="auto" w:fill="C6EFCE"/>
            <w:noWrap/>
          </w:tcPr>
          <w:p w14:paraId="1CEBDB3C" w14:textId="4E0BE5FA" w:rsidR="00F74E13" w:rsidRDefault="009274FC">
            <w:pPr>
              <w:pStyle w:val="P68B1DB1-Normal60"/>
              <w:spacing w:after="0" w:line="240" w:lineRule="auto"/>
              <w:rPr>
                <w:noProof/>
              </w:rPr>
            </w:pPr>
            <w:r>
              <w:rPr>
                <w:noProof/>
              </w:rPr>
              <w:t>Adoption et entrée en vigueur d'un ou de plusieurs actes juridiques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D" w14:textId="77777777" w:rsidR="00F74E13" w:rsidRDefault="00F74E13">
            <w:pPr>
              <w:spacing w:after="0" w:line="240" w:lineRule="auto"/>
              <w:rPr>
                <w:rFonts w:ascii="Times New Roman" w:eastAsia="MS Mincho"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E" w14:textId="77777777" w:rsidR="00F74E13" w:rsidRDefault="00F74E13">
            <w:pPr>
              <w:spacing w:after="0" w:line="240" w:lineRule="auto"/>
              <w:jc w:val="right"/>
              <w:rPr>
                <w:rFonts w:ascii="Times New Roman" w:eastAsia="MS Mincho" w:hAnsi="Times New Roman" w:cs="Times New Roman"/>
                <w:noProof/>
                <w:color w:val="006100"/>
                <w:sz w:val="20"/>
                <w:szCs w:val="20"/>
              </w:rPr>
            </w:pPr>
          </w:p>
        </w:tc>
        <w:tc>
          <w:tcPr>
            <w:tcW w:w="127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CEBDB3F" w14:textId="77777777" w:rsidR="00F74E13" w:rsidRDefault="00F74E13">
            <w:pPr>
              <w:spacing w:after="0" w:line="240" w:lineRule="auto"/>
              <w:jc w:val="right"/>
              <w:rPr>
                <w:rFonts w:ascii="Times New Roman" w:eastAsia="MS Mincho"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40" w14:textId="49FB5A5B" w:rsidR="00F74E13" w:rsidRDefault="009274FC">
            <w:pPr>
              <w:pStyle w:val="P68B1DB1-Normal59"/>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B41" w14:textId="4AC62408" w:rsidR="00F74E13" w:rsidRDefault="009274FC">
            <w:pPr>
              <w:pStyle w:val="P68B1DB1-Normal59"/>
              <w:spacing w:after="0" w:line="240" w:lineRule="auto"/>
              <w:jc w:val="center"/>
              <w:rPr>
                <w:noProof/>
              </w:rPr>
            </w:pPr>
            <w:r>
              <w:rPr>
                <w:noProof/>
              </w:rPr>
              <w:t>2026</w:t>
            </w:r>
          </w:p>
        </w:tc>
        <w:tc>
          <w:tcPr>
            <w:tcW w:w="3623" w:type="dxa"/>
            <w:tcBorders>
              <w:top w:val="single" w:sz="4" w:space="0" w:color="auto"/>
              <w:left w:val="single" w:sz="4" w:space="0" w:color="auto"/>
              <w:bottom w:val="single" w:sz="4" w:space="0" w:color="auto"/>
              <w:right w:val="single" w:sz="4" w:space="0" w:color="auto"/>
            </w:tcBorders>
            <w:shd w:val="clear" w:color="auto" w:fill="C6EFCE"/>
            <w:noWrap/>
          </w:tcPr>
          <w:p w14:paraId="1CEBDB45" w14:textId="2A1C3E15" w:rsidR="00F74E13" w:rsidRDefault="009274FC">
            <w:pPr>
              <w:pStyle w:val="P68B1DB1-Normal60"/>
              <w:spacing w:after="0" w:line="240" w:lineRule="auto"/>
              <w:jc w:val="both"/>
              <w:rPr>
                <w:noProof/>
              </w:rPr>
            </w:pPr>
            <w:r>
              <w:rPr>
                <w:noProof/>
              </w:rPr>
              <w:t>Adoption et entrée en vigueur d’un ou de plusieurs actes juridiques relatifs à l’introduction d’incitations, y compris financières, à la consolidation en ce qui concerne les services d’eau et d’assainissement.</w:t>
            </w:r>
          </w:p>
        </w:tc>
      </w:tr>
    </w:tbl>
    <w:p w14:paraId="1CEBDB47" w14:textId="77777777" w:rsidR="00F74E13" w:rsidRDefault="00F74E13">
      <w:pPr>
        <w:rPr>
          <w:noProof/>
        </w:rPr>
      </w:pPr>
    </w:p>
    <w:p w14:paraId="1CEBDB48" w14:textId="77777777" w:rsidR="00F74E13" w:rsidRDefault="00F74E13">
      <w:pPr>
        <w:pageBreakBefore/>
        <w:tabs>
          <w:tab w:val="left" w:pos="1875"/>
        </w:tabs>
        <w:spacing w:line="278" w:lineRule="auto"/>
        <w:rPr>
          <w:rFonts w:ascii="Times New Roman" w:eastAsia="Calibri" w:hAnsi="Times New Roman" w:cs="Times New Roman"/>
          <w:noProof/>
        </w:rPr>
        <w:sectPr w:rsidR="00F74E13">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1CEBDB49" w14:textId="77777777" w:rsidR="00F74E13" w:rsidRDefault="009274FC">
      <w:pPr>
        <w:pStyle w:val="P68B1DB1-Normal5"/>
        <w:keepNext/>
        <w:spacing w:before="360" w:after="120" w:line="240" w:lineRule="auto"/>
        <w:ind w:firstLine="1"/>
        <w:jc w:val="both"/>
        <w:outlineLvl w:val="0"/>
        <w:rPr>
          <w:noProof/>
        </w:rPr>
      </w:pPr>
      <w:r>
        <w:rPr>
          <w:noProof/>
        </w:rPr>
        <w:t>J. Élément 10: Environnement des entreprises</w:t>
      </w:r>
    </w:p>
    <w:p w14:paraId="1CEBDB4A" w14:textId="77777777" w:rsidR="00F74E13" w:rsidRDefault="009274FC">
      <w:pPr>
        <w:pStyle w:val="NormalWeb"/>
        <w:ind w:left="426"/>
        <w:jc w:val="both"/>
        <w:rPr>
          <w:noProof/>
        </w:rPr>
      </w:pPr>
      <w:r>
        <w:rPr>
          <w:noProof/>
        </w:rPr>
        <w:t xml:space="preserve">Ce volet vise à renforcer le potentiel de croissance durable et à accroître la résilience globale de l’économie bulgare en relevant des défis dans l’environnement général des entreprises et en améliorant le cadre institutionnel. Il comprend des réformes et des investissements dans des domaines tels que la justice, la lutte contre la corruption, la numérisation de l’administration publique, la gouvernance des entreprises publiques, la lutte contre le blanchiment de capitaux, la qualité du processus législatif, les marchés publics et les mécanismes d’audit et de contrôle. </w:t>
      </w:r>
    </w:p>
    <w:p w14:paraId="1CEBDB4B" w14:textId="77777777" w:rsidR="00F74E13" w:rsidRDefault="009274FC">
      <w:pPr>
        <w:pStyle w:val="NormalWeb"/>
        <w:ind w:left="426"/>
        <w:jc w:val="both"/>
        <w:rPr>
          <w:rFonts w:eastAsia="Calibri"/>
          <w:noProof/>
        </w:rPr>
      </w:pPr>
      <w:r>
        <w:rPr>
          <w:noProof/>
        </w:rPr>
        <w:t>Les mesures incluses dans le volet contribuent à donner suite aux recommandations par pays 1, 2 et 3 de 2019 et à la recommandation par pays 4 de 2020 en ce qui concerne l’amélioration de l’environnement des entreprises, la réduction au minimum de la charge administrative pesant sur les entreprises en améliorant l’efficacité de l’administration publique et en renforçant l’administration numérique, en garantissant un fonctionnement efficace du cadre en matière d’insolvabilité et en intensifiant les efforts visant à garantir une évaluation adéquate des risques, une atténuation, une surveillance et une application efficaces du cadre de lutte contre le blanchiment de capitaux, ainsi qu’une amélioration de la gouvernance d’entreprise des entreprises publiques.</w:t>
      </w:r>
    </w:p>
    <w:p w14:paraId="1CEBDB4C" w14:textId="77777777" w:rsidR="00F74E13" w:rsidRDefault="009274FC">
      <w:pPr>
        <w:pStyle w:val="NormalWeb"/>
        <w:ind w:left="426"/>
        <w:jc w:val="both"/>
        <w:rPr>
          <w:rFonts w:eastAsia="Calibri"/>
          <w:b/>
          <w:smallCaps/>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CEBDB4D" w14:textId="77777777" w:rsidR="00F74E13" w:rsidRDefault="009274FC">
      <w:pPr>
        <w:pStyle w:val="P68B1DB1-Normal8"/>
        <w:spacing w:before="120" w:after="120" w:line="240" w:lineRule="auto"/>
        <w:ind w:left="425"/>
        <w:jc w:val="both"/>
        <w:rPr>
          <w:i/>
          <w:noProof/>
          <w:color w:val="4F81BD"/>
        </w:rPr>
      </w:pPr>
      <w:r>
        <w:rPr>
          <w:noProof/>
        </w:rPr>
        <w:t>J.1. Description des réformes et des investissements pour le soutien financier non remboursable</w:t>
      </w:r>
    </w:p>
    <w:p w14:paraId="1CEBDB4E" w14:textId="77777777" w:rsidR="00F74E13" w:rsidRDefault="009274FC">
      <w:pPr>
        <w:pStyle w:val="P68B1DB1-Normal9"/>
        <w:spacing w:before="120" w:after="0" w:line="240" w:lineRule="auto"/>
        <w:ind w:left="425"/>
        <w:jc w:val="both"/>
        <w:rPr>
          <w:noProof/>
        </w:rPr>
      </w:pPr>
      <w:r>
        <w:rPr>
          <w:noProof/>
        </w:rPr>
        <w:t>Réforme 1 (C10.R1): Réforme du système judiciaire</w:t>
      </w:r>
    </w:p>
    <w:p w14:paraId="1CEBDB4F" w14:textId="77777777" w:rsidR="00F74E13" w:rsidRDefault="009274FC">
      <w:pPr>
        <w:pStyle w:val="P68B1DB1-Normal6"/>
        <w:spacing w:before="120" w:after="0" w:line="240" w:lineRule="auto"/>
        <w:ind w:left="425"/>
        <w:jc w:val="both"/>
        <w:rPr>
          <w:noProof/>
        </w:rPr>
      </w:pPr>
      <w:r>
        <w:rPr>
          <w:noProof/>
        </w:rPr>
        <w:t xml:space="preserve">L'objectif de cette réforme est d'améliorer le système judiciaire et de contribuer à son accessibilité. </w:t>
      </w:r>
    </w:p>
    <w:p w14:paraId="1CEBDB50" w14:textId="77777777" w:rsidR="00F74E13" w:rsidRDefault="009274FC">
      <w:pPr>
        <w:pStyle w:val="P68B1DB1-Normal6"/>
        <w:spacing w:before="120" w:after="120" w:line="240" w:lineRule="auto"/>
        <w:ind w:left="426"/>
        <w:jc w:val="both"/>
        <w:rPr>
          <w:noProof/>
        </w:rPr>
      </w:pPr>
      <w:r>
        <w:rPr>
          <w:noProof/>
        </w:rPr>
        <w:t xml:space="preserve">La réforme consiste en i) l’entrée en vigueur d’un ou de plusieurs actes juridiques sur la numérisation de certains actes et processus judiciaires; ii) l’entrée en vigueur d’un ou de plusieurs actes juridiques relatifs à l’assistance juridique gratuite et aux exonérations des frais de justice; et iii) l’adoption d’une feuille de route relative au suivi des arrêts de la Cour européenne des droits de l’homme. </w:t>
      </w:r>
    </w:p>
    <w:p w14:paraId="1CEBDB52" w14:textId="77777777" w:rsidR="00F74E13" w:rsidRDefault="009274FC">
      <w:pPr>
        <w:pStyle w:val="P68B1DB1-Normal9"/>
        <w:spacing w:before="120" w:after="0" w:line="240" w:lineRule="auto"/>
        <w:ind w:left="425"/>
        <w:jc w:val="both"/>
        <w:rPr>
          <w:noProof/>
        </w:rPr>
      </w:pPr>
      <w:r>
        <w:rPr>
          <w:noProof/>
        </w:rPr>
        <w:t>Réforme 2 (C10.R2): Lutte contre la corruption</w:t>
      </w:r>
    </w:p>
    <w:p w14:paraId="1CEBDB53" w14:textId="77777777" w:rsidR="00F74E13" w:rsidRDefault="009274FC">
      <w:pPr>
        <w:pStyle w:val="P68B1DB1-Normal6"/>
        <w:spacing w:before="120" w:after="0" w:line="240" w:lineRule="auto"/>
        <w:ind w:left="425"/>
        <w:jc w:val="both"/>
        <w:rPr>
          <w:noProof/>
        </w:rPr>
      </w:pPr>
      <w:r>
        <w:rPr>
          <w:noProof/>
        </w:rPr>
        <w:t xml:space="preserve">L’objectif de cette réforme est de poursuivre la lutte contre la corruption à tous les niveaux de l’administration publique, de la justice et des systèmes de poursuites. </w:t>
      </w:r>
    </w:p>
    <w:p w14:paraId="1CEBDB54" w14:textId="77777777" w:rsidR="00F74E13" w:rsidRDefault="009274FC">
      <w:pPr>
        <w:pStyle w:val="P68B1DB1-Normal6"/>
        <w:spacing w:before="120" w:after="120" w:line="240" w:lineRule="auto"/>
        <w:ind w:left="426"/>
        <w:jc w:val="both"/>
        <w:rPr>
          <w:noProof/>
        </w:rPr>
      </w:pPr>
      <w:r>
        <w:rPr>
          <w:noProof/>
        </w:rPr>
        <w:t>En particulier, la réforme:</w:t>
      </w:r>
    </w:p>
    <w:p w14:paraId="1CEBDB55" w14:textId="77777777" w:rsidR="00F74E13" w:rsidRDefault="009274FC">
      <w:pPr>
        <w:pStyle w:val="P68B1DB1-ListParagraph7"/>
        <w:numPr>
          <w:ilvl w:val="0"/>
          <w:numId w:val="50"/>
        </w:numPr>
        <w:spacing w:before="120" w:after="120" w:line="240" w:lineRule="auto"/>
        <w:ind w:left="993"/>
        <w:jc w:val="both"/>
        <w:rPr>
          <w:noProof/>
        </w:rPr>
      </w:pPr>
      <w:r>
        <w:rPr>
          <w:noProof/>
        </w:rPr>
        <w:t>veiller à ce que le Conseil national des politiques de lutte contre la corruption surveille la mise en œuvre de la stratégie nationale de prévention et de lutte contre la corruption et de la feuille de route qui y est associée en adoptant un ou plusieurs rapports sur leur mise en œuvre;</w:t>
      </w:r>
    </w:p>
    <w:p w14:paraId="1CEBDB56" w14:textId="77777777" w:rsidR="00F74E13" w:rsidRDefault="009274FC">
      <w:pPr>
        <w:pStyle w:val="P68B1DB1-ListParagraph7"/>
        <w:numPr>
          <w:ilvl w:val="0"/>
          <w:numId w:val="50"/>
        </w:numPr>
        <w:spacing w:after="0" w:line="240" w:lineRule="auto"/>
        <w:ind w:left="993"/>
        <w:jc w:val="both"/>
        <w:rPr>
          <w:noProof/>
        </w:rPr>
      </w:pPr>
      <w:r>
        <w:rPr>
          <w:noProof/>
        </w:rPr>
        <w:t>améliorer le rôle de l’inspection du Conseil supérieur de la magistrature dans la prévention et la lutte contre la corruption au moyen de lignes directrices et de formations éthiques révisées. Cela n'entraîne pas d'augmentation des pouvoirs disciplinaires de l'Inspection. La Commission de Venise est consultée avant que l'Inspection ne révise les lignes directrices et n'organise les formations;</w:t>
      </w:r>
    </w:p>
    <w:p w14:paraId="1CEBDB57" w14:textId="7AFD8FD3" w:rsidR="00F74E13" w:rsidRDefault="009274FC">
      <w:pPr>
        <w:pStyle w:val="P68B1DB1-ListParagraph7"/>
        <w:numPr>
          <w:ilvl w:val="0"/>
          <w:numId w:val="50"/>
        </w:numPr>
        <w:spacing w:before="120" w:after="120" w:line="240" w:lineRule="auto"/>
        <w:ind w:left="993"/>
        <w:jc w:val="both"/>
        <w:rPr>
          <w:noProof/>
          <w:u w:val="single"/>
        </w:rPr>
      </w:pPr>
      <w:r>
        <w:rPr>
          <w:noProof/>
        </w:rPr>
        <w:t>introduire un ou plusieurs actes juridiques concernant les mesures d’intégrité et de lutte contre la corruption en ce qui concerne les entreprises publiques et les fonctionnaires occupant des postes présentant un risque élevé de corruption au sein du pouvoir exécutif central;</w:t>
      </w:r>
    </w:p>
    <w:p w14:paraId="1CEBDB59" w14:textId="77777777" w:rsidR="00F74E13" w:rsidRDefault="009274FC">
      <w:pPr>
        <w:pStyle w:val="P68B1DB1-ListParagraph7"/>
        <w:numPr>
          <w:ilvl w:val="0"/>
          <w:numId w:val="50"/>
        </w:numPr>
        <w:spacing w:before="120" w:after="120" w:line="240" w:lineRule="auto"/>
        <w:ind w:left="993"/>
        <w:jc w:val="both"/>
        <w:rPr>
          <w:noProof/>
        </w:rPr>
      </w:pPr>
      <w:r>
        <w:rPr>
          <w:noProof/>
        </w:rPr>
        <w:t>mettre en place un organe de lutte contre la corruption habilité à enquêter et à recueillir des éléments de preuve, sous réserve de garanties juridiques pour les droits et libertés des particuliers et des entreprises.</w:t>
      </w:r>
    </w:p>
    <w:p w14:paraId="1CEBDB5A" w14:textId="77777777" w:rsidR="00F74E13" w:rsidRDefault="009274FC">
      <w:pPr>
        <w:pStyle w:val="P68B1DB1-Normal6"/>
        <w:spacing w:before="120" w:after="120" w:line="240" w:lineRule="auto"/>
        <w:ind w:left="426"/>
        <w:jc w:val="both"/>
        <w:rPr>
          <w:noProof/>
        </w:rPr>
      </w:pPr>
      <w:r>
        <w:rPr>
          <w:noProof/>
        </w:rPr>
        <w:t>Afin d'assurer l'efficacité des enquêtes pénales ainsi que la responsabilité pénale du procureur général, la réforme:</w:t>
      </w:r>
    </w:p>
    <w:p w14:paraId="1CEBDB5B" w14:textId="77777777" w:rsidR="00F74E13" w:rsidRDefault="009274FC">
      <w:pPr>
        <w:pStyle w:val="P68B1DB1-ListParagraph7"/>
        <w:numPr>
          <w:ilvl w:val="0"/>
          <w:numId w:val="50"/>
        </w:numPr>
        <w:spacing w:before="120" w:after="120" w:line="240" w:lineRule="auto"/>
        <w:ind w:left="993"/>
        <w:jc w:val="both"/>
        <w:rPr>
          <w:noProof/>
        </w:rPr>
      </w:pPr>
      <w:r>
        <w:rPr>
          <w:noProof/>
        </w:rPr>
        <w:t>introduire la possibilité d’un contrôle juridictionnel de la décision du procureur de ne pas ouvrir d’enquête;</w:t>
      </w:r>
    </w:p>
    <w:p w14:paraId="1CEBDB5C" w14:textId="77777777" w:rsidR="00F74E13" w:rsidRDefault="009274FC">
      <w:pPr>
        <w:pStyle w:val="P68B1DB1-ListParagraph7"/>
        <w:numPr>
          <w:ilvl w:val="0"/>
          <w:numId w:val="50"/>
        </w:numPr>
        <w:spacing w:before="120" w:after="120" w:line="240" w:lineRule="auto"/>
        <w:ind w:left="993"/>
        <w:jc w:val="both"/>
        <w:rPr>
          <w:noProof/>
        </w:rPr>
      </w:pPr>
      <w:r>
        <w:rPr>
          <w:noProof/>
        </w:rPr>
        <w:t>introduire un rapport annuel du procureur général sur les enquêtes et les condamnations dans les affaires de corruption;</w:t>
      </w:r>
    </w:p>
    <w:p w14:paraId="1CEBDB5D" w14:textId="77777777" w:rsidR="00F74E13" w:rsidRDefault="009274FC">
      <w:pPr>
        <w:pStyle w:val="P68B1DB1-ListParagraph7"/>
        <w:numPr>
          <w:ilvl w:val="0"/>
          <w:numId w:val="50"/>
        </w:numPr>
        <w:spacing w:before="120" w:after="120" w:line="240" w:lineRule="auto"/>
        <w:ind w:left="993"/>
        <w:jc w:val="both"/>
        <w:rPr>
          <w:noProof/>
        </w:rPr>
      </w:pPr>
      <w:r>
        <w:rPr>
          <w:noProof/>
        </w:rPr>
        <w:t>prévoir les garanties nécessaires à l'ouverture d'une enquête indépendante sur le procureur général et ses adjoints.</w:t>
      </w:r>
    </w:p>
    <w:p w14:paraId="1CEBDB5E" w14:textId="77777777" w:rsidR="00F74E13" w:rsidRDefault="00F74E13">
      <w:pPr>
        <w:pStyle w:val="ListParagraph"/>
        <w:rPr>
          <w:rFonts w:ascii="Times New Roman" w:hAnsi="Times New Roman"/>
          <w:noProof/>
        </w:rPr>
      </w:pPr>
    </w:p>
    <w:p w14:paraId="1CEBDB5F" w14:textId="77777777" w:rsidR="00F74E13" w:rsidRDefault="009274FC">
      <w:pPr>
        <w:pStyle w:val="P68B1DB1-ListParagraph7"/>
        <w:spacing w:before="120" w:after="240" w:line="240" w:lineRule="auto"/>
        <w:ind w:left="425"/>
        <w:rPr>
          <w:noProof/>
        </w:rPr>
      </w:pPr>
      <w:r>
        <w:rPr>
          <w:noProof/>
        </w:rPr>
        <w:t>Enfin, la réforme comprendra des mesures législatives visant à protéger les lanceurs d’alerte et à réglementer les activités de lobbying dans le cadre de la prise de décision publique.</w:t>
      </w:r>
    </w:p>
    <w:p w14:paraId="1CEBDB61" w14:textId="6495C9FE" w:rsidR="00F74E13" w:rsidRDefault="009274FC">
      <w:pPr>
        <w:pStyle w:val="P68B1DB1-ListParagraph23"/>
        <w:spacing w:before="240" w:after="0" w:line="240" w:lineRule="auto"/>
        <w:ind w:left="425"/>
        <w:contextualSpacing w:val="0"/>
        <w:jc w:val="both"/>
        <w:rPr>
          <w:noProof/>
        </w:rPr>
      </w:pPr>
      <w:r>
        <w:rPr>
          <w:noProof/>
        </w:rPr>
        <w:t>Réforme 3 (C10.R3): Actes juridiques relatifs au cadre de médiation</w:t>
      </w:r>
    </w:p>
    <w:p w14:paraId="1CEBDB62" w14:textId="77777777" w:rsidR="00F74E13" w:rsidRDefault="009274FC">
      <w:pPr>
        <w:pStyle w:val="P68B1DB1-ListParagraph7"/>
        <w:spacing w:before="120" w:after="0" w:line="240" w:lineRule="auto"/>
        <w:ind w:left="425"/>
        <w:contextualSpacing w:val="0"/>
        <w:jc w:val="both"/>
        <w:rPr>
          <w:noProof/>
        </w:rPr>
      </w:pPr>
      <w:r>
        <w:rPr>
          <w:noProof/>
        </w:rPr>
        <w:t>L’objectif de cette réforme est de soutenir l’adoption de la médiation en Bulgarie.</w:t>
      </w:r>
    </w:p>
    <w:p w14:paraId="769E9F11" w14:textId="77777777" w:rsidR="00F74E13" w:rsidRDefault="009274FC">
      <w:pPr>
        <w:pStyle w:val="ListParagraph"/>
        <w:spacing w:before="120" w:after="0" w:line="240" w:lineRule="auto"/>
        <w:ind w:left="425"/>
        <w:contextualSpacing w:val="0"/>
        <w:jc w:val="both"/>
        <w:rPr>
          <w:noProof/>
        </w:rPr>
      </w:pPr>
      <w:r>
        <w:rPr>
          <w:rFonts w:ascii="Times New Roman" w:hAnsi="Times New Roman"/>
          <w:noProof/>
        </w:rPr>
        <w:t>Cet objectif est atteint par des actes juridiques qui prévoient que le tribunal, dans certaines affaires civiles et commerciales, oblige les parties à participer à une réunion d'information sur la procédure de médiation.</w:t>
      </w:r>
      <w:r>
        <w:rPr>
          <w:rFonts w:hint="eastAsia"/>
          <w:noProof/>
        </w:rPr>
        <w:t xml:space="preserve"> </w:t>
      </w:r>
    </w:p>
    <w:p w14:paraId="1CEBDB65" w14:textId="28DE6392" w:rsidR="00F74E13" w:rsidRDefault="009274FC">
      <w:pPr>
        <w:pStyle w:val="P68B1DB1-ListParagraph7"/>
        <w:spacing w:before="120" w:after="0" w:line="240" w:lineRule="auto"/>
        <w:ind w:left="425"/>
        <w:contextualSpacing w:val="0"/>
        <w:jc w:val="both"/>
        <w:rPr>
          <w:noProof/>
        </w:rPr>
      </w:pPr>
      <w:r>
        <w:rPr>
          <w:noProof/>
        </w:rPr>
        <w:t>La mise en œuvre de la réforme est achevée au plus tard le 31 décembre 2022.</w:t>
      </w:r>
    </w:p>
    <w:p w14:paraId="1CEBDB67" w14:textId="77777777" w:rsidR="00F74E13" w:rsidRDefault="009274FC">
      <w:pPr>
        <w:pStyle w:val="P68B1DB1-Normal9"/>
        <w:spacing w:before="240" w:after="0" w:line="240" w:lineRule="auto"/>
        <w:ind w:left="425"/>
        <w:jc w:val="both"/>
        <w:rPr>
          <w:noProof/>
        </w:rPr>
      </w:pPr>
      <w:r>
        <w:rPr>
          <w:noProof/>
        </w:rPr>
        <w:t>Réforme 4 (C10.R4): Mesures concernant le cadre en matière d'insolvabilité</w:t>
      </w:r>
    </w:p>
    <w:p w14:paraId="1CEBDB68" w14:textId="77777777" w:rsidR="00F74E13" w:rsidRDefault="009274FC">
      <w:pPr>
        <w:pStyle w:val="P68B1DB1-Normal6"/>
        <w:spacing w:before="120" w:after="0" w:line="240" w:lineRule="auto"/>
        <w:ind w:left="425"/>
        <w:jc w:val="both"/>
        <w:rPr>
          <w:noProof/>
        </w:rPr>
      </w:pPr>
      <w:r>
        <w:rPr>
          <w:noProof/>
        </w:rPr>
        <w:t>L'objectif de cette réforme est d'introduire de nouvelles mesures visant à accroître l'efficacité des procédures d'insolvabilité et de restructuration.</w:t>
      </w:r>
    </w:p>
    <w:p w14:paraId="1CEBDB69" w14:textId="77777777" w:rsidR="00F74E13" w:rsidRDefault="009274FC">
      <w:pPr>
        <w:pStyle w:val="P68B1DB1-Normal6"/>
        <w:spacing w:before="120" w:after="120" w:line="240" w:lineRule="auto"/>
        <w:ind w:left="426"/>
        <w:jc w:val="both"/>
        <w:rPr>
          <w:noProof/>
        </w:rPr>
      </w:pPr>
      <w:r>
        <w:rPr>
          <w:noProof/>
        </w:rPr>
        <w:t>La réforme consiste en l’entrée en vigueur d’un ou de plusieurs actes juridiques et en l’adoption de lignes directrices concernant les procédures d’insolvabilité ou de restructuration, l’organisation de formations, la mise à niveau d’un ou de plusieurs outils électroniques, ainsi que la publication de données statistiques.</w:t>
      </w:r>
    </w:p>
    <w:p w14:paraId="1CEBDB6B" w14:textId="77777777" w:rsidR="00F74E13" w:rsidRDefault="009274FC">
      <w:pPr>
        <w:pStyle w:val="P68B1DB1-Normal9"/>
        <w:spacing w:before="120" w:after="0" w:line="240" w:lineRule="auto"/>
        <w:ind w:left="425"/>
        <w:jc w:val="both"/>
        <w:rPr>
          <w:noProof/>
        </w:rPr>
      </w:pPr>
      <w:r>
        <w:rPr>
          <w:noProof/>
        </w:rPr>
        <w:t>Réforme 5 (C10.R5): Réforme numérique du secteur bulgare de la construction</w:t>
      </w:r>
    </w:p>
    <w:p w14:paraId="1CEBDB6C" w14:textId="77777777" w:rsidR="00F74E13" w:rsidRDefault="009274FC">
      <w:pPr>
        <w:pStyle w:val="P68B1DB1-Normal6"/>
        <w:spacing w:before="120" w:after="0" w:line="240" w:lineRule="auto"/>
        <w:ind w:left="425"/>
        <w:jc w:val="both"/>
        <w:rPr>
          <w:noProof/>
        </w:rPr>
      </w:pPr>
      <w:r>
        <w:rPr>
          <w:noProof/>
        </w:rPr>
        <w:t xml:space="preserve">L’objectif de cette réforme est de jeter les bases de la transformation numérique du secteur de la construction en Bulgarie. </w:t>
      </w:r>
    </w:p>
    <w:p w14:paraId="1CEBDB6D" w14:textId="77777777" w:rsidR="00F74E13" w:rsidRDefault="009274FC">
      <w:pPr>
        <w:pStyle w:val="P68B1DB1-Normal6"/>
        <w:spacing w:before="120" w:after="120" w:line="240" w:lineRule="auto"/>
        <w:ind w:left="426"/>
        <w:jc w:val="both"/>
        <w:rPr>
          <w:noProof/>
        </w:rPr>
      </w:pPr>
      <w:r>
        <w:rPr>
          <w:noProof/>
        </w:rPr>
        <w:t xml:space="preserve">La réforme consiste en l'approbation par le Conseil des ministres d'une stratégie et d'une feuille de route pour introduire la modélisation de l'information du bâtiment. </w:t>
      </w:r>
    </w:p>
    <w:p w14:paraId="1CEBDB6F" w14:textId="77777777" w:rsidR="00F74E13" w:rsidRDefault="009274FC">
      <w:pPr>
        <w:pStyle w:val="P68B1DB1-Normal18"/>
        <w:spacing w:before="120" w:after="0" w:line="240" w:lineRule="auto"/>
        <w:ind w:left="425"/>
        <w:jc w:val="both"/>
        <w:rPr>
          <w:rFonts w:ascii="Times New Roman" w:hAnsi="Times New Roman"/>
          <w:noProof/>
        </w:rPr>
      </w:pPr>
      <w:r>
        <w:rPr>
          <w:rFonts w:ascii="Times New Roman" w:hAnsi="Times New Roman"/>
          <w:noProof/>
        </w:rPr>
        <w:t>Réforme 6 (C10.R6):</w:t>
      </w:r>
      <w:r>
        <w:rPr>
          <w:noProof/>
        </w:rPr>
        <w:t xml:space="preserve"> </w:t>
      </w:r>
      <w:r>
        <w:rPr>
          <w:rFonts w:ascii="Times New Roman" w:hAnsi="Times New Roman"/>
          <w:noProof/>
        </w:rPr>
        <w:t>Réforme du registre pour libérer le potentiel de l'administration en ligne</w:t>
      </w:r>
    </w:p>
    <w:p w14:paraId="1CEBDB70" w14:textId="77777777" w:rsidR="00F74E13" w:rsidRDefault="009274FC">
      <w:pPr>
        <w:pStyle w:val="P68B1DB1-Normal6"/>
        <w:spacing w:before="120" w:after="0" w:line="240" w:lineRule="auto"/>
        <w:ind w:left="425"/>
        <w:jc w:val="both"/>
        <w:rPr>
          <w:noProof/>
        </w:rPr>
      </w:pPr>
      <w:r>
        <w:rPr>
          <w:noProof/>
        </w:rPr>
        <w:t xml:space="preserve">L'objectif de cette réforme est de soutenir l'organisation, la qualité et la sécurité des registres dans l'administration publique, le potentiel de l'administration en ligne et la réduction de la charge administrative pesant sur les citoyens. </w:t>
      </w:r>
    </w:p>
    <w:p w14:paraId="1CEBDB71" w14:textId="77777777" w:rsidR="00F74E13" w:rsidRDefault="009274FC">
      <w:pPr>
        <w:pStyle w:val="P68B1DB1-Normal6"/>
        <w:spacing w:before="120" w:after="120" w:line="240" w:lineRule="auto"/>
        <w:ind w:left="426"/>
        <w:jc w:val="both"/>
        <w:rPr>
          <w:noProof/>
        </w:rPr>
      </w:pPr>
      <w:r>
        <w:rPr>
          <w:noProof/>
        </w:rPr>
        <w:t>La réforme consiste en un ou plusieurs actes juridiques concernant les registres électroniques.</w:t>
      </w:r>
    </w:p>
    <w:p w14:paraId="1CEBDB73" w14:textId="77777777" w:rsidR="00F74E13" w:rsidRDefault="009274FC">
      <w:pPr>
        <w:pStyle w:val="P68B1DB1-Normal18"/>
        <w:spacing w:before="120" w:after="0" w:line="240" w:lineRule="auto"/>
        <w:ind w:left="425"/>
        <w:jc w:val="both"/>
        <w:rPr>
          <w:rFonts w:ascii="Times New Roman" w:hAnsi="Times New Roman"/>
          <w:noProof/>
        </w:rPr>
      </w:pPr>
      <w:r>
        <w:rPr>
          <w:rFonts w:ascii="Times New Roman" w:hAnsi="Times New Roman"/>
          <w:noProof/>
        </w:rPr>
        <w:t>Réforme 7 (C10.R7):</w:t>
      </w:r>
      <w:r>
        <w:rPr>
          <w:noProof/>
        </w:rPr>
        <w:t xml:space="preserve"> </w:t>
      </w:r>
      <w:r>
        <w:rPr>
          <w:rFonts w:ascii="Times New Roman" w:hAnsi="Times New Roman"/>
          <w:noProof/>
        </w:rPr>
        <w:t>Cadre de gouvernance pour les entreprises publiques</w:t>
      </w:r>
    </w:p>
    <w:p w14:paraId="1CEBDB74" w14:textId="77777777" w:rsidR="00F74E13" w:rsidRDefault="009274FC">
      <w:pPr>
        <w:pStyle w:val="P68B1DB1-Normal6"/>
        <w:spacing w:before="120" w:after="0" w:line="240" w:lineRule="auto"/>
        <w:ind w:left="425"/>
        <w:jc w:val="both"/>
        <w:rPr>
          <w:noProof/>
        </w:rPr>
      </w:pPr>
      <w:r>
        <w:rPr>
          <w:noProof/>
        </w:rPr>
        <w:t>L'objectif de cette réforme est d'améliorer la gouvernance des entreprises publiques.</w:t>
      </w:r>
    </w:p>
    <w:p w14:paraId="1CEBDB75" w14:textId="77777777" w:rsidR="00F74E13" w:rsidRDefault="009274FC">
      <w:pPr>
        <w:pStyle w:val="P68B1DB1-Normal6"/>
        <w:spacing w:before="120" w:after="120" w:line="240" w:lineRule="auto"/>
        <w:ind w:left="426"/>
        <w:jc w:val="both"/>
        <w:rPr>
          <w:noProof/>
        </w:rPr>
      </w:pPr>
      <w:r>
        <w:rPr>
          <w:noProof/>
        </w:rPr>
        <w:t>La réforme consiste en la publication par l'Agence des entreprises publiques et de contrôle d'informations sur la composition des conseils d'administration des grandes entreprises publiques.</w:t>
      </w:r>
    </w:p>
    <w:p w14:paraId="1CEBDB77" w14:textId="77777777" w:rsidR="00F74E13" w:rsidRDefault="009274FC">
      <w:pPr>
        <w:pStyle w:val="P68B1DB1-Normal9"/>
        <w:spacing w:before="120" w:after="0" w:line="240" w:lineRule="auto"/>
        <w:ind w:left="425"/>
        <w:jc w:val="both"/>
        <w:rPr>
          <w:noProof/>
        </w:rPr>
      </w:pPr>
      <w:r>
        <w:rPr>
          <w:noProof/>
        </w:rPr>
        <w:t>Réforme 8 (C10.R8): Mesures concernant le cadre de lutte contre le blanchiment de capitaux</w:t>
      </w:r>
    </w:p>
    <w:p w14:paraId="1CEBDB78" w14:textId="77777777" w:rsidR="00F74E13" w:rsidRDefault="009274FC">
      <w:pPr>
        <w:pStyle w:val="P68B1DB1-Normal6"/>
        <w:spacing w:before="120" w:after="120" w:line="240" w:lineRule="auto"/>
        <w:ind w:left="426"/>
        <w:jc w:val="both"/>
        <w:rPr>
          <w:noProof/>
        </w:rPr>
      </w:pPr>
      <w:r>
        <w:rPr>
          <w:noProof/>
        </w:rPr>
        <w:t xml:space="preserve">L’objectif de cette réforme est d’introduire de nouvelles mesures dans le cadre de la lutte contre le blanchiment de capitaux. </w:t>
      </w:r>
    </w:p>
    <w:p w14:paraId="1CEBDB79" w14:textId="77777777" w:rsidR="00F74E13" w:rsidRDefault="009274FC">
      <w:pPr>
        <w:spacing w:before="120" w:after="120" w:line="240" w:lineRule="auto"/>
        <w:ind w:left="426"/>
        <w:jc w:val="both"/>
        <w:rPr>
          <w:rFonts w:ascii="Times New Roman" w:hAnsi="Times New Roman"/>
          <w:noProof/>
        </w:rPr>
      </w:pPr>
      <w:r>
        <w:rPr>
          <w:rFonts w:ascii="Times New Roman" w:hAnsi="Times New Roman"/>
          <w:noProof/>
        </w:rPr>
        <w:t>La réforme consiste à adopter ou à réviser des stratégies et des procédures de surveillance, à adopter un plan d’action visant à atténuer les risques de blanchiment de capitaux et de financement du terrorisme et à mettre à jour l’évaluation nationale des risques de blanchiment de capitaux et de financement du terrorisme.</w:t>
      </w:r>
      <w:r>
        <w:rPr>
          <w:noProof/>
        </w:rPr>
        <w:t xml:space="preserve"> </w:t>
      </w:r>
    </w:p>
    <w:p w14:paraId="1CEBDB7B" w14:textId="77777777" w:rsidR="00F74E13" w:rsidRDefault="009274FC">
      <w:pPr>
        <w:pStyle w:val="P68B1DB1-Normal9"/>
        <w:spacing w:before="120" w:after="0" w:line="240" w:lineRule="auto"/>
        <w:ind w:left="425"/>
        <w:jc w:val="both"/>
        <w:rPr>
          <w:noProof/>
        </w:rPr>
      </w:pPr>
      <w:r>
        <w:rPr>
          <w:noProof/>
        </w:rPr>
        <w:t>Réforme 9 (C10.R9): Améliorer la qualité du processus législatif</w:t>
      </w:r>
    </w:p>
    <w:p w14:paraId="1CEBDB7C" w14:textId="77777777" w:rsidR="00F74E13" w:rsidRDefault="009274FC">
      <w:pPr>
        <w:pStyle w:val="P68B1DB1-Normal6"/>
        <w:spacing w:before="120" w:after="0" w:line="240" w:lineRule="auto"/>
        <w:ind w:left="425"/>
        <w:jc w:val="both"/>
        <w:rPr>
          <w:noProof/>
        </w:rPr>
      </w:pPr>
      <w:r>
        <w:rPr>
          <w:noProof/>
        </w:rPr>
        <w:t xml:space="preserve">Cette réforme vise à améliorer la qualité et la prévisibilité du processus législatif au sein de l'Assemblée nationale. </w:t>
      </w:r>
    </w:p>
    <w:p w14:paraId="1CEBDB7D" w14:textId="77777777" w:rsidR="00F74E13" w:rsidRDefault="009274FC">
      <w:pPr>
        <w:pStyle w:val="P68B1DB1-Normal6"/>
        <w:spacing w:before="120" w:after="120" w:line="240" w:lineRule="auto"/>
        <w:ind w:left="426"/>
        <w:jc w:val="both"/>
        <w:rPr>
          <w:noProof/>
        </w:rPr>
      </w:pPr>
      <w:r>
        <w:rPr>
          <w:noProof/>
        </w:rPr>
        <w:t xml:space="preserve">Pour ce faire, les règles relatives à l'organisation et à l'activité de l'Assemblée nationale prévoient que: </w:t>
      </w:r>
    </w:p>
    <w:p w14:paraId="1CEBDB7E" w14:textId="77777777" w:rsidR="00F74E13" w:rsidRDefault="009274FC">
      <w:pPr>
        <w:pStyle w:val="P68B1DB1-ListParagraph7"/>
        <w:numPr>
          <w:ilvl w:val="0"/>
          <w:numId w:val="51"/>
        </w:numPr>
        <w:spacing w:line="259" w:lineRule="auto"/>
        <w:ind w:left="851"/>
        <w:jc w:val="both"/>
        <w:rPr>
          <w:noProof/>
        </w:rPr>
      </w:pPr>
      <w:r>
        <w:rPr>
          <w:noProof/>
        </w:rPr>
        <w:t>tous les projets législatifs proposés par les députés sont accompagnés d’un raisonnement et d’une analyse d’impact préliminaire;</w:t>
      </w:r>
    </w:p>
    <w:p w14:paraId="1CEBDB7F" w14:textId="77777777" w:rsidR="00F74E13" w:rsidRDefault="009274FC">
      <w:pPr>
        <w:pStyle w:val="P68B1DB1-ListParagraph7"/>
        <w:numPr>
          <w:ilvl w:val="0"/>
          <w:numId w:val="51"/>
        </w:numPr>
        <w:spacing w:line="259" w:lineRule="auto"/>
        <w:ind w:left="851"/>
        <w:jc w:val="both"/>
        <w:rPr>
          <w:noProof/>
        </w:rPr>
      </w:pPr>
      <w:r>
        <w:rPr>
          <w:noProof/>
        </w:rPr>
        <w:t>une vue d’ensemble des avis des parties prenantes et l’avis de synthèse de la commission figurent dans les rapports des commissions parlementaires sur les projets de loi; et</w:t>
      </w:r>
    </w:p>
    <w:p w14:paraId="1CEBDB80" w14:textId="77777777" w:rsidR="00F74E13" w:rsidRDefault="009274FC">
      <w:pPr>
        <w:pStyle w:val="P68B1DB1-ListParagraph7"/>
        <w:numPr>
          <w:ilvl w:val="0"/>
          <w:numId w:val="51"/>
        </w:numPr>
        <w:spacing w:line="259" w:lineRule="auto"/>
        <w:ind w:left="851"/>
        <w:jc w:val="both"/>
        <w:rPr>
          <w:noProof/>
        </w:rPr>
      </w:pPr>
      <w:r>
        <w:rPr>
          <w:noProof/>
        </w:rPr>
        <w:t>les propositions d’amendements et de compléments à un projet d’acte législatif adopté lors du premier vote ne peuvent pas faire référence à des actes législatifs différents de ceux dont la modification ou le complément a été proposé dans le projet d’acte législatif initialement soumis, sauf dans des circonstances spécifiques.</w:t>
      </w:r>
    </w:p>
    <w:p w14:paraId="1CEBDB81" w14:textId="77777777" w:rsidR="00F74E13" w:rsidRDefault="009274FC">
      <w:pPr>
        <w:pStyle w:val="P68B1DB1-Normal6"/>
        <w:spacing w:after="120" w:line="240" w:lineRule="auto"/>
        <w:ind w:left="425"/>
        <w:jc w:val="both"/>
        <w:rPr>
          <w:noProof/>
        </w:rPr>
      </w:pPr>
      <w:r>
        <w:rPr>
          <w:noProof/>
        </w:rPr>
        <w:t>La mise en œuvre de la réforme est achevée au plus tard le 31 décembre 2021.</w:t>
      </w:r>
    </w:p>
    <w:p w14:paraId="1CEBDB83" w14:textId="77777777" w:rsidR="00F74E13" w:rsidRDefault="009274FC">
      <w:pPr>
        <w:pStyle w:val="P68B1DB1-Normal9"/>
        <w:spacing w:before="120" w:after="0" w:line="240" w:lineRule="auto"/>
        <w:ind w:left="425"/>
        <w:jc w:val="both"/>
        <w:rPr>
          <w:noProof/>
        </w:rPr>
      </w:pPr>
      <w:r>
        <w:rPr>
          <w:noProof/>
        </w:rPr>
        <w:t>Réforme 10 (C10.R10): Marchés publics</w:t>
      </w:r>
    </w:p>
    <w:p w14:paraId="1CEBDB84" w14:textId="77777777" w:rsidR="00F74E13" w:rsidRDefault="009274FC">
      <w:pPr>
        <w:pStyle w:val="P68B1DB1-Normal6"/>
        <w:spacing w:before="120" w:after="0" w:line="240" w:lineRule="auto"/>
        <w:ind w:left="425"/>
        <w:jc w:val="both"/>
        <w:rPr>
          <w:noProof/>
        </w:rPr>
      </w:pPr>
      <w:r>
        <w:rPr>
          <w:noProof/>
        </w:rPr>
        <w:t xml:space="preserve">L'objectif de cette réforme est d'accroître la transparence et la concurrence dans le processus de passation des marchés publics. </w:t>
      </w:r>
    </w:p>
    <w:p w14:paraId="1CEBDB85" w14:textId="2579C82D" w:rsidR="00F74E13" w:rsidRDefault="009274FC">
      <w:pPr>
        <w:pStyle w:val="P68B1DB1-Normal6"/>
        <w:spacing w:before="120" w:after="120" w:line="240" w:lineRule="auto"/>
        <w:ind w:left="426"/>
        <w:jc w:val="both"/>
        <w:rPr>
          <w:noProof/>
          <w:u w:val="single"/>
        </w:rPr>
      </w:pPr>
      <w:r>
        <w:rPr>
          <w:noProof/>
        </w:rPr>
        <w:t xml:space="preserve">La réforme consiste en l’entrée en vigueur d’actes juridiques, des contrôles renforcés, y compris des contrôles ex ante, des sanctions en cas de violation des règles, l’introduction de formulaires électroniques, des formations et la publication d’un rapport contenant des options de centralisation dans les procédures de passation de marchés publics. </w:t>
      </w:r>
    </w:p>
    <w:p w14:paraId="1CEBDB87" w14:textId="77777777" w:rsidR="00F74E13" w:rsidRDefault="009274FC">
      <w:pPr>
        <w:pStyle w:val="P68B1DB1-Normal9"/>
        <w:spacing w:before="120" w:after="0" w:line="240" w:lineRule="auto"/>
        <w:ind w:left="425"/>
        <w:jc w:val="both"/>
        <w:rPr>
          <w:noProof/>
        </w:rPr>
      </w:pPr>
      <w:r>
        <w:rPr>
          <w:noProof/>
        </w:rPr>
        <w:t>Réforme 11 (C10.R11): Bulgarie entreprenante</w:t>
      </w:r>
    </w:p>
    <w:p w14:paraId="1CEBDB88" w14:textId="77777777" w:rsidR="00F74E13" w:rsidRDefault="009274FC">
      <w:pPr>
        <w:pStyle w:val="P68B1DB1-Normal6"/>
        <w:spacing w:before="120" w:after="120" w:line="240" w:lineRule="auto"/>
        <w:ind w:left="426"/>
        <w:jc w:val="both"/>
        <w:rPr>
          <w:noProof/>
        </w:rPr>
      </w:pPr>
      <w:r>
        <w:rPr>
          <w:noProof/>
        </w:rPr>
        <w:t xml:space="preserve">L'objectif de cette réforme est de soutenir le développement du secteur de la haute technologie dans le pays et de soutenir l'esprit d'entreprise. </w:t>
      </w:r>
    </w:p>
    <w:p w14:paraId="1CEBDB89" w14:textId="77777777" w:rsidR="00F74E13" w:rsidRDefault="009274FC">
      <w:pPr>
        <w:pStyle w:val="P68B1DB1-Normal53"/>
        <w:spacing w:after="0" w:line="240" w:lineRule="auto"/>
        <w:ind w:left="425"/>
        <w:jc w:val="both"/>
        <w:rPr>
          <w:noProof/>
        </w:rPr>
      </w:pPr>
      <w:r>
        <w:rPr>
          <w:noProof/>
        </w:rPr>
        <w:t>La réforme consiste en l'entrée en vigueur d'un ou de plusieurs actes juridiques liés à un visa pour les entrepreneurs en démarrage, à une faillite personnelle, à un type d'entreprise commerciale plus flexible, au travail à distance.</w:t>
      </w:r>
    </w:p>
    <w:p w14:paraId="1CEBDB8B" w14:textId="77777777" w:rsidR="00F74E13" w:rsidRDefault="009274FC">
      <w:pPr>
        <w:pStyle w:val="P68B1DB1-Normal9"/>
        <w:spacing w:before="240" w:after="120" w:line="240" w:lineRule="auto"/>
        <w:ind w:left="425"/>
        <w:jc w:val="both"/>
        <w:rPr>
          <w:noProof/>
        </w:rPr>
      </w:pPr>
      <w:r>
        <w:rPr>
          <w:noProof/>
        </w:rPr>
        <w:t>Réforme 12 (C10.R12): Conseil d'analyse économique</w:t>
      </w:r>
    </w:p>
    <w:p w14:paraId="1CEBDB8C" w14:textId="77777777" w:rsidR="00F74E13" w:rsidRDefault="009274FC">
      <w:pPr>
        <w:pStyle w:val="P68B1DB1-Normal6"/>
        <w:spacing w:before="120" w:after="0" w:line="240" w:lineRule="auto"/>
        <w:ind w:left="425"/>
        <w:jc w:val="both"/>
        <w:rPr>
          <w:noProof/>
        </w:rPr>
      </w:pPr>
      <w:r>
        <w:rPr>
          <w:noProof/>
        </w:rPr>
        <w:t>L'objectif de cette réforme est de jeter les bases d'un processus de fourniture progressive et durable d'une expertise économique académique approfondie au gouvernement bulgare, qui devrait être un point de départ pour améliorer la prise de décision économique stratégique et à long terme.</w:t>
      </w:r>
    </w:p>
    <w:p w14:paraId="1CEBDB8D" w14:textId="77777777" w:rsidR="00F74E13" w:rsidRDefault="009274FC">
      <w:pPr>
        <w:pStyle w:val="P68B1DB1-Normal6"/>
        <w:spacing w:before="120" w:after="0" w:line="240" w:lineRule="auto"/>
        <w:ind w:left="425"/>
        <w:jc w:val="both"/>
        <w:rPr>
          <w:noProof/>
        </w:rPr>
      </w:pPr>
      <w:r>
        <w:rPr>
          <w:noProof/>
        </w:rPr>
        <w:t xml:space="preserve">La réforme institue un conseil d'analyse économique en tant qu'organe consultatif, qui est assisté d'un secrétariat. Le Conseil d'analyse économique produit principalement un rapport annuel sur l'état de l'économie bulgare. </w:t>
      </w:r>
    </w:p>
    <w:p w14:paraId="1CEBDB8F" w14:textId="77777777" w:rsidR="00F74E13" w:rsidRDefault="009274FC">
      <w:pPr>
        <w:pStyle w:val="P68B1DB1-Normal9"/>
        <w:spacing w:before="240" w:after="0" w:line="240" w:lineRule="auto"/>
        <w:ind w:left="425"/>
        <w:jc w:val="both"/>
        <w:rPr>
          <w:noProof/>
        </w:rPr>
      </w:pPr>
      <w:r>
        <w:rPr>
          <w:noProof/>
        </w:rPr>
        <w:t>Investissement 1 (C10.I1): Mise à niveau du système d'information unifié des tribunaux</w:t>
      </w:r>
    </w:p>
    <w:p w14:paraId="1CEBDB90" w14:textId="77777777" w:rsidR="00F74E13" w:rsidRDefault="009274FC">
      <w:pPr>
        <w:pStyle w:val="P68B1DB1-Normal6"/>
        <w:spacing w:before="120" w:after="0" w:line="240" w:lineRule="auto"/>
        <w:ind w:left="425"/>
        <w:jc w:val="both"/>
        <w:rPr>
          <w:noProof/>
        </w:rPr>
      </w:pPr>
      <w:r>
        <w:rPr>
          <w:noProof/>
        </w:rPr>
        <w:t xml:space="preserve">L’objectif de cet investissement est d’accroître la numérisation du système judiciaire. </w:t>
      </w:r>
    </w:p>
    <w:p w14:paraId="1CEBDB91" w14:textId="77777777" w:rsidR="00F74E13" w:rsidRDefault="009274FC">
      <w:pPr>
        <w:pStyle w:val="P68B1DB1-Normal6"/>
        <w:spacing w:before="120" w:after="120" w:line="240" w:lineRule="auto"/>
        <w:ind w:left="426"/>
        <w:jc w:val="both"/>
        <w:rPr>
          <w:noProof/>
          <w:u w:val="single"/>
        </w:rPr>
      </w:pPr>
      <w:r>
        <w:rPr>
          <w:noProof/>
        </w:rPr>
        <w:t xml:space="preserve">L’investissement consiste en la mise à niveau du système d’information unifié des tribunaux. </w:t>
      </w:r>
    </w:p>
    <w:p w14:paraId="1CEBDB93" w14:textId="77777777" w:rsidR="00F74E13" w:rsidRDefault="009274FC">
      <w:pPr>
        <w:pStyle w:val="P68B1DB1-Normal9"/>
        <w:spacing w:before="120" w:after="0" w:line="240" w:lineRule="auto"/>
        <w:ind w:left="425"/>
        <w:jc w:val="both"/>
        <w:rPr>
          <w:noProof/>
        </w:rPr>
      </w:pPr>
      <w:r>
        <w:rPr>
          <w:noProof/>
        </w:rPr>
        <w:t xml:space="preserve">Investissement 2 (C10.I2): Numérisation des procédures contentieuses en justice administrative </w:t>
      </w:r>
    </w:p>
    <w:p w14:paraId="1CEBDB94" w14:textId="77777777" w:rsidR="00F74E13" w:rsidRDefault="009274FC">
      <w:pPr>
        <w:pStyle w:val="P68B1DB1-Normal6"/>
        <w:spacing w:before="120" w:after="0" w:line="240" w:lineRule="auto"/>
        <w:ind w:left="425"/>
        <w:jc w:val="both"/>
        <w:rPr>
          <w:noProof/>
        </w:rPr>
      </w:pPr>
      <w:r>
        <w:rPr>
          <w:noProof/>
        </w:rPr>
        <w:t>L’objectif de cet investissement est d’accroître la numérisation des procédures devant les juridictions administratives.</w:t>
      </w:r>
    </w:p>
    <w:p w14:paraId="1CEBDB95" w14:textId="77777777" w:rsidR="00F74E13" w:rsidRDefault="009274FC">
      <w:pPr>
        <w:pStyle w:val="P68B1DB1-Normal6"/>
        <w:spacing w:before="120" w:after="120" w:line="240" w:lineRule="auto"/>
        <w:ind w:left="426"/>
        <w:jc w:val="both"/>
        <w:rPr>
          <w:noProof/>
        </w:rPr>
      </w:pPr>
      <w:r>
        <w:rPr>
          <w:noProof/>
        </w:rPr>
        <w:t>L’investissement consiste en la mise à niveau du système d’information sur la gestion des dossiers uniques.</w:t>
      </w:r>
    </w:p>
    <w:p w14:paraId="1CEBDB97" w14:textId="77777777" w:rsidR="00F74E13" w:rsidRDefault="009274FC">
      <w:pPr>
        <w:pStyle w:val="P68B1DB1-Normal9"/>
        <w:spacing w:before="120" w:after="0" w:line="240" w:lineRule="auto"/>
        <w:ind w:left="425"/>
        <w:jc w:val="both"/>
        <w:rPr>
          <w:noProof/>
        </w:rPr>
      </w:pPr>
      <w:r>
        <w:rPr>
          <w:noProof/>
        </w:rPr>
        <w:t>Investissement 3 (C10.I3): Infrastructures d’information et de communication au sein du ministère public</w:t>
      </w:r>
    </w:p>
    <w:p w14:paraId="1CEBDB98" w14:textId="77777777" w:rsidR="00F74E13" w:rsidRDefault="009274FC">
      <w:pPr>
        <w:pStyle w:val="P68B1DB1-Normal6"/>
        <w:spacing w:before="120" w:after="0" w:line="240" w:lineRule="auto"/>
        <w:ind w:left="425"/>
        <w:jc w:val="both"/>
        <w:rPr>
          <w:noProof/>
        </w:rPr>
      </w:pPr>
      <w:r>
        <w:rPr>
          <w:noProof/>
        </w:rPr>
        <w:t xml:space="preserve">L’objectif de cet investissement est d’accroître la numérisation et la sécurité de l’échange d’informations au sein du ministère public. </w:t>
      </w:r>
    </w:p>
    <w:p w14:paraId="1CEBDB99" w14:textId="77777777" w:rsidR="00F74E13" w:rsidRDefault="009274FC">
      <w:pPr>
        <w:pStyle w:val="P68B1DB1-Normal6"/>
        <w:spacing w:before="120" w:after="0" w:line="240" w:lineRule="auto"/>
        <w:ind w:left="425"/>
        <w:jc w:val="both"/>
        <w:rPr>
          <w:noProof/>
        </w:rPr>
      </w:pPr>
      <w:r>
        <w:rPr>
          <w:noProof/>
        </w:rPr>
        <w:t xml:space="preserve">L'investissement consiste en la livraison et/ou l'installation de matériel et de logiciels liés aux systèmes d'information et de communication. </w:t>
      </w:r>
    </w:p>
    <w:p w14:paraId="1CEBDB9A" w14:textId="27F86F04" w:rsidR="00F74E13" w:rsidRDefault="009274FC">
      <w:pPr>
        <w:pStyle w:val="P68B1DB1-Normal9"/>
        <w:spacing w:before="240" w:after="120" w:line="240" w:lineRule="auto"/>
        <w:ind w:left="425"/>
        <w:jc w:val="both"/>
        <w:rPr>
          <w:noProof/>
        </w:rPr>
      </w:pPr>
      <w:r>
        <w:rPr>
          <w:noProof/>
        </w:rPr>
        <w:t>Investissement 4 (C10.I4): Services de sécurité</w:t>
      </w:r>
    </w:p>
    <w:p w14:paraId="1CEBDB9B" w14:textId="77777777" w:rsidR="00F74E13" w:rsidRDefault="009274FC">
      <w:pPr>
        <w:pStyle w:val="P68B1DB1-Normal6"/>
        <w:spacing w:before="120" w:after="0" w:line="240" w:lineRule="auto"/>
        <w:ind w:left="425"/>
        <w:jc w:val="both"/>
        <w:rPr>
          <w:noProof/>
        </w:rPr>
      </w:pPr>
      <w:r>
        <w:rPr>
          <w:noProof/>
        </w:rPr>
        <w:t xml:space="preserve">L’objectif de cet investissement est d’améliorer la qualité des politiques de lutte contre la corruption et de sécurité. </w:t>
      </w:r>
    </w:p>
    <w:p w14:paraId="1CEBDB9C" w14:textId="65B944E2" w:rsidR="00F74E13" w:rsidRDefault="009274FC">
      <w:pPr>
        <w:pStyle w:val="P68B1DB1-Normal6"/>
        <w:spacing w:before="120" w:after="0" w:line="240" w:lineRule="auto"/>
        <w:ind w:left="425"/>
        <w:jc w:val="both"/>
        <w:rPr>
          <w:noProof/>
        </w:rPr>
      </w:pPr>
      <w:r>
        <w:rPr>
          <w:noProof/>
        </w:rPr>
        <w:t xml:space="preserve">L'investissement consiste à moderniser les systèmes de sécurité et de vidéosurveillance et à acquérir des véhicules de police. </w:t>
      </w:r>
    </w:p>
    <w:p w14:paraId="645F43B9" w14:textId="6ECB1350" w:rsidR="00F74E13" w:rsidRDefault="009274FC">
      <w:pPr>
        <w:pStyle w:val="P68B1DB1-Normal9"/>
        <w:spacing w:before="240" w:after="120" w:line="240" w:lineRule="auto"/>
        <w:ind w:left="425"/>
        <w:jc w:val="both"/>
        <w:rPr>
          <w:noProof/>
        </w:rPr>
      </w:pPr>
      <w:r>
        <w:rPr>
          <w:noProof/>
        </w:rPr>
        <w:t xml:space="preserve">Investissement 6 (C10.I6): Formations et configurations informatiques pour l'introduction de la modélisation de l'information du bâtiment </w:t>
      </w:r>
    </w:p>
    <w:p w14:paraId="1CEBDB9F" w14:textId="77777777" w:rsidR="00F74E13" w:rsidRDefault="009274FC">
      <w:pPr>
        <w:pStyle w:val="P68B1DB1-Normal6"/>
        <w:spacing w:after="0" w:line="240" w:lineRule="auto"/>
        <w:ind w:left="426"/>
        <w:jc w:val="both"/>
        <w:rPr>
          <w:noProof/>
        </w:rPr>
      </w:pPr>
      <w:r>
        <w:rPr>
          <w:noProof/>
        </w:rPr>
        <w:t xml:space="preserve">L'objectif de cet investissement est de soutenir la mise en place de la modélisation de l'information du bâtiment (BIM). </w:t>
      </w:r>
    </w:p>
    <w:p w14:paraId="1CEBDBA0" w14:textId="224000C9" w:rsidR="00F74E13" w:rsidRDefault="009274FC">
      <w:pPr>
        <w:pStyle w:val="P68B1DB1-Normal6"/>
        <w:spacing w:before="120" w:after="0" w:line="240" w:lineRule="auto"/>
        <w:ind w:left="425"/>
        <w:jc w:val="both"/>
        <w:rPr>
          <w:noProof/>
        </w:rPr>
      </w:pPr>
      <w:r>
        <w:rPr>
          <w:noProof/>
        </w:rPr>
        <w:t xml:space="preserve">L'investissement consiste en des formations sur le BIM et la fourniture de configurations informatiques pour l'administration publique. </w:t>
      </w:r>
    </w:p>
    <w:p w14:paraId="1CEBDBA6" w14:textId="77777777" w:rsidR="00F74E13" w:rsidRDefault="009274FC">
      <w:pPr>
        <w:pStyle w:val="P68B1DB1-Normal9"/>
        <w:spacing w:before="240" w:after="120" w:line="240" w:lineRule="auto"/>
        <w:ind w:left="425"/>
        <w:jc w:val="both"/>
        <w:rPr>
          <w:noProof/>
        </w:rPr>
      </w:pPr>
      <w:r>
        <w:rPr>
          <w:noProof/>
        </w:rPr>
        <w:t>Investissement 10 (C10.I10): Système Monitorstat</w:t>
      </w:r>
    </w:p>
    <w:p w14:paraId="1CEBDBA7" w14:textId="77777777" w:rsidR="00F74E13" w:rsidRDefault="009274FC">
      <w:pPr>
        <w:pStyle w:val="P68B1DB1-Normal6"/>
        <w:spacing w:before="120" w:after="0" w:line="240" w:lineRule="auto"/>
        <w:ind w:left="425"/>
        <w:jc w:val="both"/>
        <w:rPr>
          <w:noProof/>
        </w:rPr>
      </w:pPr>
      <w:r>
        <w:rPr>
          <w:noProof/>
        </w:rPr>
        <w:t xml:space="preserve">L'objectif de cet investissement est de structurer les informations concernant les processus de planification stratégique du gouvernement central. </w:t>
      </w:r>
    </w:p>
    <w:p w14:paraId="1CEBDBA8" w14:textId="77777777" w:rsidR="00F74E13" w:rsidRDefault="009274FC">
      <w:pPr>
        <w:pStyle w:val="P68B1DB1-Normal6"/>
        <w:spacing w:before="120" w:after="120" w:line="240" w:lineRule="auto"/>
        <w:ind w:left="426"/>
        <w:jc w:val="both"/>
        <w:rPr>
          <w:noProof/>
        </w:rPr>
      </w:pPr>
      <w:r>
        <w:rPr>
          <w:noProof/>
        </w:rPr>
        <w:t>L'investissement consiste en la mise à niveau du système Monitorstat.</w:t>
      </w:r>
    </w:p>
    <w:p w14:paraId="1CEBDBAA" w14:textId="77777777" w:rsidR="00F74E13" w:rsidRDefault="009274FC">
      <w:pPr>
        <w:pStyle w:val="P68B1DB1-Normal9"/>
        <w:spacing w:before="120" w:after="120" w:line="240" w:lineRule="auto"/>
        <w:ind w:left="426"/>
        <w:jc w:val="both"/>
        <w:rPr>
          <w:noProof/>
        </w:rPr>
      </w:pPr>
      <w:r>
        <w:rPr>
          <w:noProof/>
        </w:rPr>
        <w:t>Investissement 11 (C10.I11): Informations et environnement administratif pour le plan pour la reprise et la résilience</w:t>
      </w:r>
    </w:p>
    <w:p w14:paraId="1CEBDBAB" w14:textId="77777777" w:rsidR="00F74E13" w:rsidRDefault="009274FC">
      <w:pPr>
        <w:pStyle w:val="P68B1DB1-Normal6"/>
        <w:spacing w:before="120" w:after="0" w:line="240" w:lineRule="auto"/>
        <w:ind w:left="425"/>
        <w:jc w:val="both"/>
        <w:rPr>
          <w:noProof/>
        </w:rPr>
      </w:pPr>
      <w:r>
        <w:rPr>
          <w:noProof/>
        </w:rPr>
        <w:t>L’objectif de cet investissement est d’accroître la capacité administrative pour la réalisation de projets dans le cadre d’un financement fondé sur les performances, en mettant l’accent sur le plan pour la reprise et la résilience de la Bulgarie.</w:t>
      </w:r>
    </w:p>
    <w:p w14:paraId="1CEBDBAC" w14:textId="77777777" w:rsidR="00F74E13" w:rsidRDefault="009274FC">
      <w:pPr>
        <w:pStyle w:val="P68B1DB1-Normal6"/>
        <w:spacing w:before="120" w:after="120" w:line="240" w:lineRule="auto"/>
        <w:ind w:left="426"/>
        <w:jc w:val="both"/>
        <w:rPr>
          <w:noProof/>
        </w:rPr>
      </w:pPr>
      <w:r>
        <w:rPr>
          <w:noProof/>
        </w:rPr>
        <w:t xml:space="preserve">L’investissement consiste en des mises à niveau du système unifié d’information de gestion, des formations sur les marchés publics et des guides vidéo. </w:t>
      </w:r>
    </w:p>
    <w:p w14:paraId="55D3E050" w14:textId="06B64776" w:rsidR="00F74E13" w:rsidRDefault="009274FC">
      <w:pPr>
        <w:pStyle w:val="P68B1DB1-Normal9"/>
        <w:spacing w:before="120" w:after="120" w:line="240" w:lineRule="auto"/>
        <w:ind w:left="426"/>
        <w:jc w:val="both"/>
        <w:rPr>
          <w:noProof/>
        </w:rPr>
      </w:pPr>
      <w:r>
        <w:rPr>
          <w:noProof/>
        </w:rPr>
        <w:t>Investissement 12 (C10.I12): Numérisation de l’Agence des douanes</w:t>
      </w:r>
    </w:p>
    <w:p w14:paraId="3E0FB2CC" w14:textId="5CE02BC9" w:rsidR="00F74E13" w:rsidRDefault="009274FC">
      <w:pPr>
        <w:pStyle w:val="P68B1DB1-Normal6"/>
        <w:spacing w:before="120" w:after="0" w:line="240" w:lineRule="auto"/>
        <w:ind w:left="425"/>
        <w:jc w:val="both"/>
        <w:rPr>
          <w:noProof/>
        </w:rPr>
      </w:pPr>
      <w:r>
        <w:rPr>
          <w:noProof/>
        </w:rPr>
        <w:t xml:space="preserve">L’objectif de cet investissement est de mettre à niveau les systèmes d’information et de communication de l’Agence des douanes. </w:t>
      </w:r>
    </w:p>
    <w:p w14:paraId="7C24EC2F" w14:textId="5B9701E0" w:rsidR="00F74E13" w:rsidRDefault="009274FC">
      <w:pPr>
        <w:pStyle w:val="P68B1DB1-Normal6"/>
        <w:spacing w:before="120" w:after="120" w:line="240" w:lineRule="auto"/>
        <w:ind w:left="426"/>
        <w:jc w:val="both"/>
        <w:rPr>
          <w:noProof/>
        </w:rPr>
      </w:pPr>
      <w:r>
        <w:rPr>
          <w:noProof/>
        </w:rPr>
        <w:t xml:space="preserve">L'investissement consiste en la mise à niveau ou le développement de systèmes d'information et de communication de l'Agence des douanes. </w:t>
      </w:r>
    </w:p>
    <w:p w14:paraId="7B9AB5AD" w14:textId="77B45027" w:rsidR="00F74E13" w:rsidRDefault="009274FC">
      <w:pPr>
        <w:pStyle w:val="P68B1DB1-Normal9"/>
        <w:spacing w:before="120" w:after="120" w:line="240" w:lineRule="auto"/>
        <w:ind w:left="426"/>
        <w:jc w:val="both"/>
        <w:rPr>
          <w:noProof/>
        </w:rPr>
      </w:pPr>
      <w:r>
        <w:rPr>
          <w:noProof/>
        </w:rPr>
        <w:t>Investissement 13 (C10.I13): Numérisation de l’Agence nationale du revenu</w:t>
      </w:r>
    </w:p>
    <w:p w14:paraId="053609F4" w14:textId="1A6E69BE" w:rsidR="00F74E13" w:rsidRDefault="009274FC">
      <w:pPr>
        <w:pStyle w:val="P68B1DB1-Normal6"/>
        <w:spacing w:before="120" w:after="120" w:line="240" w:lineRule="auto"/>
        <w:ind w:left="426"/>
        <w:jc w:val="both"/>
        <w:rPr>
          <w:b/>
          <w:noProof/>
          <w:u w:val="single"/>
        </w:rPr>
      </w:pPr>
      <w:r>
        <w:rPr>
          <w:noProof/>
        </w:rPr>
        <w:t>L'objectif de cet investissement est de moderniser les systèmes d'information et de communication de l'Agence nationale du revenu.</w:t>
      </w:r>
    </w:p>
    <w:p w14:paraId="1CEBDBAD" w14:textId="3707197D" w:rsidR="00F74E13" w:rsidRDefault="009274FC">
      <w:pPr>
        <w:pStyle w:val="P68B1DB1-Normal6"/>
        <w:spacing w:before="120" w:after="120" w:line="240" w:lineRule="auto"/>
        <w:ind w:left="426"/>
        <w:jc w:val="both"/>
        <w:rPr>
          <w:b/>
          <w:noProof/>
          <w:u w:val="single"/>
        </w:rPr>
        <w:sectPr w:rsidR="00F74E13">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noProof/>
        </w:rPr>
        <w:t>L'investissement consiste à fournir du matériel et des logiciels pour la mise à niveau des systèmes d'information et de communication.</w:t>
      </w:r>
    </w:p>
    <w:p w14:paraId="1CEBDBAE" w14:textId="77777777" w:rsidR="00F74E13" w:rsidRDefault="009274FC">
      <w:pPr>
        <w:pStyle w:val="P68B1DB1-Normal8"/>
        <w:spacing w:before="120" w:after="120" w:line="240" w:lineRule="auto"/>
        <w:jc w:val="center"/>
        <w:rPr>
          <w:noProof/>
        </w:rPr>
      </w:pPr>
      <w:r>
        <w:rPr>
          <w:noProof/>
        </w:rPr>
        <w:t>J.2. Étapes, cibles, indicateurs et calendrier pour le suivi et la mise en œuvre du soutien financier non remboursable</w:t>
      </w:r>
    </w:p>
    <w:tbl>
      <w:tblPr>
        <w:tblW w:w="15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70"/>
        <w:gridCol w:w="1707"/>
        <w:gridCol w:w="1886"/>
        <w:gridCol w:w="949"/>
        <w:gridCol w:w="973"/>
        <w:gridCol w:w="1006"/>
        <w:gridCol w:w="992"/>
        <w:gridCol w:w="992"/>
        <w:gridCol w:w="3833"/>
      </w:tblGrid>
      <w:tr w:rsidR="00F74E13" w14:paraId="1CEBDBB7" w14:textId="77777777" w:rsidTr="00D24DB8">
        <w:trPr>
          <w:trHeight w:val="900"/>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AF" w14:textId="77777777" w:rsidR="00F74E13" w:rsidRDefault="009274FC">
            <w:pPr>
              <w:pStyle w:val="P68B1DB1-Normal61"/>
              <w:spacing w:after="0" w:line="240" w:lineRule="auto"/>
              <w:jc w:val="center"/>
              <w:rPr>
                <w:bCs/>
                <w:noProof/>
              </w:rPr>
            </w:pPr>
            <w:r>
              <w:rPr>
                <w:noProof/>
              </w:rPr>
              <w:t>Seq. 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0" w14:textId="77777777" w:rsidR="00F74E13" w:rsidRDefault="009274FC">
            <w:pPr>
              <w:pStyle w:val="P68B1DB1-Normal61"/>
              <w:spacing w:after="0" w:line="240" w:lineRule="auto"/>
              <w:jc w:val="center"/>
              <w:rPr>
                <w:bCs/>
                <w:noProof/>
              </w:rPr>
            </w:pPr>
            <w:r>
              <w:rPr>
                <w:noProof/>
              </w:rPr>
              <w:t>Mesure connexe (réforme ou investissement)</w:t>
            </w:r>
          </w:p>
        </w:tc>
        <w:tc>
          <w:tcPr>
            <w:tcW w:w="1270"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1" w14:textId="77777777" w:rsidR="00F74E13" w:rsidRDefault="009274FC">
            <w:pPr>
              <w:pStyle w:val="P68B1DB1-Normal61"/>
              <w:spacing w:after="0" w:line="240" w:lineRule="auto"/>
              <w:jc w:val="center"/>
              <w:rPr>
                <w:bCs/>
                <w:noProof/>
              </w:rPr>
            </w:pPr>
            <w:r>
              <w:rPr>
                <w:noProof/>
              </w:rPr>
              <w:t>Étape/cible</w:t>
            </w:r>
          </w:p>
        </w:tc>
        <w:tc>
          <w:tcPr>
            <w:tcW w:w="1707"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2" w14:textId="77777777" w:rsidR="00F74E13" w:rsidRDefault="009274FC">
            <w:pPr>
              <w:pStyle w:val="P68B1DB1-Normal61"/>
              <w:spacing w:after="0" w:line="240" w:lineRule="auto"/>
              <w:jc w:val="center"/>
              <w:rPr>
                <w:bCs/>
                <w:noProof/>
              </w:rPr>
            </w:pPr>
            <w:r>
              <w:rPr>
                <w:noProof/>
              </w:rPr>
              <w:t>Nom</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3" w14:textId="77777777" w:rsidR="00F74E13" w:rsidRDefault="009274FC">
            <w:pPr>
              <w:pStyle w:val="P68B1DB1-Normal61"/>
              <w:spacing w:after="0" w:line="240" w:lineRule="auto"/>
              <w:jc w:val="center"/>
              <w:rPr>
                <w:bCs/>
                <w:noProof/>
              </w:rPr>
            </w:pPr>
            <w:r>
              <w:rPr>
                <w:noProof/>
              </w:rPr>
              <w:t xml:space="preserve">Indicateurs qualitatifs </w:t>
            </w:r>
            <w:r>
              <w:rPr>
                <w:noProof/>
              </w:rPr>
              <w:br/>
              <w:t>(pour les jalons)</w:t>
            </w:r>
          </w:p>
        </w:tc>
        <w:tc>
          <w:tcPr>
            <w:tcW w:w="2928" w:type="dxa"/>
            <w:gridSpan w:val="3"/>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4" w14:textId="77777777" w:rsidR="00F74E13" w:rsidRDefault="009274FC">
            <w:pPr>
              <w:pStyle w:val="P68B1DB1-Normal61"/>
              <w:spacing w:after="0" w:line="240" w:lineRule="auto"/>
              <w:jc w:val="center"/>
              <w:rPr>
                <w:bCs/>
                <w:noProof/>
              </w:rPr>
            </w:pPr>
            <w:r>
              <w:rPr>
                <w:noProof/>
              </w:rPr>
              <w:t xml:space="preserve">Indicateurs quantitatifs </w:t>
            </w:r>
            <w:r>
              <w:rPr>
                <w:noProof/>
              </w:rPr>
              <w:br/>
              <w:t>(pour les objectifs)</w:t>
            </w:r>
          </w:p>
        </w:tc>
        <w:tc>
          <w:tcPr>
            <w:tcW w:w="1984" w:type="dxa"/>
            <w:gridSpan w:val="2"/>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5" w14:textId="77777777" w:rsidR="00F74E13" w:rsidRDefault="009274FC">
            <w:pPr>
              <w:pStyle w:val="P68B1DB1-Normal62"/>
              <w:spacing w:after="0" w:line="240" w:lineRule="auto"/>
              <w:jc w:val="center"/>
              <w:rPr>
                <w:rFonts w:ascii="Times New Roman" w:hAnsi="Times New Roman"/>
                <w:bCs/>
                <w:noProof/>
                <w:color w:val="000000"/>
              </w:rPr>
            </w:pPr>
            <w:r>
              <w:rPr>
                <w:rFonts w:ascii="Times New Roman" w:hAnsi="Times New Roman"/>
                <w:noProof/>
                <w:color w:val="000000" w:themeColor="text1"/>
              </w:rPr>
              <w:t>Calendrier indicatif d'achèvement</w:t>
            </w:r>
            <w:r>
              <w:rPr>
                <w:noProof/>
              </w:rPr>
              <w:br/>
            </w:r>
          </w:p>
        </w:tc>
        <w:tc>
          <w:tcPr>
            <w:tcW w:w="3833"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6" w14:textId="77777777" w:rsidR="00F74E13" w:rsidRDefault="009274FC">
            <w:pPr>
              <w:pStyle w:val="P68B1DB1-Normal61"/>
              <w:spacing w:after="0" w:line="240" w:lineRule="auto"/>
              <w:jc w:val="center"/>
              <w:rPr>
                <w:bCs/>
                <w:noProof/>
              </w:rPr>
            </w:pPr>
            <w:r>
              <w:rPr>
                <w:noProof/>
              </w:rPr>
              <w:t>Description et définition claire de chaque jalon et cible</w:t>
            </w:r>
          </w:p>
        </w:tc>
      </w:tr>
      <w:tr w:rsidR="00F74E13" w14:paraId="1CEBDBC3" w14:textId="77777777" w:rsidTr="00D24DB8">
        <w:trPr>
          <w:trHeight w:val="399"/>
          <w:tblHeader/>
          <w:jc w:val="center"/>
        </w:trPr>
        <w:tc>
          <w:tcPr>
            <w:tcW w:w="709" w:type="dxa"/>
            <w:vMerge/>
            <w:vAlign w:val="center"/>
            <w:hideMark/>
          </w:tcPr>
          <w:p w14:paraId="1CEBDBB8" w14:textId="77777777" w:rsidR="00F74E13" w:rsidRDefault="00F74E13">
            <w:pPr>
              <w:spacing w:after="0" w:line="240" w:lineRule="auto"/>
              <w:jc w:val="center"/>
              <w:rPr>
                <w:rFonts w:ascii="Times New Roman" w:hAnsi="Times New Roman"/>
                <w:noProof/>
                <w:color w:val="000000"/>
                <w:sz w:val="20"/>
              </w:rPr>
            </w:pPr>
          </w:p>
        </w:tc>
        <w:tc>
          <w:tcPr>
            <w:tcW w:w="1560" w:type="dxa"/>
            <w:vMerge/>
            <w:vAlign w:val="center"/>
            <w:hideMark/>
          </w:tcPr>
          <w:p w14:paraId="1CEBDBB9" w14:textId="77777777" w:rsidR="00F74E13" w:rsidRDefault="00F74E13">
            <w:pPr>
              <w:spacing w:after="0" w:line="240" w:lineRule="auto"/>
              <w:rPr>
                <w:rFonts w:ascii="Times New Roman" w:hAnsi="Times New Roman"/>
                <w:noProof/>
                <w:color w:val="000000"/>
                <w:sz w:val="20"/>
              </w:rPr>
            </w:pPr>
          </w:p>
        </w:tc>
        <w:tc>
          <w:tcPr>
            <w:tcW w:w="1270" w:type="dxa"/>
            <w:vMerge/>
            <w:vAlign w:val="center"/>
            <w:hideMark/>
          </w:tcPr>
          <w:p w14:paraId="1CEBDBBA" w14:textId="77777777" w:rsidR="00F74E13" w:rsidRDefault="00F74E13">
            <w:pPr>
              <w:spacing w:after="0" w:line="240" w:lineRule="auto"/>
              <w:jc w:val="center"/>
              <w:rPr>
                <w:rFonts w:ascii="Times New Roman" w:hAnsi="Times New Roman"/>
                <w:noProof/>
                <w:color w:val="000000"/>
                <w:sz w:val="20"/>
              </w:rPr>
            </w:pPr>
          </w:p>
        </w:tc>
        <w:tc>
          <w:tcPr>
            <w:tcW w:w="1707" w:type="dxa"/>
            <w:vMerge/>
            <w:vAlign w:val="center"/>
            <w:hideMark/>
          </w:tcPr>
          <w:p w14:paraId="1CEBDBBB" w14:textId="77777777" w:rsidR="00F74E13" w:rsidRDefault="00F74E13">
            <w:pPr>
              <w:spacing w:after="0" w:line="240" w:lineRule="auto"/>
              <w:rPr>
                <w:rFonts w:ascii="Times New Roman" w:hAnsi="Times New Roman"/>
                <w:noProof/>
                <w:color w:val="000000"/>
                <w:sz w:val="20"/>
              </w:rPr>
            </w:pPr>
          </w:p>
        </w:tc>
        <w:tc>
          <w:tcPr>
            <w:tcW w:w="1886" w:type="dxa"/>
            <w:vMerge/>
            <w:vAlign w:val="center"/>
            <w:hideMark/>
          </w:tcPr>
          <w:p w14:paraId="1CEBDBBC" w14:textId="77777777" w:rsidR="00F74E13" w:rsidRDefault="00F74E13">
            <w:pPr>
              <w:spacing w:after="0" w:line="240" w:lineRule="auto"/>
              <w:rPr>
                <w:rFonts w:ascii="Times New Roman" w:hAnsi="Times New Roman"/>
                <w:noProof/>
                <w:color w:val="0000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D" w14:textId="77777777" w:rsidR="00F74E13" w:rsidRDefault="009274FC">
            <w:pPr>
              <w:pStyle w:val="P68B1DB1-Normal63"/>
              <w:spacing w:after="0" w:line="240" w:lineRule="auto"/>
              <w:jc w:val="center"/>
              <w:rPr>
                <w:bCs/>
                <w:noProof/>
              </w:rPr>
            </w:pPr>
            <w:r>
              <w:rPr>
                <w:noProof/>
              </w:rPr>
              <w:t>Unité de mesure</w:t>
            </w:r>
          </w:p>
        </w:tc>
        <w:tc>
          <w:tcPr>
            <w:tcW w:w="973"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E" w14:textId="77777777" w:rsidR="00F74E13" w:rsidRDefault="009274FC">
            <w:pPr>
              <w:pStyle w:val="P68B1DB1-Normal63"/>
              <w:spacing w:after="0" w:line="240" w:lineRule="auto"/>
              <w:jc w:val="center"/>
              <w:rPr>
                <w:bCs/>
                <w:noProof/>
              </w:rPr>
            </w:pPr>
            <w:r>
              <w:rPr>
                <w:noProof/>
              </w:rPr>
              <w:t>Données de référence</w:t>
            </w:r>
          </w:p>
        </w:tc>
        <w:tc>
          <w:tcPr>
            <w:tcW w:w="1006"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F" w14:textId="77777777" w:rsidR="00F74E13" w:rsidRDefault="009274FC">
            <w:pPr>
              <w:pStyle w:val="P68B1DB1-Normal63"/>
              <w:spacing w:after="0" w:line="240" w:lineRule="auto"/>
              <w:jc w:val="center"/>
              <w:rPr>
                <w:bCs/>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C0" w14:textId="77777777" w:rsidR="00F74E13" w:rsidRDefault="009274FC">
            <w:pPr>
              <w:pStyle w:val="P68B1DB1-Normal63"/>
              <w:spacing w:after="0" w:line="240" w:lineRule="auto"/>
              <w:jc w:val="center"/>
              <w:rPr>
                <w:bCs/>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C1" w14:textId="77777777" w:rsidR="00F74E13" w:rsidRDefault="009274FC">
            <w:pPr>
              <w:pStyle w:val="P68B1DB1-Normal63"/>
              <w:spacing w:after="0" w:line="240" w:lineRule="auto"/>
              <w:jc w:val="center"/>
              <w:rPr>
                <w:bCs/>
                <w:noProof/>
              </w:rPr>
            </w:pPr>
            <w:r>
              <w:rPr>
                <w:noProof/>
              </w:rPr>
              <w:t>Année</w:t>
            </w:r>
          </w:p>
        </w:tc>
        <w:tc>
          <w:tcPr>
            <w:tcW w:w="3833" w:type="dxa"/>
            <w:vMerge/>
            <w:vAlign w:val="center"/>
            <w:hideMark/>
          </w:tcPr>
          <w:p w14:paraId="1CEBDBC2" w14:textId="77777777" w:rsidR="00F74E13" w:rsidRDefault="00F74E13">
            <w:pPr>
              <w:spacing w:after="0" w:line="240" w:lineRule="auto"/>
              <w:rPr>
                <w:rFonts w:ascii="Times New Roman" w:hAnsi="Times New Roman"/>
                <w:noProof/>
                <w:color w:val="000000"/>
                <w:sz w:val="20"/>
              </w:rPr>
            </w:pPr>
          </w:p>
        </w:tc>
      </w:tr>
      <w:tr w:rsidR="00F74E13" w14:paraId="1CEBDBD1"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C4" w14:textId="77777777" w:rsidR="00F74E13" w:rsidRDefault="009274FC">
            <w:pPr>
              <w:pStyle w:val="P68B1DB1-Normal35"/>
              <w:spacing w:after="0" w:line="240" w:lineRule="auto"/>
              <w:jc w:val="center"/>
              <w:rPr>
                <w:noProof/>
              </w:rPr>
            </w:pPr>
            <w:r>
              <w:rPr>
                <w:noProof/>
              </w:rPr>
              <w:t>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C5" w14:textId="77777777" w:rsidR="00F74E13" w:rsidRDefault="009274FC">
            <w:pPr>
              <w:pStyle w:val="P68B1DB1-Normal35"/>
              <w:spacing w:after="0" w:line="240" w:lineRule="auto"/>
              <w:rPr>
                <w:noProof/>
              </w:rPr>
            </w:pPr>
            <w:r>
              <w:rPr>
                <w:noProof/>
              </w:rPr>
              <w:t>C10.R1 : Réforme du système judiciaire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BC6" w14:textId="77777777" w:rsidR="00F74E13" w:rsidRDefault="009274FC">
            <w:pPr>
              <w:pStyle w:val="P68B1DB1-Normal1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BC7" w14:textId="77777777" w:rsidR="00F74E13" w:rsidRDefault="009274FC">
            <w:pPr>
              <w:pStyle w:val="P68B1DB1-Normal15"/>
              <w:spacing w:after="0" w:line="240" w:lineRule="auto"/>
              <w:rPr>
                <w:noProof/>
              </w:rPr>
            </w:pPr>
            <w:r>
              <w:rPr>
                <w:noProof/>
              </w:rPr>
              <w:t>Adoption d'une feuille de route par le Conseil des ministres pour la mise en œuvre des arrêts de la Cour européenne des droits de l'homme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CA" w14:textId="526B003E" w:rsidR="00F74E13" w:rsidRDefault="009274FC">
            <w:pPr>
              <w:pStyle w:val="P68B1DB1-Normal15"/>
              <w:spacing w:after="0" w:line="240" w:lineRule="auto"/>
              <w:rPr>
                <w:noProof/>
              </w:rPr>
            </w:pPr>
            <w:r>
              <w:rPr>
                <w:noProof/>
              </w:rPr>
              <w:t>Élaboration et adoption d'une feuille de route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CB"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CC"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BCD"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CE"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CF" w14:textId="77777777" w:rsidR="00F74E13" w:rsidRDefault="009274FC">
            <w:pPr>
              <w:pStyle w:val="P68B1DB1-Normal35"/>
              <w:spacing w:after="0" w:line="240" w:lineRule="auto"/>
              <w:jc w:val="center"/>
              <w:rPr>
                <w:noProof/>
              </w:rPr>
            </w:pPr>
            <w:r>
              <w:rPr>
                <w:noProof/>
              </w:rPr>
              <w:t>2021</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BD0" w14:textId="77777777" w:rsidR="00F74E13" w:rsidRDefault="009274FC">
            <w:pPr>
              <w:pStyle w:val="P68B1DB1-Normal15"/>
              <w:spacing w:after="0" w:line="240" w:lineRule="auto"/>
              <w:jc w:val="both"/>
              <w:rPr>
                <w:noProof/>
              </w:rPr>
            </w:pPr>
            <w:r>
              <w:rPr>
                <w:noProof/>
              </w:rPr>
              <w:t xml:space="preserve">Adoption d’une feuille de route sur la mise en œuvre des arrêts de la Cour européenne des droits de l’homme (ci-après la «CEDH») et la planification de mesures concrètes et de délais, ainsi que des institutions chargées de leur exécution. </w:t>
            </w:r>
          </w:p>
        </w:tc>
      </w:tr>
      <w:tr w:rsidR="00F74E13" w14:paraId="1CEBDBE6" w14:textId="77777777" w:rsidTr="00D24DB8">
        <w:trPr>
          <w:trHeight w:val="924"/>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D2" w14:textId="77777777" w:rsidR="00F74E13" w:rsidRDefault="009274FC">
            <w:pPr>
              <w:pStyle w:val="P68B1DB1-Normal15"/>
              <w:spacing w:after="0" w:line="240" w:lineRule="auto"/>
              <w:jc w:val="center"/>
              <w:rPr>
                <w:noProof/>
              </w:rPr>
            </w:pPr>
            <w:r>
              <w:rPr>
                <w:noProof/>
              </w:rPr>
              <w:t>214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D3" w14:textId="77777777" w:rsidR="00F74E13" w:rsidRDefault="009274FC">
            <w:pPr>
              <w:pStyle w:val="P68B1DB1-Normal15"/>
              <w:spacing w:after="0" w:line="240" w:lineRule="auto"/>
              <w:rPr>
                <w:noProof/>
              </w:rPr>
            </w:pPr>
            <w:r>
              <w:rPr>
                <w:noProof/>
              </w:rPr>
              <w:t>C10.R1 : Réforme du système judiciaire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BD4" w14:textId="77777777" w:rsidR="00F74E13" w:rsidRDefault="009274FC">
            <w:pPr>
              <w:pStyle w:val="P68B1DB1-Normal1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BD5" w14:textId="77777777" w:rsidR="00F74E13" w:rsidRDefault="009274FC">
            <w:pPr>
              <w:pStyle w:val="P68B1DB1-Normal15"/>
              <w:spacing w:after="0" w:line="240" w:lineRule="auto"/>
              <w:rPr>
                <w:noProof/>
              </w:rPr>
            </w:pPr>
            <w:r>
              <w:rPr>
                <w:noProof/>
              </w:rPr>
              <w:t>Entrée en vigueur des modifications législatives apportées à la loi sur l'entraide judiciaire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D6" w14:textId="77777777" w:rsidR="00F74E13" w:rsidRDefault="009274FC">
            <w:pPr>
              <w:pStyle w:val="P68B1DB1-Normal15"/>
              <w:spacing w:after="0" w:line="240" w:lineRule="auto"/>
              <w:rPr>
                <w:noProof/>
              </w:rPr>
            </w:pPr>
            <w:r>
              <w:rPr>
                <w:noProof/>
              </w:rPr>
              <w:t>Dispositions de la loi indiquant l'entrée en vigueur des modifications législatives apportées à la loi sur l'entraide judiciaire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D7"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D8"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BD9"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DA"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DB"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BDC"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Les modifications se fondent sur une analyse de l’extension des types d’assistance</w:t>
            </w:r>
            <w:r>
              <w:rPr>
                <w:rFonts w:ascii="Times New Roman" w:eastAsia="Times New Roman" w:hAnsi="Times New Roman" w:cs="Times New Roman"/>
                <w:noProof/>
                <w:szCs w:val="20"/>
              </w:rPr>
              <w:t xml:space="preserve"> juridique gratuite, des raisons de l’octroi de l’assistance juridique et des exonérations des frais de justice pour les personnes ayant bénéficié de l’assistance juridique.</w:t>
            </w:r>
            <w:r>
              <w:rPr>
                <w:rFonts w:ascii="Times New Roman" w:hAnsi="Times New Roman"/>
                <w:noProof/>
              </w:rPr>
              <w:t xml:space="preserve"> Ils élargissent le champ d'application de l'assistance juridique</w:t>
            </w:r>
            <w:r>
              <w:rPr>
                <w:rFonts w:ascii="Times New Roman" w:eastAsia="Times New Roman" w:hAnsi="Times New Roman" w:cs="Times New Roman"/>
                <w:noProof/>
                <w:szCs w:val="20"/>
              </w:rPr>
              <w:t xml:space="preserve"> pour couvrir la représentation:</w:t>
            </w:r>
            <w:r>
              <w:rPr>
                <w:rFonts w:ascii="Times New Roman" w:hAnsi="Times New Roman"/>
                <w:noProof/>
              </w:rPr>
              <w:t xml:space="preserve"> </w:t>
            </w:r>
          </w:p>
          <w:p w14:paraId="1CEBDBDD" w14:textId="77777777" w:rsidR="00F74E13" w:rsidRDefault="009274FC">
            <w:pPr>
              <w:pStyle w:val="P68B1DB1-Normal15"/>
              <w:spacing w:after="0" w:line="240" w:lineRule="auto"/>
              <w:jc w:val="both"/>
              <w:rPr>
                <w:noProof/>
              </w:rPr>
            </w:pPr>
            <w:r>
              <w:rPr>
                <w:noProof/>
              </w:rPr>
              <w:t xml:space="preserve">- devant les tribunaux d'arbitrage; </w:t>
            </w:r>
          </w:p>
          <w:p w14:paraId="1CEBDBDE" w14:textId="77777777" w:rsidR="00F74E13" w:rsidRDefault="009274FC">
            <w:pPr>
              <w:pStyle w:val="P68B1DB1-Normal15"/>
              <w:spacing w:after="0" w:line="240" w:lineRule="auto"/>
              <w:jc w:val="both"/>
              <w:rPr>
                <w:noProof/>
              </w:rPr>
            </w:pPr>
            <w:r>
              <w:rPr>
                <w:noProof/>
              </w:rPr>
              <w:t>devant des organes administratifs spéciaux, y compris l’Agence nationale pour les réfugiés, la Commission pour la protection contre la discrimination et la Commission pour la protection des consommateurs;</w:t>
            </w:r>
          </w:p>
          <w:p w14:paraId="1CEBDBDF" w14:textId="77777777" w:rsidR="00F74E13" w:rsidRDefault="009274FC">
            <w:pPr>
              <w:pStyle w:val="P68B1DB1-Normal15"/>
              <w:spacing w:after="0" w:line="240" w:lineRule="auto"/>
              <w:jc w:val="both"/>
              <w:rPr>
                <w:noProof/>
              </w:rPr>
            </w:pPr>
            <w:r>
              <w:rPr>
                <w:noProof/>
              </w:rPr>
              <w:t xml:space="preserve">- pour le règlement extrajudiciaire des litiges et la médiation. </w:t>
            </w:r>
          </w:p>
          <w:p w14:paraId="1CEBDBE0" w14:textId="77777777" w:rsidR="00F74E13" w:rsidRDefault="009274FC">
            <w:pPr>
              <w:pStyle w:val="P68B1DB1-Normal15"/>
              <w:spacing w:after="0" w:line="240" w:lineRule="auto"/>
              <w:jc w:val="both"/>
              <w:rPr>
                <w:noProof/>
              </w:rPr>
            </w:pPr>
            <w:r>
              <w:rPr>
                <w:noProof/>
              </w:rPr>
              <w:t>Les modifications élargissent également le cercle des personnes pouvant bénéficier d'une assistance juridique afin d'y inclure:</w:t>
            </w:r>
          </w:p>
          <w:p w14:paraId="1CEBDBE1" w14:textId="77777777" w:rsidR="00F74E13" w:rsidRDefault="009274FC">
            <w:pPr>
              <w:pStyle w:val="P68B1DB1-Normal15"/>
              <w:spacing w:after="0" w:line="240" w:lineRule="auto"/>
              <w:jc w:val="both"/>
              <w:rPr>
                <w:noProof/>
              </w:rPr>
            </w:pPr>
            <w:r>
              <w:rPr>
                <w:noProof/>
              </w:rPr>
              <w:t>les personnes handicapées percevant une allocation mensuelle conformément à la loi sur l'intégration des personnes handicapées;</w:t>
            </w:r>
          </w:p>
          <w:p w14:paraId="1CEBDBE2" w14:textId="77777777" w:rsidR="00F74E13" w:rsidRDefault="009274FC">
            <w:pPr>
              <w:pStyle w:val="P68B1DB1-Normal15"/>
              <w:spacing w:after="0" w:line="240" w:lineRule="auto"/>
              <w:jc w:val="both"/>
              <w:rPr>
                <w:noProof/>
              </w:rPr>
            </w:pPr>
            <w:r>
              <w:rPr>
                <w:noProof/>
              </w:rPr>
              <w:t xml:space="preserve">et </w:t>
            </w:r>
          </w:p>
          <w:p w14:paraId="1CEBDBE3" w14:textId="77777777" w:rsidR="00F74E13" w:rsidRDefault="009274FC">
            <w:pPr>
              <w:pStyle w:val="P68B1DB1-Normal15"/>
              <w:spacing w:after="0" w:line="240" w:lineRule="auto"/>
              <w:jc w:val="both"/>
              <w:rPr>
                <w:noProof/>
              </w:rPr>
            </w:pPr>
            <w:r>
              <w:rPr>
                <w:noProof/>
              </w:rPr>
              <w:t>- les personnes pour lesquelles une demande de placement sous tutelle a été déposée.</w:t>
            </w:r>
          </w:p>
          <w:p w14:paraId="1CEBDBE5" w14:textId="77777777" w:rsidR="00F74E13" w:rsidRDefault="009274FC">
            <w:pPr>
              <w:pStyle w:val="P68B1DB1-Normal15"/>
              <w:spacing w:after="0" w:line="240" w:lineRule="auto"/>
              <w:jc w:val="both"/>
              <w:rPr>
                <w:noProof/>
              </w:rPr>
            </w:pPr>
            <w:r>
              <w:rPr>
                <w:noProof/>
              </w:rPr>
              <w:t>Les modifications prévoient des exonérations de frais de justice pour les personnes auxquelles une assistance juridique a été accordée.</w:t>
            </w:r>
          </w:p>
        </w:tc>
      </w:tr>
      <w:tr w:rsidR="00F74E13" w14:paraId="1CEBDBF5"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E7" w14:textId="77777777" w:rsidR="00F74E13" w:rsidRDefault="009274FC">
            <w:pPr>
              <w:pStyle w:val="P68B1DB1-Normal15"/>
              <w:spacing w:after="0" w:line="240" w:lineRule="auto"/>
              <w:jc w:val="center"/>
              <w:rPr>
                <w:noProof/>
              </w:rPr>
            </w:pPr>
            <w:r>
              <w:rPr>
                <w:noProof/>
              </w:rPr>
              <w:t>215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E8" w14:textId="77777777" w:rsidR="00F74E13" w:rsidRDefault="009274FC">
            <w:pPr>
              <w:pStyle w:val="P68B1DB1-Normal15"/>
              <w:spacing w:after="0" w:line="240" w:lineRule="auto"/>
              <w:rPr>
                <w:noProof/>
              </w:rPr>
            </w:pPr>
            <w:r>
              <w:rPr>
                <w:noProof/>
              </w:rPr>
              <w:t>C10.R1 : Réforme du système judiciaire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BE9" w14:textId="77777777" w:rsidR="00F74E13" w:rsidRDefault="009274FC">
            <w:pPr>
              <w:pStyle w:val="P68B1DB1-Normal1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BEA" w14:textId="77777777" w:rsidR="00F74E13" w:rsidRDefault="009274FC">
            <w:pPr>
              <w:pStyle w:val="P68B1DB1-Normal13"/>
              <w:spacing w:after="0" w:line="240" w:lineRule="auto"/>
              <w:rPr>
                <w:noProof/>
              </w:rPr>
            </w:pPr>
            <w:r>
              <w:rPr>
                <w:noProof/>
              </w:rPr>
              <w:t>Entrée en vigueur d’un ou de plusieurs actes juridiques sur la justice en ligne dans les affaires administratives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EB" w14:textId="77777777" w:rsidR="00F74E13" w:rsidRDefault="009274FC">
            <w:pPr>
              <w:pStyle w:val="P68B1DB1-Normal13"/>
              <w:spacing w:after="0" w:line="240" w:lineRule="auto"/>
              <w:rPr>
                <w:noProof/>
              </w:rPr>
            </w:pPr>
            <w:r>
              <w:rPr>
                <w:noProof/>
              </w:rPr>
              <w:t xml:space="preserve">Dispositions de l’acte ou des actes juridiques indiquant l’entrée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EC"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ED"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BEE"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EF"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F0"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BF1" w14:textId="77777777" w:rsidR="00F74E13" w:rsidRDefault="009274FC">
            <w:pPr>
              <w:pStyle w:val="P68B1DB1-Normal13"/>
              <w:spacing w:after="0" w:line="240" w:lineRule="auto"/>
              <w:jc w:val="both"/>
              <w:rPr>
                <w:noProof/>
              </w:rPr>
            </w:pPr>
            <w:r>
              <w:rPr>
                <w:noProof/>
              </w:rPr>
              <w:t xml:space="preserve">Le ou les actes juridiques prévoient la possibilité: </w:t>
            </w:r>
          </w:p>
          <w:p w14:paraId="1CEBDBF2"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un acte judiciaire relatif à une ou plusieurs affaires administratives à rédiger sous la forme d’un document électronique et à signer avec une signature électronique qualifiée,</w:t>
            </w:r>
            <w:r>
              <w:rPr>
                <w:rFonts w:ascii="Times New Roman" w:eastAsia="Times New Roman" w:hAnsi="Times New Roman" w:cs="Times New Roman"/>
                <w:noProof/>
                <w:szCs w:val="20"/>
              </w:rPr>
              <w:t xml:space="preserve"> à l’exception des actes judiciaires qui ne peuvent pas être rédigés sous forme écrite en raison de leur nature, ou lorsque d’autres dispositions légales en disposent autrement;</w:t>
            </w:r>
            <w:r>
              <w:rPr>
                <w:rFonts w:ascii="Times New Roman" w:hAnsi="Times New Roman"/>
                <w:noProof/>
              </w:rPr>
              <w:t xml:space="preserve"> </w:t>
            </w:r>
          </w:p>
          <w:p w14:paraId="1CEBDBF3" w14:textId="77777777" w:rsidR="00F74E13" w:rsidRDefault="009274FC">
            <w:pPr>
              <w:pStyle w:val="P68B1DB1-Normal15"/>
              <w:spacing w:after="0" w:line="240" w:lineRule="auto"/>
              <w:jc w:val="both"/>
              <w:rPr>
                <w:noProof/>
              </w:rPr>
            </w:pPr>
            <w:r>
              <w:rPr>
                <w:noProof/>
              </w:rPr>
              <w:t xml:space="preserve">les parties à une procédure judiciaire administrative à présenter des documents administratifs sous forme électronique; </w:t>
            </w:r>
          </w:p>
          <w:p w14:paraId="1CEBDBF4" w14:textId="77777777" w:rsidR="00F74E13" w:rsidRDefault="009274FC">
            <w:pPr>
              <w:pStyle w:val="P68B1DB1-Normal13"/>
              <w:spacing w:after="0" w:line="240" w:lineRule="auto"/>
              <w:jc w:val="both"/>
              <w:rPr>
                <w:noProof/>
              </w:rPr>
            </w:pPr>
            <w:r>
              <w:rPr>
                <w:noProof/>
              </w:rPr>
              <w:t xml:space="preserve">- la tenue d'auditions virtuelles dans le cadre de procédures judiciaires administratives. </w:t>
            </w:r>
          </w:p>
        </w:tc>
      </w:tr>
      <w:tr w:rsidR="00F74E13" w14:paraId="1CEBDC03" w14:textId="77777777" w:rsidTr="00D24DB8">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F6" w14:textId="77777777" w:rsidR="00F74E13" w:rsidRDefault="009274FC">
            <w:pPr>
              <w:pStyle w:val="P68B1DB1-Normal35"/>
              <w:spacing w:after="0" w:line="240" w:lineRule="auto"/>
              <w:jc w:val="center"/>
              <w:rPr>
                <w:noProof/>
              </w:rPr>
            </w:pPr>
            <w:r>
              <w:rPr>
                <w:noProof/>
              </w:rPr>
              <w:t>217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F7"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BF8"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BF9" w14:textId="77777777" w:rsidR="00F74E13" w:rsidRDefault="009274FC">
            <w:pPr>
              <w:spacing w:after="0" w:line="240" w:lineRule="auto"/>
              <w:rPr>
                <w:rFonts w:ascii="Times New Roman" w:hAnsi="Times New Roman"/>
                <w:noProof/>
                <w:color w:val="006100"/>
                <w:sz w:val="20"/>
              </w:rPr>
            </w:pPr>
            <w:r>
              <w:rPr>
                <w:rFonts w:ascii="Times New Roman" w:eastAsia="Times New Roman" w:hAnsi="Times New Roman" w:cs="Times New Roman"/>
                <w:noProof/>
                <w:color w:val="006100"/>
                <w:sz w:val="20"/>
                <w:szCs w:val="20"/>
              </w:rPr>
              <w:t>Entrée en vigueur de la loi sur la protection des personnes signalant des infractions ou divulguant publiquement des informations sur des infractions et des modifications du cadre juridique relatif à la dénonciation</w:t>
            </w:r>
            <w:r>
              <w:rPr>
                <w:rStyle w:val="CommentReference"/>
                <w:rFonts w:ascii="Times New Roman" w:hAnsi="Times New Roman" w:cs="Times New Roman"/>
                <w:noProof/>
                <w:sz w:val="20"/>
                <w:szCs w:val="20"/>
              </w:rPr>
              <w:t xml:space="preserve"> </w:t>
            </w:r>
            <w:r>
              <w:rPr>
                <w:rFonts w:ascii="Times New Roman" w:eastAsia="Times New Roman" w:hAnsi="Times New Roman" w:cs="Times New Roman"/>
                <w:noProof/>
                <w:color w:val="006100"/>
                <w:sz w:val="20"/>
                <w:szCs w:val="20"/>
              </w:rPr>
              <w:t xml:space="preserve"> des dysfonctionnements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FA" w14:textId="77777777" w:rsidR="00F74E13" w:rsidRDefault="009274FC">
            <w:pPr>
              <w:pStyle w:val="P68B1DB1-Normal35"/>
              <w:spacing w:after="0" w:line="240" w:lineRule="auto"/>
              <w:rPr>
                <w:noProof/>
              </w:rPr>
            </w:pPr>
            <w:r>
              <w:rPr>
                <w:noProof/>
              </w:rPr>
              <w:t>Dispositions de la loi indiquant l’entrée en vigueur de la loi sur la protection des personnes signalant des infractions ou divulguant publiquement des informations sur des infractions et des modifications du cadre juridique relatif à la dénonciation des dysfonctionnements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FB"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FC"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BFD"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FE"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FF" w14:textId="77777777" w:rsidR="00F74E13" w:rsidRDefault="009274FC">
            <w:pPr>
              <w:pStyle w:val="P68B1DB1-Normal15"/>
              <w:spacing w:after="0" w:line="240" w:lineRule="auto"/>
              <w:jc w:val="center"/>
              <w:rPr>
                <w:rFonts w:eastAsia="Times New Roman" w:cs="Times New Roman"/>
                <w:noProof/>
                <w:szCs w:val="20"/>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00" w14:textId="77777777" w:rsidR="00F74E13" w:rsidRDefault="009274FC">
            <w:pPr>
              <w:pStyle w:val="P68B1DB1-Normal35"/>
              <w:spacing w:after="0" w:line="240" w:lineRule="auto"/>
              <w:jc w:val="both"/>
              <w:rPr>
                <w:noProof/>
              </w:rPr>
            </w:pPr>
            <w:r>
              <w:rPr>
                <w:noProof/>
              </w:rPr>
              <w:t>l’entrée en vigueur de la loi sur la protection des personnes signalant des infractions ou divulguant publiquement des informations sur des infractions, qui transpose les exigences suivantes de la directive (UE) 2019/1937 en ce qui concerne la création de canaux de signalement internes et externes confidentiels; la mise en place de mécanismes de vérification des signaux soumis; fournir des mesures de protection et de soutien aux lanceurs d’alerte; assurer la fourniture d’un retour d’information et la tenue de registres sur les résultats des inspections effectuées sur la base de signaux.</w:t>
            </w:r>
          </w:p>
          <w:p w14:paraId="1CEBDC01" w14:textId="77777777" w:rsidR="00F74E13" w:rsidRDefault="009274FC">
            <w:pPr>
              <w:pStyle w:val="P68B1DB1-Normal35"/>
              <w:spacing w:after="0" w:line="240" w:lineRule="auto"/>
              <w:jc w:val="both"/>
              <w:rPr>
                <w:noProof/>
              </w:rPr>
            </w:pPr>
            <w:r>
              <w:rPr>
                <w:noProof/>
              </w:rPr>
              <w:t>En outre, des modifications sont apportées:</w:t>
            </w:r>
          </w:p>
          <w:p w14:paraId="1CEBDC02" w14:textId="79E962B9" w:rsidR="00F74E13" w:rsidRDefault="009274FC">
            <w:pPr>
              <w:spacing w:after="0" w:line="240" w:lineRule="auto"/>
              <w:jc w:val="both"/>
              <w:rPr>
                <w:rFonts w:ascii="Times New Roman" w:hAnsi="Times New Roman"/>
                <w:noProof/>
                <w:color w:val="006100"/>
                <w:sz w:val="20"/>
              </w:rPr>
            </w:pPr>
            <w:r>
              <w:rPr>
                <w:rFonts w:ascii="Times New Roman" w:eastAsia="Times New Roman" w:hAnsi="Times New Roman" w:cs="Times New Roman"/>
                <w:noProof/>
                <w:color w:val="006100"/>
                <w:sz w:val="20"/>
                <w:szCs w:val="20"/>
              </w:rPr>
              <w:t>- la loi sur l'autonomie et l'administration locale, qui prévoit l'obligation de rendre publics les résultats de l'activité des comités d'éthique traitant des signaux concernant les comportements contraires à l'éthique, les conflits d'intérêts et d'autres signaux concernant les comportements corrompus des conseillers municipaux;</w:t>
            </w:r>
            <w:r>
              <w:rPr>
                <w:rFonts w:hint="eastAsia"/>
                <w:noProof/>
              </w:rPr>
              <w:br/>
            </w:r>
            <w:r>
              <w:rPr>
                <w:rFonts w:ascii="Times New Roman" w:eastAsia="Times New Roman" w:hAnsi="Times New Roman" w:cs="Times New Roman"/>
                <w:noProof/>
                <w:color w:val="006100"/>
                <w:sz w:val="20"/>
                <w:szCs w:val="20"/>
              </w:rPr>
              <w:t>- les dispositions du Code criminel régissant les infractions criminelles d'insulte et de diffamation pour réviser les sanctions applicables.</w:t>
            </w:r>
          </w:p>
        </w:tc>
      </w:tr>
      <w:tr w:rsidR="00F74E13" w14:paraId="1CEBDC15"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04" w14:textId="77777777" w:rsidR="00F74E13" w:rsidRDefault="009274FC">
            <w:pPr>
              <w:pStyle w:val="P68B1DB1-Normal35"/>
              <w:spacing w:after="0" w:line="240" w:lineRule="auto"/>
              <w:jc w:val="center"/>
              <w:rPr>
                <w:noProof/>
              </w:rPr>
            </w:pPr>
            <w:r>
              <w:rPr>
                <w:noProof/>
              </w:rPr>
              <w:t>218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05"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06"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07"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d’un </w:t>
            </w:r>
            <w:r>
              <w:rPr>
                <w:rFonts w:ascii="Times New Roman" w:eastAsia="Times New Roman" w:hAnsi="Times New Roman" w:cs="Times New Roman"/>
                <w:noProof/>
                <w:szCs w:val="20"/>
              </w:rPr>
              <w:t>ou de plusieurs actes juridiques prévoyant</w:t>
            </w:r>
            <w:r>
              <w:rPr>
                <w:rFonts w:ascii="Times New Roman" w:hAnsi="Times New Roman"/>
                <w:noProof/>
              </w:rPr>
              <w:t xml:space="preserve"> la création d’un organisme de lutte contre la corruption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08"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Disposition du </w:t>
            </w:r>
            <w:r>
              <w:rPr>
                <w:rFonts w:ascii="Times New Roman" w:eastAsia="Times New Roman" w:hAnsi="Times New Roman" w:cs="Times New Roman"/>
                <w:noProof/>
                <w:szCs w:val="20"/>
              </w:rPr>
              <w:t>ou des actes juridiques indiquant</w:t>
            </w:r>
            <w:r>
              <w:rPr>
                <w:rFonts w:ascii="Times New Roman" w:hAnsi="Times New Roman"/>
                <w:noProof/>
              </w:rPr>
              <w:t xml:space="preserve"> </w:t>
            </w:r>
            <w:r>
              <w:rPr>
                <w:rFonts w:ascii="Times New Roman" w:eastAsia="Times New Roman" w:hAnsi="Times New Roman" w:cs="Times New Roman"/>
                <w:noProof/>
                <w:szCs w:val="20"/>
              </w:rPr>
              <w:t>l’entrée</w:t>
            </w:r>
            <w:r>
              <w:rPr>
                <w:rFonts w:ascii="Times New Roman" w:hAnsi="Times New Roman"/>
                <w:noProof/>
              </w:rPr>
              <w:t xml:space="preserv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09"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0A"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0B"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0C"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0D"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0E" w14:textId="77777777" w:rsidR="00F74E13" w:rsidRDefault="009274FC">
            <w:pPr>
              <w:pStyle w:val="P68B1DB1-Normal13"/>
              <w:spacing w:after="0" w:line="240" w:lineRule="auto"/>
              <w:jc w:val="both"/>
              <w:rPr>
                <w:noProof/>
              </w:rPr>
            </w:pPr>
            <w:r>
              <w:rPr>
                <w:noProof/>
              </w:rPr>
              <w:t xml:space="preserve">Le ou les actes juridiques prévoient la création d’un organisme de lutte contre la corruption politiquement et financièrement indépendant. </w:t>
            </w:r>
          </w:p>
          <w:p w14:paraId="1CEBDC0F"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Le </w:t>
            </w:r>
            <w:r>
              <w:rPr>
                <w:rFonts w:ascii="Times New Roman" w:eastAsia="Times New Roman" w:hAnsi="Times New Roman" w:cs="Times New Roman"/>
                <w:noProof/>
                <w:szCs w:val="20"/>
              </w:rPr>
              <w:t>ou les actes juridiques prévoient</w:t>
            </w:r>
            <w:r>
              <w:rPr>
                <w:rFonts w:ascii="Times New Roman" w:hAnsi="Times New Roman"/>
                <w:noProof/>
              </w:rPr>
              <w:t xml:space="preserve"> que l’organe de lutte contre la corruption:</w:t>
            </w:r>
          </w:p>
          <w:p w14:paraId="1CEBDC10" w14:textId="77777777" w:rsidR="00F74E13" w:rsidRDefault="009274FC">
            <w:pPr>
              <w:pStyle w:val="P68B1DB1-Normal15"/>
              <w:spacing w:after="0" w:line="240" w:lineRule="auto"/>
              <w:jc w:val="both"/>
              <w:rPr>
                <w:noProof/>
              </w:rPr>
            </w:pPr>
            <w:r>
              <w:rPr>
                <w:noProof/>
              </w:rPr>
              <w:t>sa direction est nommée dans le cadre d'un processus transparent garantissant l'indépendance politique;</w:t>
            </w:r>
          </w:p>
          <w:p w14:paraId="1CEBDC11"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a le pouvoir d'enquêter et de </w:t>
            </w:r>
            <w:r>
              <w:rPr>
                <w:rFonts w:ascii="Times New Roman" w:eastAsia="Times New Roman" w:hAnsi="Times New Roman" w:cs="Times New Roman"/>
                <w:noProof/>
                <w:szCs w:val="20"/>
              </w:rPr>
              <w:t>recueillir des</w:t>
            </w:r>
            <w:r>
              <w:rPr>
                <w:rFonts w:ascii="Times New Roman" w:hAnsi="Times New Roman"/>
                <w:noProof/>
              </w:rPr>
              <w:t xml:space="preserve"> éléments de preuve, sous réserve de garanties juridiques pour les droits et libertés des particuliers et des entreprises; </w:t>
            </w:r>
          </w:p>
          <w:p w14:paraId="1CEBDC12" w14:textId="77777777" w:rsidR="00F74E13" w:rsidRDefault="009274FC">
            <w:pPr>
              <w:pStyle w:val="P68B1DB1-Normal13"/>
              <w:spacing w:after="0" w:line="240" w:lineRule="auto"/>
              <w:jc w:val="both"/>
              <w:rPr>
                <w:noProof/>
              </w:rPr>
            </w:pPr>
            <w:r>
              <w:rPr>
                <w:noProof/>
              </w:rPr>
              <w:t xml:space="preserve">- renvoie à l’organe chargé de la confiscation illégale des avoirs les cas de divergences importantes dans les avoirs ou de conflit d’intérêts; </w:t>
            </w:r>
          </w:p>
          <w:p w14:paraId="75467D15"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 </w:t>
            </w:r>
            <w:r>
              <w:rPr>
                <w:rFonts w:ascii="Times New Roman" w:eastAsia="Times New Roman" w:hAnsi="Times New Roman" w:cs="Times New Roman"/>
                <w:noProof/>
                <w:szCs w:val="20"/>
              </w:rPr>
              <w:t>soutient</w:t>
            </w:r>
            <w:r>
              <w:rPr>
                <w:rFonts w:ascii="Times New Roman" w:hAnsi="Times New Roman"/>
                <w:noProof/>
              </w:rPr>
              <w:t xml:space="preserve"> la </w:t>
            </w:r>
            <w:r>
              <w:rPr>
                <w:rFonts w:ascii="Times New Roman" w:eastAsia="Times New Roman" w:hAnsi="Times New Roman" w:cs="Times New Roman"/>
                <w:noProof/>
                <w:szCs w:val="20"/>
              </w:rPr>
              <w:t>mise en place</w:t>
            </w:r>
            <w:r>
              <w:rPr>
                <w:rFonts w:ascii="Times New Roman" w:hAnsi="Times New Roman"/>
                <w:noProof/>
              </w:rPr>
              <w:t xml:space="preserve"> de contrôles d'intégrité;</w:t>
            </w:r>
          </w:p>
          <w:p w14:paraId="1CEBDC14" w14:textId="37405218" w:rsidR="00F74E13" w:rsidRDefault="009274FC">
            <w:pPr>
              <w:pStyle w:val="P68B1DB1-Normal15"/>
              <w:spacing w:after="0" w:line="240" w:lineRule="auto"/>
              <w:jc w:val="both"/>
              <w:rPr>
                <w:noProof/>
              </w:rPr>
            </w:pPr>
            <w:r>
              <w:rPr>
                <w:noProof/>
              </w:rPr>
              <w:t>- coopère avec le Parquet européen.</w:t>
            </w:r>
          </w:p>
        </w:tc>
      </w:tr>
      <w:tr w:rsidR="00F74E13" w14:paraId="1CEBDC28" w14:textId="77777777" w:rsidTr="00D24DB8">
        <w:trPr>
          <w:trHeight w:val="61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16" w14:textId="77777777" w:rsidR="00F74E13" w:rsidRDefault="009274FC">
            <w:pPr>
              <w:pStyle w:val="P68B1DB1-Normal35"/>
              <w:spacing w:after="0" w:line="240" w:lineRule="auto"/>
              <w:jc w:val="center"/>
              <w:rPr>
                <w:noProof/>
              </w:rPr>
            </w:pPr>
            <w:r>
              <w:rPr>
                <w:noProof/>
              </w:rPr>
              <w:t>219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17"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18"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19" w14:textId="77777777" w:rsidR="00F74E13" w:rsidRDefault="009274FC">
            <w:pPr>
              <w:pStyle w:val="P68B1DB1-Normal15"/>
              <w:spacing w:after="0" w:line="240" w:lineRule="auto"/>
              <w:rPr>
                <w:noProof/>
              </w:rPr>
            </w:pPr>
            <w:r>
              <w:rPr>
                <w:noProof/>
              </w:rPr>
              <w:t>Améliorer le rôle de l'Inspection au sein du Conseil supérieur de la magistrature dans la prévention et la lutte contre la corruption dans le système judiciaire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1A"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diffusion de lignes directrices éthiques révisées pour la conduite des magistrats et d’un résumé des bonnes et mauvaises pratiques en matière de respect</w:t>
            </w:r>
            <w:r>
              <w:rPr>
                <w:rFonts w:ascii="Times New Roman" w:eastAsia="Times New Roman" w:hAnsi="Times New Roman" w:cs="Times New Roman"/>
                <w:noProof/>
                <w:szCs w:val="20"/>
              </w:rPr>
              <w:t xml:space="preserve"> des règles éthiques;</w:t>
            </w:r>
            <w:r>
              <w:rPr>
                <w:rFonts w:ascii="Times New Roman" w:hAnsi="Times New Roman"/>
                <w:noProof/>
              </w:rPr>
              <w:t xml:space="preserve"> organisation de formations à la lutte contre la corruption;</w:t>
            </w:r>
          </w:p>
          <w:p w14:paraId="1CEBDC1B" w14:textId="77777777" w:rsidR="00F74E13" w:rsidRDefault="009274FC">
            <w:pPr>
              <w:pStyle w:val="P68B1DB1-Normal15"/>
              <w:spacing w:after="0" w:line="240" w:lineRule="auto"/>
              <w:rPr>
                <w:noProof/>
              </w:rPr>
            </w:pPr>
            <w:r>
              <w:rPr>
                <w:noProof/>
              </w:rPr>
              <w:t xml:space="preserve">introduit des modèles et des procédures pour l’établissement de rapports réguliers et la publication des résultats de l’achèvement des dossiers;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1D"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1E"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1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20"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21"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22" w14:textId="77777777" w:rsidR="00F74E13" w:rsidRDefault="009274FC">
            <w:pPr>
              <w:pStyle w:val="P68B1DB1-Normal15"/>
              <w:spacing w:after="0" w:line="240" w:lineRule="auto"/>
              <w:jc w:val="both"/>
              <w:rPr>
                <w:noProof/>
              </w:rPr>
            </w:pPr>
            <w:r>
              <w:rPr>
                <w:noProof/>
              </w:rPr>
              <w:t>L'Inspection du Conseil supérieur de la magistrature:</w:t>
            </w:r>
          </w:p>
          <w:p w14:paraId="1CEBDC23" w14:textId="77777777" w:rsidR="00F74E13" w:rsidRDefault="009274FC">
            <w:pPr>
              <w:pStyle w:val="P68B1DB1-ListParagraph20"/>
              <w:numPr>
                <w:ilvl w:val="0"/>
                <w:numId w:val="52"/>
              </w:numPr>
              <w:spacing w:after="0" w:line="240" w:lineRule="auto"/>
              <w:ind w:left="172" w:hanging="172"/>
              <w:jc w:val="both"/>
              <w:rPr>
                <w:noProof/>
              </w:rPr>
            </w:pPr>
            <w:r>
              <w:rPr>
                <w:noProof/>
              </w:rPr>
              <w:t>réviser les lignes directrices éthiques pour la conduite des magistrats, en coopération avec le Conseil supérieur de la magistrature, et résumer les bonnes et les mauvaises pratiques en ce qui concerne le respect des règles éthiques, conformément aux normes européennes et internationales pertinentes;</w:t>
            </w:r>
          </w:p>
          <w:p w14:paraId="1CEBDC24" w14:textId="77777777" w:rsidR="00F74E13" w:rsidRDefault="009274FC">
            <w:pPr>
              <w:pStyle w:val="P68B1DB1-ListParagraph20"/>
              <w:numPr>
                <w:ilvl w:val="0"/>
                <w:numId w:val="52"/>
              </w:numPr>
              <w:spacing w:after="0" w:line="240" w:lineRule="auto"/>
              <w:ind w:left="172" w:hanging="172"/>
              <w:jc w:val="both"/>
              <w:rPr>
                <w:noProof/>
              </w:rPr>
            </w:pPr>
            <w:r>
              <w:rPr>
                <w:noProof/>
              </w:rPr>
              <w:t>organiser et dispenser des formations à la lutte contre la corruption ainsi que des formations sur l’intégrité et les conflits d’intérêts;</w:t>
            </w:r>
          </w:p>
          <w:p w14:paraId="1CEBDC25" w14:textId="77777777" w:rsidR="00F74E13" w:rsidRDefault="009274FC">
            <w:pPr>
              <w:pStyle w:val="P68B1DB1-ListParagraph20"/>
              <w:numPr>
                <w:ilvl w:val="0"/>
                <w:numId w:val="52"/>
              </w:numPr>
              <w:spacing w:after="0" w:line="240" w:lineRule="auto"/>
              <w:ind w:left="172" w:hanging="172"/>
              <w:jc w:val="both"/>
              <w:rPr>
                <w:noProof/>
              </w:rPr>
            </w:pPr>
            <w:r>
              <w:rPr>
                <w:noProof/>
              </w:rPr>
              <w:t>Introduire un modèle de rapport sur l'achèvement des dossiers dans les délais prescrits par la loi; et</w:t>
            </w:r>
          </w:p>
          <w:p w14:paraId="1CEBDC26" w14:textId="77777777" w:rsidR="00F74E13" w:rsidRDefault="009274FC">
            <w:pPr>
              <w:pStyle w:val="P68B1DB1-ListParagraph20"/>
              <w:numPr>
                <w:ilvl w:val="0"/>
                <w:numId w:val="52"/>
              </w:numPr>
              <w:spacing w:after="0" w:line="240" w:lineRule="auto"/>
              <w:ind w:left="172" w:hanging="172"/>
              <w:jc w:val="both"/>
              <w:rPr>
                <w:noProof/>
              </w:rPr>
            </w:pPr>
            <w:r>
              <w:rPr>
                <w:noProof/>
              </w:rPr>
              <w:t xml:space="preserve"> mettre en place une procédure de notification et de publication régulières des résultats à l’issue des dossiers. </w:t>
            </w:r>
          </w:p>
          <w:p w14:paraId="1CEBDC27" w14:textId="77777777" w:rsidR="00F74E13" w:rsidRDefault="009274FC">
            <w:pPr>
              <w:pStyle w:val="P68B1DB1-Normal15"/>
              <w:spacing w:after="0" w:line="240" w:lineRule="auto"/>
              <w:ind w:left="-42"/>
              <w:jc w:val="both"/>
              <w:rPr>
                <w:noProof/>
              </w:rPr>
            </w:pPr>
            <w:r>
              <w:rPr>
                <w:noProof/>
              </w:rPr>
              <w:t>Les mesures proposées n'entraîneront pas d'augmentation des pouvoirs disciplinaires de l'Inspection et seront consultées auprès de la Commission de Venise du Conseil de l'Europe avant leur mise en œuvre.</w:t>
            </w:r>
          </w:p>
        </w:tc>
      </w:tr>
      <w:tr w:rsidR="00F74E13" w14:paraId="1CEBDC34" w14:textId="77777777" w:rsidTr="00D24DB8">
        <w:trPr>
          <w:trHeight w:val="154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29" w14:textId="5459CDB9" w:rsidR="00F74E13" w:rsidRDefault="009274FC">
            <w:pPr>
              <w:pStyle w:val="P68B1DB1-Normal35"/>
              <w:spacing w:after="0" w:line="240" w:lineRule="auto"/>
              <w:jc w:val="center"/>
              <w:rPr>
                <w:noProof/>
              </w:rPr>
            </w:pPr>
            <w:r>
              <w:rPr>
                <w:noProof/>
              </w:rPr>
              <w:t>220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2A"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2B"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2C" w14:textId="39828C99" w:rsidR="00F74E13" w:rsidRDefault="009274FC">
            <w:pPr>
              <w:pStyle w:val="P68B1DB1-Normal15"/>
              <w:spacing w:after="0" w:line="240" w:lineRule="auto"/>
              <w:rPr>
                <w:noProof/>
              </w:rPr>
            </w:pPr>
            <w:r>
              <w:rPr>
                <w:noProof/>
              </w:rPr>
              <w:t xml:space="preserve">Membres et Président de l'organe de lutte contre la corruption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2D" w14:textId="266ADF9D" w:rsidR="00F74E13" w:rsidRDefault="009274FC">
            <w:pPr>
              <w:pStyle w:val="P68B1DB1-Normal13"/>
              <w:spacing w:after="0" w:line="240" w:lineRule="auto"/>
              <w:rPr>
                <w:noProof/>
              </w:rPr>
            </w:pPr>
            <w:r>
              <w:rPr>
                <w:noProof/>
              </w:rPr>
              <w:t>les membres de l’organe de lutte contre la corruption élus ou nommés; Président désigné</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2E"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2F"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30"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31"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32" w14:textId="77777777"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33" w14:textId="593CA8BF" w:rsidR="00F74E13" w:rsidRDefault="009274FC">
            <w:pPr>
              <w:pStyle w:val="P68B1DB1-Normal13"/>
              <w:spacing w:after="0" w:line="240" w:lineRule="auto"/>
              <w:jc w:val="both"/>
              <w:rPr>
                <w:noProof/>
              </w:rPr>
            </w:pPr>
            <w:r>
              <w:rPr>
                <w:noProof/>
              </w:rPr>
              <w:t>Élection ou nomination des membres de l’organe de lutte contre la corruption et désignation du président de l’organe de lutte contre la corruption.</w:t>
            </w:r>
          </w:p>
        </w:tc>
      </w:tr>
      <w:tr w:rsidR="00F74E13" w14:paraId="1CEBDC50"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35" w14:textId="77777777" w:rsidR="00F74E13" w:rsidRDefault="009274FC">
            <w:pPr>
              <w:pStyle w:val="P68B1DB1-Normal35"/>
              <w:spacing w:after="0" w:line="240" w:lineRule="auto"/>
              <w:jc w:val="center"/>
              <w:rPr>
                <w:noProof/>
              </w:rPr>
            </w:pPr>
            <w:r>
              <w:rPr>
                <w:noProof/>
              </w:rPr>
              <w:t>222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36"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37"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38" w14:textId="77777777" w:rsidR="00F74E13" w:rsidRDefault="009274FC">
            <w:pPr>
              <w:pStyle w:val="P68B1DB1-Normal15"/>
              <w:spacing w:after="0" w:line="240" w:lineRule="auto"/>
              <w:rPr>
                <w:noProof/>
              </w:rPr>
            </w:pPr>
            <w:r>
              <w:rPr>
                <w:noProof/>
              </w:rPr>
              <w:t xml:space="preserve">Entrée en vigueur du ou des actes juridiques relatifs à la procédure pénale et </w:t>
            </w:r>
            <w:r>
              <w:rPr>
                <w:noProof/>
              </w:rPr>
              <w:br/>
              <w:t>l'obligation de rendre des comptes et la responsabilité pénale du procureur général;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39" w14:textId="77777777" w:rsidR="00F74E13" w:rsidRDefault="009274FC">
            <w:pPr>
              <w:pStyle w:val="P68B1DB1-Normal15"/>
              <w:spacing w:after="0" w:line="240" w:lineRule="auto"/>
              <w:rPr>
                <w:noProof/>
              </w:rPr>
            </w:pPr>
            <w:r>
              <w:rPr>
                <w:noProof/>
              </w:rPr>
              <w:t>Dispositions de l’acte ou des actes juridiques indiquant l’entrée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3A"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3B"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3C"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3D"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3E"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vAlign w:val="bottom"/>
          </w:tcPr>
          <w:p w14:paraId="1CEBDC3F" w14:textId="77777777" w:rsidR="00F74E13" w:rsidRDefault="009274FC">
            <w:pPr>
              <w:pStyle w:val="P68B1DB1-Normal13"/>
              <w:spacing w:after="0" w:line="240" w:lineRule="auto"/>
              <w:jc w:val="both"/>
              <w:rPr>
                <w:noProof/>
              </w:rPr>
            </w:pPr>
            <w:r>
              <w:rPr>
                <w:noProof/>
              </w:rPr>
              <w:t>1. Le ou les actes juridiques relatifs aux procédures pénales comprennent:</w:t>
            </w:r>
          </w:p>
          <w:p w14:paraId="1CEBDC40" w14:textId="77777777" w:rsidR="00F74E13" w:rsidRDefault="009274FC">
            <w:pPr>
              <w:pStyle w:val="P68B1DB1-Normal13"/>
              <w:spacing w:after="0" w:line="240" w:lineRule="auto"/>
              <w:jc w:val="both"/>
              <w:rPr>
                <w:noProof/>
              </w:rPr>
            </w:pPr>
            <w:r>
              <w:rPr>
                <w:noProof/>
              </w:rPr>
              <w:t>1.1. Le contrôle juridictionnel de la décision du procureur de ne pas ouvrir d'enquête et la détermination de la portée et des conditions dans lesquelles ce contrôle judiciaire doit être effectué. Il convient d’éviter une charge excessive pour les juges et les procureurs en limitant la portée du contrôle juridictionnel;</w:t>
            </w:r>
          </w:p>
          <w:p w14:paraId="1CEBDC41" w14:textId="77777777" w:rsidR="00F74E13" w:rsidRDefault="009274FC">
            <w:pPr>
              <w:spacing w:after="0" w:line="240" w:lineRule="auto"/>
              <w:jc w:val="both"/>
              <w:rPr>
                <w:rFonts w:ascii="Times New Roman" w:hAnsi="Times New Roman"/>
                <w:noProof/>
                <w:color w:val="006100"/>
                <w:sz w:val="20"/>
              </w:rPr>
            </w:pPr>
            <w:r>
              <w:rPr>
                <w:rFonts w:ascii="Times New Roman" w:hAnsi="Times New Roman"/>
                <w:noProof/>
                <w:color w:val="006100"/>
                <w:sz w:val="20"/>
              </w:rPr>
              <w:t>1.2. La possibilité de séparer les pièces pour un défendeur dans une affaire distincte au cours de la phase du procès;</w:t>
            </w:r>
            <w:r>
              <w:rPr>
                <w:noProof/>
              </w:rPr>
              <w:br/>
            </w:r>
            <w:r>
              <w:rPr>
                <w:rFonts w:ascii="Times New Roman" w:hAnsi="Times New Roman"/>
                <w:noProof/>
                <w:color w:val="006100"/>
                <w:sz w:val="20"/>
              </w:rPr>
              <w:t>1.3. a) Le droit de la victime de demander l ' accélération de l ' enquête si plus d ' un an s ' est écoulé depuis l ' ouverture de l ' enquête et qu ' aucune personne n ' est accusée;</w:t>
            </w:r>
          </w:p>
          <w:p w14:paraId="1CEBDC42" w14:textId="77777777" w:rsidR="00F74E13" w:rsidRDefault="009274FC">
            <w:pPr>
              <w:pStyle w:val="P68B1DB1-Normal13"/>
              <w:spacing w:after="0" w:line="240" w:lineRule="auto"/>
              <w:jc w:val="both"/>
              <w:rPr>
                <w:noProof/>
              </w:rPr>
            </w:pPr>
            <w:r>
              <w:rPr>
                <w:noProof/>
              </w:rPr>
              <w:t>1.4. Motifs de la reprise de l'enquête par le Procureur général.</w:t>
            </w:r>
          </w:p>
          <w:p w14:paraId="1CEBDC44" w14:textId="77777777" w:rsidR="00F74E13" w:rsidRDefault="009274FC">
            <w:pPr>
              <w:pStyle w:val="P68B1DB1-Normal13"/>
              <w:spacing w:before="120" w:after="0" w:line="240" w:lineRule="auto"/>
              <w:jc w:val="both"/>
              <w:rPr>
                <w:noProof/>
              </w:rPr>
            </w:pPr>
            <w:r>
              <w:rPr>
                <w:noProof/>
              </w:rPr>
              <w:t>2. Le ou les actes juridiques relatifs à la responsabilité du procureur général comprennent:</w:t>
            </w:r>
          </w:p>
          <w:p w14:paraId="1CEBDC45" w14:textId="77777777" w:rsidR="00F74E13" w:rsidRDefault="009274FC">
            <w:pPr>
              <w:pStyle w:val="P68B1DB1-Normal13"/>
              <w:spacing w:after="0" w:line="240" w:lineRule="auto"/>
              <w:jc w:val="both"/>
              <w:rPr>
                <w:noProof/>
              </w:rPr>
            </w:pPr>
            <w:r>
              <w:rPr>
                <w:noProof/>
              </w:rPr>
              <w:t>2.1. un calendrier de la procédure d’audition du procureur général dans le cadre du rapport sur l’application de la loi et sur les activités du parquet;</w:t>
            </w:r>
          </w:p>
          <w:p w14:paraId="1CEBDC46" w14:textId="04E9C3D5" w:rsidR="00F74E13" w:rsidRDefault="009274FC">
            <w:pPr>
              <w:pStyle w:val="P68B1DB1-Normal22"/>
              <w:spacing w:after="0" w:line="240" w:lineRule="auto"/>
              <w:jc w:val="both"/>
              <w:rPr>
                <w:rFonts w:ascii="Times New Roman" w:hAnsi="Times New Roman"/>
                <w:noProof/>
              </w:rPr>
            </w:pPr>
            <w:r>
              <w:rPr>
                <w:rFonts w:ascii="Times New Roman" w:hAnsi="Times New Roman"/>
                <w:noProof/>
              </w:rPr>
              <w:t>2.2. L'obligation de faire rapport chaque année sur les activités du Bureau du Procureur dans la lutte contre les infractions de corruption, qui comprend des informations et des analyses sur les affaires engagées et achevées pour des infractions de corruption et pour des infractions de corruption d'un grand intérêt public, des informations sur le stade de la procédure auquel les affaires sont localisées, le nombre de condamnations et d'acquittements, et d'autres motifs de clôture de la procédure. Le ou les actes juridiques</w:t>
            </w:r>
            <w:r>
              <w:rPr>
                <w:rFonts w:ascii="Times New Roman" w:eastAsia="Times New Roman" w:hAnsi="Times New Roman" w:cs="Times New Roman"/>
                <w:noProof/>
                <w:szCs w:val="20"/>
              </w:rPr>
              <w:t xml:space="preserve"> indiquent que le </w:t>
            </w:r>
            <w:r>
              <w:rPr>
                <w:rFonts w:ascii="Times New Roman" w:hAnsi="Times New Roman"/>
                <w:noProof/>
              </w:rPr>
              <w:t xml:space="preserve">rapport annuel </w:t>
            </w:r>
            <w:r>
              <w:rPr>
                <w:rFonts w:ascii="Times New Roman" w:eastAsia="Times New Roman" w:hAnsi="Times New Roman" w:cs="Times New Roman"/>
                <w:noProof/>
                <w:szCs w:val="20"/>
              </w:rPr>
              <w:t>comprend</w:t>
            </w:r>
            <w:r>
              <w:rPr>
                <w:rFonts w:ascii="Times New Roman" w:hAnsi="Times New Roman"/>
                <w:noProof/>
              </w:rPr>
              <w:t xml:space="preserve"> également des analyses relatives aux délais de réalisation des enquêtes, à la qualité des actes d’accusation et aux raisons de l’issue spécifique de la procédure;</w:t>
            </w:r>
          </w:p>
          <w:p w14:paraId="1CEBDC47" w14:textId="77777777" w:rsidR="00F74E13" w:rsidRDefault="009274FC">
            <w:pPr>
              <w:pStyle w:val="P68B1DB1-Normal35"/>
              <w:spacing w:after="0" w:line="240" w:lineRule="auto"/>
              <w:jc w:val="both"/>
              <w:rPr>
                <w:noProof/>
              </w:rPr>
            </w:pPr>
            <w:r>
              <w:rPr>
                <w:noProof/>
              </w:rPr>
              <w:t>2.3. Accorder le droit de demander le contrôle juridictionnel des actes de poursuite en vue de la clôture ou de la suspension des enquêtes, pour une liste d’infractions pénales commises par des personnes en vertu de l’article 6, paragraphe 1, de la loi anticorruption, à: (i) l’organisme public qui a transmis le signal de signalement de l’infraction faisant l’objet de l’enquête, ainsi que (ii) la Commission de lutte contre la corruption, la Commission de confiscation des actifs acquis illégalement, l’Agence d’inspection financière de l’État et la Cour des comptes, même si l’enquête n’a pas été menée à partir de leur signal.</w:t>
            </w:r>
          </w:p>
          <w:p w14:paraId="1CEBDC48" w14:textId="654AAE08" w:rsidR="00F74E13" w:rsidRDefault="009274FC">
            <w:pPr>
              <w:pStyle w:val="P68B1DB1-Normal12"/>
              <w:spacing w:before="120" w:after="0" w:line="240" w:lineRule="auto"/>
              <w:jc w:val="both"/>
              <w:rPr>
                <w:noProof/>
              </w:rPr>
            </w:pPr>
            <w:r>
              <w:rPr>
                <w:noProof/>
              </w:rPr>
              <w:t xml:space="preserve">3. Le ou les actes juridiques concernant le mécanisme de responsabilité pénale du procureur général et de ses adjoints comprennent: </w:t>
            </w:r>
          </w:p>
          <w:p w14:paraId="1CEBDC49" w14:textId="77777777" w:rsidR="00F74E13" w:rsidRDefault="009274FC">
            <w:pPr>
              <w:pStyle w:val="P68B1DB1-Normal12"/>
              <w:spacing w:after="0" w:line="240" w:lineRule="auto"/>
              <w:jc w:val="both"/>
              <w:rPr>
                <w:noProof/>
              </w:rPr>
            </w:pPr>
            <w:r>
              <w:rPr>
                <w:noProof/>
              </w:rPr>
              <w:t>3.1. Suspension du procureur général et de ses adjoints en cas de procédure pénale à leur encontre à la majorité de 13 des 25 membres du plénum du Conseil supérieur de la magistrature (CSM);</w:t>
            </w:r>
          </w:p>
          <w:p w14:paraId="1CEBDC4A" w14:textId="77777777" w:rsidR="00F74E13" w:rsidRDefault="009274FC">
            <w:pPr>
              <w:pStyle w:val="P68B1DB1-Normal13"/>
              <w:spacing w:after="0" w:line="240" w:lineRule="auto"/>
              <w:jc w:val="both"/>
              <w:rPr>
                <w:noProof/>
              </w:rPr>
            </w:pPr>
            <w:r>
              <w:rPr>
                <w:noProof/>
              </w:rPr>
              <w:t xml:space="preserve">3.2. Sélection et nomination indépendantes d'un juge ayant le rang de juge de la Cour suprême de cassation et l'expérience de la justice pénale, nommé au moins à un poste de juge au tribunal de district. S’il existe une raison légitime d’ouvrir une enquête à l’encontre du procureur général ou de ses adjoints, la Cour suprême de cassation engage la procédure de sélection, qui se fait au moyen d’un système électronique d’attribution aléatoire. Le CSM n'a que l'obligation de nommer le juge procureur, sans pouvoir modifier le résultat de la répartition aléatoire. Le ou les actes juridiques prévoient l'attribution d'audits périodiques du système électronique; </w:t>
            </w:r>
          </w:p>
          <w:p w14:paraId="1CEBDC4B" w14:textId="77777777" w:rsidR="00F74E13" w:rsidRDefault="009274FC">
            <w:pPr>
              <w:pStyle w:val="P68B1DB1-Normal13"/>
              <w:spacing w:after="0" w:line="240" w:lineRule="auto"/>
              <w:jc w:val="both"/>
              <w:rPr>
                <w:noProof/>
              </w:rPr>
            </w:pPr>
            <w:r>
              <w:rPr>
                <w:noProof/>
              </w:rPr>
              <w:t>3.3. des garanties de stabilité de carrière et d’indépendance en introduisant la possibilité de nommer le juge nommé procureur chargé d’enquêter sur le procureur général ou son adjoint en tant que juge au poste précédemment occupé après la fin de son mandat;</w:t>
            </w:r>
          </w:p>
          <w:p w14:paraId="1CEBDC4C" w14:textId="77777777" w:rsidR="00F74E13" w:rsidRDefault="009274FC">
            <w:pPr>
              <w:pStyle w:val="P68B1DB1-Normal13"/>
              <w:spacing w:after="0" w:line="240" w:lineRule="auto"/>
              <w:jc w:val="both"/>
              <w:rPr>
                <w:noProof/>
              </w:rPr>
            </w:pPr>
            <w:r>
              <w:rPr>
                <w:noProof/>
              </w:rPr>
              <w:t>3.4. limiter le contrôle du parquet sur les actes d’instruction du procureur général ou de ses adjoints en désignant un juge de la Cour suprême de cassation en tant que procureur exerçant un contrôle sur les actions du procureur qui enquête sur le procureur général ou ses adjoints;</w:t>
            </w:r>
          </w:p>
          <w:p w14:paraId="1CEBDC4D" w14:textId="77777777" w:rsidR="00F74E13" w:rsidRDefault="009274FC">
            <w:pPr>
              <w:pStyle w:val="P68B1DB1-Normal13"/>
              <w:spacing w:after="0" w:line="240" w:lineRule="auto"/>
              <w:jc w:val="both"/>
              <w:rPr>
                <w:noProof/>
              </w:rPr>
            </w:pPr>
            <w:r>
              <w:rPr>
                <w:noProof/>
              </w:rPr>
              <w:t>3.5. Afin d’assurer la conduite indépendante des actions d’enquête et d’éviter toute influence indue potentielle de la part du procureur général, les membres de l’équipe d’enquête sont des employés du ministère de l’intérieur ou de l’agence des douanes.</w:t>
            </w:r>
          </w:p>
          <w:p w14:paraId="1CEBDC4E" w14:textId="77777777" w:rsidR="00F74E13" w:rsidRDefault="00F74E13">
            <w:pPr>
              <w:spacing w:after="0" w:line="240" w:lineRule="auto"/>
              <w:jc w:val="both"/>
              <w:rPr>
                <w:rFonts w:ascii="Times New Roman" w:hAnsi="Times New Roman"/>
                <w:noProof/>
                <w:color w:val="006100"/>
                <w:sz w:val="20"/>
                <w:szCs w:val="20"/>
              </w:rPr>
            </w:pPr>
          </w:p>
          <w:p w14:paraId="1CEBDC4F" w14:textId="77777777" w:rsidR="00F74E13" w:rsidRDefault="009274FC">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4. Transmission du ou des projets d’actes juridiques visés au point 3</w:t>
            </w:r>
            <w:r>
              <w:rPr>
                <w:rFonts w:ascii="Times New Roman" w:hAnsi="Times New Roman"/>
                <w:noProof/>
              </w:rPr>
              <w:t xml:space="preserve"> au </w:t>
            </w:r>
            <w:r>
              <w:rPr>
                <w:rFonts w:ascii="Times New Roman" w:eastAsia="Times New Roman" w:hAnsi="Times New Roman" w:cs="Times New Roman"/>
                <w:noProof/>
                <w:szCs w:val="20"/>
              </w:rPr>
              <w:t xml:space="preserve">département de l’exécution des arrêts de la Cour européenne des droits de l’homme du Conseil de l’Europe </w:t>
            </w:r>
            <w:r>
              <w:rPr>
                <w:rFonts w:ascii="Times New Roman" w:hAnsi="Times New Roman"/>
                <w:noProof/>
              </w:rPr>
              <w:t xml:space="preserve">et à la Commission de Venise du Conseil de l’Europe avant leur </w:t>
            </w:r>
            <w:r>
              <w:rPr>
                <w:rFonts w:ascii="Times New Roman" w:eastAsia="Times New Roman" w:hAnsi="Times New Roman" w:cs="Times New Roman"/>
                <w:noProof/>
                <w:szCs w:val="20"/>
              </w:rPr>
              <w:t>adoption.</w:t>
            </w:r>
          </w:p>
        </w:tc>
      </w:tr>
      <w:tr w:rsidR="00F74E13" w14:paraId="1CEBDC5C" w14:textId="77777777" w:rsidTr="00D24DB8">
        <w:trPr>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51" w14:textId="77777777" w:rsidR="00F74E13" w:rsidRDefault="009274FC">
            <w:pPr>
              <w:pStyle w:val="P68B1DB1-Normal35"/>
              <w:spacing w:after="0" w:line="240" w:lineRule="auto"/>
              <w:jc w:val="center"/>
              <w:rPr>
                <w:noProof/>
              </w:rPr>
            </w:pPr>
            <w:r>
              <w:rPr>
                <w:noProof/>
              </w:rPr>
              <w:t>223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52"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53"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54" w14:textId="77777777" w:rsidR="00F74E13" w:rsidRDefault="009274FC">
            <w:pPr>
              <w:pStyle w:val="P68B1DB1-Normal15"/>
              <w:spacing w:after="0" w:line="240" w:lineRule="auto"/>
              <w:rPr>
                <w:noProof/>
              </w:rPr>
            </w:pPr>
            <w:r>
              <w:rPr>
                <w:noProof/>
              </w:rPr>
              <w:t>Entrée en vigueur du ou des actes juridiques relatifs aux activités de lobbying</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55" w14:textId="77777777" w:rsidR="00F74E13" w:rsidRDefault="009274FC">
            <w:pPr>
              <w:pStyle w:val="P68B1DB1-Normal15"/>
              <w:spacing w:after="0" w:line="240" w:lineRule="auto"/>
              <w:rPr>
                <w:noProof/>
              </w:rPr>
            </w:pPr>
            <w:r>
              <w:rPr>
                <w:noProof/>
              </w:rPr>
              <w:t xml:space="preserve">Disposition du ou des actes juridiques indiquant l’entrée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56"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57"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58"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59"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5A"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5B" w14:textId="77777777" w:rsidR="00F74E13" w:rsidRDefault="009274FC">
            <w:pPr>
              <w:pStyle w:val="P68B1DB1-Normal15"/>
              <w:spacing w:after="0" w:line="240" w:lineRule="auto"/>
              <w:rPr>
                <w:noProof/>
              </w:rPr>
            </w:pPr>
            <w:r>
              <w:rPr>
                <w:noProof/>
              </w:rPr>
              <w:t>Le ou les actes juridiques relatifs aux activités de lobbying en République de Bulgarie entrent en vigueur.</w:t>
            </w:r>
          </w:p>
        </w:tc>
      </w:tr>
      <w:tr w:rsidR="00F74E13" w14:paraId="1CEBDC76" w14:textId="77777777" w:rsidTr="00D24DB8">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D" w14:textId="77777777" w:rsidR="00F74E13" w:rsidRDefault="009274FC">
            <w:pPr>
              <w:pStyle w:val="P68B1DB1-Normal35"/>
              <w:spacing w:after="0" w:line="240" w:lineRule="auto"/>
              <w:jc w:val="center"/>
              <w:rPr>
                <w:noProof/>
              </w:rPr>
            </w:pPr>
            <w:r>
              <w:rPr>
                <w:noProof/>
              </w:rPr>
              <w:t>226 bis</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E" w14:textId="77777777" w:rsidR="00F74E13" w:rsidRDefault="009274FC">
            <w:pPr>
              <w:pStyle w:val="P68B1DB1-Normal35"/>
              <w:spacing w:after="0" w:line="240" w:lineRule="auto"/>
              <w:rPr>
                <w:noProof/>
              </w:rPr>
            </w:pPr>
            <w:r>
              <w:rPr>
                <w:noProof/>
              </w:rPr>
              <w:t>C10.R2 : Lutte contre la corruption</w:t>
            </w:r>
          </w:p>
        </w:tc>
        <w:tc>
          <w:tcPr>
            <w:tcW w:w="127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F"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0" w14:textId="58ED3DB1" w:rsidR="00F74E13" w:rsidRDefault="009274FC">
            <w:pPr>
              <w:pStyle w:val="P68B1DB1-Normal13"/>
              <w:spacing w:after="0" w:line="240" w:lineRule="auto"/>
              <w:rPr>
                <w:noProof/>
              </w:rPr>
            </w:pPr>
            <w:r>
              <w:rPr>
                <w:noProof/>
              </w:rPr>
              <w:t>Mesures d'intégrité et de lutte contre la corruption</w:t>
            </w:r>
          </w:p>
        </w:tc>
        <w:tc>
          <w:tcPr>
            <w:tcW w:w="188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3" w14:textId="14B0D6B1" w:rsidR="00F74E13" w:rsidRDefault="009274FC">
            <w:pPr>
              <w:pStyle w:val="P68B1DB1-Normal35"/>
              <w:spacing w:after="0" w:line="240" w:lineRule="auto"/>
              <w:rPr>
                <w:noProof/>
              </w:rPr>
            </w:pPr>
            <w:r>
              <w:rPr>
                <w:noProof/>
              </w:rPr>
              <w:t>les dispositions de l’acte ou des actes juridiques indiquant l’entrée en vigueur; Adopté un code de conduite éthique; Analyse de la législation sur les conflits d'intérêts</w:t>
            </w:r>
          </w:p>
        </w:tc>
        <w:tc>
          <w:tcPr>
            <w:tcW w:w="94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4"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5"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7"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8" w14:textId="77777777"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9" w14:textId="13699DA3" w:rsidR="00F74E13" w:rsidRDefault="009274FC">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 xml:space="preserve">Les mesures d’intégrité et de lutte contre la corruption </w:t>
            </w:r>
            <w:r>
              <w:rPr>
                <w:rFonts w:ascii="Times New Roman" w:hAnsi="Times New Roman"/>
                <w:noProof/>
              </w:rPr>
              <w:t>comprennent:</w:t>
            </w:r>
          </w:p>
          <w:p w14:paraId="1CEBDC6B" w14:textId="01BB95AF" w:rsidR="00F74E13" w:rsidRDefault="009274FC">
            <w:pPr>
              <w:pStyle w:val="P68B1DB1-Normal22"/>
              <w:spacing w:before="120" w:after="0" w:line="240" w:lineRule="auto"/>
              <w:jc w:val="both"/>
              <w:rPr>
                <w:rFonts w:ascii="Times New Roman" w:eastAsia="Times New Roman" w:hAnsi="Times New Roman" w:cs="Times New Roman"/>
                <w:noProof/>
                <w:szCs w:val="20"/>
              </w:rPr>
            </w:pPr>
            <w:r>
              <w:rPr>
                <w:rFonts w:ascii="Times New Roman" w:hAnsi="Times New Roman"/>
                <w:noProof/>
              </w:rPr>
              <w:t xml:space="preserve">1. </w:t>
            </w:r>
            <w:r>
              <w:rPr>
                <w:rFonts w:ascii="Times New Roman" w:eastAsia="Times New Roman" w:hAnsi="Times New Roman" w:cs="Times New Roman"/>
                <w:noProof/>
                <w:szCs w:val="20"/>
              </w:rPr>
              <w:t xml:space="preserve">En ce qui concerne les </w:t>
            </w:r>
            <w:r>
              <w:rPr>
                <w:rFonts w:ascii="Times New Roman" w:hAnsi="Times New Roman"/>
                <w:noProof/>
              </w:rPr>
              <w:t>entreprises publiques:</w:t>
            </w:r>
          </w:p>
          <w:p w14:paraId="1CEBDC6C" w14:textId="084630BC" w:rsidR="00F74E13" w:rsidRDefault="009274FC">
            <w:pPr>
              <w:pStyle w:val="P68B1DB1-Normal13"/>
              <w:spacing w:after="0" w:line="240" w:lineRule="auto"/>
              <w:jc w:val="both"/>
              <w:rPr>
                <w:rFonts w:eastAsia="Times New Roman" w:cs="Times New Roman"/>
                <w:noProof/>
              </w:rPr>
            </w:pPr>
            <w:r>
              <w:rPr>
                <w:noProof/>
              </w:rPr>
              <w:t>1.1. Entrée en vigueur d’un ou de plusieurs actes juridiques visant à introduire l’obligation pour l’Agence des entreprises publiques et de contrôle (PECA) d’adopter un système de gestion des risques de corruption et l’obligation pour les entreprises publiques d’introduire le système de gestion des risques de corruption, adoptés par PECA. Les actes juridiques précisent que le système de gestion des risques de corruption couvre la sélection des employés occupant des postes de direction, les mesures visant à prévenir les conflits d’intérêts, la méthode d’évaluation et de contrôle des risques de corruption, les formations en matière d’éthique et d’intégrité des personnes employées dans les entreprises publiques, ainsi que le rôle d’un responsable de l’intégrité;</w:t>
            </w:r>
          </w:p>
          <w:p w14:paraId="1CEBDC6D" w14:textId="77777777" w:rsidR="00F74E13" w:rsidRDefault="009274FC">
            <w:pPr>
              <w:pStyle w:val="P68B1DB1-Normal35"/>
              <w:spacing w:after="0" w:line="240" w:lineRule="auto"/>
              <w:jc w:val="both"/>
              <w:rPr>
                <w:noProof/>
              </w:rPr>
            </w:pPr>
            <w:r>
              <w:rPr>
                <w:noProof/>
              </w:rPr>
              <w:t>1.2. Adoption d'un code de conduite éthique.</w:t>
            </w:r>
          </w:p>
          <w:p w14:paraId="1CEBDC6F" w14:textId="43C0AEF5" w:rsidR="00F74E13" w:rsidRDefault="009274FC">
            <w:pPr>
              <w:pStyle w:val="P68B1DB1-Normal35"/>
              <w:spacing w:before="120" w:after="0" w:line="240" w:lineRule="auto"/>
              <w:jc w:val="both"/>
              <w:rPr>
                <w:noProof/>
              </w:rPr>
            </w:pPr>
            <w:r>
              <w:rPr>
                <w:noProof/>
              </w:rPr>
              <w:t>2. En ce qui concerne les fonctionnaires occupant des postes à haut risque de corruption au sein de l’exécutif central:</w:t>
            </w:r>
          </w:p>
          <w:p w14:paraId="1CEBDC70" w14:textId="77777777" w:rsidR="00F74E13" w:rsidRDefault="009274FC">
            <w:pPr>
              <w:pStyle w:val="P68B1DB1-Normal35"/>
              <w:spacing w:after="0" w:line="240" w:lineRule="auto"/>
              <w:jc w:val="both"/>
              <w:rPr>
                <w:noProof/>
              </w:rPr>
            </w:pPr>
            <w:r>
              <w:rPr>
                <w:noProof/>
              </w:rPr>
              <w:t>2.1. l’identification des positions présentant un risque élevé de corruption pour lesquelles des contrôles d’intégrité devraient être effectués;</w:t>
            </w:r>
          </w:p>
          <w:p w14:paraId="1CEBDC71" w14:textId="07C846C9" w:rsidR="00F74E13" w:rsidRDefault="009274FC">
            <w:pPr>
              <w:pStyle w:val="P68B1DB1-Normal35"/>
              <w:spacing w:after="0" w:line="240" w:lineRule="auto"/>
              <w:jc w:val="both"/>
              <w:rPr>
                <w:noProof/>
              </w:rPr>
            </w:pPr>
            <w:r>
              <w:rPr>
                <w:noProof/>
              </w:rPr>
              <w:t>2.2. Publication au Journal officiel de l’acte ou des actes juridiques établissant l’obligation d’effectuer des tests d’intégrité pour les fonctionnaires au moins dans les circonstances suivantes:</w:t>
            </w:r>
          </w:p>
          <w:p w14:paraId="1CEBDC72" w14:textId="77777777" w:rsidR="00F74E13" w:rsidRDefault="009274FC">
            <w:pPr>
              <w:pStyle w:val="P68B1DB1-ListParagraph20"/>
              <w:numPr>
                <w:ilvl w:val="0"/>
                <w:numId w:val="53"/>
              </w:numPr>
              <w:spacing w:after="0" w:line="240" w:lineRule="auto"/>
              <w:ind w:left="313" w:hanging="283"/>
              <w:jc w:val="both"/>
              <w:rPr>
                <w:noProof/>
              </w:rPr>
            </w:pPr>
            <w:r>
              <w:rPr>
                <w:noProof/>
              </w:rPr>
              <w:t>sur rendez-vous;</w:t>
            </w:r>
          </w:p>
          <w:p w14:paraId="1CEBDC73" w14:textId="77777777" w:rsidR="00F74E13" w:rsidRDefault="009274FC">
            <w:pPr>
              <w:pStyle w:val="P68B1DB1-ListParagraph20"/>
              <w:numPr>
                <w:ilvl w:val="0"/>
                <w:numId w:val="53"/>
              </w:numPr>
              <w:spacing w:after="0" w:line="240" w:lineRule="auto"/>
              <w:ind w:left="313" w:hanging="283"/>
              <w:jc w:val="both"/>
              <w:rPr>
                <w:noProof/>
              </w:rPr>
            </w:pPr>
            <w:r>
              <w:rPr>
                <w:noProof/>
              </w:rPr>
              <w:t>sur la promotion à un poste d'encadrement supérieur;</w:t>
            </w:r>
          </w:p>
          <w:p w14:paraId="1CEBDC74" w14:textId="06B8BA76" w:rsidR="00F74E13" w:rsidRDefault="009274FC">
            <w:pPr>
              <w:pStyle w:val="P68B1DB1-ListParagraph20"/>
              <w:numPr>
                <w:ilvl w:val="0"/>
                <w:numId w:val="53"/>
              </w:numPr>
              <w:spacing w:after="0" w:line="240" w:lineRule="auto"/>
              <w:ind w:left="313" w:hanging="283"/>
              <w:jc w:val="both"/>
              <w:rPr>
                <w:noProof/>
              </w:rPr>
            </w:pPr>
            <w:r>
              <w:rPr>
                <w:noProof/>
              </w:rPr>
              <w:t>sur la base des résultats d'une inspection effectuée par les services d'inspection.</w:t>
            </w:r>
          </w:p>
          <w:p w14:paraId="5D79ABAA" w14:textId="70168DC1" w:rsidR="00F74E13" w:rsidRDefault="009274FC">
            <w:pPr>
              <w:pStyle w:val="P68B1DB1-Normal35"/>
              <w:spacing w:after="0" w:line="240" w:lineRule="auto"/>
              <w:ind w:left="30"/>
              <w:jc w:val="both"/>
              <w:rPr>
                <w:noProof/>
              </w:rPr>
            </w:pPr>
            <w:r>
              <w:rPr>
                <w:noProof/>
              </w:rPr>
              <w:t>Le ou les actes juridiques entrent en vigueur après un délai raisonnable et au plus tard le 31 décembre 2026. Cette entrée en vigueur est automatique et n'entraîne pas d'autres mesures juridiques d'exécution.</w:t>
            </w:r>
          </w:p>
          <w:p w14:paraId="1CEBDC75" w14:textId="77777777" w:rsidR="00F74E13" w:rsidRDefault="009274FC">
            <w:pPr>
              <w:pStyle w:val="P68B1DB1-Normal35"/>
              <w:spacing w:after="0" w:line="240" w:lineRule="auto"/>
              <w:jc w:val="both"/>
              <w:rPr>
                <w:noProof/>
              </w:rPr>
            </w:pPr>
            <w:r>
              <w:rPr>
                <w:noProof/>
              </w:rPr>
              <w:t>2.3. Préparation d’une analyse de la définition des conflits d’intérêts en vertu de la législation nationale et recommandation(s) d’amélioration(s) éventuelle(s).</w:t>
            </w:r>
          </w:p>
        </w:tc>
      </w:tr>
      <w:tr w:rsidR="00F74E13" w14:paraId="1CEBDC84" w14:textId="77777777" w:rsidTr="00D24DB8">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77" w14:textId="77777777" w:rsidR="00F74E13" w:rsidRDefault="009274FC">
            <w:pPr>
              <w:pStyle w:val="P68B1DB1-Normal35"/>
              <w:spacing w:after="0" w:line="240" w:lineRule="auto"/>
              <w:jc w:val="center"/>
              <w:rPr>
                <w:noProof/>
              </w:rPr>
            </w:pPr>
            <w:r>
              <w:rPr>
                <w:noProof/>
              </w:rPr>
              <w:t>227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78"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C10.R3 : </w:t>
            </w:r>
            <w:r>
              <w:rPr>
                <w:rFonts w:ascii="Times New Roman" w:eastAsia="Times New Roman" w:hAnsi="Times New Roman" w:cs="Times New Roman"/>
                <w:noProof/>
                <w:szCs w:val="20"/>
              </w:rPr>
              <w:t>Actes juridiques relatifs au</w:t>
            </w:r>
            <w:r>
              <w:rPr>
                <w:rFonts w:ascii="Times New Roman" w:hAnsi="Times New Roman"/>
                <w:noProof/>
              </w:rPr>
              <w:t xml:space="preserve"> </w:t>
            </w:r>
            <w:r>
              <w:rPr>
                <w:rFonts w:ascii="Times New Roman" w:eastAsia="Times New Roman" w:hAnsi="Times New Roman" w:cs="Times New Roman"/>
                <w:noProof/>
                <w:szCs w:val="20"/>
              </w:rPr>
              <w:t xml:space="preserve"> cadre </w:t>
            </w:r>
            <w:r>
              <w:rPr>
                <w:rFonts w:ascii="Times New Roman" w:hAnsi="Times New Roman"/>
                <w:noProof/>
              </w:rPr>
              <w:t xml:space="preserve"> de médiation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79"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7A"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des actes juridiques </w:t>
            </w:r>
            <w:r>
              <w:rPr>
                <w:rFonts w:ascii="Times New Roman" w:eastAsia="Times New Roman" w:hAnsi="Times New Roman" w:cs="Times New Roman"/>
                <w:noProof/>
                <w:szCs w:val="20"/>
              </w:rPr>
              <w:t xml:space="preserve">relatifs au cadre de </w:t>
            </w:r>
            <w:r>
              <w:rPr>
                <w:rFonts w:ascii="Times New Roman" w:hAnsi="Times New Roman"/>
                <w:noProof/>
              </w:rPr>
              <w:t>médiation</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7B"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Dispositions indiquant l'entrée en vigueur des </w:t>
            </w:r>
            <w:r>
              <w:rPr>
                <w:rFonts w:ascii="Times New Roman" w:eastAsia="Times New Roman" w:hAnsi="Times New Roman" w:cs="Times New Roman"/>
                <w:noProof/>
                <w:szCs w:val="20"/>
              </w:rPr>
              <w:t>actes juridiques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7C"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7D"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7E"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7F"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80"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C81"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Les </w:t>
            </w:r>
            <w:r>
              <w:rPr>
                <w:rFonts w:ascii="Times New Roman" w:eastAsia="Times New Roman" w:hAnsi="Times New Roman" w:cs="Times New Roman"/>
                <w:noProof/>
                <w:szCs w:val="20"/>
              </w:rPr>
              <w:t>actes juridiques</w:t>
            </w:r>
            <w:r>
              <w:rPr>
                <w:rFonts w:ascii="Times New Roman" w:hAnsi="Times New Roman"/>
                <w:noProof/>
              </w:rPr>
              <w:t xml:space="preserve"> prévoient </w:t>
            </w:r>
            <w:r>
              <w:rPr>
                <w:rFonts w:ascii="Times New Roman" w:eastAsia="Times New Roman" w:hAnsi="Times New Roman" w:cs="Times New Roman"/>
                <w:noProof/>
                <w:szCs w:val="20"/>
              </w:rPr>
              <w:t xml:space="preserve">que la juridiction, </w:t>
            </w:r>
            <w:r>
              <w:rPr>
                <w:rFonts w:ascii="Times New Roman" w:hAnsi="Times New Roman"/>
                <w:noProof/>
              </w:rPr>
              <w:t xml:space="preserve">dans certaines </w:t>
            </w:r>
            <w:r>
              <w:rPr>
                <w:rFonts w:ascii="Times New Roman" w:eastAsia="Times New Roman" w:hAnsi="Times New Roman" w:cs="Times New Roman"/>
                <w:noProof/>
                <w:szCs w:val="20"/>
              </w:rPr>
              <w:t xml:space="preserve">affaires civiles et commerciales, oblige les parties </w:t>
            </w:r>
            <w:r>
              <w:rPr>
                <w:rFonts w:ascii="Times New Roman" w:hAnsi="Times New Roman"/>
                <w:noProof/>
              </w:rPr>
              <w:t xml:space="preserve">à participer à </w:t>
            </w:r>
            <w:r>
              <w:rPr>
                <w:rFonts w:ascii="Times New Roman" w:eastAsia="Times New Roman" w:hAnsi="Times New Roman" w:cs="Times New Roman"/>
                <w:noProof/>
                <w:szCs w:val="20"/>
              </w:rPr>
              <w:t xml:space="preserve">une réunion d’information sur la procédure de </w:t>
            </w:r>
            <w:r>
              <w:rPr>
                <w:rFonts w:ascii="Times New Roman" w:hAnsi="Times New Roman"/>
                <w:noProof/>
              </w:rPr>
              <w:t>médiation.</w:t>
            </w:r>
          </w:p>
          <w:p w14:paraId="1CEBDC82" w14:textId="77777777" w:rsidR="00F74E13" w:rsidRDefault="009274FC">
            <w:pPr>
              <w:pStyle w:val="P68B1DB1-Normal35"/>
              <w:spacing w:after="0" w:line="240" w:lineRule="auto"/>
              <w:jc w:val="both"/>
              <w:rPr>
                <w:noProof/>
              </w:rPr>
            </w:pPr>
            <w:r>
              <w:rPr>
                <w:noProof/>
              </w:rPr>
              <w:t>Les actes juridiques prévoient également les circonstances dans lesquelles le tribunal n'oblige pas les parties à participer à une telle réunion d'information.</w:t>
            </w:r>
          </w:p>
          <w:p w14:paraId="1CEBDC83" w14:textId="77777777" w:rsidR="00F74E13" w:rsidRDefault="009274FC">
            <w:pPr>
              <w:pStyle w:val="P68B1DB1-Normal22"/>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La réunion d’information </w:t>
            </w:r>
            <w:r>
              <w:rPr>
                <w:rFonts w:ascii="Times New Roman" w:hAnsi="Times New Roman"/>
                <w:noProof/>
              </w:rPr>
              <w:t>est organisée dans les centres de médiation</w:t>
            </w:r>
            <w:r>
              <w:rPr>
                <w:rFonts w:ascii="Times New Roman" w:eastAsia="Times New Roman" w:hAnsi="Times New Roman" w:cs="Times New Roman"/>
                <w:noProof/>
                <w:szCs w:val="20"/>
              </w:rPr>
              <w:t xml:space="preserve"> </w:t>
            </w:r>
            <w:r>
              <w:rPr>
                <w:rFonts w:ascii="Times New Roman" w:hAnsi="Times New Roman"/>
                <w:noProof/>
              </w:rPr>
              <w:t>des tribunaux</w:t>
            </w:r>
            <w:r>
              <w:rPr>
                <w:rFonts w:ascii="Times New Roman" w:eastAsia="Times New Roman" w:hAnsi="Times New Roman" w:cs="Times New Roman"/>
                <w:noProof/>
                <w:szCs w:val="20"/>
              </w:rPr>
              <w:t xml:space="preserve"> et de leurs circonscriptions territoriales</w:t>
            </w:r>
            <w:r>
              <w:rPr>
                <w:rFonts w:ascii="Times New Roman" w:hAnsi="Times New Roman"/>
                <w:noProof/>
              </w:rPr>
              <w:t xml:space="preserve">. Les </w:t>
            </w:r>
            <w:r>
              <w:rPr>
                <w:rFonts w:ascii="Times New Roman" w:eastAsia="Times New Roman" w:hAnsi="Times New Roman" w:cs="Times New Roman"/>
                <w:noProof/>
                <w:szCs w:val="20"/>
              </w:rPr>
              <w:t>actes juridiques</w:t>
            </w:r>
            <w:r>
              <w:rPr>
                <w:rFonts w:ascii="Times New Roman" w:hAnsi="Times New Roman"/>
                <w:noProof/>
              </w:rPr>
              <w:t xml:space="preserve"> régissent l’organisation et le fonctionnement des centres de </w:t>
            </w:r>
            <w:r>
              <w:rPr>
                <w:rFonts w:ascii="Times New Roman" w:eastAsia="Times New Roman" w:hAnsi="Times New Roman" w:cs="Times New Roman"/>
                <w:noProof/>
                <w:szCs w:val="20"/>
              </w:rPr>
              <w:t>médiation</w:t>
            </w:r>
            <w:r>
              <w:rPr>
                <w:rFonts w:ascii="Times New Roman" w:hAnsi="Times New Roman"/>
                <w:noProof/>
              </w:rPr>
              <w:t xml:space="preserve"> et le statut de leur personnel, ainsi que la procédure de sélection des médiateurs.</w:t>
            </w:r>
          </w:p>
        </w:tc>
      </w:tr>
      <w:tr w:rsidR="00F74E13" w14:paraId="1CEBDC90" w14:textId="77777777" w:rsidTr="00D24DB8">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C85" w14:textId="77777777" w:rsidR="00F74E13" w:rsidRDefault="009274FC">
            <w:pPr>
              <w:pStyle w:val="P68B1DB1-Normal35"/>
              <w:spacing w:after="0" w:line="240" w:lineRule="auto"/>
              <w:jc w:val="center"/>
              <w:rPr>
                <w:noProof/>
              </w:rPr>
            </w:pPr>
            <w:r>
              <w:rPr>
                <w:noProof/>
              </w:rPr>
              <w:t>228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C86" w14:textId="77777777" w:rsidR="00F74E13" w:rsidRDefault="009274FC">
            <w:pPr>
              <w:pStyle w:val="P68B1DB1-Normal15"/>
              <w:spacing w:after="0" w:line="240" w:lineRule="auto"/>
              <w:rPr>
                <w:noProof/>
              </w:rPr>
            </w:pPr>
            <w:r>
              <w:rPr>
                <w:noProof/>
              </w:rPr>
              <w:t>C10.R4 : Mesures concernant le cadre en matière d'insolvabilité</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C87"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C88" w14:textId="77777777" w:rsidR="00F74E13" w:rsidRDefault="009274FC">
            <w:pPr>
              <w:pStyle w:val="P68B1DB1-Normal13"/>
              <w:spacing w:after="0" w:line="240" w:lineRule="auto"/>
              <w:rPr>
                <w:rFonts w:eastAsia="Times New Roman" w:cs="Times New Roman"/>
                <w:noProof/>
              </w:rPr>
            </w:pPr>
            <w:r>
              <w:rPr>
                <w:noProof/>
              </w:rPr>
              <w:t>Entrée en vigueur des actes juridiques relatifs aux procédures d'insolvabilité et de restructuration</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C89" w14:textId="77777777" w:rsidR="00F74E13" w:rsidRDefault="009274FC">
            <w:pPr>
              <w:pStyle w:val="P68B1DB1-Normal13"/>
              <w:spacing w:after="0" w:line="240" w:lineRule="auto"/>
              <w:rPr>
                <w:noProof/>
              </w:rPr>
            </w:pPr>
            <w:r>
              <w:rPr>
                <w:noProof/>
              </w:rPr>
              <w:t>Dispositions des actes juridiques indiquant leur 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8A"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8B"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8C"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C8D"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C8E"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C8F" w14:textId="77777777" w:rsidR="00F74E13" w:rsidRDefault="009274FC">
            <w:pPr>
              <w:spacing w:after="0" w:line="240" w:lineRule="auto"/>
              <w:rPr>
                <w:rFonts w:ascii="Times New Roman" w:hAnsi="Times New Roman"/>
                <w:noProof/>
                <w:sz w:val="20"/>
              </w:rPr>
            </w:pPr>
            <w:r>
              <w:rPr>
                <w:rFonts w:ascii="Times New Roman" w:hAnsi="Times New Roman"/>
                <w:noProof/>
                <w:color w:val="006100"/>
                <w:sz w:val="20"/>
              </w:rPr>
              <w:t>Entrée en vigueur des</w:t>
            </w:r>
            <w:r>
              <w:rPr>
                <w:noProof/>
              </w:rPr>
              <w:t xml:space="preserve"> </w:t>
            </w:r>
            <w:r>
              <w:rPr>
                <w:rFonts w:ascii="Times New Roman" w:eastAsia="Times New Roman" w:hAnsi="Times New Roman" w:cs="Times New Roman"/>
                <w:noProof/>
                <w:color w:val="006100"/>
                <w:sz w:val="20"/>
                <w:szCs w:val="20"/>
              </w:rPr>
              <w:t>actes juridiques</w:t>
            </w:r>
            <w:r>
              <w:rPr>
                <w:rFonts w:ascii="Times New Roman" w:hAnsi="Times New Roman"/>
                <w:noProof/>
                <w:color w:val="006100"/>
                <w:sz w:val="20"/>
              </w:rPr>
              <w:t>, qui prévoient:</w:t>
            </w:r>
            <w:r>
              <w:rPr>
                <w:noProof/>
              </w:rPr>
              <w:br/>
            </w:r>
            <w:r>
              <w:rPr>
                <w:rFonts w:ascii="Times New Roman" w:hAnsi="Times New Roman"/>
                <w:noProof/>
                <w:color w:val="006100"/>
                <w:sz w:val="20"/>
              </w:rPr>
              <w:t>- les outils d'alerte précoce;</w:t>
            </w:r>
            <w:r>
              <w:rPr>
                <w:noProof/>
              </w:rPr>
              <w:br/>
            </w:r>
            <w:r>
              <w:rPr>
                <w:rFonts w:ascii="Times New Roman" w:hAnsi="Times New Roman"/>
                <w:noProof/>
                <w:color w:val="006100"/>
                <w:sz w:val="20"/>
              </w:rPr>
              <w:t>-</w:t>
            </w:r>
            <w:r>
              <w:rPr>
                <w:rFonts w:ascii="Times New Roman" w:eastAsia="Times New Roman" w:hAnsi="Times New Roman" w:cs="Times New Roman"/>
                <w:noProof/>
                <w:color w:val="006100"/>
                <w:sz w:val="20"/>
                <w:szCs w:val="20"/>
              </w:rPr>
              <w:t xml:space="preserve"> faciliter l'ouverture </w:t>
            </w:r>
            <w:r>
              <w:rPr>
                <w:rFonts w:ascii="Times New Roman" w:hAnsi="Times New Roman"/>
                <w:noProof/>
                <w:color w:val="006100"/>
                <w:sz w:val="20"/>
              </w:rPr>
              <w:t>et la</w:t>
            </w:r>
            <w:r>
              <w:rPr>
                <w:rFonts w:ascii="Times New Roman" w:eastAsia="Times New Roman" w:hAnsi="Times New Roman" w:cs="Times New Roman"/>
                <w:noProof/>
                <w:color w:val="006100"/>
                <w:sz w:val="20"/>
                <w:szCs w:val="20"/>
              </w:rPr>
              <w:t xml:space="preserve"> conduite des procédures d'insolvabilité et de restructuration;</w:t>
            </w:r>
            <w:r>
              <w:rPr>
                <w:noProof/>
              </w:rPr>
              <w:br/>
            </w:r>
            <w:r>
              <w:rPr>
                <w:rFonts w:ascii="Times New Roman" w:hAnsi="Times New Roman"/>
                <w:noProof/>
                <w:color w:val="006100"/>
                <w:sz w:val="20"/>
              </w:rPr>
              <w:t>- les obligations des administrateurs en cas de probabilité d'insolvabilité;</w:t>
            </w:r>
            <w:r>
              <w:rPr>
                <w:noProof/>
              </w:rPr>
              <w:br/>
            </w:r>
            <w:r>
              <w:rPr>
                <w:rFonts w:ascii="Times New Roman" w:hAnsi="Times New Roman"/>
                <w:noProof/>
                <w:color w:val="006100"/>
                <w:sz w:val="20"/>
              </w:rPr>
              <w:t>- une possibilité d'échange électronique d'informations et de documents dans le cadre des procédures d'insolvabilité, de restructuration et de remise de dettes;</w:t>
            </w:r>
            <w:r>
              <w:rPr>
                <w:noProof/>
              </w:rPr>
              <w:br/>
            </w:r>
            <w:r>
              <w:rPr>
                <w:rFonts w:ascii="Times New Roman" w:hAnsi="Times New Roman"/>
                <w:noProof/>
                <w:color w:val="006100"/>
                <w:sz w:val="20"/>
              </w:rPr>
              <w:t>- une réglementation plus stricte de la profession des praticiens de l'insolvabilité afin de garantir qu'ils disposent de l'expertise nécessaire et que les conditions d'éligibilité, ainsi que le processus de nomination, de révocation et de démission des praticiens sont clairs, transparents et équitables.</w:t>
            </w:r>
          </w:p>
        </w:tc>
      </w:tr>
      <w:tr w:rsidR="00F74E13" w14:paraId="1CEBDCA3" w14:textId="77777777" w:rsidTr="00D24DB8">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91" w14:textId="77777777" w:rsidR="00F74E13" w:rsidRDefault="009274FC">
            <w:pPr>
              <w:pStyle w:val="P68B1DB1-Normal35"/>
              <w:spacing w:after="0" w:line="240" w:lineRule="auto"/>
              <w:jc w:val="center"/>
              <w:rPr>
                <w:noProof/>
              </w:rPr>
            </w:pPr>
            <w:r>
              <w:rPr>
                <w:noProof/>
              </w:rPr>
              <w:t>229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92" w14:textId="77777777" w:rsidR="00F74E13" w:rsidRDefault="009274FC">
            <w:pPr>
              <w:pStyle w:val="P68B1DB1-Normal15"/>
              <w:spacing w:after="0" w:line="240" w:lineRule="auto"/>
              <w:rPr>
                <w:noProof/>
              </w:rPr>
            </w:pPr>
            <w:r>
              <w:rPr>
                <w:noProof/>
              </w:rPr>
              <w:t xml:space="preserve">C10.R4 : Mesures concernant le cadre en matière d'insolvabilité </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93"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94" w14:textId="77777777" w:rsidR="00F74E13" w:rsidRDefault="009274FC">
            <w:pPr>
              <w:pStyle w:val="P68B1DB1-Normal15"/>
              <w:spacing w:after="0" w:line="240" w:lineRule="auto"/>
              <w:rPr>
                <w:noProof/>
              </w:rPr>
            </w:pPr>
            <w:r>
              <w:rPr>
                <w:noProof/>
              </w:rPr>
              <w:t xml:space="preserve">Mesures relatives au cadre en matière d'insolvabilité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95" w14:textId="77777777" w:rsidR="00F74E13" w:rsidRDefault="009274FC">
            <w:pPr>
              <w:pStyle w:val="P68B1DB1-Normal15"/>
              <w:spacing w:after="0" w:line="240" w:lineRule="auto"/>
              <w:rPr>
                <w:noProof/>
              </w:rPr>
            </w:pPr>
            <w:r>
              <w:rPr>
                <w:noProof/>
              </w:rPr>
              <w:t xml:space="preserve">1. Formations organisées; </w:t>
            </w:r>
          </w:p>
          <w:p w14:paraId="1CEBDC96" w14:textId="77777777" w:rsidR="00F74E13" w:rsidRDefault="009274FC">
            <w:pPr>
              <w:pStyle w:val="P68B1DB1-Normal35"/>
              <w:spacing w:after="0" w:line="240" w:lineRule="auto"/>
              <w:rPr>
                <w:noProof/>
              </w:rPr>
            </w:pPr>
            <w:r>
              <w:rPr>
                <w:noProof/>
              </w:rPr>
              <w:t>2. Outil(s) électronique(s) amélioré(s);</w:t>
            </w:r>
          </w:p>
          <w:p w14:paraId="1CEBDC97" w14:textId="77777777" w:rsidR="00F74E13" w:rsidRDefault="009274FC">
            <w:pPr>
              <w:pStyle w:val="P68B1DB1-Normal13"/>
              <w:spacing w:after="0" w:line="240" w:lineRule="auto"/>
              <w:rPr>
                <w:noProof/>
              </w:rPr>
            </w:pPr>
            <w:r>
              <w:rPr>
                <w:noProof/>
              </w:rPr>
              <w:t xml:space="preserve">3. Entrée en vigueur du ou des actes juridiques et adoption de lignes directrices; </w:t>
            </w:r>
          </w:p>
          <w:p w14:paraId="1CEBDC98" w14:textId="77777777" w:rsidR="00F74E13" w:rsidRDefault="009274FC">
            <w:pPr>
              <w:pStyle w:val="P68B1DB1-Normal35"/>
              <w:spacing w:after="0" w:line="240" w:lineRule="auto"/>
              <w:rPr>
                <w:noProof/>
              </w:rPr>
            </w:pPr>
            <w:r>
              <w:rPr>
                <w:noProof/>
              </w:rPr>
              <w:t>4. Publication de données statistiques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99"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9A"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9B"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9C"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9D"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C9E" w14:textId="77777777" w:rsidR="00F74E13" w:rsidRDefault="009274FC">
            <w:pPr>
              <w:pStyle w:val="P68B1DB1-Normal15"/>
              <w:spacing w:after="0" w:line="240" w:lineRule="auto"/>
              <w:rPr>
                <w:noProof/>
              </w:rPr>
            </w:pPr>
            <w:r>
              <w:rPr>
                <w:noProof/>
              </w:rPr>
              <w:t>Les mesures portent sur les éléments suivants:</w:t>
            </w:r>
          </w:p>
          <w:p w14:paraId="1CEBDC9F" w14:textId="77777777" w:rsidR="00F74E13" w:rsidRDefault="009274FC">
            <w:pPr>
              <w:pStyle w:val="P68B1DB1-Normal13"/>
              <w:spacing w:after="0" w:line="240" w:lineRule="auto"/>
              <w:rPr>
                <w:noProof/>
              </w:rPr>
            </w:pPr>
            <w:r>
              <w:rPr>
                <w:noProof/>
              </w:rPr>
              <w:t xml:space="preserve">1. Organisation de formations sur le cadre de l'insolvabilité. </w:t>
            </w:r>
          </w:p>
          <w:p w14:paraId="1CEBDCA0" w14:textId="77777777" w:rsidR="00F74E13" w:rsidRDefault="009274FC">
            <w:pPr>
              <w:pStyle w:val="P68B1DB1-Normal13"/>
              <w:spacing w:after="0" w:line="240" w:lineRule="auto"/>
              <w:rPr>
                <w:noProof/>
              </w:rPr>
            </w:pPr>
            <w:r>
              <w:rPr>
                <w:noProof/>
              </w:rPr>
              <w:t>2. Mise à niveau du ou des outils électroniques pour faire en sorte que les parties puissent utiliser les moyens de communication électroniques dans les procédures d'insolvabilité et de restructuration.</w:t>
            </w:r>
          </w:p>
          <w:p w14:paraId="1CEBDCA1" w14:textId="77777777" w:rsidR="00F74E13" w:rsidRDefault="009274FC">
            <w:pPr>
              <w:pStyle w:val="P68B1DB1-Normal15"/>
              <w:spacing w:after="0" w:line="240" w:lineRule="auto"/>
              <w:rPr>
                <w:noProof/>
              </w:rPr>
            </w:pPr>
            <w:r>
              <w:rPr>
                <w:noProof/>
              </w:rPr>
              <w:t xml:space="preserve">3. Entrée en vigueur d'un ou de plusieurs actes juridiques et adoption de lignes directrices concernant la restructuration, l'insolvabilité ou la remise de dettes. </w:t>
            </w:r>
          </w:p>
          <w:p w14:paraId="1CEBDCA2" w14:textId="77777777" w:rsidR="00F74E13" w:rsidRDefault="009274FC">
            <w:pPr>
              <w:pStyle w:val="P68B1DB1-Normal13"/>
              <w:spacing w:after="0" w:line="240" w:lineRule="auto"/>
              <w:rPr>
                <w:noProof/>
              </w:rPr>
            </w:pPr>
            <w:r>
              <w:rPr>
                <w:noProof/>
              </w:rPr>
              <w:t>4. Données statistiques publiées concernant la restructuration, l'insolvabilité et la remise de dettes.</w:t>
            </w:r>
          </w:p>
        </w:tc>
      </w:tr>
      <w:tr w:rsidR="00F74E13" w14:paraId="1CEBDCAF" w14:textId="77777777" w:rsidTr="00D24DB8">
        <w:trPr>
          <w:trHeight w:val="23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A4" w14:textId="77777777" w:rsidR="00F74E13" w:rsidRDefault="009274FC">
            <w:pPr>
              <w:pStyle w:val="P68B1DB1-Normal35"/>
              <w:spacing w:after="0" w:line="240" w:lineRule="auto"/>
              <w:jc w:val="center"/>
              <w:rPr>
                <w:noProof/>
              </w:rPr>
            </w:pPr>
            <w:r>
              <w:rPr>
                <w:noProof/>
              </w:rPr>
              <w:t>230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A5" w14:textId="77777777" w:rsidR="00F74E13" w:rsidRDefault="009274FC">
            <w:pPr>
              <w:pStyle w:val="P68B1DB1-Normal15"/>
              <w:spacing w:after="0" w:line="240" w:lineRule="auto"/>
              <w:rPr>
                <w:noProof/>
              </w:rPr>
            </w:pPr>
            <w:r>
              <w:rPr>
                <w:noProof/>
              </w:rPr>
              <w:t>C10.R5: Réforme numérique du secteur bulgare de la construction</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A6"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A7" w14:textId="77777777" w:rsidR="00F74E13" w:rsidRDefault="009274FC">
            <w:pPr>
              <w:pStyle w:val="P68B1DB1-Normal15"/>
              <w:spacing w:after="0" w:line="240" w:lineRule="auto"/>
              <w:rPr>
                <w:noProof/>
              </w:rPr>
            </w:pPr>
            <w:r>
              <w:rPr>
                <w:noProof/>
              </w:rPr>
              <w:t>Stratégie et feuille de route pour l'introduction de la modélisation de l'information du bâtiment (BIM)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A8" w14:textId="77777777" w:rsidR="00F74E13" w:rsidRDefault="009274FC">
            <w:pPr>
              <w:pStyle w:val="P68B1DB1-Normal15"/>
              <w:spacing w:after="0" w:line="240" w:lineRule="auto"/>
              <w:rPr>
                <w:noProof/>
              </w:rPr>
            </w:pPr>
            <w:r>
              <w:rPr>
                <w:noProof/>
              </w:rPr>
              <w:t>Approbation de la stratégie et de la feuille de route 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A9"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AA"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AB"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AC"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AD"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AE" w14:textId="77777777" w:rsidR="00F74E13" w:rsidRDefault="009274FC">
            <w:pPr>
              <w:pStyle w:val="P68B1DB1-Normal13"/>
              <w:spacing w:line="240" w:lineRule="auto"/>
              <w:jc w:val="both"/>
              <w:rPr>
                <w:noProof/>
              </w:rPr>
            </w:pPr>
            <w:r>
              <w:rPr>
                <w:noProof/>
              </w:rPr>
              <w:t xml:space="preserve">Le Conseil des ministres approuve une stratégie et une feuille de route pour l'introduction de la modélisation de l'information sur les bâtiments (BIM) de niveau 2. </w:t>
            </w:r>
          </w:p>
        </w:tc>
      </w:tr>
      <w:tr w:rsidR="00F74E13" w14:paraId="1CEBDCBE"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B0" w14:textId="77777777" w:rsidR="00F74E13" w:rsidRDefault="009274FC">
            <w:pPr>
              <w:pStyle w:val="P68B1DB1-Normal35"/>
              <w:spacing w:after="0" w:line="240" w:lineRule="auto"/>
              <w:jc w:val="center"/>
              <w:rPr>
                <w:noProof/>
              </w:rPr>
            </w:pPr>
            <w:r>
              <w:rPr>
                <w:noProof/>
              </w:rPr>
              <w:t>231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B1" w14:textId="77777777" w:rsidR="00F74E13" w:rsidRDefault="009274FC">
            <w:pPr>
              <w:pStyle w:val="P68B1DB1-Normal15"/>
              <w:spacing w:after="0" w:line="240" w:lineRule="auto"/>
              <w:rPr>
                <w:noProof/>
              </w:rPr>
            </w:pPr>
            <w:r>
              <w:rPr>
                <w:noProof/>
              </w:rPr>
              <w:t>C10.R6: Réforme du registre pour libérer le potentiel de l'administration en ligne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B2"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B3" w14:textId="77777777" w:rsidR="00F74E13" w:rsidRDefault="009274FC">
            <w:pPr>
              <w:pStyle w:val="P68B1DB1-Normal15"/>
              <w:spacing w:after="0" w:line="240" w:lineRule="auto"/>
              <w:rPr>
                <w:noProof/>
              </w:rPr>
            </w:pPr>
            <w:r>
              <w:rPr>
                <w:noProof/>
              </w:rPr>
              <w:t>Entrée en vigueur des modifications de la loi sur la gouvernance électronique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B4" w14:textId="77777777" w:rsidR="00F74E13" w:rsidRDefault="009274FC">
            <w:pPr>
              <w:pStyle w:val="P68B1DB1-Normal15"/>
              <w:spacing w:after="0" w:line="240" w:lineRule="auto"/>
              <w:rPr>
                <w:noProof/>
              </w:rPr>
            </w:pPr>
            <w:r>
              <w:rPr>
                <w:noProof/>
              </w:rPr>
              <w:t>Dispositions de la loi sur la gouvernance électronique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B5"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B6"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B7"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B8"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B9"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BA" w14:textId="77777777" w:rsidR="00F74E13" w:rsidRDefault="009274FC">
            <w:pPr>
              <w:pStyle w:val="P68B1DB1-Normal15"/>
              <w:spacing w:after="0" w:line="240" w:lineRule="auto"/>
              <w:rPr>
                <w:noProof/>
              </w:rPr>
            </w:pPr>
            <w:r>
              <w:rPr>
                <w:noProof/>
              </w:rPr>
              <w:t>Les modifications apportées à la loi sur la gouvernance électronique introduisent:</w:t>
            </w:r>
          </w:p>
          <w:p w14:paraId="1CEBDCBB" w14:textId="77777777" w:rsidR="00F74E13" w:rsidRDefault="009274FC">
            <w:pPr>
              <w:pStyle w:val="P68B1DB1-ListParagraph20"/>
              <w:numPr>
                <w:ilvl w:val="0"/>
                <w:numId w:val="54"/>
              </w:numPr>
              <w:spacing w:after="0" w:line="240" w:lineRule="auto"/>
              <w:ind w:left="460"/>
              <w:rPr>
                <w:noProof/>
              </w:rPr>
            </w:pPr>
            <w:r>
              <w:rPr>
                <w:noProof/>
              </w:rPr>
              <w:t xml:space="preserve">les règles relatives à l'établissement des registres des autorités administratives et leurs exigences; </w:t>
            </w:r>
          </w:p>
          <w:p w14:paraId="1CEBDCBC" w14:textId="77777777" w:rsidR="00F74E13" w:rsidRDefault="009274FC">
            <w:pPr>
              <w:pStyle w:val="P68B1DB1-ListParagraph20"/>
              <w:numPr>
                <w:ilvl w:val="0"/>
                <w:numId w:val="54"/>
              </w:numPr>
              <w:spacing w:after="0" w:line="240" w:lineRule="auto"/>
              <w:ind w:left="460"/>
              <w:rPr>
                <w:noProof/>
              </w:rPr>
            </w:pPr>
            <w:r>
              <w:rPr>
                <w:noProof/>
              </w:rPr>
              <w:t xml:space="preserve">les définitions de «registre», «administrateur central de données»; </w:t>
            </w:r>
          </w:p>
          <w:p w14:paraId="1CEBDCBD" w14:textId="77777777" w:rsidR="00F74E13" w:rsidRDefault="009274FC">
            <w:pPr>
              <w:pStyle w:val="P68B1DB1-ListParagraph20"/>
              <w:numPr>
                <w:ilvl w:val="0"/>
                <w:numId w:val="54"/>
              </w:numPr>
              <w:spacing w:after="0" w:line="240" w:lineRule="auto"/>
              <w:ind w:left="460"/>
              <w:rPr>
                <w:noProof/>
              </w:rPr>
            </w:pPr>
            <w:r>
              <w:rPr>
                <w:noProof/>
              </w:rPr>
              <w:t>une définition de l'espace d'information protégé et partagé sur l'administration en ligne.</w:t>
            </w:r>
          </w:p>
        </w:tc>
      </w:tr>
      <w:tr w:rsidR="00F74E13" w14:paraId="1CEBDCCA"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BF" w14:textId="77777777" w:rsidR="00F74E13" w:rsidRDefault="009274FC">
            <w:pPr>
              <w:pStyle w:val="P68B1DB1-Normal35"/>
              <w:spacing w:after="0" w:line="240" w:lineRule="auto"/>
              <w:jc w:val="center"/>
              <w:rPr>
                <w:noProof/>
              </w:rPr>
            </w:pPr>
            <w:r>
              <w:rPr>
                <w:noProof/>
              </w:rPr>
              <w:t>232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C0" w14:textId="77777777" w:rsidR="00F74E13" w:rsidRDefault="009274FC">
            <w:pPr>
              <w:pStyle w:val="P68B1DB1-Normal15"/>
              <w:spacing w:after="0" w:line="240" w:lineRule="auto"/>
              <w:rPr>
                <w:noProof/>
              </w:rPr>
            </w:pPr>
            <w:r>
              <w:rPr>
                <w:noProof/>
              </w:rPr>
              <w:t>C10.R6: Réforme du registre pour libérer le potentiel de l'administration en ligne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C1"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C2" w14:textId="77777777" w:rsidR="00F74E13" w:rsidRDefault="009274FC">
            <w:pPr>
              <w:pStyle w:val="P68B1DB1-Normal15"/>
              <w:spacing w:after="0" w:line="240" w:lineRule="auto"/>
              <w:rPr>
                <w:noProof/>
              </w:rPr>
            </w:pPr>
            <w:r>
              <w:rPr>
                <w:noProof/>
              </w:rPr>
              <w:t>Entrée en vigueur des amendements à la loi sur le cadastre et le registre foncier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C3" w14:textId="77777777" w:rsidR="00F74E13" w:rsidRDefault="009274FC">
            <w:pPr>
              <w:pStyle w:val="P68B1DB1-Normal15"/>
              <w:spacing w:after="0" w:line="240" w:lineRule="auto"/>
              <w:rPr>
                <w:noProof/>
              </w:rPr>
            </w:pPr>
            <w:r>
              <w:rPr>
                <w:noProof/>
              </w:rPr>
              <w:t>Dispositions de la loi sur le cadastre et le registre foncier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C4"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C5"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C6"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C7"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C8"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C9"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Les modifications apportées à la loi sur le cadastre et le registre foncier fixent les exigences relatives au contenu des comptes fonciers dans le registre foncier et au processus de leur création sur la base des comptes personnels existants,</w:t>
            </w:r>
            <w:r>
              <w:rPr>
                <w:rFonts w:ascii="Times New Roman" w:eastAsia="Times New Roman" w:hAnsi="Times New Roman" w:cs="Times New Roman"/>
                <w:noProof/>
                <w:szCs w:val="20"/>
              </w:rPr>
              <w:t xml:space="preserve"> et précisent </w:t>
            </w:r>
            <w:r>
              <w:rPr>
                <w:rFonts w:ascii="Times New Roman" w:hAnsi="Times New Roman"/>
                <w:noProof/>
              </w:rPr>
              <w:t>les responsabilités des juges du registre et de l’agence du registre dans le processus de création des comptes fonciers dans le registre.</w:t>
            </w:r>
          </w:p>
        </w:tc>
      </w:tr>
      <w:tr w:rsidR="00F74E13" w14:paraId="1CEBDCD8"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CB" w14:textId="77777777" w:rsidR="00F74E13" w:rsidRDefault="009274FC">
            <w:pPr>
              <w:pStyle w:val="P68B1DB1-Normal35"/>
              <w:spacing w:after="0" w:line="240" w:lineRule="auto"/>
              <w:jc w:val="center"/>
              <w:rPr>
                <w:noProof/>
              </w:rPr>
            </w:pPr>
            <w:r>
              <w:rPr>
                <w:noProof/>
              </w:rPr>
              <w:t>233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CC" w14:textId="77777777" w:rsidR="00F74E13" w:rsidRDefault="009274FC">
            <w:pPr>
              <w:pStyle w:val="P68B1DB1-Normal15"/>
              <w:spacing w:after="0" w:line="240" w:lineRule="auto"/>
              <w:rPr>
                <w:noProof/>
              </w:rPr>
            </w:pPr>
            <w:r>
              <w:rPr>
                <w:noProof/>
              </w:rPr>
              <w:t>C10.R6: Réforme du registre pour libérer le potentiel de l'administration en ligne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CD"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CE" w14:textId="77777777" w:rsidR="00F74E13" w:rsidRDefault="009274FC">
            <w:pPr>
              <w:pStyle w:val="P68B1DB1-Normal15"/>
              <w:spacing w:after="0" w:line="240" w:lineRule="auto"/>
              <w:rPr>
                <w:noProof/>
              </w:rPr>
            </w:pPr>
            <w:r>
              <w:rPr>
                <w:noProof/>
              </w:rPr>
              <w:t>Entrée en vigueur du ou des actes juridiques sur la gouvernance électronique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CF" w14:textId="77777777" w:rsidR="00F74E13" w:rsidRDefault="009274FC">
            <w:pPr>
              <w:pStyle w:val="P68B1DB1-Normal15"/>
              <w:spacing w:after="0" w:line="240" w:lineRule="auto"/>
              <w:rPr>
                <w:noProof/>
              </w:rPr>
            </w:pPr>
            <w:r>
              <w:rPr>
                <w:noProof/>
              </w:rPr>
              <w:t>Dispositions indiquant l'entrée en vigueur d'un ou de plusieurs actes juridiques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D0"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D1"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D2"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D3"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D4"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D5" w14:textId="77777777" w:rsidR="00F74E13" w:rsidRDefault="009274FC">
            <w:pPr>
              <w:pStyle w:val="P68B1DB1-Normal15"/>
              <w:spacing w:after="0" w:line="240" w:lineRule="auto"/>
              <w:jc w:val="both"/>
              <w:rPr>
                <w:noProof/>
              </w:rPr>
            </w:pPr>
            <w:r>
              <w:rPr>
                <w:noProof/>
              </w:rPr>
              <w:t>Le ou les actes juridiques instaurent une obligation:</w:t>
            </w:r>
          </w:p>
          <w:p w14:paraId="1CEBDCD6" w14:textId="77777777" w:rsidR="00F74E13" w:rsidRDefault="009274FC">
            <w:pPr>
              <w:pStyle w:val="P68B1DB1-ListParagraph14"/>
              <w:numPr>
                <w:ilvl w:val="0"/>
                <w:numId w:val="55"/>
              </w:numPr>
              <w:spacing w:after="0" w:line="240" w:lineRule="auto"/>
              <w:ind w:left="313" w:hanging="283"/>
              <w:jc w:val="both"/>
              <w:rPr>
                <w:noProof/>
              </w:rPr>
            </w:pPr>
            <w:r>
              <w:rPr>
                <w:noProof/>
              </w:rPr>
              <w:t xml:space="preserve">aux autorités administratives de tenir des bases de données et des registres qui leur sont confiés par la loi dans un format électronique. </w:t>
            </w:r>
          </w:p>
          <w:p w14:paraId="1CEBDCD7" w14:textId="77777777" w:rsidR="00F74E13" w:rsidRDefault="009274FC">
            <w:pPr>
              <w:pStyle w:val="P68B1DB1-ListParagraph14"/>
              <w:numPr>
                <w:ilvl w:val="0"/>
                <w:numId w:val="55"/>
              </w:numPr>
              <w:spacing w:after="0" w:line="240" w:lineRule="auto"/>
              <w:ind w:left="313" w:hanging="283"/>
              <w:jc w:val="both"/>
              <w:rPr>
                <w:noProof/>
              </w:rPr>
            </w:pPr>
            <w:r>
              <w:rPr>
                <w:noProof/>
              </w:rPr>
              <w:t xml:space="preserve">fournir gratuitement des données disponibles dans un format électronique dans le système unifié d’enregistrement des faits d’état civil et de service administratif de la population (ESGRAON) concernant la naissance, le mariage et le décès à d’autres autorités administratives fournissant des services administratifs électroniques. </w:t>
            </w:r>
          </w:p>
        </w:tc>
      </w:tr>
      <w:tr w:rsidR="00F74E13" w14:paraId="1CEBDCE4"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D9" w14:textId="77777777" w:rsidR="00F74E13" w:rsidRDefault="009274FC">
            <w:pPr>
              <w:pStyle w:val="P68B1DB1-Normal35"/>
              <w:spacing w:after="0" w:line="240" w:lineRule="auto"/>
              <w:jc w:val="center"/>
              <w:rPr>
                <w:noProof/>
              </w:rPr>
            </w:pPr>
            <w:r>
              <w:rPr>
                <w:noProof/>
              </w:rPr>
              <w:t>234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DA" w14:textId="77777777" w:rsidR="00F74E13" w:rsidRDefault="009274FC">
            <w:pPr>
              <w:pStyle w:val="P68B1DB1-Normal15"/>
              <w:spacing w:after="0" w:line="240" w:lineRule="auto"/>
              <w:rPr>
                <w:noProof/>
              </w:rPr>
            </w:pPr>
            <w:r>
              <w:rPr>
                <w:noProof/>
              </w:rPr>
              <w:t>C10.R7: Cadre de gouvernance pour les entreprises publiques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DB"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DC" w14:textId="77777777" w:rsidR="00F74E13" w:rsidRDefault="009274FC">
            <w:pPr>
              <w:pStyle w:val="P68B1DB1-Normal15"/>
              <w:spacing w:after="0" w:line="240" w:lineRule="auto"/>
              <w:rPr>
                <w:noProof/>
              </w:rPr>
            </w:pPr>
            <w:r>
              <w:rPr>
                <w:noProof/>
              </w:rPr>
              <w:t>Adoption d'une politique de propriété publique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DD" w14:textId="77777777" w:rsidR="00F74E13" w:rsidRDefault="009274FC">
            <w:pPr>
              <w:pStyle w:val="P68B1DB1-Normal15"/>
              <w:spacing w:after="0" w:line="240" w:lineRule="auto"/>
              <w:rPr>
                <w:noProof/>
              </w:rPr>
            </w:pPr>
            <w:r>
              <w:rPr>
                <w:noProof/>
              </w:rPr>
              <w:t>Document adopté par le Conseil des ministres établissant une politique de propriété de l'État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DE"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DF"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E0"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E1"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E2"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E3" w14:textId="77777777" w:rsidR="00F74E13" w:rsidRDefault="009274FC">
            <w:pPr>
              <w:pStyle w:val="P68B1DB1-Normal15"/>
              <w:spacing w:after="0" w:line="240" w:lineRule="auto"/>
              <w:jc w:val="both"/>
              <w:rPr>
                <w:noProof/>
              </w:rPr>
            </w:pPr>
            <w:r>
              <w:rPr>
                <w:noProof/>
              </w:rPr>
              <w:t>La politique de propriété de l'État est élaborée par l'Agence des entreprises publiques et de contrôle et adoptée par le Conseil des ministres. Il contient la justification et les objectifs de la participation de l’État aux entreprises publiques, ainsi que le rôle de l’État dans la gestion des entreprises publiques et dans la mise en œuvre de la politique.</w:t>
            </w:r>
          </w:p>
        </w:tc>
      </w:tr>
      <w:tr w:rsidR="00F74E13" w14:paraId="1CEBDCF2" w14:textId="77777777" w:rsidTr="00D24DB8">
        <w:trPr>
          <w:trHeight w:val="78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E5" w14:textId="77777777" w:rsidR="00F74E13" w:rsidRDefault="009274FC">
            <w:pPr>
              <w:pStyle w:val="P68B1DB1-Normal35"/>
              <w:spacing w:after="0" w:line="240" w:lineRule="auto"/>
              <w:jc w:val="center"/>
              <w:rPr>
                <w:noProof/>
              </w:rPr>
            </w:pPr>
            <w:r>
              <w:rPr>
                <w:noProof/>
              </w:rPr>
              <w:t>235</w:t>
            </w:r>
          </w:p>
          <w:p w14:paraId="1CEBDCE6"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E7" w14:textId="77777777" w:rsidR="00F74E13" w:rsidRDefault="009274FC">
            <w:pPr>
              <w:pStyle w:val="P68B1DB1-Normal15"/>
              <w:spacing w:after="0" w:line="240" w:lineRule="auto"/>
              <w:rPr>
                <w:noProof/>
              </w:rPr>
            </w:pPr>
            <w:r>
              <w:rPr>
                <w:noProof/>
              </w:rPr>
              <w:t>C10.R7: Cadre de gouvernance pour les entreprises publiques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E8"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E9" w14:textId="77777777" w:rsidR="00F74E13" w:rsidRDefault="009274FC">
            <w:pPr>
              <w:pStyle w:val="P68B1DB1-Normal15"/>
              <w:spacing w:after="0" w:line="240" w:lineRule="auto"/>
              <w:rPr>
                <w:noProof/>
              </w:rPr>
            </w:pPr>
            <w:r>
              <w:rPr>
                <w:noProof/>
              </w:rPr>
              <w:t>Adoption du rapport de synthèse annuel sur la performance des entreprises publiques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EA" w14:textId="77777777" w:rsidR="00F74E13" w:rsidRDefault="009274FC">
            <w:pPr>
              <w:pStyle w:val="P68B1DB1-Normal15"/>
              <w:spacing w:after="0" w:line="240" w:lineRule="auto"/>
              <w:rPr>
                <w:noProof/>
              </w:rPr>
            </w:pPr>
            <w:r>
              <w:rPr>
                <w:noProof/>
              </w:rPr>
              <w:t>Adoption des rapports de synthèse annuels 2020 et 2021 sur les activités des entreprises publiques par le Conseil des ministres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EB"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EC"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ED"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EE"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EF"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F0" w14:textId="77777777" w:rsidR="00F74E13" w:rsidRDefault="009274FC">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Les rapports de synthèse annuels sur les activités des entreprises publiques sont adoptés par le Conseil des ministres.</w:t>
            </w:r>
            <w:r>
              <w:rPr>
                <w:rFonts w:ascii="Times New Roman" w:eastAsia="Times New Roman" w:hAnsi="Times New Roman" w:cs="Times New Roman"/>
                <w:noProof/>
                <w:szCs w:val="20"/>
              </w:rPr>
              <w:t xml:space="preserve"> </w:t>
            </w:r>
          </w:p>
          <w:p w14:paraId="1CEBDCF1" w14:textId="77777777" w:rsidR="00F74E13" w:rsidRDefault="009274FC">
            <w:pPr>
              <w:pStyle w:val="P68B1DB1-Normal15"/>
              <w:spacing w:after="0" w:line="240" w:lineRule="auto"/>
              <w:jc w:val="both"/>
              <w:rPr>
                <w:noProof/>
              </w:rPr>
            </w:pPr>
            <w:r>
              <w:rPr>
                <w:noProof/>
              </w:rPr>
              <w:t xml:space="preserve">Les rapports de synthèse examinent les résultats de l'activité des entreprises publiques, y compris les résultats statutaires, et analysent la performance des entreprises publiques par secteur et la performance individuelle de toutes les entreprises publiques classées comme «grandes» conformément à la loi sur les entreprises publiques. Les rapports de synthèse évaluent également le respect, par les entreprises publiques, des normes applicables en matière de gouvernance d’entreprise et de publication d’informations. </w:t>
            </w:r>
          </w:p>
        </w:tc>
      </w:tr>
      <w:tr w:rsidR="00F74E13" w14:paraId="1CEBDD08" w14:textId="77777777" w:rsidTr="00D24DB8">
        <w:trPr>
          <w:trHeight w:val="92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F3" w14:textId="77777777" w:rsidR="00F74E13" w:rsidRDefault="009274FC">
            <w:pPr>
              <w:pStyle w:val="P68B1DB1-Normal35"/>
              <w:spacing w:after="0" w:line="240" w:lineRule="auto"/>
              <w:jc w:val="center"/>
              <w:rPr>
                <w:noProof/>
              </w:rPr>
            </w:pPr>
            <w:r>
              <w:rPr>
                <w:noProof/>
              </w:rPr>
              <w:t>237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F4" w14:textId="77777777" w:rsidR="00F74E13" w:rsidRDefault="009274FC">
            <w:pPr>
              <w:pStyle w:val="P68B1DB1-Normal15"/>
              <w:spacing w:after="0" w:line="240" w:lineRule="auto"/>
              <w:rPr>
                <w:noProof/>
              </w:rPr>
            </w:pPr>
            <w:r>
              <w:rPr>
                <w:noProof/>
              </w:rPr>
              <w:t>C10.R7: Cadre de gouvernance pour les entreprises publiques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CF5"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CF6" w14:textId="77777777" w:rsidR="00F74E13" w:rsidRDefault="009274FC">
            <w:pPr>
              <w:pStyle w:val="P68B1DB1-Normal15"/>
              <w:spacing w:after="0" w:line="240" w:lineRule="auto"/>
              <w:rPr>
                <w:noProof/>
              </w:rPr>
            </w:pPr>
            <w:r>
              <w:rPr>
                <w:noProof/>
              </w:rPr>
              <w:t xml:space="preserve">Conformité de la composition des </w:t>
            </w:r>
            <w:r>
              <w:rPr>
                <w:noProof/>
                <w:szCs w:val="20"/>
              </w:rPr>
              <w:t xml:space="preserve">conseils d'administration </w:t>
            </w:r>
            <w:r>
              <w:rPr>
                <w:noProof/>
              </w:rPr>
              <w:t xml:space="preserve">des grandes entreprises publiques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F7" w14:textId="77777777" w:rsidR="00F74E13" w:rsidRDefault="009274FC">
            <w:pPr>
              <w:pStyle w:val="P68B1DB1-Normal15"/>
              <w:spacing w:after="0" w:line="240" w:lineRule="auto"/>
              <w:rPr>
                <w:noProof/>
              </w:rPr>
            </w:pPr>
            <w:r>
              <w:rPr>
                <w:noProof/>
              </w:rPr>
              <w:t xml:space="preserve">Informations sur les conseils d’administration publiées par l’Agence pour les entreprises publiques et le contrôle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F8"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F9"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CFA"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FB"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CFC"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CFD" w14:textId="77777777" w:rsidR="00F74E13" w:rsidRDefault="009274FC">
            <w:pPr>
              <w:pStyle w:val="P68B1DB1-Normal64"/>
              <w:spacing w:after="0" w:line="240" w:lineRule="auto"/>
              <w:jc w:val="both"/>
              <w:rPr>
                <w:rFonts w:eastAsia="Times New Roman" w:hint="default"/>
                <w:noProof/>
              </w:rPr>
            </w:pPr>
            <w:r>
              <w:rPr>
                <w:noProof/>
              </w:rPr>
              <w:t>Les positions au sein du conseil d</w:t>
            </w:r>
            <w:r>
              <w:rPr>
                <w:noProof/>
              </w:rPr>
              <w:t>’</w:t>
            </w:r>
            <w:r>
              <w:rPr>
                <w:noProof/>
              </w:rPr>
              <w:t>administration de toutes les grandes entreprises publiques, telles qu</w:t>
            </w:r>
            <w:r>
              <w:rPr>
                <w:noProof/>
              </w:rPr>
              <w:t>’</w:t>
            </w:r>
            <w:r>
              <w:rPr>
                <w:noProof/>
              </w:rPr>
              <w:t>énumérées dans le rapport de synthèse annuel de l</w:t>
            </w:r>
            <w:r>
              <w:rPr>
                <w:noProof/>
              </w:rPr>
              <w:t>’</w:t>
            </w:r>
            <w:r>
              <w:rPr>
                <w:noProof/>
              </w:rPr>
              <w:t>Agence pour les entreprises publiques et le contrôle sur les entreprises publiques:</w:t>
            </w:r>
          </w:p>
          <w:p w14:paraId="1CEBDCFE" w14:textId="77777777" w:rsidR="00F74E13" w:rsidRDefault="009274FC">
            <w:pPr>
              <w:pStyle w:val="P68B1DB1-Normal35"/>
              <w:numPr>
                <w:ilvl w:val="0"/>
                <w:numId w:val="56"/>
              </w:numPr>
              <w:spacing w:after="0" w:line="240" w:lineRule="auto"/>
              <w:ind w:left="597" w:hanging="284"/>
              <w:jc w:val="both"/>
              <w:rPr>
                <w:noProof/>
              </w:rPr>
            </w:pPr>
            <w:r>
              <w:rPr>
                <w:noProof/>
              </w:rPr>
              <w:t xml:space="preserve">ont été pourvus à la suite d’une procédure de mise en concurrence; ou </w:t>
            </w:r>
          </w:p>
          <w:p w14:paraId="1CEBDCFF" w14:textId="77777777" w:rsidR="00F74E13" w:rsidRDefault="009274FC">
            <w:pPr>
              <w:pStyle w:val="P68B1DB1-Normal35"/>
              <w:numPr>
                <w:ilvl w:val="0"/>
                <w:numId w:val="56"/>
              </w:numPr>
              <w:spacing w:after="0" w:line="240" w:lineRule="auto"/>
              <w:ind w:left="597" w:hanging="284"/>
              <w:jc w:val="both"/>
              <w:rPr>
                <w:noProof/>
              </w:rPr>
            </w:pPr>
            <w:r>
              <w:rPr>
                <w:noProof/>
              </w:rPr>
              <w:t>ouvrir une procédure de mise en concurrence; ou</w:t>
            </w:r>
          </w:p>
          <w:p w14:paraId="1CEBDD00" w14:textId="77777777" w:rsidR="00F74E13" w:rsidRDefault="009274FC">
            <w:pPr>
              <w:pStyle w:val="P68B1DB1-Normal35"/>
              <w:numPr>
                <w:ilvl w:val="0"/>
                <w:numId w:val="56"/>
              </w:numPr>
              <w:spacing w:after="0" w:line="240" w:lineRule="auto"/>
              <w:ind w:left="597" w:hanging="284"/>
              <w:jc w:val="both"/>
              <w:rPr>
                <w:noProof/>
              </w:rPr>
            </w:pPr>
            <w:r>
              <w:rPr>
                <w:noProof/>
              </w:rPr>
              <w:t>ont été pourvus d'un engagement temporaire n'excédant pas 6 mois au moment de la publication des informations ci-dessous.</w:t>
            </w:r>
          </w:p>
          <w:p w14:paraId="1CEBDD02" w14:textId="77777777" w:rsidR="00F74E13" w:rsidRDefault="009274FC">
            <w:pPr>
              <w:pStyle w:val="P68B1DB1-Normal35"/>
              <w:spacing w:before="120" w:after="0" w:line="240" w:lineRule="auto"/>
              <w:jc w:val="both"/>
              <w:rPr>
                <w:noProof/>
              </w:rPr>
            </w:pPr>
            <w:r>
              <w:rPr>
                <w:noProof/>
              </w:rPr>
              <w:t>Pour les procédures de mise en concurrence fermées, l’Agence pour les entreprises publiques et le contrôle publie des informations sur la composition des conseils d’administration des grandes entreprises publiques, qui couvrent la date de l’annonce de la procédure, ainsi qu’une liste des candidats désignés, étayée par des liens ou des références aux preuves documentaires.</w:t>
            </w:r>
          </w:p>
          <w:p w14:paraId="1CEBDD04" w14:textId="77777777" w:rsidR="00F74E13" w:rsidRDefault="009274FC">
            <w:pPr>
              <w:pStyle w:val="P68B1DB1-Normal35"/>
              <w:spacing w:before="120" w:after="0" w:line="240" w:lineRule="auto"/>
              <w:jc w:val="both"/>
              <w:rPr>
                <w:noProof/>
              </w:rPr>
            </w:pPr>
            <w:r>
              <w:rPr>
                <w:noProof/>
              </w:rPr>
              <w:t>Pour les procédures ouvertes de mise en concurrence, les informations publiées précisent la date de l’annonce de la procédure, étayée par des liens ou une référence aux preuves documentaires.</w:t>
            </w:r>
          </w:p>
          <w:p w14:paraId="1CEBDD07" w14:textId="2C599BE7" w:rsidR="00F74E13" w:rsidRDefault="009274FC">
            <w:pPr>
              <w:pStyle w:val="P68B1DB1-Normal35"/>
              <w:spacing w:before="120" w:after="0" w:line="240" w:lineRule="auto"/>
              <w:jc w:val="both"/>
              <w:rPr>
                <w:noProof/>
              </w:rPr>
            </w:pPr>
            <w:r>
              <w:rPr>
                <w:noProof/>
              </w:rPr>
              <w:t>Pour les nominations temporaires, les informations publiées précisent la date de nomination, étayées par des liens ou une référence aux preuves documentaires à la date de nomination.</w:t>
            </w:r>
          </w:p>
        </w:tc>
      </w:tr>
      <w:tr w:rsidR="00F74E13" w14:paraId="1CEBDD17" w14:textId="77777777" w:rsidTr="00D24DB8">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09" w14:textId="77777777" w:rsidR="00F74E13" w:rsidRDefault="009274FC">
            <w:pPr>
              <w:pStyle w:val="P68B1DB1-Normal35"/>
              <w:spacing w:after="0" w:line="240" w:lineRule="auto"/>
              <w:jc w:val="center"/>
              <w:rPr>
                <w:noProof/>
              </w:rPr>
            </w:pPr>
            <w:r>
              <w:rPr>
                <w:noProof/>
              </w:rPr>
              <w:t>238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0A" w14:textId="77777777" w:rsidR="00F74E13" w:rsidRDefault="009274FC">
            <w:pPr>
              <w:pStyle w:val="P68B1DB1-Normal15"/>
              <w:spacing w:after="0" w:line="240" w:lineRule="auto"/>
              <w:rPr>
                <w:noProof/>
              </w:rPr>
            </w:pPr>
            <w:r>
              <w:rPr>
                <w:noProof/>
              </w:rPr>
              <w:t xml:space="preserve">C10.R8: Mesures concernant le cadre de lutte contre le blanchiment de capitaux </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0B"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0C" w14:textId="77777777" w:rsidR="00F74E13" w:rsidRDefault="009274FC">
            <w:pPr>
              <w:pStyle w:val="P68B1DB1-Normal15"/>
              <w:spacing w:after="0" w:line="240" w:lineRule="auto"/>
              <w:rPr>
                <w:noProof/>
              </w:rPr>
            </w:pPr>
            <w:r>
              <w:rPr>
                <w:noProof/>
              </w:rPr>
              <w:t>Adoption du plan d’action visant à atténuer les risques de blanchiment de capitaux et de financement du terrorisme recensés dans l’évaluation nationale des risques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0D" w14:textId="77777777" w:rsidR="00F74E13" w:rsidRDefault="009274FC">
            <w:pPr>
              <w:pStyle w:val="P68B1DB1-Normal15"/>
              <w:spacing w:after="0" w:line="240" w:lineRule="auto"/>
              <w:rPr>
                <w:noProof/>
              </w:rPr>
            </w:pPr>
            <w:r>
              <w:rPr>
                <w:noProof/>
              </w:rPr>
              <w:t>Plan d'action adopté par le Conseil des ministres pour le suivi de l'évaluation nationale des risques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0E"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0F"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10"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11"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13" w14:textId="04BEA6B1" w:rsidR="00F74E13" w:rsidRDefault="009274FC">
            <w:pPr>
              <w:pStyle w:val="P68B1DB1-Normal35"/>
              <w:spacing w:after="0" w:line="240" w:lineRule="auto"/>
              <w:jc w:val="center"/>
              <w:rPr>
                <w:noProof/>
              </w:rPr>
            </w:pPr>
            <w:r>
              <w:rPr>
                <w:noProof/>
              </w:rPr>
              <w:t>2021</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14" w14:textId="77777777" w:rsidR="00F74E13" w:rsidRDefault="009274FC">
            <w:pPr>
              <w:pStyle w:val="P68B1DB1-Normal15"/>
              <w:spacing w:after="0" w:line="240" w:lineRule="auto"/>
              <w:jc w:val="both"/>
              <w:rPr>
                <w:noProof/>
              </w:rPr>
            </w:pPr>
            <w:r>
              <w:rPr>
                <w:noProof/>
              </w:rPr>
              <w:t>Le plan d'action est adopté par le Conseil des ministres et vise à renforcer la capacité des institutions bulgares compétentes à atténuer efficacement les risques de blanchiment de capitaux et de financement du terrorisme.</w:t>
            </w:r>
          </w:p>
          <w:p w14:paraId="1CEBDD15" w14:textId="77777777" w:rsidR="00F74E13" w:rsidRDefault="009274FC">
            <w:pPr>
              <w:pStyle w:val="P68B1DB1-Normal15"/>
              <w:spacing w:after="0" w:line="240" w:lineRule="auto"/>
              <w:jc w:val="both"/>
              <w:rPr>
                <w:noProof/>
              </w:rPr>
            </w:pPr>
            <w:r>
              <w:rPr>
                <w:noProof/>
              </w:rPr>
              <w:t xml:space="preserve">Le plan d’action contient une explication des mesures prises au cours de la période 2019-2021 pour atténuer les risques recensés dans le rapport national d’évaluation des risques 2019, y compris les mesures législatives, institutionnelles, réglementaires, prudentielles et opérationnelles. </w:t>
            </w:r>
          </w:p>
          <w:p w14:paraId="1CEBDD16" w14:textId="77777777" w:rsidR="00F74E13" w:rsidRDefault="009274FC">
            <w:pPr>
              <w:pStyle w:val="P68B1DB1-Normal15"/>
              <w:spacing w:after="0" w:line="240" w:lineRule="auto"/>
              <w:jc w:val="both"/>
              <w:rPr>
                <w:noProof/>
              </w:rPr>
            </w:pPr>
            <w:r>
              <w:rPr>
                <w:noProof/>
              </w:rPr>
              <w:t>Le plan d’action décrit en outre les actions supplémentaires visant à remédier aux menaces et vulnérabilités qui subsistent, qui sont toujours en cours, ainsi que les résultats escomptés de leur mise en œuvre, la priorité, le délai d’exécution, la phase et l’autorité responsable. Le plan d’action est élaboré conformément aux recommandations reçues dans le cadre du projet 19BG17 du PARS intitulé «Renforcement des capacités des autorités bulgares à atténuer efficacement les risques de blanchiment de capitaux et de financement du terrorisme».</w:t>
            </w:r>
          </w:p>
        </w:tc>
      </w:tr>
      <w:tr w:rsidR="00F74E13" w14:paraId="1CEBDD23" w14:textId="77777777" w:rsidTr="00D24DB8">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18" w14:textId="77777777" w:rsidR="00F74E13" w:rsidRDefault="009274FC">
            <w:pPr>
              <w:pStyle w:val="P68B1DB1-Normal35"/>
              <w:spacing w:after="0" w:line="240" w:lineRule="auto"/>
              <w:jc w:val="center"/>
              <w:rPr>
                <w:noProof/>
              </w:rPr>
            </w:pPr>
            <w:r>
              <w:rPr>
                <w:noProof/>
              </w:rPr>
              <w:t>239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19" w14:textId="77777777" w:rsidR="00F74E13" w:rsidRDefault="009274FC">
            <w:pPr>
              <w:pStyle w:val="P68B1DB1-Normal15"/>
              <w:spacing w:after="0" w:line="240" w:lineRule="auto"/>
              <w:rPr>
                <w:noProof/>
              </w:rPr>
            </w:pPr>
            <w:r>
              <w:rPr>
                <w:noProof/>
              </w:rPr>
              <w:t xml:space="preserve">C10.R8: Mesures concernant le cadre de lutte contre le blanchiment de capitaux </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1A"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1B"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Adoption d’une mise à jour de l’évaluation nationale des risques de blanchiment de capitaux et de financement du terrorisme</w:t>
            </w:r>
            <w:r>
              <w:rPr>
                <w:rFonts w:ascii="Times New Roman" w:eastAsia="Times New Roman" w:hAnsi="Times New Roman" w:cs="Times New Roman"/>
                <w:noProof/>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1C"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Mise à jour de l’évaluation nationale des risques adoptée</w:t>
            </w:r>
            <w:r>
              <w:rPr>
                <w:rFonts w:ascii="Times New Roman" w:hAnsi="Times New Roman" w:cs="Times New Roman"/>
                <w:noProof/>
                <w:szCs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1D"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1E"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1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20"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21"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22"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Adoption d’une mise à jour de l’évaluation nationale des risques de blanchiment de capitaux et de financement du terrorisme au titre de l’article 95, paragraphe 1, de la loi sur </w:t>
            </w:r>
            <w:r>
              <w:rPr>
                <w:rFonts w:ascii="Times New Roman" w:hAnsi="Times New Roman" w:cs="Times New Roman"/>
                <w:noProof/>
                <w:szCs w:val="20"/>
              </w:rPr>
              <w:t xml:space="preserve">les mesures de lutte contre le blanchiment de capitaux, y compris sur les risques liés aux programmes d’investissement en faveur de la citoyenneté, et adoption </w:t>
            </w:r>
            <w:r>
              <w:rPr>
                <w:rFonts w:ascii="Times New Roman" w:hAnsi="Times New Roman"/>
                <w:noProof/>
              </w:rPr>
              <w:t>d’évaluations sectorielles</w:t>
            </w:r>
            <w:r>
              <w:rPr>
                <w:rFonts w:ascii="Times New Roman" w:hAnsi="Times New Roman" w:cs="Times New Roman"/>
                <w:noProof/>
                <w:szCs w:val="20"/>
              </w:rPr>
              <w:t xml:space="preserve"> des risques du secteur des organisations à but non lucratif et des</w:t>
            </w:r>
            <w:r>
              <w:rPr>
                <w:rFonts w:ascii="Times New Roman" w:hAnsi="Times New Roman"/>
                <w:noProof/>
              </w:rPr>
              <w:t xml:space="preserve"> actifs virtuels, conformément aux orientations reçues dans le cadre du projet 19BG17 du PARS intitulé «Renforcement des capacités des autorités bulgares à atténuer efficacement les risques de blanchiment de capitaux et de financement du terrorisme».</w:t>
            </w:r>
            <w:r>
              <w:rPr>
                <w:rFonts w:ascii="Times New Roman" w:hAnsi="Times New Roman" w:cs="Times New Roman"/>
                <w:noProof/>
                <w:szCs w:val="20"/>
              </w:rPr>
              <w:t xml:space="preserve"> La mise à jour de l’évaluation nationale des risques et des évaluations sectorielles des risques du secteur des organisations à but non lucratif et des actifs virtuels est effectuée par le groupe de travail interministériel permanent institué par un acte du Conseil des ministres conformément à l’article 96 </w:t>
            </w:r>
            <w:r>
              <w:rPr>
                <w:rFonts w:ascii="Times New Roman" w:hAnsi="Times New Roman"/>
                <w:noProof/>
              </w:rPr>
              <w:t>de la loi sur les mesures de lutte contre le blanchiment de capitaux.</w:t>
            </w:r>
          </w:p>
        </w:tc>
      </w:tr>
      <w:tr w:rsidR="00F74E13" w14:paraId="1CEBDD37" w14:textId="77777777" w:rsidTr="00D24DB8">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24" w14:textId="77777777" w:rsidR="00F74E13" w:rsidRDefault="009274FC">
            <w:pPr>
              <w:pStyle w:val="P68B1DB1-Normal35"/>
              <w:spacing w:after="0" w:line="240" w:lineRule="auto"/>
              <w:jc w:val="center"/>
              <w:rPr>
                <w:noProof/>
              </w:rPr>
            </w:pPr>
            <w:r>
              <w:rPr>
                <w:noProof/>
              </w:rPr>
              <w:t>240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25" w14:textId="77777777" w:rsidR="00F74E13" w:rsidRDefault="009274FC">
            <w:pPr>
              <w:pStyle w:val="P68B1DB1-Normal15"/>
              <w:spacing w:after="0" w:line="240" w:lineRule="auto"/>
              <w:rPr>
                <w:noProof/>
              </w:rPr>
            </w:pPr>
            <w:r>
              <w:rPr>
                <w:noProof/>
              </w:rPr>
              <w:t xml:space="preserve">C10.R8: Mesures concernant le cadre de lutte contre le blanchiment de capitaux </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26"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27" w14:textId="77777777" w:rsidR="00F74E13" w:rsidRDefault="009274FC">
            <w:pPr>
              <w:pStyle w:val="P68B1DB1-Normal15"/>
              <w:spacing w:after="0" w:line="240" w:lineRule="auto"/>
              <w:rPr>
                <w:noProof/>
              </w:rPr>
            </w:pPr>
            <w:r>
              <w:rPr>
                <w:noProof/>
              </w:rPr>
              <w:t xml:space="preserve">Capacités et aptitudes des superviseurs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28"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1. adoption </w:t>
            </w:r>
            <w:r>
              <w:rPr>
                <w:rFonts w:ascii="Times New Roman" w:eastAsia="Times New Roman" w:hAnsi="Times New Roman" w:cs="Times New Roman"/>
                <w:noProof/>
                <w:szCs w:val="20"/>
              </w:rPr>
              <w:t xml:space="preserve">ou révision </w:t>
            </w:r>
            <w:r>
              <w:rPr>
                <w:rFonts w:ascii="Times New Roman" w:hAnsi="Times New Roman"/>
                <w:noProof/>
              </w:rPr>
              <w:t xml:space="preserve">de </w:t>
            </w:r>
            <w:r>
              <w:rPr>
                <w:rFonts w:ascii="Times New Roman" w:eastAsia="Times New Roman" w:hAnsi="Times New Roman" w:cs="Times New Roman"/>
                <w:noProof/>
                <w:szCs w:val="20"/>
              </w:rPr>
              <w:t>documents stratégiques</w:t>
            </w:r>
            <w:r>
              <w:rPr>
                <w:rFonts w:ascii="Times New Roman" w:hAnsi="Times New Roman"/>
                <w:noProof/>
              </w:rPr>
              <w:t xml:space="preserve"> en matière de surveillance;</w:t>
            </w:r>
          </w:p>
          <w:p w14:paraId="1CEBDD29"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2. adoption </w:t>
            </w:r>
            <w:r>
              <w:rPr>
                <w:rFonts w:ascii="Times New Roman" w:eastAsia="Times New Roman" w:hAnsi="Times New Roman" w:cs="Times New Roman"/>
                <w:noProof/>
                <w:szCs w:val="20"/>
              </w:rPr>
              <w:t xml:space="preserve">ou révision </w:t>
            </w:r>
            <w:r>
              <w:rPr>
                <w:rFonts w:ascii="Times New Roman" w:hAnsi="Times New Roman"/>
                <w:noProof/>
              </w:rPr>
              <w:t xml:space="preserve">de modifications des procédures </w:t>
            </w:r>
            <w:r>
              <w:rPr>
                <w:rFonts w:ascii="Times New Roman" w:eastAsia="Times New Roman" w:hAnsi="Times New Roman" w:cs="Times New Roman"/>
                <w:noProof/>
                <w:szCs w:val="20"/>
              </w:rPr>
              <w:t>ou manuels</w:t>
            </w:r>
            <w:r>
              <w:rPr>
                <w:rFonts w:ascii="Times New Roman" w:hAnsi="Times New Roman"/>
                <w:noProof/>
              </w:rPr>
              <w:t xml:space="preserve"> de surveillance; </w:t>
            </w:r>
          </w:p>
          <w:p w14:paraId="1CEBDD2A" w14:textId="77777777" w:rsidR="00F74E13" w:rsidRDefault="009274FC">
            <w:pPr>
              <w:pStyle w:val="P68B1DB1-Normal15"/>
              <w:spacing w:after="0" w:line="240" w:lineRule="auto"/>
              <w:rPr>
                <w:noProof/>
              </w:rPr>
            </w:pPr>
            <w:r>
              <w:rPr>
                <w:noProof/>
              </w:rPr>
              <w:t>3. Adoption d'orientations sur l'approche à l'égard des personnes politiquement exposées;</w:t>
            </w:r>
          </w:p>
          <w:p w14:paraId="1CEBDD2B" w14:textId="28B36C5C" w:rsidR="00F74E13" w:rsidRDefault="009274FC">
            <w:pPr>
              <w:pStyle w:val="P68B1DB1-Normal15"/>
              <w:spacing w:after="0" w:line="240" w:lineRule="auto"/>
              <w:rPr>
                <w:noProof/>
              </w:rPr>
            </w:pPr>
            <w:r>
              <w:rPr>
                <w:noProof/>
              </w:rPr>
              <w:t>4. Dispositions de la loi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2C"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2D"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2E"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2F"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30"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31" w14:textId="77777777" w:rsidR="00F74E13" w:rsidRDefault="009274FC">
            <w:pPr>
              <w:spacing w:after="0" w:line="240" w:lineRule="auto"/>
              <w:jc w:val="both"/>
              <w:rPr>
                <w:rFonts w:ascii="Times New Roman" w:hAnsi="Times New Roman"/>
                <w:noProof/>
                <w:color w:val="006100"/>
                <w:sz w:val="20"/>
              </w:rPr>
            </w:pPr>
            <w:r>
              <w:rPr>
                <w:rFonts w:ascii="Times New Roman" w:eastAsia="Times New Roman" w:hAnsi="Times New Roman" w:cs="Times New Roman"/>
                <w:noProof/>
                <w:color w:val="006100"/>
                <w:sz w:val="20"/>
                <w:szCs w:val="20"/>
              </w:rPr>
              <w:t>La</w:t>
            </w:r>
            <w:r>
              <w:rPr>
                <w:rFonts w:ascii="Times New Roman" w:hAnsi="Times New Roman"/>
                <w:noProof/>
                <w:color w:val="006100"/>
                <w:sz w:val="20"/>
              </w:rPr>
              <w:t xml:space="preserve"> direction du renseignement financier</w:t>
            </w:r>
            <w:r>
              <w:rPr>
                <w:rFonts w:ascii="Times New Roman" w:eastAsia="Times New Roman" w:hAnsi="Times New Roman" w:cs="Times New Roman"/>
                <w:noProof/>
                <w:color w:val="006100"/>
                <w:sz w:val="20"/>
                <w:szCs w:val="20"/>
              </w:rPr>
              <w:t xml:space="preserve"> de l’Agence nationale de sécurité nationale, de la Banque nationale bulgare, de la Commission de surveillance financière et de l’Agence nationale du revenu, en leur qualité d’autorités de surveillance en vertu de la loi sur les mesures de lutte contre le blanchiment </w:t>
            </w:r>
            <w:r>
              <w:rPr>
                <w:rFonts w:ascii="Times New Roman" w:hAnsi="Times New Roman"/>
                <w:noProof/>
                <w:color w:val="006100"/>
                <w:sz w:val="20"/>
              </w:rPr>
              <w:t>de capitaux, doit,</w:t>
            </w:r>
            <w:r>
              <w:rPr>
                <w:rFonts w:ascii="Times New Roman" w:eastAsia="Times New Roman" w:hAnsi="Times New Roman" w:cs="Times New Roman"/>
                <w:noProof/>
                <w:color w:val="006100"/>
                <w:sz w:val="20"/>
                <w:szCs w:val="20"/>
              </w:rPr>
              <w:t xml:space="preserve"> à l’égard des entités assujetties placées sous</w:t>
            </w:r>
            <w:r>
              <w:rPr>
                <w:noProof/>
              </w:rPr>
              <w:t xml:space="preserve"> </w:t>
            </w:r>
            <w:r>
              <w:rPr>
                <w:rFonts w:ascii="Times New Roman" w:eastAsia="Times New Roman" w:hAnsi="Times New Roman" w:cs="Times New Roman"/>
                <w:noProof/>
                <w:color w:val="006100"/>
                <w:sz w:val="20"/>
                <w:szCs w:val="20"/>
              </w:rPr>
              <w:t>leur</w:t>
            </w:r>
            <w:r>
              <w:rPr>
                <w:rFonts w:ascii="Times New Roman" w:hAnsi="Times New Roman"/>
                <w:noProof/>
                <w:color w:val="006100"/>
                <w:sz w:val="20"/>
              </w:rPr>
              <w:t xml:space="preserve"> surveillance:</w:t>
            </w:r>
          </w:p>
          <w:p w14:paraId="1CEBDD32" w14:textId="77777777" w:rsidR="00F74E13" w:rsidRDefault="009274FC">
            <w:pPr>
              <w:pStyle w:val="P68B1DB1-Normal13"/>
              <w:spacing w:after="0" w:line="240" w:lineRule="auto"/>
              <w:jc w:val="both"/>
              <w:rPr>
                <w:noProof/>
              </w:rPr>
            </w:pPr>
            <w:r>
              <w:rPr>
                <w:noProof/>
              </w:rPr>
              <w:t xml:space="preserve">adopter ou réviser des documents stratégiques en matière de surveillance afin de fixer des objectifs en matière de surveillance des entités assujetties, d’allouer des ressources à la surveillance des entités assujetties conformément à leur profil de risque et de mettre en place une procédure de rapport sur la performance; </w:t>
            </w:r>
          </w:p>
          <w:p w14:paraId="1CEBDD33"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adopter </w:t>
            </w:r>
            <w:r>
              <w:rPr>
                <w:rFonts w:ascii="Times New Roman" w:eastAsia="Times New Roman" w:hAnsi="Times New Roman" w:cs="Times New Roman"/>
                <w:noProof/>
                <w:szCs w:val="20"/>
              </w:rPr>
              <w:t xml:space="preserve">ou </w:t>
            </w:r>
            <w:r>
              <w:rPr>
                <w:rFonts w:ascii="Times New Roman" w:hAnsi="Times New Roman"/>
                <w:noProof/>
              </w:rPr>
              <w:t xml:space="preserve">réviser </w:t>
            </w:r>
            <w:r>
              <w:rPr>
                <w:rFonts w:ascii="Times New Roman" w:eastAsia="Times New Roman" w:hAnsi="Times New Roman" w:cs="Times New Roman"/>
                <w:noProof/>
                <w:szCs w:val="20"/>
              </w:rPr>
              <w:t>leurs</w:t>
            </w:r>
            <w:r>
              <w:rPr>
                <w:rFonts w:ascii="Times New Roman" w:hAnsi="Times New Roman"/>
                <w:noProof/>
              </w:rPr>
              <w:t xml:space="preserve"> procédures </w:t>
            </w:r>
            <w:r>
              <w:rPr>
                <w:rFonts w:ascii="Times New Roman" w:eastAsia="Times New Roman" w:hAnsi="Times New Roman" w:cs="Times New Roman"/>
                <w:noProof/>
                <w:szCs w:val="20"/>
              </w:rPr>
              <w:t>ou manuels</w:t>
            </w:r>
            <w:r>
              <w:rPr>
                <w:rFonts w:ascii="Times New Roman" w:hAnsi="Times New Roman"/>
                <w:noProof/>
              </w:rPr>
              <w:t xml:space="preserve"> de surveillance afin de garantir une approche cohérente de la surveillance, y compris des règles relatives à la conservation des dossiers et des documents examinés lors des inspections sur place et des mesures de suivi visant à garantir que les entités assujetties respectent leurs obligations en matière de lutte contre le blanchiment</w:t>
            </w:r>
            <w:r>
              <w:rPr>
                <w:rFonts w:ascii="Times New Roman" w:eastAsia="Times New Roman" w:hAnsi="Times New Roman" w:cs="Times New Roman"/>
                <w:noProof/>
                <w:szCs w:val="20"/>
              </w:rPr>
              <w:t xml:space="preserve"> de capitaux.</w:t>
            </w:r>
          </w:p>
          <w:p w14:paraId="1CEBDD34" w14:textId="77777777" w:rsidR="00F74E13" w:rsidRDefault="009274FC">
            <w:pPr>
              <w:pStyle w:val="P68B1DB1-Normal35"/>
              <w:spacing w:after="0" w:line="240" w:lineRule="auto"/>
              <w:jc w:val="both"/>
              <w:rPr>
                <w:noProof/>
              </w:rPr>
            </w:pPr>
            <w:r>
              <w:rPr>
                <w:noProof/>
              </w:rPr>
              <w:t>La direction du renseignement financier de l’Agence nationale de sécurité adopte des orientations sur la manière de traiter les clients qui sont des personnes politiquement exposées. Ces orientations s’appliquent à toutes les entités assujetties placées sous la supervision de la direction du renseignement financier de l’Agence nationale de sécurité nationale, de la Commission de surveillance financière, de la Banque nationale bulgare et de l’Agence nationale du revenu. La Banque nationale bulgare et l’Agence nationale du revenu adoptent des orientations supplémentaires sur la manière de traiter les clients politiquement exposés, applicables aux entités assujetties placées sous leur surveillance respective.</w:t>
            </w:r>
          </w:p>
          <w:p w14:paraId="1CEBDD36" w14:textId="097D585C" w:rsidR="00F74E13" w:rsidRDefault="009274FC">
            <w:pPr>
              <w:pStyle w:val="P68B1DB1-Normal22"/>
              <w:spacing w:before="120" w:after="0" w:line="240" w:lineRule="auto"/>
              <w:jc w:val="both"/>
              <w:rPr>
                <w:rFonts w:ascii="Times New Roman" w:hAnsi="Times New Roman"/>
                <w:noProof/>
              </w:rPr>
            </w:pPr>
            <w:r>
              <w:rPr>
                <w:rFonts w:ascii="Times New Roman" w:hAnsi="Times New Roman"/>
                <w:noProof/>
              </w:rPr>
              <w:t xml:space="preserve">En outre, des modifications législatives sont adoptées pour prévoir des procédures de vérification visant à prévenir le blanchiment de capitaux des personnes fournissant des services professionnels aux entreprises, </w:t>
            </w:r>
            <w:r>
              <w:rPr>
                <w:rFonts w:ascii="Times New Roman" w:eastAsia="Times New Roman" w:hAnsi="Times New Roman" w:cs="Times New Roman"/>
                <w:noProof/>
                <w:szCs w:val="20"/>
              </w:rPr>
              <w:t>par exemple</w:t>
            </w:r>
            <w:r>
              <w:rPr>
                <w:rFonts w:ascii="Times New Roman" w:hAnsi="Times New Roman"/>
                <w:noProof/>
              </w:rPr>
              <w:t xml:space="preserve"> les comptables et les conseillers fiscaux.</w:t>
            </w:r>
          </w:p>
        </w:tc>
      </w:tr>
      <w:tr w:rsidR="00F74E13" w14:paraId="1CEBDD48" w14:textId="77777777" w:rsidTr="00D24DB8">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38" w14:textId="77777777" w:rsidR="00F74E13" w:rsidRDefault="009274FC">
            <w:pPr>
              <w:pStyle w:val="P68B1DB1-Normal35"/>
              <w:spacing w:after="0" w:line="240" w:lineRule="auto"/>
              <w:jc w:val="center"/>
              <w:rPr>
                <w:noProof/>
              </w:rPr>
            </w:pPr>
            <w:r>
              <w:rPr>
                <w:noProof/>
              </w:rPr>
              <w:t>241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39" w14:textId="77777777" w:rsidR="00F74E13" w:rsidRDefault="009274FC">
            <w:pPr>
              <w:pStyle w:val="P68B1DB1-Normal15"/>
              <w:spacing w:after="0" w:line="240" w:lineRule="auto"/>
              <w:rPr>
                <w:noProof/>
              </w:rPr>
            </w:pPr>
            <w:r>
              <w:rPr>
                <w:noProof/>
              </w:rPr>
              <w:t>C10.R9: Améliorer la qualité du processus législatif</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3A"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3B" w14:textId="6247FBEC" w:rsidR="00F74E13" w:rsidRDefault="009274FC">
            <w:pPr>
              <w:pStyle w:val="P68B1DB1-Normal15"/>
              <w:spacing w:after="0" w:line="240" w:lineRule="auto"/>
              <w:rPr>
                <w:noProof/>
              </w:rPr>
            </w:pPr>
            <w:r>
              <w:rPr>
                <w:noProof/>
              </w:rPr>
              <w:t>Entrée en vigueur des règles d'organisation et d'activité de l'Assemblée nationale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3C" w14:textId="0650BBF9" w:rsidR="00F74E13" w:rsidRDefault="009274FC">
            <w:pPr>
              <w:pStyle w:val="P68B1DB1-Normal15"/>
              <w:spacing w:after="0" w:line="240" w:lineRule="auto"/>
              <w:rPr>
                <w:noProof/>
              </w:rPr>
            </w:pPr>
            <w:r>
              <w:rPr>
                <w:noProof/>
              </w:rPr>
              <w:t>Dispositions des règles relatives à l'organisation et à l'activité de l'Assemblée nationale indiquant leur 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3D"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3E"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3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40"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41" w14:textId="77777777" w:rsidR="00F74E13" w:rsidRDefault="009274FC">
            <w:pPr>
              <w:pStyle w:val="P68B1DB1-Normal35"/>
              <w:spacing w:after="0" w:line="240" w:lineRule="auto"/>
              <w:jc w:val="center"/>
              <w:rPr>
                <w:noProof/>
              </w:rPr>
            </w:pPr>
            <w:r>
              <w:rPr>
                <w:noProof/>
              </w:rPr>
              <w:t>2021</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42" w14:textId="77777777" w:rsidR="00F74E13" w:rsidRDefault="009274FC">
            <w:pPr>
              <w:pStyle w:val="P68B1DB1-Normal15"/>
              <w:spacing w:after="0" w:line="240" w:lineRule="auto"/>
              <w:jc w:val="both"/>
              <w:rPr>
                <w:noProof/>
              </w:rPr>
            </w:pPr>
            <w:r>
              <w:rPr>
                <w:noProof/>
              </w:rPr>
              <w:t xml:space="preserve">Les règles relatives à l'organisation et à l'activité de l'Assemblée nationale veillent à ce que: </w:t>
            </w:r>
          </w:p>
          <w:p w14:paraId="1CEBDD43" w14:textId="77777777" w:rsidR="00F74E13" w:rsidRDefault="009274FC">
            <w:pPr>
              <w:pStyle w:val="P68B1DB1-ListParagraph20"/>
              <w:numPr>
                <w:ilvl w:val="0"/>
                <w:numId w:val="57"/>
              </w:numPr>
              <w:spacing w:after="0" w:line="240" w:lineRule="auto"/>
              <w:ind w:left="318"/>
              <w:jc w:val="both"/>
              <w:rPr>
                <w:noProof/>
              </w:rPr>
            </w:pPr>
            <w:r>
              <w:rPr>
                <w:noProof/>
              </w:rPr>
              <w:t xml:space="preserve">tous les projets législatifs proposés par les députés sont accompagnés d’un raisonnement et d’une analyse d’impact préliminaire; </w:t>
            </w:r>
          </w:p>
          <w:p w14:paraId="1CEBDD44" w14:textId="7E987CF9" w:rsidR="00F74E13" w:rsidRDefault="009274FC">
            <w:pPr>
              <w:pStyle w:val="P68B1DB1-ListParagraph20"/>
              <w:numPr>
                <w:ilvl w:val="0"/>
                <w:numId w:val="57"/>
              </w:numPr>
              <w:spacing w:after="0" w:line="240" w:lineRule="auto"/>
              <w:ind w:left="318"/>
              <w:jc w:val="both"/>
              <w:rPr>
                <w:noProof/>
              </w:rPr>
            </w:pPr>
            <w:r>
              <w:rPr>
                <w:noProof/>
              </w:rPr>
              <w:t>les projets d’actes législatifs soumis à l’Assemblée nationale sont inscrits au registre public des projets de loi et tous les avis écrits des citoyens ou des personnes morales sont publiés sur le site web de la commission parlementaire compétente;</w:t>
            </w:r>
          </w:p>
          <w:p w14:paraId="1CEBDD45" w14:textId="77777777" w:rsidR="00F74E13" w:rsidRDefault="009274FC">
            <w:pPr>
              <w:pStyle w:val="P68B1DB1-ListParagraph20"/>
              <w:numPr>
                <w:ilvl w:val="0"/>
                <w:numId w:val="57"/>
              </w:numPr>
              <w:spacing w:after="0" w:line="240" w:lineRule="auto"/>
              <w:ind w:left="318"/>
              <w:jc w:val="both"/>
              <w:rPr>
                <w:noProof/>
              </w:rPr>
            </w:pPr>
            <w:r>
              <w:rPr>
                <w:noProof/>
              </w:rPr>
              <w:t>le rapport de la commission parlementaire sur le projet d’acte législatif comprend un résumé des avis des parties prenantes et un résumé de l’avis de la commission;</w:t>
            </w:r>
          </w:p>
          <w:p w14:paraId="1CEBDD46" w14:textId="3AFF6068" w:rsidR="00F74E13" w:rsidRDefault="009274FC">
            <w:pPr>
              <w:pStyle w:val="P68B1DB1-ListParagraph20"/>
              <w:numPr>
                <w:ilvl w:val="0"/>
                <w:numId w:val="57"/>
              </w:numPr>
              <w:spacing w:after="0" w:line="240" w:lineRule="auto"/>
              <w:ind w:left="318"/>
              <w:jc w:val="both"/>
              <w:rPr>
                <w:noProof/>
              </w:rPr>
            </w:pPr>
            <w:r>
              <w:rPr>
                <w:noProof/>
              </w:rPr>
              <w:t>les propositions d'amendements soumises entre le premier et le deuxième vote sont rendues publiques par l'intermédiaire d'un registre public; et</w:t>
            </w:r>
          </w:p>
          <w:p w14:paraId="1CEBDD47" w14:textId="77777777" w:rsidR="00F74E13" w:rsidRDefault="009274FC">
            <w:pPr>
              <w:pStyle w:val="P68B1DB1-ListParagraph20"/>
              <w:numPr>
                <w:ilvl w:val="0"/>
                <w:numId w:val="57"/>
              </w:numPr>
              <w:spacing w:after="0" w:line="240" w:lineRule="auto"/>
              <w:ind w:left="318"/>
              <w:jc w:val="both"/>
              <w:rPr>
                <w:noProof/>
              </w:rPr>
            </w:pPr>
            <w:r>
              <w:rPr>
                <w:noProof/>
              </w:rPr>
              <w:t xml:space="preserve">les propositions d’amendements et de compléments à un projet d’acte législatif adopté lors du premier vote ne peuvent pas faire référence à des actes législatifs différents de ceux dont l’amendement ou le complément a été proposé dans le projet d’acte législatif initialement soumis, à l’exception des modifications d’ordre rédactionnel ou juridique et technique. </w:t>
            </w:r>
          </w:p>
        </w:tc>
      </w:tr>
      <w:tr w:rsidR="00F74E13" w14:paraId="1CEBDD5D"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49" w14:textId="77777777" w:rsidR="00F74E13" w:rsidRDefault="009274FC">
            <w:pPr>
              <w:pStyle w:val="P68B1DB1-Normal35"/>
              <w:spacing w:after="0" w:line="240" w:lineRule="auto"/>
              <w:jc w:val="center"/>
              <w:rPr>
                <w:noProof/>
              </w:rPr>
            </w:pPr>
            <w:r>
              <w:rPr>
                <w:noProof/>
              </w:rPr>
              <w:t>242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4A"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4B"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4C" w14:textId="77777777" w:rsidR="00F74E13" w:rsidRDefault="009274FC">
            <w:pPr>
              <w:pStyle w:val="P68B1DB1-Normal15"/>
              <w:spacing w:after="0" w:line="240" w:lineRule="auto"/>
              <w:rPr>
                <w:noProof/>
              </w:rPr>
            </w:pPr>
            <w:r>
              <w:rPr>
                <w:noProof/>
              </w:rPr>
              <w:t>Entrée en vigueur des modifications législatives apportées à la loi sur les marchés publics afin de réduire le nombre de marchés sans appel d’offres et d’offres à appel unique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4D" w14:textId="77777777" w:rsidR="00F74E13" w:rsidRDefault="009274FC">
            <w:pPr>
              <w:pStyle w:val="P68B1DB1-Normal15"/>
              <w:spacing w:after="0" w:line="240" w:lineRule="auto"/>
              <w:rPr>
                <w:noProof/>
              </w:rPr>
            </w:pPr>
            <w:r>
              <w:rPr>
                <w:noProof/>
              </w:rPr>
              <w:t>Dispositions de la loi sur les marchés publics prévoyant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4E"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4F" w14:textId="77777777" w:rsidR="00F74E13" w:rsidRDefault="00F74E13">
            <w:pPr>
              <w:rPr>
                <w:rFonts w:ascii="Times New Roman" w:hAnsi="Times New Roman"/>
                <w:noProof/>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50"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51"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52"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53" w14:textId="77777777" w:rsidR="00F74E13" w:rsidRDefault="009274FC">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Les modifications législatives visent à réduire le recours aux marchés négociés (sans publication préalable) et aux marchés à appel d’offres unique. </w:t>
            </w:r>
            <w:r>
              <w:rPr>
                <w:rFonts w:ascii="Times New Roman" w:eastAsia="Times New Roman" w:hAnsi="Times New Roman" w:cs="Times New Roman"/>
                <w:noProof/>
                <w:szCs w:val="20"/>
              </w:rPr>
              <w:t>Ils veillent à:</w:t>
            </w:r>
          </w:p>
          <w:p w14:paraId="1CEBDD54" w14:textId="72224AAC" w:rsidR="00F74E13" w:rsidRDefault="009274FC">
            <w:pPr>
              <w:pStyle w:val="P68B1DB1-ListParagraph20"/>
              <w:numPr>
                <w:ilvl w:val="0"/>
                <w:numId w:val="58"/>
              </w:numPr>
              <w:spacing w:after="0" w:line="240" w:lineRule="auto"/>
              <w:ind w:left="318"/>
              <w:jc w:val="both"/>
              <w:rPr>
                <w:noProof/>
              </w:rPr>
            </w:pPr>
            <w:r>
              <w:rPr>
                <w:noProof/>
              </w:rPr>
              <w:t>la collecte régulière (au moins une fois par an) d’informations et de rapports sur l’utilisation de ces procédures pour évaluer les progrès accomplis, une justification du pourcentage atteint à chaque fois et une explication de la manière dont les progrès ont été accomplis dans la réalisation de l’objectif;</w:t>
            </w:r>
          </w:p>
          <w:p w14:paraId="1CEBDD55" w14:textId="2897A0F9" w:rsidR="00F74E13" w:rsidRDefault="009274FC">
            <w:pPr>
              <w:pStyle w:val="P68B1DB1-ListParagraph20"/>
              <w:numPr>
                <w:ilvl w:val="0"/>
                <w:numId w:val="58"/>
              </w:numPr>
              <w:spacing w:after="0" w:line="240" w:lineRule="auto"/>
              <w:ind w:left="318"/>
              <w:jc w:val="both"/>
              <w:rPr>
                <w:noProof/>
              </w:rPr>
            </w:pPr>
            <w:r>
              <w:rPr>
                <w:noProof/>
              </w:rPr>
              <w:t>renforcement des contrôles et contrôles ex ante et ex post par les agences concernées;</w:t>
            </w:r>
          </w:p>
          <w:p w14:paraId="1CEBDD56" w14:textId="5C0726EE" w:rsidR="00F74E13" w:rsidRDefault="009274FC">
            <w:pPr>
              <w:pStyle w:val="P68B1DB1-ListParagraph20"/>
              <w:numPr>
                <w:ilvl w:val="0"/>
                <w:numId w:val="58"/>
              </w:numPr>
              <w:spacing w:after="0" w:line="240" w:lineRule="auto"/>
              <w:ind w:left="318"/>
              <w:jc w:val="both"/>
              <w:rPr>
                <w:noProof/>
              </w:rPr>
            </w:pPr>
            <w:r>
              <w:rPr>
                <w:noProof/>
              </w:rPr>
              <w:t>augmentation de la portée de la responsabilité administrative et des sanctions effectives et dissuasives en cas de violation des règles relatives à l’utilisation de ces procédures;</w:t>
            </w:r>
          </w:p>
          <w:p w14:paraId="1CEBDD57" w14:textId="77777777" w:rsidR="00F74E13" w:rsidRDefault="009274FC">
            <w:pPr>
              <w:pStyle w:val="P68B1DB1-ListParagraph20"/>
              <w:numPr>
                <w:ilvl w:val="0"/>
                <w:numId w:val="58"/>
              </w:numPr>
              <w:spacing w:after="0" w:line="240" w:lineRule="auto"/>
              <w:ind w:left="318"/>
              <w:jc w:val="both"/>
              <w:rPr>
                <w:noProof/>
              </w:rPr>
            </w:pPr>
            <w:r>
              <w:rPr>
                <w:noProof/>
              </w:rPr>
              <w:t>des rapports réguliers sur l’utilisation de sanctions efficaces dans les procédures de correction financière en cas de non-respect des procédures de passation de marchés publics par les autorités chargées du contrôle et de l’audit des fonds de l’UE.</w:t>
            </w:r>
          </w:p>
          <w:p w14:paraId="1CEBDD58" w14:textId="77777777" w:rsidR="00F74E13" w:rsidRDefault="009274FC">
            <w:pPr>
              <w:pStyle w:val="P68B1DB1-Normal15"/>
              <w:spacing w:after="0" w:line="240" w:lineRule="auto"/>
              <w:rPr>
                <w:noProof/>
              </w:rPr>
            </w:pPr>
            <w:r>
              <w:rPr>
                <w:noProof/>
              </w:rPr>
              <w:t xml:space="preserve">En outre, les modifications législatives comprennent: </w:t>
            </w:r>
          </w:p>
          <w:p w14:paraId="1CEBDD59" w14:textId="196D5453" w:rsidR="00F74E13" w:rsidRDefault="009274FC">
            <w:pPr>
              <w:pStyle w:val="P68B1DB1-ListParagraph20"/>
              <w:numPr>
                <w:ilvl w:val="0"/>
                <w:numId w:val="59"/>
              </w:numPr>
              <w:spacing w:after="0" w:line="240" w:lineRule="auto"/>
              <w:ind w:left="318"/>
              <w:rPr>
                <w:noProof/>
              </w:rPr>
            </w:pPr>
            <w:r>
              <w:rPr>
                <w:noProof/>
              </w:rPr>
              <w:t>l’interdiction de la «réaffectation» de tâches de marchés «internes» (tels que définis à l’article 12 de la directive sur les marchés publics) à un sous-traitant;</w:t>
            </w:r>
          </w:p>
          <w:p w14:paraId="1CEBDD5A" w14:textId="77777777" w:rsidR="00F74E13" w:rsidRDefault="009274FC">
            <w:pPr>
              <w:pStyle w:val="P68B1DB1-ListParagraph20"/>
              <w:numPr>
                <w:ilvl w:val="0"/>
                <w:numId w:val="59"/>
              </w:numPr>
              <w:spacing w:after="0" w:line="240" w:lineRule="auto"/>
              <w:ind w:left="318"/>
              <w:rPr>
                <w:noProof/>
              </w:rPr>
            </w:pPr>
            <w:r>
              <w:rPr>
                <w:noProof/>
              </w:rPr>
              <w:t>une obligation légale de publication en temps utile des marchés publics «internes» signés et de leurs annexes;</w:t>
            </w:r>
          </w:p>
          <w:p w14:paraId="1CEBDD5B" w14:textId="1248C228" w:rsidR="00F74E13" w:rsidRDefault="009274FC">
            <w:pPr>
              <w:pStyle w:val="P68B1DB1-ListParagraph20"/>
              <w:numPr>
                <w:ilvl w:val="0"/>
                <w:numId w:val="59"/>
              </w:numPr>
              <w:spacing w:after="0" w:line="240" w:lineRule="auto"/>
              <w:ind w:left="318"/>
              <w:rPr>
                <w:noProof/>
              </w:rPr>
            </w:pPr>
            <w:bookmarkStart w:id="6" w:name="_Hlk198741180"/>
            <w:r>
              <w:rPr>
                <w:noProof/>
              </w:rPr>
              <w:t>une obligation légale de publier des informations sur les paiements effectués au titre de ces contrats, dans le cas où ceux-ci sont évalués à 50 000 BGN ou plus;</w:t>
            </w:r>
            <w:bookmarkEnd w:id="6"/>
          </w:p>
          <w:p w14:paraId="1CEBDD5C" w14:textId="77777777" w:rsidR="00F74E13" w:rsidRDefault="009274FC">
            <w:pPr>
              <w:pStyle w:val="P68B1DB1-ListParagraph20"/>
              <w:numPr>
                <w:ilvl w:val="0"/>
                <w:numId w:val="59"/>
              </w:numPr>
              <w:spacing w:after="0" w:line="240" w:lineRule="auto"/>
              <w:ind w:left="318"/>
              <w:rPr>
                <w:noProof/>
              </w:rPr>
            </w:pPr>
            <w:r>
              <w:rPr>
                <w:noProof/>
              </w:rPr>
              <w:t>des sanctions effectives et dissuasives en cas de non-respect des éléments ci-dessus.</w:t>
            </w:r>
          </w:p>
        </w:tc>
      </w:tr>
      <w:tr w:rsidR="00F74E13" w14:paraId="1CEBDD6C"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5E" w14:textId="77777777" w:rsidR="00F74E13" w:rsidRDefault="009274FC">
            <w:pPr>
              <w:pStyle w:val="P68B1DB1-Normal35"/>
              <w:spacing w:after="0" w:line="240" w:lineRule="auto"/>
              <w:jc w:val="center"/>
              <w:rPr>
                <w:noProof/>
              </w:rPr>
            </w:pPr>
            <w:r>
              <w:rPr>
                <w:noProof/>
              </w:rPr>
              <w:t>244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5F" w14:textId="77777777" w:rsidR="00F74E13" w:rsidRDefault="009274FC">
            <w:pPr>
              <w:pStyle w:val="P68B1DB1-Normal15"/>
              <w:spacing w:after="0" w:line="240" w:lineRule="auto"/>
              <w:rPr>
                <w:noProof/>
              </w:rPr>
            </w:pPr>
            <w:r>
              <w:rPr>
                <w:noProof/>
              </w:rPr>
              <w:t>C10.R10: Marchés publics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60"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61" w14:textId="081F7495" w:rsidR="00F74E13" w:rsidRDefault="009274FC">
            <w:pPr>
              <w:pStyle w:val="P68B1DB1-Normal13"/>
              <w:spacing w:after="0" w:line="240" w:lineRule="auto"/>
              <w:rPr>
                <w:noProof/>
              </w:rPr>
            </w:pPr>
            <w:r>
              <w:rPr>
                <w:noProof/>
              </w:rPr>
              <w:t>Méthodologie de l’Agence des marchés publics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62" w14:textId="0C4D2F62" w:rsidR="00F74E13" w:rsidRDefault="009274FC">
            <w:pPr>
              <w:pStyle w:val="P68B1DB1-Normal15"/>
              <w:spacing w:after="0" w:line="240" w:lineRule="auto"/>
              <w:rPr>
                <w:noProof/>
              </w:rPr>
            </w:pPr>
            <w:r>
              <w:rPr>
                <w:noProof/>
              </w:rPr>
              <w:t>Modifications de la méthodologie de l’Agence pour les marchés publics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63" w14:textId="77777777" w:rsidR="00F74E13" w:rsidRDefault="00F74E13">
            <w:pPr>
              <w:spacing w:after="0" w:line="240" w:lineRule="auto"/>
              <w:jc w:val="center"/>
              <w:rPr>
                <w:rFonts w:ascii="Times New Roman" w:hAnsi="Times New Roman"/>
                <w:noProof/>
                <w:color w:val="006100"/>
                <w:sz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64"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65"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66"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67"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68" w14:textId="77777777" w:rsidR="00F74E13" w:rsidRDefault="009274FC">
            <w:pPr>
              <w:pStyle w:val="P68B1DB1-Normal15"/>
              <w:spacing w:after="0" w:line="240" w:lineRule="auto"/>
              <w:rPr>
                <w:noProof/>
              </w:rPr>
            </w:pPr>
            <w:r>
              <w:rPr>
                <w:noProof/>
              </w:rPr>
              <w:t>Les modifications apportées à la méthodologie de l’Agence des marchés publics:</w:t>
            </w:r>
          </w:p>
          <w:p w14:paraId="1CEBDD69" w14:textId="77777777" w:rsidR="00F74E13" w:rsidRDefault="009274FC">
            <w:pPr>
              <w:pStyle w:val="P68B1DB1-ListParagraph20"/>
              <w:numPr>
                <w:ilvl w:val="0"/>
                <w:numId w:val="60"/>
              </w:numPr>
              <w:spacing w:after="0" w:line="240" w:lineRule="auto"/>
              <w:ind w:left="318"/>
              <w:rPr>
                <w:noProof/>
              </w:rPr>
            </w:pPr>
            <w:r>
              <w:rPr>
                <w:noProof/>
              </w:rPr>
              <w:t>accroître la pondération du facteur de risque pour les procédures de passation de marchés soutenues par des fonds de l’UE;</w:t>
            </w:r>
          </w:p>
          <w:p w14:paraId="1CEBDD6A" w14:textId="77777777" w:rsidR="00F74E13" w:rsidRDefault="009274FC">
            <w:pPr>
              <w:pStyle w:val="P68B1DB1-ListParagraph20"/>
              <w:numPr>
                <w:ilvl w:val="0"/>
                <w:numId w:val="60"/>
              </w:numPr>
              <w:spacing w:after="0" w:line="240" w:lineRule="auto"/>
              <w:ind w:left="318"/>
              <w:rPr>
                <w:noProof/>
              </w:rPr>
            </w:pPr>
            <w:r>
              <w:rPr>
                <w:noProof/>
              </w:rPr>
              <w:t>introduire de nouveaux facteurs de risque pour la sélection des procédures de contrôle;</w:t>
            </w:r>
          </w:p>
          <w:p w14:paraId="1CEBDD6B" w14:textId="77777777" w:rsidR="00F74E13" w:rsidRDefault="009274FC">
            <w:pPr>
              <w:pStyle w:val="P68B1DB1-ListParagraph20"/>
              <w:numPr>
                <w:ilvl w:val="0"/>
                <w:numId w:val="60"/>
              </w:numPr>
              <w:spacing w:after="0" w:line="240" w:lineRule="auto"/>
              <w:ind w:left="318"/>
              <w:rPr>
                <w:noProof/>
              </w:rPr>
            </w:pPr>
            <w:r>
              <w:rPr>
                <w:noProof/>
              </w:rPr>
              <w:t>introduire un ou plusieurs modèles pour les rapports et une procédure pour la publication des résultats des contrôles.</w:t>
            </w:r>
          </w:p>
        </w:tc>
      </w:tr>
      <w:tr w:rsidR="00F74E13" w14:paraId="1CEBDD78" w14:textId="77777777" w:rsidTr="00D24DB8">
        <w:trPr>
          <w:trHeight w:val="100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6D" w14:textId="77777777" w:rsidR="00F74E13" w:rsidRDefault="009274FC">
            <w:pPr>
              <w:pStyle w:val="P68B1DB1-Normal35"/>
              <w:spacing w:after="0" w:line="240" w:lineRule="auto"/>
              <w:jc w:val="center"/>
              <w:rPr>
                <w:noProof/>
              </w:rPr>
            </w:pPr>
            <w:r>
              <w:rPr>
                <w:noProof/>
              </w:rPr>
              <w:t>245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6E"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6F"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70" w14:textId="77777777" w:rsidR="00F74E13" w:rsidRDefault="009274FC">
            <w:pPr>
              <w:pStyle w:val="P68B1DB1-Normal13"/>
              <w:spacing w:after="0" w:line="240" w:lineRule="auto"/>
              <w:rPr>
                <w:noProof/>
              </w:rPr>
            </w:pPr>
            <w:r>
              <w:rPr>
                <w:noProof/>
              </w:rPr>
              <w:t>Formulaires électroniques types pour les marchés publics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71" w14:textId="77777777" w:rsidR="00F74E13" w:rsidRDefault="009274FC">
            <w:pPr>
              <w:pStyle w:val="P68B1DB1-Normal13"/>
              <w:spacing w:after="0" w:line="240" w:lineRule="auto"/>
              <w:rPr>
                <w:noProof/>
              </w:rPr>
            </w:pPr>
            <w:r>
              <w:rPr>
                <w:noProof/>
              </w:rPr>
              <w:t xml:space="preserve">Les formulaires électroniques standard sont introduits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72"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73"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74"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75"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76"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77" w14:textId="77777777" w:rsidR="00F74E13" w:rsidRDefault="009274FC">
            <w:pPr>
              <w:pStyle w:val="P68B1DB1-Normal13"/>
              <w:spacing w:after="0" w:line="240" w:lineRule="auto"/>
              <w:jc w:val="both"/>
              <w:rPr>
                <w:noProof/>
              </w:rPr>
            </w:pPr>
            <w:r>
              <w:rPr>
                <w:noProof/>
              </w:rPr>
              <w:t xml:space="preserve">Des formulaires électroniques types pour les contractants sont introduits. </w:t>
            </w:r>
          </w:p>
        </w:tc>
      </w:tr>
      <w:tr w:rsidR="00F74E13" w14:paraId="1CEBDD8A" w14:textId="77777777" w:rsidTr="00D24DB8">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79" w14:textId="77777777" w:rsidR="00F74E13" w:rsidRDefault="009274FC">
            <w:pPr>
              <w:pStyle w:val="P68B1DB1-Normal35"/>
              <w:spacing w:after="0" w:line="240" w:lineRule="auto"/>
              <w:jc w:val="center"/>
              <w:rPr>
                <w:noProof/>
              </w:rPr>
            </w:pPr>
            <w:r>
              <w:rPr>
                <w:noProof/>
              </w:rPr>
              <w:t>245a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7A"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7B" w14:textId="77777777" w:rsidR="00F74E13" w:rsidRDefault="009274FC">
            <w:pPr>
              <w:pStyle w:val="P68B1DB1-Normal15"/>
              <w:spacing w:after="0" w:line="240" w:lineRule="auto"/>
              <w:jc w:val="center"/>
              <w:rPr>
                <w:rFonts w:eastAsia="Times New Roman" w:cs="Times New Roman"/>
                <w:noProof/>
                <w:szCs w:val="20"/>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7C" w14:textId="77777777" w:rsidR="00F74E13" w:rsidRDefault="009274FC">
            <w:pPr>
              <w:pStyle w:val="P68B1DB1-Normal35"/>
              <w:spacing w:after="0" w:line="240" w:lineRule="auto"/>
              <w:rPr>
                <w:noProof/>
              </w:rPr>
            </w:pPr>
            <w:r>
              <w:rPr>
                <w:noProof/>
              </w:rPr>
              <w:t>Mesures relatives aux marchés publics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7D" w14:textId="4C2369DC" w:rsidR="00F74E13" w:rsidRDefault="009274FC">
            <w:pPr>
              <w:pStyle w:val="P68B1DB1-Normal35"/>
              <w:spacing w:after="0" w:line="240" w:lineRule="auto"/>
              <w:rPr>
                <w:noProof/>
              </w:rPr>
            </w:pPr>
            <w:r>
              <w:rPr>
                <w:noProof/>
              </w:rPr>
              <w:t>Entrée en vigueur du ou des actes juridiques; publication du(des) rapport(s) et ligne(s) directrice(s); lancement d'une ou de plusieurs formations; commande lors de la publication.</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7E" w14:textId="77777777" w:rsidR="00F74E13" w:rsidRDefault="00F74E13">
            <w:pPr>
              <w:spacing w:after="0" w:line="240" w:lineRule="auto"/>
              <w:jc w:val="center"/>
              <w:rPr>
                <w:rFonts w:ascii="Times New Roman" w:hAnsi="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7F" w14:textId="77777777" w:rsidR="00F74E13" w:rsidRDefault="00F74E13">
            <w:pPr>
              <w:spacing w:after="0" w:line="240" w:lineRule="auto"/>
              <w:jc w:val="center"/>
              <w:rPr>
                <w:rFonts w:ascii="Times New Roman" w:hAnsi="Times New Roman"/>
                <w:noProof/>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80" w14:textId="77777777" w:rsidR="00F74E13" w:rsidRDefault="00F74E13">
            <w:pPr>
              <w:spacing w:after="0" w:line="240" w:lineRule="auto"/>
              <w:jc w:val="center"/>
              <w:rPr>
                <w:rFonts w:ascii="Times New Roman" w:hAnsi="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81"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82" w14:textId="77777777"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83" w14:textId="77777777" w:rsidR="00F74E13" w:rsidRDefault="009274FC">
            <w:pPr>
              <w:pStyle w:val="P68B1DB1-Normal35"/>
              <w:spacing w:after="0" w:line="240" w:lineRule="auto"/>
              <w:jc w:val="both"/>
              <w:rPr>
                <w:noProof/>
              </w:rPr>
            </w:pPr>
            <w:r>
              <w:rPr>
                <w:noProof/>
              </w:rPr>
              <w:t>Les mesures consistent à:</w:t>
            </w:r>
          </w:p>
          <w:p w14:paraId="1CEBDD84" w14:textId="6058AF2F" w:rsidR="00F74E13" w:rsidRDefault="009274FC">
            <w:pPr>
              <w:pStyle w:val="P68B1DB1-Normal35"/>
              <w:spacing w:after="0" w:line="240" w:lineRule="auto"/>
              <w:jc w:val="both"/>
              <w:rPr>
                <w:noProof/>
              </w:rPr>
            </w:pPr>
            <w:r>
              <w:rPr>
                <w:noProof/>
              </w:rPr>
              <w:t xml:space="preserve">- Entrée en vigueur d’un ou de plusieurs actes juridiques introduisant l’obligation pour les pouvoirs adjudicateurs de publier des plans indicatifs annuels de passation des marchés publics sur la plateforme de passation des marchés. </w:t>
            </w:r>
          </w:p>
          <w:p w14:paraId="1CEBDD85" w14:textId="23EA986A" w:rsidR="00F74E13" w:rsidRDefault="009274FC">
            <w:pPr>
              <w:pStyle w:val="P68B1DB1-Normal35"/>
              <w:spacing w:after="0" w:line="240" w:lineRule="auto"/>
              <w:jc w:val="both"/>
              <w:rPr>
                <w:rFonts w:ascii="Calibri" w:hAnsi="Calibri" w:cs="Calibri"/>
                <w:noProof/>
                <w:color w:val="000000" w:themeColor="text1"/>
              </w:rPr>
            </w:pPr>
            <w:r>
              <w:rPr>
                <w:noProof/>
              </w:rPr>
              <w:t xml:space="preserve">Publication d'un rapport par une organisation indépendante contenant des options de centralisation dans les procédures de marchés publics, des options pour les projets pilotes, ainsi que des recommandations. </w:t>
            </w:r>
          </w:p>
          <w:p w14:paraId="1CEBDD86" w14:textId="01697F39" w:rsidR="00F74E13" w:rsidRDefault="009274FC">
            <w:pPr>
              <w:pStyle w:val="P68B1DB1-Normal35"/>
              <w:spacing w:after="0" w:line="240" w:lineRule="auto"/>
              <w:jc w:val="both"/>
              <w:rPr>
                <w:noProof/>
              </w:rPr>
            </w:pPr>
            <w:r>
              <w:rPr>
                <w:noProof/>
              </w:rPr>
              <w:t>- Publication de lignes directrices sur les marchés publics.</w:t>
            </w:r>
          </w:p>
          <w:p w14:paraId="1CEBDD87" w14:textId="55E538C9" w:rsidR="00F74E13" w:rsidRDefault="009274FC">
            <w:pPr>
              <w:pStyle w:val="P68B1DB1-Normal35"/>
              <w:spacing w:after="0" w:line="240" w:lineRule="auto"/>
              <w:jc w:val="both"/>
              <w:rPr>
                <w:noProof/>
              </w:rPr>
            </w:pPr>
            <w:r>
              <w:rPr>
                <w:noProof/>
              </w:rPr>
              <w:t>- Lancement d'une ou de plusieurs formations sur les marchés publics.</w:t>
            </w:r>
          </w:p>
          <w:p w14:paraId="1CEBDD89" w14:textId="39C83186" w:rsidR="00F74E13" w:rsidRDefault="009274FC">
            <w:pPr>
              <w:pStyle w:val="P68B1DB1-Normal35"/>
              <w:spacing w:after="0" w:line="240" w:lineRule="auto"/>
              <w:jc w:val="both"/>
              <w:rPr>
                <w:noProof/>
              </w:rPr>
            </w:pPr>
            <w:r>
              <w:rPr>
                <w:noProof/>
              </w:rPr>
              <w:t>- Émission d’un ordre de l’Agence des marchés publics exigeant la publication au moins quatre fois par an de la ou des listes des pouvoirs adjudicateurs auxquels des lettres de recommandation ont été envoyées.</w:t>
            </w:r>
          </w:p>
        </w:tc>
      </w:tr>
      <w:tr w:rsidR="00F74E13" w14:paraId="1CEBDD9A" w14:textId="77777777" w:rsidTr="00D24DB8">
        <w:trPr>
          <w:trHeight w:val="61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8B" w14:textId="77777777" w:rsidR="00F74E13" w:rsidRDefault="009274FC">
            <w:pPr>
              <w:pStyle w:val="P68B1DB1-Normal35"/>
              <w:spacing w:after="0" w:line="240" w:lineRule="auto"/>
              <w:jc w:val="center"/>
              <w:rPr>
                <w:noProof/>
              </w:rPr>
            </w:pPr>
            <w:r>
              <w:rPr>
                <w:noProof/>
              </w:rPr>
              <w:t>248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8C"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Marchés publics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8D"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8E" w14:textId="0D1D5C91" w:rsidR="00F74E13" w:rsidRDefault="009274FC">
            <w:pPr>
              <w:pStyle w:val="P68B1DB1-Normal13"/>
              <w:spacing w:after="0" w:line="240" w:lineRule="auto"/>
              <w:rPr>
                <w:noProof/>
              </w:rPr>
            </w:pPr>
            <w:r>
              <w:rPr>
                <w:noProof/>
              </w:rPr>
              <w:t>Part des procédures de passation de marchés avec un seul soumissionnaire et part des procédures négociées sans publication préalable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8F" w14:textId="0BC11620" w:rsidR="00F74E13" w:rsidRDefault="009274FC">
            <w:pPr>
              <w:pStyle w:val="P68B1DB1-Normal13"/>
              <w:spacing w:after="0" w:line="240" w:lineRule="auto"/>
              <w:rPr>
                <w:noProof/>
              </w:rPr>
            </w:pPr>
            <w:r>
              <w:rPr>
                <w:noProof/>
              </w:rPr>
              <w:t xml:space="preserve">Part des procédures de passation de marchés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90" w14:textId="77777777" w:rsidR="00F74E13" w:rsidRDefault="00F74E13">
            <w:pPr>
              <w:spacing w:after="0" w:line="240" w:lineRule="auto"/>
              <w:jc w:val="center"/>
              <w:rPr>
                <w:rFonts w:ascii="Times New Roman" w:eastAsia="Times New Roman" w:hAnsi="Times New Roman" w:cs="Times New Roman"/>
                <w:noProof/>
                <w:color w:val="006100"/>
                <w:sz w:val="18"/>
                <w:szCs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9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9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93"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94" w14:textId="77777777" w:rsidR="00F74E13" w:rsidRDefault="009274FC">
            <w:pPr>
              <w:pStyle w:val="P68B1DB1-Normal15"/>
              <w:spacing w:after="0" w:line="240" w:lineRule="auto"/>
              <w:jc w:val="center"/>
              <w:rPr>
                <w:rFonts w:eastAsia="Times New Roman" w:cs="Times New Roman"/>
                <w:noProof/>
                <w:szCs w:val="20"/>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95" w14:textId="3D29C96F" w:rsidR="00F74E13" w:rsidRDefault="009274FC">
            <w:pPr>
              <w:pStyle w:val="P68B1DB1-Normal13"/>
              <w:spacing w:after="0" w:line="240" w:lineRule="auto"/>
              <w:jc w:val="both"/>
              <w:rPr>
                <w:noProof/>
              </w:rPr>
            </w:pPr>
            <w:r>
              <w:rPr>
                <w:noProof/>
              </w:rPr>
              <w:t>La part des procédures de passation de marchés avec un seul soumissionnaire est mesurée en pourcentage de tous les marchés publics attribués, sur la base des données publiées au Journal officiel de l’UE (base de données TED) et dans le registre national bulgare des marchés publics en 2025. La part des procédures de passation de marchés avec un seul soumissionnaire ne dépasse pas 34 %, compte tenu de la méthodologie du tableau d’affichage du marché unique.</w:t>
            </w:r>
          </w:p>
          <w:p w14:paraId="1CEBDD96" w14:textId="77777777" w:rsidR="00F74E13" w:rsidRDefault="00F74E13">
            <w:pPr>
              <w:spacing w:after="0" w:line="240" w:lineRule="auto"/>
              <w:jc w:val="both"/>
              <w:rPr>
                <w:rFonts w:ascii="Times New Roman" w:hAnsi="Times New Roman"/>
                <w:noProof/>
                <w:color w:val="006100"/>
                <w:sz w:val="20"/>
              </w:rPr>
            </w:pPr>
          </w:p>
          <w:p w14:paraId="1CEBDD97" w14:textId="7275534B" w:rsidR="00F74E13" w:rsidRDefault="009274FC">
            <w:pPr>
              <w:pStyle w:val="P68B1DB1-Normal13"/>
              <w:spacing w:after="0" w:line="240" w:lineRule="auto"/>
              <w:rPr>
                <w:rFonts w:eastAsia="Times New Roman" w:cs="Times New Roman"/>
                <w:noProof/>
              </w:rPr>
            </w:pPr>
            <w:r>
              <w:rPr>
                <w:noProof/>
              </w:rPr>
              <w:t xml:space="preserve">La part des procédures négociées de passation de marchés sans publication préalable avec le soutien de l’Union est mesurée en pourcentage de toutes les procédures d’appel d’offres pour les marchés publics avec le soutien de l’Union, sur la base des données publiées au Journal officiel de l’Union européenne (base de données TED) et dans le registre national bulgare des marchés publics en 2025, et calculée au niveau du lot. </w:t>
            </w:r>
          </w:p>
          <w:p w14:paraId="1CEBDD98" w14:textId="77777777" w:rsidR="00F74E13" w:rsidRDefault="00F74E13">
            <w:pPr>
              <w:spacing w:after="0" w:line="240" w:lineRule="auto"/>
              <w:rPr>
                <w:rFonts w:ascii="Times New Roman" w:hAnsi="Times New Roman"/>
                <w:noProof/>
                <w:color w:val="006100"/>
                <w:sz w:val="20"/>
              </w:rPr>
            </w:pPr>
          </w:p>
          <w:p w14:paraId="1CEBDD99" w14:textId="7AC4073D" w:rsidR="00F74E13" w:rsidRDefault="009274FC">
            <w:pPr>
              <w:pStyle w:val="P68B1DB1-Normal13"/>
              <w:spacing w:after="0" w:line="240" w:lineRule="auto"/>
              <w:rPr>
                <w:rFonts w:eastAsia="Times New Roman" w:cs="Times New Roman"/>
                <w:noProof/>
              </w:rPr>
            </w:pPr>
            <w:r>
              <w:rPr>
                <w:noProof/>
              </w:rPr>
              <w:t>La part des procédures négociées de passation de marchés sans publication préalable avec le soutien de l’Union ne dépasse pas 3,9 %, compte tenu de la méthodologie du tableau d’affichage du marché unique.</w:t>
            </w:r>
          </w:p>
        </w:tc>
      </w:tr>
      <w:tr w:rsidR="00F74E13" w14:paraId="1CEBDDA7" w14:textId="77777777" w:rsidTr="00D24DB8">
        <w:trPr>
          <w:trHeight w:val="92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9B" w14:textId="77777777" w:rsidR="00F74E13" w:rsidRDefault="009274FC">
            <w:pPr>
              <w:pStyle w:val="P68B1DB1-Normal35"/>
              <w:spacing w:after="0" w:line="240" w:lineRule="auto"/>
              <w:jc w:val="center"/>
              <w:rPr>
                <w:noProof/>
              </w:rPr>
            </w:pPr>
            <w:r>
              <w:rPr>
                <w:noProof/>
              </w:rPr>
              <w:t>251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9C"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9D"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9E" w14:textId="77777777" w:rsidR="00F74E13" w:rsidRDefault="009274FC">
            <w:pPr>
              <w:pStyle w:val="P68B1DB1-Normal15"/>
              <w:spacing w:after="0" w:line="240" w:lineRule="auto"/>
              <w:rPr>
                <w:noProof/>
              </w:rPr>
            </w:pPr>
            <w:r>
              <w:rPr>
                <w:noProof/>
              </w:rPr>
              <w:t>Introduction d'une procédure et d'exigences pour la délivrance et la révocation d'un visa pour les entrepreneurs en démarrage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9F" w14:textId="77777777" w:rsidR="00F74E13" w:rsidRDefault="009274FC">
            <w:pPr>
              <w:pStyle w:val="P68B1DB1-Normal15"/>
              <w:spacing w:after="0" w:line="240" w:lineRule="auto"/>
              <w:rPr>
                <w:noProof/>
              </w:rPr>
            </w:pPr>
            <w:r>
              <w:rPr>
                <w:noProof/>
              </w:rPr>
              <w:t>Dispositions de la loi indiquant l'entrée en vigueur de l'ordonnance sur la procédure et les conditions de délivrance et de révocation d'un visa de démarrage adoptée par le Conseil des ministres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A0"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A1"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A2"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A3"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A4"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A5" w14:textId="77777777" w:rsidR="00F74E13" w:rsidRDefault="009274FC">
            <w:pPr>
              <w:pStyle w:val="P68B1DB1-Normal15"/>
              <w:spacing w:after="0" w:line="240" w:lineRule="auto"/>
              <w:jc w:val="both"/>
              <w:rPr>
                <w:noProof/>
              </w:rPr>
            </w:pPr>
            <w:r>
              <w:rPr>
                <w:noProof/>
              </w:rPr>
              <w:t xml:space="preserve">Le Conseil des ministres adopte une ordonnance établissant la procédure et les conditions de délivrance et de révocation du visa de démarrage, qui a été introduite par l'article 24p de la loi sur les citoyens étrangers. </w:t>
            </w:r>
          </w:p>
          <w:p w14:paraId="1CEBDDA6" w14:textId="77777777" w:rsidR="00F74E13" w:rsidRDefault="009274FC">
            <w:pPr>
              <w:pStyle w:val="P68B1DB1-Normal15"/>
              <w:spacing w:after="0" w:line="240" w:lineRule="auto"/>
              <w:jc w:val="both"/>
              <w:rPr>
                <w:noProof/>
              </w:rPr>
            </w:pPr>
            <w:r>
              <w:rPr>
                <w:noProof/>
              </w:rPr>
              <w:t xml:space="preserve">L’ordonnance réglemente la création d’un conseil d’experts en tant qu’organe consultatif auprès du ministre de l’économie chargé de donner un avis sur les projets soumis, de demander la délivrance d’un certificat pour un projet de haute technologie et/ou innovant, appelé «visa de démarrage», ainsi que les conditions et la procédure de délivrance, de prorogation et de révocation du certificat. </w:t>
            </w:r>
          </w:p>
        </w:tc>
      </w:tr>
      <w:tr w:rsidR="00F74E13" w14:paraId="1CEBDDB3" w14:textId="77777777" w:rsidTr="00D24DB8">
        <w:trPr>
          <w:trHeight w:val="137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A8" w14:textId="77777777" w:rsidR="00F74E13" w:rsidRDefault="009274FC">
            <w:pPr>
              <w:pStyle w:val="P68B1DB1-Normal35"/>
              <w:spacing w:after="0" w:line="240" w:lineRule="auto"/>
              <w:jc w:val="center"/>
              <w:rPr>
                <w:noProof/>
              </w:rPr>
            </w:pPr>
            <w:r>
              <w:rPr>
                <w:noProof/>
              </w:rPr>
              <w:t>252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A9"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AA"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AB"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Entrée en vigueur de la loi sur </w:t>
            </w:r>
            <w:r>
              <w:rPr>
                <w:rFonts w:ascii="Times New Roman" w:eastAsia="Times New Roman" w:hAnsi="Times New Roman" w:cs="Times New Roman"/>
                <w:noProof/>
                <w:szCs w:val="20"/>
              </w:rPr>
              <w:t xml:space="preserve">la faillite personnelle </w:t>
            </w:r>
            <w:r>
              <w:rPr>
                <w:rFonts w:ascii="Times New Roman" w:hAnsi="Times New Roman"/>
                <w:noProof/>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AC" w14:textId="77777777" w:rsidR="00F74E13" w:rsidRDefault="009274FC">
            <w:pPr>
              <w:pStyle w:val="P68B1DB1-Normal15"/>
              <w:spacing w:after="0" w:line="240" w:lineRule="auto"/>
              <w:rPr>
                <w:noProof/>
              </w:rPr>
            </w:pPr>
            <w:r>
              <w:rPr>
                <w:noProof/>
              </w:rPr>
              <w:t>Dispositions de la loi sur la faillite personnelle indiquant son entrée en vigueur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AD"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AE"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A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B0"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B1"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B2" w14:textId="77777777" w:rsidR="00F74E13" w:rsidRDefault="009274FC">
            <w:pPr>
              <w:pStyle w:val="P68B1DB1-Normal15"/>
              <w:spacing w:after="0" w:line="240" w:lineRule="auto"/>
              <w:jc w:val="both"/>
              <w:rPr>
                <w:noProof/>
              </w:rPr>
            </w:pPr>
            <w:r>
              <w:rPr>
                <w:noProof/>
              </w:rPr>
              <w:t>La loi sur la faillite personnelle instaure des procédures d’insolvabilité des personnes physiques, qui comprennent un plan de remboursement, la réalisation d’actifs et des procédures d’insolvabilité en l’absence de revenus et de biens des personnes physiques.</w:t>
            </w:r>
          </w:p>
        </w:tc>
      </w:tr>
      <w:tr w:rsidR="00F74E13" w14:paraId="1CEBDDBF"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B4" w14:textId="77777777" w:rsidR="00F74E13" w:rsidRDefault="009274FC">
            <w:pPr>
              <w:pStyle w:val="P68B1DB1-Normal35"/>
              <w:spacing w:after="0" w:line="240" w:lineRule="auto"/>
              <w:jc w:val="center"/>
              <w:rPr>
                <w:noProof/>
              </w:rPr>
            </w:pPr>
            <w:r>
              <w:rPr>
                <w:noProof/>
              </w:rPr>
              <w:t>253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B5"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B6"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B7" w14:textId="77777777" w:rsidR="00F74E13" w:rsidRDefault="009274FC">
            <w:pPr>
              <w:pStyle w:val="P68B1DB1-Normal15"/>
              <w:spacing w:after="0" w:line="240" w:lineRule="auto"/>
              <w:rPr>
                <w:noProof/>
              </w:rPr>
            </w:pPr>
            <w:r>
              <w:rPr>
                <w:noProof/>
              </w:rPr>
              <w:t>Entrée en vigueur d'un nouveau chapitre de la loi sur le commerce pour l'introduction d'une nouvelle forme juridique de société commerciale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B8" w14:textId="77777777" w:rsidR="00F74E13" w:rsidRDefault="009274FC">
            <w:pPr>
              <w:pStyle w:val="P68B1DB1-Normal15"/>
              <w:spacing w:after="0" w:line="240" w:lineRule="auto"/>
              <w:rPr>
                <w:noProof/>
              </w:rPr>
            </w:pPr>
            <w:r>
              <w:rPr>
                <w:noProof/>
              </w:rPr>
              <w:t>Dispositions de la loi sur le commerce indiquant l'entrée en vigueur des modifications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B9"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BA"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BB"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BC"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BD"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BE" w14:textId="77777777" w:rsidR="00F74E13" w:rsidRDefault="009274FC">
            <w:pPr>
              <w:pStyle w:val="P68B1DB1-Normal15"/>
              <w:spacing w:after="0" w:line="240" w:lineRule="auto"/>
              <w:jc w:val="both"/>
              <w:rPr>
                <w:noProof/>
              </w:rPr>
            </w:pPr>
            <w:r>
              <w:rPr>
                <w:noProof/>
              </w:rPr>
              <w:t>Les modifications introduiront un chapitre dans la loi sur le commerce pour une nouvelle forme juridique de société commerciale, qui prévoira des instruments plus souples pour le développement des entreprises, y compris les contrats d'acquisition, les pools d'options, les prêts convertibles, les droits de retrait et de retrait et le capital variable.</w:t>
            </w:r>
          </w:p>
        </w:tc>
      </w:tr>
      <w:tr w:rsidR="00F74E13" w14:paraId="1CEBDDCB" w14:textId="77777777" w:rsidTr="00D24DB8">
        <w:trPr>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C0" w14:textId="77777777" w:rsidR="00F74E13" w:rsidRDefault="009274FC">
            <w:pPr>
              <w:pStyle w:val="P68B1DB1-Normal35"/>
              <w:spacing w:after="0" w:line="240" w:lineRule="auto"/>
              <w:jc w:val="center"/>
              <w:rPr>
                <w:noProof/>
              </w:rPr>
            </w:pPr>
            <w:r>
              <w:rPr>
                <w:noProof/>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C1" w14:textId="77777777" w:rsidR="00F74E13" w:rsidRDefault="009274FC">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Bulgarie entreprenante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C2"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C3" w14:textId="77777777" w:rsidR="00F74E13" w:rsidRDefault="009274FC">
            <w:pPr>
              <w:pStyle w:val="P68B1DB1-Normal13"/>
              <w:spacing w:after="0" w:line="240" w:lineRule="auto"/>
              <w:rPr>
                <w:noProof/>
              </w:rPr>
            </w:pPr>
            <w:r>
              <w:rPr>
                <w:noProof/>
              </w:rPr>
              <w:t>Entrée en vigueur du ou des actes juridiques relatifs au travail à distance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C4" w14:textId="77777777" w:rsidR="00F74E13" w:rsidRDefault="009274FC">
            <w:pPr>
              <w:pStyle w:val="P68B1DB1-Normal15"/>
              <w:spacing w:after="0" w:line="240" w:lineRule="auto"/>
              <w:rPr>
                <w:noProof/>
              </w:rPr>
            </w:pPr>
            <w:r>
              <w:rPr>
                <w:noProof/>
              </w:rPr>
              <w:t xml:space="preserve">Dispositions de l’acte ou des actes juridiques indiquant l’entrée en vigueur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C5"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C6"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C7"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C8"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C9"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CA" w14:textId="77777777" w:rsidR="00F74E13" w:rsidRDefault="009274FC">
            <w:pPr>
              <w:pStyle w:val="P68B1DB1-Normal13"/>
              <w:spacing w:after="0" w:line="240" w:lineRule="auto"/>
              <w:jc w:val="both"/>
              <w:rPr>
                <w:noProof/>
              </w:rPr>
            </w:pPr>
            <w:r>
              <w:rPr>
                <w:noProof/>
              </w:rPr>
              <w:t>Le ou les actes juridiques concernent le travail à distance en rapport avec la santé et la sécurité des conditions de travail, la déclaration du travail et le contrôle du temps de travail.</w:t>
            </w:r>
          </w:p>
        </w:tc>
      </w:tr>
      <w:tr w:rsidR="00F74E13" w14:paraId="1CEBDDD7" w14:textId="77777777" w:rsidTr="00D24DB8">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CC" w14:textId="77777777" w:rsidR="00F74E13" w:rsidRDefault="009274FC">
            <w:pPr>
              <w:pStyle w:val="P68B1DB1-Normal35"/>
              <w:spacing w:after="0" w:line="240" w:lineRule="auto"/>
              <w:jc w:val="center"/>
              <w:rPr>
                <w:noProof/>
              </w:rPr>
            </w:pPr>
            <w:r>
              <w:rPr>
                <w:noProof/>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CD" w14:textId="77777777" w:rsidR="00F74E13" w:rsidRDefault="009274FC">
            <w:pPr>
              <w:pStyle w:val="P68B1DB1-Normal15"/>
              <w:spacing w:after="0" w:line="240" w:lineRule="auto"/>
              <w:rPr>
                <w:noProof/>
              </w:rPr>
            </w:pPr>
            <w:r>
              <w:rPr>
                <w:noProof/>
              </w:rPr>
              <w:t>C10.R12: Conseil d'analyse économique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CE"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CF" w14:textId="77777777" w:rsidR="00F74E13" w:rsidRDefault="009274FC">
            <w:pPr>
              <w:pStyle w:val="P68B1DB1-Normal15"/>
              <w:spacing w:after="0" w:line="240" w:lineRule="auto"/>
              <w:rPr>
                <w:noProof/>
              </w:rPr>
            </w:pPr>
            <w:r>
              <w:rPr>
                <w:noProof/>
              </w:rPr>
              <w:t>Institutionnalisation du Conseil d'analyse économique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D0" w14:textId="77777777" w:rsidR="00F74E13" w:rsidRDefault="009274FC">
            <w:pPr>
              <w:pStyle w:val="P68B1DB1-Normal15"/>
              <w:spacing w:after="0" w:line="240" w:lineRule="auto"/>
              <w:rPr>
                <w:noProof/>
              </w:rPr>
            </w:pPr>
            <w:r>
              <w:rPr>
                <w:noProof/>
              </w:rPr>
              <w:t>Création et fonctionnement du Conseil d ' analyse économique et de son secrétariat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D1"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D2"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D3"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D4" w14:textId="77777777" w:rsidR="00F74E13" w:rsidRDefault="009274FC">
            <w:pPr>
              <w:pStyle w:val="P68B1DB1-Normal35"/>
              <w:spacing w:after="0" w:line="240" w:lineRule="auto"/>
              <w:jc w:val="center"/>
              <w:rPr>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D5"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tcPr>
          <w:p w14:paraId="1CEBDDD6" w14:textId="77777777" w:rsidR="00F74E13" w:rsidRDefault="009274FC">
            <w:pPr>
              <w:pStyle w:val="P68B1DB1-Normal15"/>
              <w:spacing w:after="0" w:line="240" w:lineRule="auto"/>
              <w:jc w:val="both"/>
              <w:rPr>
                <w:noProof/>
              </w:rPr>
            </w:pPr>
            <w:r>
              <w:rPr>
                <w:noProof/>
              </w:rPr>
              <w:t xml:space="preserve">Le Conseil d'analyse économique est institué en tant qu'organe consultatif et est assisté d'un secrétariat. Il devrait fournir au gouvernement bulgare une expertise économique académique approfondie. Son principal résultat sera un rapport annuel sur l’état de l’économie bulgare, qui recensera les défis et les risques auxquels elle est confrontée et proposera des solutions. </w:t>
            </w:r>
          </w:p>
        </w:tc>
      </w:tr>
      <w:tr w:rsidR="00F74E13" w14:paraId="1CEBDDE9" w14:textId="77777777" w:rsidTr="00D24DB8">
        <w:trPr>
          <w:trHeight w:val="924"/>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DD8" w14:textId="77777777" w:rsidR="00F74E13" w:rsidRDefault="009274FC">
            <w:pPr>
              <w:pStyle w:val="P68B1DB1-Normal35"/>
              <w:spacing w:after="0" w:line="240" w:lineRule="auto"/>
              <w:jc w:val="center"/>
              <w:rPr>
                <w:noProof/>
              </w:rPr>
            </w:pPr>
            <w:r>
              <w:rPr>
                <w:noProof/>
              </w:rPr>
              <w:t>258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DD9" w14:textId="77777777" w:rsidR="00F74E13" w:rsidRDefault="009274FC">
            <w:pPr>
              <w:pStyle w:val="P68B1DB1-Normal15"/>
              <w:spacing w:after="0" w:line="240" w:lineRule="auto"/>
              <w:rPr>
                <w:noProof/>
              </w:rPr>
            </w:pPr>
            <w:r>
              <w:rPr>
                <w:noProof/>
              </w:rPr>
              <w:t>C10.I1 : Mise à niveau du système d'information unifié des tribunaux</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DDA"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DDB" w14:textId="77777777" w:rsidR="00F74E13" w:rsidRDefault="009274FC">
            <w:pPr>
              <w:pStyle w:val="P68B1DB1-Normal15"/>
              <w:spacing w:after="0" w:line="240" w:lineRule="auto"/>
              <w:rPr>
                <w:noProof/>
              </w:rPr>
            </w:pPr>
            <w:r>
              <w:rPr>
                <w:noProof/>
              </w:rPr>
              <w:t>Mise à niveau du système d’information sur les juridictions unifiées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DDC" w14:textId="77777777" w:rsidR="00F74E13" w:rsidRDefault="009274FC">
            <w:pPr>
              <w:pStyle w:val="P68B1DB1-Normal15"/>
              <w:spacing w:after="0" w:line="240" w:lineRule="auto"/>
              <w:rPr>
                <w:noProof/>
              </w:rPr>
            </w:pPr>
            <w:r>
              <w:rPr>
                <w:noProof/>
              </w:rPr>
              <w:t>Mise à niveau du système d'information unifié des tribunaux</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DDD"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DDE"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hideMark/>
          </w:tcPr>
          <w:p w14:paraId="1CEBDDD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DE0"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DE1"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hideMark/>
          </w:tcPr>
          <w:p w14:paraId="1CEBDDE2" w14:textId="77777777" w:rsidR="00F74E13" w:rsidRDefault="009274FC">
            <w:pPr>
              <w:pStyle w:val="P68B1DB1-Normal13"/>
              <w:spacing w:after="0" w:line="240" w:lineRule="auto"/>
              <w:jc w:val="both"/>
              <w:rPr>
                <w:rFonts w:eastAsia="Times New Roman" w:cs="Times New Roman"/>
                <w:noProof/>
              </w:rPr>
            </w:pPr>
            <w:r>
              <w:rPr>
                <w:noProof/>
              </w:rPr>
              <w:t xml:space="preserve">La mise à niveau du système d’information sur les juridictions unifiées par l’ajout des modules suivants est publiée: </w:t>
            </w:r>
          </w:p>
          <w:p w14:paraId="1CEBDDE3" w14:textId="77777777" w:rsidR="00F74E13" w:rsidRDefault="009274FC">
            <w:pPr>
              <w:pStyle w:val="P68B1DB1-ListParagraph20"/>
              <w:numPr>
                <w:ilvl w:val="0"/>
                <w:numId w:val="61"/>
              </w:numPr>
              <w:spacing w:after="0" w:line="240" w:lineRule="auto"/>
              <w:jc w:val="both"/>
              <w:rPr>
                <w:noProof/>
              </w:rPr>
            </w:pPr>
            <w:r>
              <w:rPr>
                <w:noProof/>
              </w:rPr>
              <w:t xml:space="preserve">а module pour l’attribution et la numérisation des dossiers relatifs aux procédures d’injonction de payer; </w:t>
            </w:r>
          </w:p>
          <w:p w14:paraId="1CEBDDE4" w14:textId="77777777" w:rsidR="00F74E13" w:rsidRDefault="009274FC">
            <w:pPr>
              <w:pStyle w:val="P68B1DB1-ListParagraph20"/>
              <w:numPr>
                <w:ilvl w:val="0"/>
                <w:numId w:val="61"/>
              </w:numPr>
              <w:spacing w:after="0" w:line="240" w:lineRule="auto"/>
              <w:jc w:val="both"/>
              <w:rPr>
                <w:noProof/>
              </w:rPr>
            </w:pPr>
            <w:r>
              <w:rPr>
                <w:noProof/>
              </w:rPr>
              <w:t>а module pour l'administration des procédures de médiation.</w:t>
            </w:r>
          </w:p>
          <w:p w14:paraId="1CEBDDE5" w14:textId="77777777" w:rsidR="00F74E13" w:rsidRDefault="009274FC">
            <w:pPr>
              <w:pStyle w:val="P68B1DB1-Normal35"/>
              <w:spacing w:after="0" w:line="240" w:lineRule="auto"/>
              <w:jc w:val="both"/>
              <w:rPr>
                <w:noProof/>
              </w:rPr>
            </w:pPr>
            <w:r>
              <w:rPr>
                <w:noProof/>
              </w:rPr>
              <w:t xml:space="preserve">3 000 ordinateurs avec moniteurs et 2 200 ordinateurs portables seront livrés. </w:t>
            </w:r>
          </w:p>
          <w:p w14:paraId="1CEBDDE8" w14:textId="0690C35D" w:rsidR="00F74E13" w:rsidRDefault="009274FC">
            <w:pPr>
              <w:pStyle w:val="P68B1DB1-Normal35"/>
              <w:spacing w:before="120" w:after="0" w:line="240" w:lineRule="auto"/>
              <w:jc w:val="both"/>
              <w:rPr>
                <w:noProof/>
              </w:rPr>
            </w:pPr>
            <w:r>
              <w:rPr>
                <w:noProof/>
              </w:rPr>
              <w:t xml:space="preserve">Le matériel de stockage des données est installé dans deux centres de données centraux et dans un centre de données d’archives. </w:t>
            </w:r>
          </w:p>
        </w:tc>
      </w:tr>
      <w:tr w:rsidR="00F74E13" w14:paraId="1CEBDDFB" w14:textId="77777777" w:rsidTr="00D24DB8">
        <w:trPr>
          <w:trHeight w:val="126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EA" w14:textId="77777777" w:rsidR="00F74E13" w:rsidRDefault="009274FC">
            <w:pPr>
              <w:pStyle w:val="P68B1DB1-Normal35"/>
              <w:spacing w:after="0" w:line="240" w:lineRule="auto"/>
              <w:jc w:val="center"/>
              <w:rPr>
                <w:noProof/>
              </w:rPr>
            </w:pPr>
            <w:r>
              <w:rPr>
                <w:noProof/>
              </w:rPr>
              <w:t>260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EB" w14:textId="77777777" w:rsidR="00F74E13" w:rsidRDefault="009274FC">
            <w:pPr>
              <w:pStyle w:val="P68B1DB1-Normal15"/>
              <w:spacing w:after="0" w:line="240" w:lineRule="auto"/>
              <w:rPr>
                <w:noProof/>
              </w:rPr>
            </w:pPr>
            <w:r>
              <w:rPr>
                <w:noProof/>
              </w:rPr>
              <w:t>C10.I2 : Numérisation des procédures contentieuses en justice administrative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DEC"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ED" w14:textId="2EA3E642"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Modules</w:t>
            </w:r>
            <w:r>
              <w:rPr>
                <w:rFonts w:ascii="Times New Roman" w:hAnsi="Times New Roman"/>
                <w:noProof/>
              </w:rPr>
              <w:t xml:space="preserve"> d’information et matériel pour la numérisation des procédures contentieuses en justice administrative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EE" w14:textId="0B148E4D"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Mise en place de modules d'information;</w:t>
            </w:r>
            <w:r>
              <w:rPr>
                <w:rFonts w:ascii="Times New Roman" w:hAnsi="Times New Roman"/>
                <w:noProof/>
              </w:rPr>
              <w:t xml:space="preserve"> </w:t>
            </w:r>
            <w:r>
              <w:rPr>
                <w:rFonts w:ascii="Times New Roman" w:eastAsia="Times New Roman" w:hAnsi="Times New Roman" w:cs="Times New Roman"/>
                <w:noProof/>
                <w:szCs w:val="20"/>
              </w:rPr>
              <w:t>matériel pour les auditions à distance et pour le stockage des données livré</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EF"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F0"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DF1"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F2"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DF3"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DF4" w14:textId="77777777" w:rsidR="00F74E13" w:rsidRDefault="009274FC">
            <w:pPr>
              <w:pStyle w:val="P68B1DB1-Normal13"/>
              <w:spacing w:after="0" w:line="240" w:lineRule="auto"/>
              <w:jc w:val="both"/>
              <w:rPr>
                <w:rFonts w:eastAsia="Times New Roman" w:cs="Times New Roman"/>
                <w:noProof/>
              </w:rPr>
            </w:pPr>
            <w:r>
              <w:rPr>
                <w:noProof/>
              </w:rPr>
              <w:t>Protocole(s) d’acceptation de la mise à niveau du système d’information sur la gestion des dossiers uniques par l’ajout de modules d’information prévoyant la possibilité:</w:t>
            </w:r>
          </w:p>
          <w:p w14:paraId="1CEBDDF5" w14:textId="77777777" w:rsidR="00F74E13" w:rsidRDefault="009274FC">
            <w:pPr>
              <w:pStyle w:val="P68B1DB1-ListParagraph20"/>
              <w:numPr>
                <w:ilvl w:val="0"/>
                <w:numId w:val="62"/>
              </w:numPr>
              <w:spacing w:after="0" w:line="240" w:lineRule="auto"/>
              <w:ind w:left="456" w:hanging="456"/>
              <w:jc w:val="both"/>
              <w:rPr>
                <w:noProof/>
              </w:rPr>
            </w:pPr>
            <w:r>
              <w:rPr>
                <w:noProof/>
              </w:rPr>
              <w:t xml:space="preserve">d’accéder par voie électronique aux pièces du dossier et de soumettre des documents; </w:t>
            </w:r>
          </w:p>
          <w:p w14:paraId="1CEBDDF6" w14:textId="77777777" w:rsidR="00F74E13" w:rsidRDefault="009274FC">
            <w:pPr>
              <w:pStyle w:val="P68B1DB1-ListParagraph20"/>
              <w:numPr>
                <w:ilvl w:val="0"/>
                <w:numId w:val="62"/>
              </w:numPr>
              <w:spacing w:after="0" w:line="240" w:lineRule="auto"/>
              <w:ind w:left="456" w:hanging="456"/>
              <w:jc w:val="both"/>
              <w:rPr>
                <w:noProof/>
              </w:rPr>
            </w:pPr>
            <w:r>
              <w:rPr>
                <w:noProof/>
              </w:rPr>
              <w:t>pour la signification ou la notification électronique d’une citation à comparaître; et</w:t>
            </w:r>
          </w:p>
          <w:p w14:paraId="1CEBDDF7" w14:textId="77777777" w:rsidR="00F74E13" w:rsidRDefault="009274FC">
            <w:pPr>
              <w:pStyle w:val="P68B1DB1-ListParagraph20"/>
              <w:numPr>
                <w:ilvl w:val="0"/>
                <w:numId w:val="62"/>
              </w:numPr>
              <w:spacing w:after="0" w:line="240" w:lineRule="auto"/>
              <w:ind w:left="456" w:hanging="456"/>
              <w:jc w:val="both"/>
              <w:rPr>
                <w:noProof/>
              </w:rPr>
            </w:pPr>
            <w:r>
              <w:rPr>
                <w:noProof/>
              </w:rPr>
              <w:t>organiser des auditions à distance.</w:t>
            </w:r>
          </w:p>
          <w:p w14:paraId="1CEBDDF9" w14:textId="77777777" w:rsidR="00F74E13" w:rsidRDefault="009274FC">
            <w:pPr>
              <w:spacing w:before="120" w:after="0" w:line="240" w:lineRule="auto"/>
              <w:rPr>
                <w:noProof/>
              </w:rPr>
            </w:pPr>
            <w:r>
              <w:rPr>
                <w:rFonts w:ascii="Times New Roman" w:eastAsia="Times New Roman" w:hAnsi="Times New Roman" w:cs="Times New Roman"/>
                <w:noProof/>
                <w:color w:val="006100"/>
                <w:sz w:val="20"/>
                <w:szCs w:val="20"/>
              </w:rPr>
              <w:t>Le ou les protocoles d’acceptation de la livraison de matériel aux juridictions administratives du pays pour les audiences à distance sont délivrés.</w:t>
            </w:r>
            <w:r>
              <w:rPr>
                <w:noProof/>
              </w:rPr>
              <w:t xml:space="preserve"> </w:t>
            </w:r>
          </w:p>
          <w:p w14:paraId="1CEBDDFA" w14:textId="60C533FD" w:rsidR="00F74E13" w:rsidRDefault="009274FC">
            <w:pPr>
              <w:pStyle w:val="P68B1DB1-Normal35"/>
              <w:spacing w:after="0" w:line="240" w:lineRule="auto"/>
              <w:rPr>
                <w:noProof/>
              </w:rPr>
            </w:pPr>
            <w:r>
              <w:rPr>
                <w:noProof/>
              </w:rPr>
              <w:t>Le ou les protocoles d’acceptation de l’installation du matériel de stockage des données dans un centre de données du Conseil supérieur de la magistrature sont délivrés.</w:t>
            </w:r>
          </w:p>
        </w:tc>
      </w:tr>
      <w:tr w:rsidR="00F74E13" w14:paraId="1CEBDE07" w14:textId="77777777" w:rsidTr="00D24DB8">
        <w:trPr>
          <w:trHeight w:val="62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DFC" w14:textId="77777777" w:rsidR="00F74E13" w:rsidRDefault="009274FC">
            <w:pPr>
              <w:pStyle w:val="P68B1DB1-Normal35"/>
              <w:spacing w:after="0" w:line="240" w:lineRule="auto"/>
              <w:jc w:val="center"/>
              <w:rPr>
                <w:noProof/>
              </w:rPr>
            </w:pPr>
            <w:r>
              <w:rPr>
                <w:noProof/>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DFD" w14:textId="77777777" w:rsidR="00F74E13" w:rsidRDefault="009274FC">
            <w:pPr>
              <w:pStyle w:val="P68B1DB1-Normal15"/>
              <w:spacing w:after="0" w:line="240" w:lineRule="auto"/>
              <w:rPr>
                <w:noProof/>
              </w:rPr>
            </w:pPr>
            <w:r>
              <w:rPr>
                <w:noProof/>
              </w:rPr>
              <w:t>C10.I3 : Infrastructures d’information et de communication au sein du ministère public</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DFE"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DFF" w14:textId="77777777" w:rsidR="00F74E13" w:rsidRDefault="009274FC">
            <w:pPr>
              <w:pStyle w:val="P68B1DB1-Normal15"/>
              <w:spacing w:after="0" w:line="240" w:lineRule="auto"/>
              <w:rPr>
                <w:noProof/>
              </w:rPr>
            </w:pPr>
            <w:r>
              <w:rPr>
                <w:noProof/>
              </w:rPr>
              <w:t>Infrastructures d’information et de communication au sein du ministère public</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0" w14:textId="77777777" w:rsidR="00F74E13" w:rsidRDefault="009274FC">
            <w:pPr>
              <w:pStyle w:val="P68B1DB1-Normal15"/>
              <w:spacing w:after="0" w:line="240" w:lineRule="auto"/>
              <w:rPr>
                <w:noProof/>
              </w:rPr>
            </w:pPr>
            <w:r>
              <w:rPr>
                <w:noProof/>
              </w:rPr>
              <w:t>Amélioration de l’infrastructure d’information et de communication du ministère public</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01"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02"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03"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04"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05"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06" w14:textId="08684BBA" w:rsidR="00F74E13" w:rsidRDefault="009274FC">
            <w:pPr>
              <w:pStyle w:val="P68B1DB1-Normal13"/>
              <w:spacing w:after="0" w:line="240" w:lineRule="auto"/>
              <w:jc w:val="both"/>
              <w:rPr>
                <w:noProof/>
              </w:rPr>
            </w:pPr>
            <w:r>
              <w:rPr>
                <w:noProof/>
              </w:rPr>
              <w:t>Le matériel et les logiciels sont livrés et/ou installés en rapport avec les systèmes d’information et de communication du ministère public.</w:t>
            </w:r>
          </w:p>
        </w:tc>
      </w:tr>
      <w:tr w:rsidR="00F74E13" w14:paraId="1CEBDE1A" w14:textId="77777777" w:rsidTr="00D24DB8">
        <w:trPr>
          <w:trHeight w:val="75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08" w14:textId="77777777" w:rsidR="00F74E13" w:rsidRDefault="009274FC">
            <w:pPr>
              <w:pStyle w:val="P68B1DB1-Normal35"/>
              <w:spacing w:after="0" w:line="240" w:lineRule="auto"/>
              <w:jc w:val="center"/>
              <w:rPr>
                <w:noProof/>
              </w:rPr>
            </w:pPr>
            <w:r>
              <w:rPr>
                <w:noProof/>
              </w:rPr>
              <w:t>265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09" w14:textId="77777777" w:rsidR="00F74E13" w:rsidRDefault="009274FC">
            <w:pPr>
              <w:pStyle w:val="P68B1DB1-Normal15"/>
              <w:spacing w:after="0" w:line="240" w:lineRule="auto"/>
              <w:rPr>
                <w:noProof/>
              </w:rPr>
            </w:pPr>
            <w:r>
              <w:rPr>
                <w:noProof/>
              </w:rPr>
              <w:t>C10.I4 : Services de sécurité</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0A"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0B" w14:textId="0592B5F6" w:rsidR="00F74E13" w:rsidRDefault="009274FC">
            <w:pPr>
              <w:pStyle w:val="P68B1DB1-Normal13"/>
              <w:spacing w:after="0" w:line="240" w:lineRule="auto"/>
              <w:rPr>
                <w:noProof/>
              </w:rPr>
            </w:pPr>
            <w:r>
              <w:rPr>
                <w:noProof/>
              </w:rPr>
              <w:t>Mise à niveau des systèmes de sécurité et de vidéosurveillance et acquisition de véhicules de police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C" w14:textId="41BCC3FC" w:rsidR="00F74E13" w:rsidRDefault="009274FC">
            <w:pPr>
              <w:pStyle w:val="P68B1DB1-Normal35"/>
              <w:spacing w:after="0" w:line="240" w:lineRule="auto"/>
              <w:rPr>
                <w:noProof/>
              </w:rPr>
            </w:pPr>
            <w:r>
              <w:rPr>
                <w:noProof/>
              </w:rPr>
              <w:t>Mise à niveau du système de sécurité et des systèmes de vidéosurveillance et acquisition de voitures de police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0D"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0E"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F"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10"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11" w14:textId="77777777"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hideMark/>
          </w:tcPr>
          <w:p w14:paraId="0CA23718" w14:textId="73C06DAA" w:rsidR="00F74E13" w:rsidRDefault="009274FC">
            <w:pPr>
              <w:pStyle w:val="P68B1DB1-Normal13"/>
              <w:spacing w:after="0" w:line="240" w:lineRule="auto"/>
              <w:jc w:val="both"/>
              <w:rPr>
                <w:noProof/>
              </w:rPr>
            </w:pPr>
            <w:r>
              <w:rPr>
                <w:noProof/>
              </w:rPr>
              <w:t>Protocole(s) d’acceptation pour la mise à niveau du système de sécurité automatisé intégré (IASS), y compris les interventions liées à l’infrastructure et à l’analyse des données.</w:t>
            </w:r>
          </w:p>
          <w:p w14:paraId="1CEBDE15" w14:textId="7BFC6083" w:rsidR="00F74E13" w:rsidRDefault="009274FC">
            <w:pPr>
              <w:pStyle w:val="P68B1DB1-Normal13"/>
              <w:spacing w:before="120" w:after="0" w:line="240" w:lineRule="auto"/>
              <w:jc w:val="both"/>
              <w:rPr>
                <w:noProof/>
              </w:rPr>
            </w:pPr>
            <w:r>
              <w:rPr>
                <w:noProof/>
              </w:rPr>
              <w:t xml:space="preserve">Protocole(s) d’acceptation pour la mise à niveau du système d’information géographique (SIG), y compris les interventions liées aux capacités de haute technologie et à l’analyse des données. </w:t>
            </w:r>
          </w:p>
          <w:p w14:paraId="1CEBDE17" w14:textId="3E28ABD6" w:rsidR="00F74E13" w:rsidRDefault="009274FC">
            <w:pPr>
              <w:pStyle w:val="P68B1DB1-Normal35"/>
              <w:spacing w:before="120" w:after="0" w:line="240" w:lineRule="auto"/>
              <w:jc w:val="both"/>
              <w:rPr>
                <w:noProof/>
              </w:rPr>
            </w:pPr>
            <w:r>
              <w:rPr>
                <w:noProof/>
              </w:rPr>
              <w:t>Protocole(s) d’acceptation pour la mise à niveau des systèmes de vidéosurveillance dotés d’une fonctionnalité de reconnaissance du numéro de véhicule à 18 carrefours routiers.</w:t>
            </w:r>
          </w:p>
          <w:p w14:paraId="1CEBDE19" w14:textId="0DBA5E35" w:rsidR="00F74E13" w:rsidRDefault="009274FC">
            <w:pPr>
              <w:pStyle w:val="P68B1DB1-Normal35"/>
              <w:spacing w:before="120" w:after="0" w:line="240" w:lineRule="auto"/>
              <w:jc w:val="both"/>
              <w:rPr>
                <w:noProof/>
              </w:rPr>
            </w:pPr>
            <w:r>
              <w:rPr>
                <w:noProof/>
              </w:rPr>
              <w:t xml:space="preserve">Protocole(s) d'acceptation pour l'acquisition de 300 véhicules de police. </w:t>
            </w:r>
          </w:p>
        </w:tc>
      </w:tr>
      <w:tr w:rsidR="00F74E13" w14:paraId="1CEBDE26" w14:textId="77777777" w:rsidTr="00D24DB8">
        <w:trPr>
          <w:trHeight w:val="702"/>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1B" w14:textId="77777777" w:rsidR="00F74E13" w:rsidRDefault="009274FC">
            <w:pPr>
              <w:pStyle w:val="P68B1DB1-Normal35"/>
              <w:spacing w:after="0" w:line="240" w:lineRule="auto"/>
              <w:jc w:val="center"/>
              <w:rPr>
                <w:noProof/>
              </w:rPr>
            </w:pPr>
            <w:r>
              <w:rPr>
                <w:noProof/>
              </w:rPr>
              <w:t>267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1C" w14:textId="77777777" w:rsidR="00F74E13" w:rsidRDefault="009274FC">
            <w:pPr>
              <w:pStyle w:val="P68B1DB1-Normal15"/>
              <w:spacing w:after="0" w:line="240" w:lineRule="auto"/>
              <w:rPr>
                <w:noProof/>
              </w:rPr>
            </w:pPr>
            <w:r>
              <w:rPr>
                <w:noProof/>
              </w:rPr>
              <w:t>C10.I4 : Services de sécurité</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E1D"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E1E" w14:textId="77777777" w:rsidR="00F74E13" w:rsidRDefault="009274FC">
            <w:pPr>
              <w:pStyle w:val="P68B1DB1-Normal15"/>
              <w:spacing w:after="0" w:line="240" w:lineRule="auto"/>
              <w:rPr>
                <w:noProof/>
              </w:rPr>
            </w:pPr>
            <w:r>
              <w:rPr>
                <w:noProof/>
              </w:rPr>
              <w:t xml:space="preserve">Acquisition de caméras corporelles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1F" w14:textId="77777777" w:rsidR="00F74E13" w:rsidRDefault="009274FC">
            <w:pPr>
              <w:pStyle w:val="P68B1DB1-Normal15"/>
              <w:spacing w:after="0" w:line="240" w:lineRule="auto"/>
              <w:rPr>
                <w:noProof/>
              </w:rPr>
            </w:pPr>
            <w:r>
              <w:rPr>
                <w:noProof/>
              </w:rPr>
              <w:t>Protocole(s) d'acceptation</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20"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2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2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23"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24"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E25" w14:textId="77777777" w:rsidR="00F74E13" w:rsidRDefault="009274FC">
            <w:pPr>
              <w:pStyle w:val="P68B1DB1-Normal13"/>
              <w:jc w:val="both"/>
              <w:rPr>
                <w:noProof/>
              </w:rPr>
            </w:pPr>
            <w:r>
              <w:rPr>
                <w:noProof/>
              </w:rPr>
              <w:t>Protocole(s) d'acceptation pour 1 146 caméras de police.</w:t>
            </w:r>
          </w:p>
        </w:tc>
      </w:tr>
      <w:tr w:rsidR="00F74E13" w14:paraId="1CEBDE38" w14:textId="77777777" w:rsidTr="00D24DB8">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27" w14:textId="77777777" w:rsidR="00F74E13" w:rsidRDefault="009274FC">
            <w:pPr>
              <w:pStyle w:val="P68B1DB1-Normal35"/>
              <w:spacing w:after="0" w:line="240" w:lineRule="auto"/>
              <w:jc w:val="center"/>
              <w:rPr>
                <w:noProof/>
              </w:rPr>
            </w:pPr>
            <w:r>
              <w:rPr>
                <w:noProof/>
              </w:rPr>
              <w:t>270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28" w14:textId="41390D89" w:rsidR="00F74E13" w:rsidRDefault="009274FC">
            <w:pPr>
              <w:pStyle w:val="P68B1DB1-Normal15"/>
              <w:spacing w:after="0" w:line="240" w:lineRule="auto"/>
              <w:rPr>
                <w:noProof/>
              </w:rPr>
            </w:pPr>
            <w:r>
              <w:rPr>
                <w:noProof/>
              </w:rPr>
              <w:t>C10.I6: Formations et configurations informatiques pour l'introduction de la modélisation de l'information du bâtiment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29"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2A" w14:textId="01B78540" w:rsidR="00F74E13" w:rsidRDefault="009274FC">
            <w:pPr>
              <w:pStyle w:val="P68B1DB1-Normal35"/>
              <w:spacing w:after="0" w:line="240" w:lineRule="auto"/>
              <w:rPr>
                <w:noProof/>
              </w:rPr>
            </w:pPr>
            <w:r>
              <w:rPr>
                <w:noProof/>
              </w:rPr>
              <w:t>Formations sur la modélisation de l'information du bâtiment et les configurations informatiques pour l'administration publique (s)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2B" w14:textId="385FEFFD" w:rsidR="00F74E13" w:rsidRDefault="009274FC">
            <w:pPr>
              <w:pStyle w:val="P68B1DB1-Normal13"/>
              <w:spacing w:after="240" w:line="240" w:lineRule="auto"/>
              <w:rPr>
                <w:noProof/>
              </w:rPr>
            </w:pPr>
            <w:r>
              <w:rPr>
                <w:noProof/>
              </w:rPr>
              <w:t>Configurations informatiques livrées; formations organisées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2C"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2D" w14:textId="77777777" w:rsidR="00F74E13" w:rsidRDefault="00F74E13">
            <w:pPr>
              <w:spacing w:after="0" w:line="240" w:lineRule="auto"/>
              <w:jc w:val="center"/>
              <w:rPr>
                <w:rFonts w:ascii="Times New Roman" w:hAnsi="Times New Roman"/>
                <w:noProof/>
                <w:color w:val="006100"/>
                <w:sz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2E" w14:textId="77777777" w:rsidR="00F74E13" w:rsidRDefault="00F74E13">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2F"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30" w14:textId="77777777"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35" w14:textId="06203B15" w:rsidR="00F74E13" w:rsidRDefault="009274FC">
            <w:pPr>
              <w:pStyle w:val="P68B1DB1-Normal35"/>
              <w:spacing w:after="0" w:line="240" w:lineRule="auto"/>
              <w:jc w:val="both"/>
              <w:rPr>
                <w:noProof/>
              </w:rPr>
            </w:pPr>
            <w:r>
              <w:rPr>
                <w:noProof/>
              </w:rPr>
              <w:t>Un ou plusieurs protocoles de livraison et d'acceptation sont délivrés pour la livraison d'un total de 300 configurations informatiques à une ou plusieurs administrations publiques.</w:t>
            </w:r>
          </w:p>
          <w:p w14:paraId="1CEBDE37" w14:textId="787F8E89" w:rsidR="00F74E13" w:rsidRDefault="009274FC">
            <w:pPr>
              <w:pStyle w:val="P68B1DB1-Normal35"/>
              <w:spacing w:before="120" w:after="0" w:line="240" w:lineRule="auto"/>
              <w:jc w:val="both"/>
              <w:rPr>
                <w:noProof/>
              </w:rPr>
            </w:pPr>
            <w:r>
              <w:rPr>
                <w:noProof/>
              </w:rPr>
              <w:t>Des formations sur la modélisation des informations sur les bâtiments sont organisées.</w:t>
            </w:r>
          </w:p>
        </w:tc>
      </w:tr>
      <w:tr w:rsidR="00F74E13" w14:paraId="1CEBDE50"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45" w14:textId="77777777" w:rsidR="00F74E13" w:rsidRDefault="009274FC">
            <w:pPr>
              <w:pStyle w:val="P68B1DB1-Normal35"/>
              <w:spacing w:after="0" w:line="240" w:lineRule="auto"/>
              <w:jc w:val="center"/>
              <w:rPr>
                <w:noProof/>
              </w:rPr>
            </w:pPr>
            <w:r>
              <w:rPr>
                <w:noProof/>
              </w:rPr>
              <w:t>278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46" w14:textId="77777777" w:rsidR="00F74E13" w:rsidRDefault="009274FC">
            <w:pPr>
              <w:pStyle w:val="P68B1DB1-Normal15"/>
              <w:spacing w:after="0" w:line="240" w:lineRule="auto"/>
              <w:rPr>
                <w:noProof/>
              </w:rPr>
            </w:pPr>
            <w:r>
              <w:rPr>
                <w:noProof/>
              </w:rPr>
              <w:t>C10.I10: Système Monitorstat</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47"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48" w14:textId="77777777" w:rsidR="00F74E13" w:rsidRDefault="009274FC">
            <w:pPr>
              <w:pStyle w:val="P68B1DB1-Normal35"/>
              <w:spacing w:after="0" w:line="240" w:lineRule="auto"/>
              <w:rPr>
                <w:noProof/>
              </w:rPr>
            </w:pPr>
            <w:r>
              <w:rPr>
                <w:noProof/>
              </w:rPr>
              <w:t xml:space="preserve">Mise à niveau du système Monitorstat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49" w14:textId="77777777" w:rsidR="00F74E13" w:rsidRDefault="009274FC">
            <w:pPr>
              <w:pStyle w:val="P68B1DB1-Normal35"/>
              <w:spacing w:after="0" w:line="240" w:lineRule="auto"/>
              <w:rPr>
                <w:noProof/>
              </w:rPr>
            </w:pPr>
            <w:bookmarkStart w:id="7" w:name="_Hlk214547842"/>
            <w:r>
              <w:rPr>
                <w:noProof/>
              </w:rPr>
              <w:t>Mise à niveau du système et adoption de la méthodologie</w:t>
            </w:r>
            <w:bookmarkEnd w:id="7"/>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4A" w14:textId="77777777" w:rsidR="00F74E13" w:rsidRDefault="00F74E13">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4B"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hideMark/>
          </w:tcPr>
          <w:p w14:paraId="1CEBDE4C"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4D"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4E"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4F" w14:textId="508C1701"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Le système Monitorstat est </w:t>
            </w:r>
            <w:r>
              <w:rPr>
                <w:rFonts w:ascii="Times New Roman" w:eastAsia="Times New Roman" w:hAnsi="Times New Roman" w:cs="Times New Roman"/>
                <w:noProof/>
                <w:szCs w:val="20"/>
              </w:rPr>
              <w:t xml:space="preserve">transformé en un outil permettant le téléchargement de documents stratégiques et le suivi de leurs progrès. </w:t>
            </w:r>
            <w:r>
              <w:rPr>
                <w:rFonts w:ascii="Times New Roman" w:hAnsi="Times New Roman"/>
                <w:noProof/>
              </w:rPr>
              <w:t>Une méthodologie sur les documents stratégiques est adoptée.</w:t>
            </w:r>
          </w:p>
        </w:tc>
      </w:tr>
      <w:tr w:rsidR="00F74E13" w14:paraId="1CEBDE5C"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51" w14:textId="77777777" w:rsidR="00F74E13" w:rsidRDefault="009274FC">
            <w:pPr>
              <w:pStyle w:val="P68B1DB1-Normal35"/>
              <w:spacing w:after="0" w:line="240" w:lineRule="auto"/>
              <w:jc w:val="center"/>
              <w:rPr>
                <w:noProof/>
              </w:rPr>
            </w:pPr>
            <w:r>
              <w:rPr>
                <w:noProof/>
              </w:rPr>
              <w:t>279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2" w14:textId="77777777" w:rsidR="00F74E13" w:rsidRDefault="009274FC">
            <w:pPr>
              <w:pStyle w:val="P68B1DB1-Normal13"/>
              <w:spacing w:after="0" w:line="240" w:lineRule="auto"/>
              <w:rPr>
                <w:noProof/>
              </w:rPr>
            </w:pPr>
            <w:r>
              <w:rPr>
                <w:noProof/>
              </w:rPr>
              <w:t>C10.I11: Informations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3"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54" w14:textId="77777777" w:rsidR="00F74E13" w:rsidRDefault="009274FC">
            <w:pPr>
              <w:pStyle w:val="P68B1DB1-Normal13"/>
              <w:spacing w:after="0" w:line="240" w:lineRule="auto"/>
              <w:rPr>
                <w:noProof/>
              </w:rPr>
            </w:pPr>
            <w:r>
              <w:rPr>
                <w:noProof/>
              </w:rPr>
              <w:t xml:space="preserve">Mise à disposition d’un système de répertoire pour le suivi de la mise en œuvre du PRR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55" w14:textId="77777777" w:rsidR="00F74E13" w:rsidRDefault="009274FC">
            <w:pPr>
              <w:pStyle w:val="P68B1DB1-Normal13"/>
              <w:spacing w:after="0" w:line="240" w:lineRule="auto"/>
              <w:rPr>
                <w:noProof/>
              </w:rPr>
            </w:pPr>
            <w:r>
              <w:rPr>
                <w:noProof/>
              </w:rPr>
              <w:t>Rapport d’audit confirmant les fonctionnalités du système de répertoires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56" w14:textId="77777777" w:rsidR="00F74E13" w:rsidRDefault="00F74E13">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57" w14:textId="77777777" w:rsidR="00F74E13" w:rsidRDefault="00F74E13">
            <w:pPr>
              <w:spacing w:after="0" w:line="240" w:lineRule="auto"/>
              <w:jc w:val="center"/>
              <w:rPr>
                <w:rFonts w:ascii="Times New Roman" w:hAnsi="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58" w14:textId="77777777" w:rsidR="00F74E13" w:rsidRDefault="00F74E13">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59"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5A"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5B" w14:textId="169D293E" w:rsidR="00F74E13" w:rsidRDefault="009274FC">
            <w:pPr>
              <w:spacing w:after="0" w:line="240" w:lineRule="auto"/>
              <w:jc w:val="both"/>
              <w:rPr>
                <w:rFonts w:ascii="Times New Roman" w:hAnsi="Times New Roman"/>
                <w:noProof/>
                <w:color w:val="006100"/>
                <w:sz w:val="20"/>
                <w:szCs w:val="20"/>
              </w:rPr>
            </w:pPr>
            <w:r>
              <w:rPr>
                <w:rFonts w:ascii="Times New Roman" w:hAnsi="Times New Roman"/>
                <w:noProof/>
                <w:color w:val="006100"/>
                <w:sz w:val="20"/>
                <w:szCs w:val="20"/>
              </w:rPr>
              <w:t>Un système de répertoire pour le suivi de la mise en œuvre du plan pour la reprise et la résilience (PRR) est en place et opérationnel avant la première demande de paiement. Le système comprend, au minimum, les fonctionnalités suivantes:</w:t>
            </w:r>
            <w:r>
              <w:rPr>
                <w:noProof/>
              </w:rPr>
              <w:br/>
            </w:r>
            <w:r>
              <w:rPr>
                <w:rFonts w:ascii="Times New Roman" w:hAnsi="Times New Roman"/>
                <w:noProof/>
                <w:color w:val="006100"/>
                <w:sz w:val="20"/>
                <w:szCs w:val="20"/>
              </w:rPr>
              <w:t>a) la collecte de données et le suivi de la réalisation des jalons et cibles;</w:t>
            </w:r>
            <w:r>
              <w:rPr>
                <w:noProof/>
              </w:rPr>
              <w:br/>
            </w:r>
            <w:r>
              <w:rPr>
                <w:rFonts w:ascii="Times New Roman" w:hAnsi="Times New Roman"/>
                <w:noProof/>
                <w:color w:val="006100"/>
                <w:sz w:val="20"/>
                <w:szCs w:val="20"/>
              </w:rPr>
              <w:t>b) la collecte, le stockage et l’accès aux données requis par l’article 22, paragraphe 2, point d) i) à iii), du règlement (UE) 2021/241.</w:t>
            </w:r>
          </w:p>
        </w:tc>
      </w:tr>
      <w:tr w:rsidR="00F74E13" w14:paraId="1CEBDE68"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5D" w14:textId="77777777" w:rsidR="00F74E13" w:rsidRDefault="009274FC">
            <w:pPr>
              <w:pStyle w:val="P68B1DB1-Normal35"/>
              <w:spacing w:after="0" w:line="240" w:lineRule="auto"/>
              <w:jc w:val="center"/>
              <w:rPr>
                <w:noProof/>
              </w:rPr>
            </w:pPr>
            <w:r>
              <w:rPr>
                <w:noProof/>
              </w:rPr>
              <w:t>280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E" w14:textId="77777777" w:rsidR="00F74E13" w:rsidRDefault="009274FC">
            <w:pPr>
              <w:pStyle w:val="P68B1DB1-Normal13"/>
              <w:spacing w:after="0" w:line="240" w:lineRule="auto"/>
              <w:rPr>
                <w:noProof/>
              </w:rPr>
            </w:pPr>
            <w:r>
              <w:rPr>
                <w:noProof/>
              </w:rPr>
              <w:t>C10.I11: Informations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F" w14:textId="77777777" w:rsidR="00F74E13" w:rsidRDefault="009274FC">
            <w:pPr>
              <w:pStyle w:val="P68B1DB1-Normal35"/>
              <w:spacing w:after="0" w:line="240" w:lineRule="auto"/>
              <w:jc w:val="center"/>
              <w:rPr>
                <w:noProof/>
              </w:rPr>
            </w:pPr>
            <w:r>
              <w:rPr>
                <w:noProof/>
              </w:rPr>
              <w:t>Objectif</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60" w14:textId="77777777" w:rsidR="00F74E13" w:rsidRDefault="009274FC">
            <w:pPr>
              <w:pStyle w:val="P68B1DB1-Normal13"/>
              <w:spacing w:after="0" w:line="240" w:lineRule="auto"/>
              <w:rPr>
                <w:noProof/>
              </w:rPr>
            </w:pPr>
            <w:r>
              <w:rPr>
                <w:noProof/>
              </w:rPr>
              <w:t>Mise à jour des guides vidéo pour couvrir intégralement tous les processus opérationnels du système d’information sur le PRR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61" w14:textId="77777777" w:rsidR="00F74E13" w:rsidRDefault="00F74E13">
            <w:pPr>
              <w:spacing w:after="0" w:line="240" w:lineRule="auto"/>
              <w:rPr>
                <w:rFonts w:ascii="Times New Roman" w:hAnsi="Times New Roman"/>
                <w:noProof/>
                <w:color w:val="006100"/>
                <w:sz w:val="20"/>
                <w:szCs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62" w14:textId="77777777" w:rsidR="00F74E13" w:rsidRDefault="009274FC">
            <w:pPr>
              <w:pStyle w:val="P68B1DB1-Normal35"/>
              <w:spacing w:after="0" w:line="240" w:lineRule="auto"/>
              <w:jc w:val="center"/>
              <w:rPr>
                <w:noProof/>
              </w:rPr>
            </w:pPr>
            <w:r>
              <w:rPr>
                <w:noProof/>
              </w:rPr>
              <w:t>Numéro</w:t>
            </w: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63" w14:textId="77777777" w:rsidR="00F74E13" w:rsidRDefault="009274FC">
            <w:pPr>
              <w:pStyle w:val="P68B1DB1-Normal35"/>
              <w:spacing w:after="0" w:line="240" w:lineRule="auto"/>
              <w:jc w:val="center"/>
              <w:rPr>
                <w:noProof/>
              </w:rPr>
            </w:pPr>
            <w:r>
              <w:rPr>
                <w:noProof/>
              </w:rPr>
              <w:t>0</w:t>
            </w:r>
          </w:p>
        </w:tc>
        <w:tc>
          <w:tcPr>
            <w:tcW w:w="1006" w:type="dxa"/>
            <w:tcBorders>
              <w:top w:val="single" w:sz="4" w:space="0" w:color="auto"/>
              <w:left w:val="single" w:sz="4" w:space="0" w:color="auto"/>
              <w:bottom w:val="single" w:sz="4" w:space="0" w:color="auto"/>
              <w:right w:val="single" w:sz="4" w:space="0" w:color="auto"/>
            </w:tcBorders>
            <w:shd w:val="clear" w:color="auto" w:fill="C6EFCE"/>
            <w:noWrap/>
            <w:hideMark/>
          </w:tcPr>
          <w:p w14:paraId="1CEBDE64" w14:textId="77777777" w:rsidR="00F74E13" w:rsidRDefault="009274FC">
            <w:pPr>
              <w:pStyle w:val="P68B1DB1-Normal35"/>
              <w:spacing w:after="0" w:line="240" w:lineRule="auto"/>
              <w:jc w:val="center"/>
              <w:rPr>
                <w:noProof/>
              </w:rPr>
            </w:pPr>
            <w:r>
              <w:rPr>
                <w:noProof/>
              </w:rPr>
              <w:t>36</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65"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66"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67" w14:textId="295B6E3C" w:rsidR="00F74E13" w:rsidRDefault="009274FC">
            <w:pPr>
              <w:pStyle w:val="P68B1DB1-Normal13"/>
              <w:spacing w:after="0" w:line="240" w:lineRule="auto"/>
              <w:jc w:val="both"/>
              <w:rPr>
                <w:noProof/>
              </w:rPr>
            </w:pPr>
            <w:r>
              <w:rPr>
                <w:noProof/>
              </w:rPr>
              <w:t>Introduction d'une visualisation des flux de travail sous forme de guides vidéo pour faciliter le travail des utilisateurs. Compte tenu de l’adaptation du système d’information de gestion unifié pour les instruments structurels de l’UE en Bulgarie (UMIS 2020) aux fins de la mise en œuvre du PRR, ainsi que du caractère unique du nouvel instrument, les guides sont adaptés pour répondre spécifiquement au PRR: 36 guides vidéo devraient être mis à jour, qui devraient couvrir l’ensemble des processus opérationnels possibles que les utilisateurs pourraient rencontrer lors de la mise en œuvre du PRR lorsqu’ils travaillent dans le système d’information.</w:t>
            </w:r>
          </w:p>
        </w:tc>
      </w:tr>
      <w:tr w:rsidR="00F74E13" w14:paraId="1CEBDE76"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69" w14:textId="77777777" w:rsidR="00F74E13" w:rsidRDefault="009274FC">
            <w:pPr>
              <w:pStyle w:val="P68B1DB1-Normal35"/>
              <w:spacing w:after="0" w:line="240" w:lineRule="auto"/>
              <w:jc w:val="center"/>
              <w:rPr>
                <w:noProof/>
              </w:rPr>
            </w:pPr>
            <w:r>
              <w:rPr>
                <w:noProof/>
              </w:rPr>
              <w:t>281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6A" w14:textId="77777777" w:rsidR="00F74E13" w:rsidRDefault="009274FC">
            <w:pPr>
              <w:pStyle w:val="P68B1DB1-Normal13"/>
              <w:spacing w:after="0" w:line="240" w:lineRule="auto"/>
              <w:rPr>
                <w:noProof/>
              </w:rPr>
            </w:pPr>
            <w:r>
              <w:rPr>
                <w:noProof/>
              </w:rPr>
              <w:t>C10.I11: Informations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E6B"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E6C" w14:textId="77777777" w:rsidR="00F74E13" w:rsidRDefault="009274FC">
            <w:pPr>
              <w:pStyle w:val="P68B1DB1-Normal13"/>
              <w:spacing w:after="0" w:line="240" w:lineRule="auto"/>
              <w:rPr>
                <w:noProof/>
              </w:rPr>
            </w:pPr>
            <w:r>
              <w:rPr>
                <w:noProof/>
              </w:rPr>
              <w:t>Entrée en vigueur de l’acte établissant le système de gestion et de contrôle du PRR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6D" w14:textId="77777777" w:rsidR="00F74E13" w:rsidRDefault="009274FC">
            <w:pPr>
              <w:pStyle w:val="P68B1DB1-Normal13"/>
              <w:spacing w:after="0" w:line="240" w:lineRule="auto"/>
              <w:rPr>
                <w:noProof/>
              </w:rPr>
            </w:pPr>
            <w:r>
              <w:rPr>
                <w:noProof/>
              </w:rPr>
              <w:t>Adoption et entrée en vigueur de la loi (arrêté du ministre des finances) portant approbation du système de gestion et de contrôle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6E" w14:textId="77777777" w:rsidR="00F74E13" w:rsidRDefault="00F74E13">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6F" w14:textId="77777777" w:rsidR="00F74E13" w:rsidRDefault="00F74E13">
            <w:pPr>
              <w:spacing w:after="0" w:line="240" w:lineRule="auto"/>
              <w:jc w:val="center"/>
              <w:rPr>
                <w:rFonts w:ascii="Times New Roman" w:hAnsi="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70" w14:textId="77777777" w:rsidR="00F74E13" w:rsidRDefault="00F74E13">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71"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72"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E73" w14:textId="77777777" w:rsidR="00F74E13" w:rsidRDefault="009274FC">
            <w:pPr>
              <w:pStyle w:val="P68B1DB1-Normal13"/>
              <w:spacing w:after="0" w:line="240" w:lineRule="auto"/>
              <w:rPr>
                <w:noProof/>
              </w:rPr>
            </w:pPr>
            <w:r>
              <w:rPr>
                <w:noProof/>
              </w:rPr>
              <w:t xml:space="preserve">Le système de gestion et de contrôle dans le cadre du PRR est approuvé avant la première demande de paiement et comprend: </w:t>
            </w:r>
          </w:p>
          <w:p w14:paraId="1CEBDE74" w14:textId="77777777" w:rsidR="00F74E13" w:rsidRDefault="009274FC">
            <w:pPr>
              <w:pStyle w:val="P68B1DB1-ListParagraph20"/>
              <w:numPr>
                <w:ilvl w:val="0"/>
                <w:numId w:val="64"/>
              </w:numPr>
              <w:spacing w:after="0" w:line="240" w:lineRule="auto"/>
              <w:ind w:left="318"/>
              <w:rPr>
                <w:noProof/>
              </w:rPr>
            </w:pPr>
            <w:r>
              <w:rPr>
                <w:noProof/>
              </w:rPr>
              <w:t xml:space="preserve">les ministères/organes chargés de contrôler la mise en œuvre du plan (investissements et réformes); </w:t>
            </w:r>
          </w:p>
          <w:p w14:paraId="1CEBDE75" w14:textId="77777777" w:rsidR="00F74E13" w:rsidRDefault="009274FC">
            <w:pPr>
              <w:pStyle w:val="P68B1DB1-ListParagraph20"/>
              <w:numPr>
                <w:ilvl w:val="0"/>
                <w:numId w:val="64"/>
              </w:numPr>
              <w:spacing w:after="0" w:line="240" w:lineRule="auto"/>
              <w:ind w:left="318"/>
              <w:jc w:val="both"/>
              <w:rPr>
                <w:noProof/>
              </w:rPr>
            </w:pPr>
            <w:r>
              <w:rPr>
                <w:noProof/>
              </w:rPr>
              <w:t>la spécification des mesures de lutte contre la fraude, la corruption, le double financement et les conflits d’intérêts, ainsi que les modalités de signalement et de correction des irrégularités graves.</w:t>
            </w:r>
          </w:p>
        </w:tc>
      </w:tr>
      <w:tr w:rsidR="00F74E13" w14:paraId="1CEBDE82"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77" w14:textId="77777777" w:rsidR="00F74E13" w:rsidRDefault="009274FC">
            <w:pPr>
              <w:pStyle w:val="P68B1DB1-Normal13"/>
              <w:spacing w:after="0" w:line="240" w:lineRule="auto"/>
              <w:jc w:val="center"/>
              <w:rPr>
                <w:noProof/>
              </w:rPr>
            </w:pPr>
            <w:r>
              <w:rPr>
                <w:noProof/>
              </w:rPr>
              <w:t>282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78" w14:textId="77777777" w:rsidR="00F74E13" w:rsidRDefault="009274FC">
            <w:pPr>
              <w:pStyle w:val="P68B1DB1-Normal13"/>
              <w:spacing w:after="0" w:line="240" w:lineRule="auto"/>
              <w:rPr>
                <w:noProof/>
              </w:rPr>
            </w:pPr>
            <w:r>
              <w:rPr>
                <w:noProof/>
              </w:rPr>
              <w:t>C10.I11: Informations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E79"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E7A" w14:textId="77777777" w:rsidR="00F74E13" w:rsidRDefault="009274FC">
            <w:pPr>
              <w:pStyle w:val="P68B1DB1-Normal13"/>
              <w:spacing w:after="0" w:line="240" w:lineRule="auto"/>
              <w:rPr>
                <w:noProof/>
              </w:rPr>
            </w:pPr>
            <w:r>
              <w:rPr>
                <w:noProof/>
              </w:rPr>
              <w:t>une analyse approuvée de la charge de travail pour la direction des fonds nationaux et l’unité centrale de coordination, l’entrée en vigueur des modifications des règlements structurels pour l’agence exécutive «Audit des fonds de l’UE» et la mise en œuvre des recommandations correspondantes;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7B" w14:textId="77777777" w:rsidR="00F74E13" w:rsidRDefault="009274FC">
            <w:pPr>
              <w:pStyle w:val="P68B1DB1-Normal13"/>
              <w:spacing w:after="0" w:line="240" w:lineRule="auto"/>
              <w:rPr>
                <w:noProof/>
              </w:rPr>
            </w:pPr>
            <w:r>
              <w:rPr>
                <w:noProof/>
              </w:rPr>
              <w:t>Une analyse approuvée de la charge de travail de la direction des fonds nationaux et de l’unité centrale de coordination, figurant dans les modifications des règlements structurels de l’Agence exécutive «Audit des fonds de l’UE», indiquant l’entrée en vigueur des modifications, et les recommandations correspondantes ont été mises en œuvre.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7C" w14:textId="77777777" w:rsidR="00F74E13" w:rsidRDefault="00F74E13">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7D" w14:textId="77777777" w:rsidR="00F74E13" w:rsidRDefault="00F74E13">
            <w:pPr>
              <w:spacing w:after="0" w:line="240" w:lineRule="auto"/>
              <w:jc w:val="center"/>
              <w:rPr>
                <w:rFonts w:ascii="Times New Roman" w:hAnsi="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7E" w14:textId="77777777" w:rsidR="00F74E13" w:rsidRDefault="00F74E13">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7F"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80"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E81" w14:textId="77777777" w:rsidR="00F74E13" w:rsidRDefault="009274FC">
            <w:pPr>
              <w:pStyle w:val="P68B1DB1-Normal36"/>
              <w:spacing w:after="0" w:line="240" w:lineRule="auto"/>
              <w:jc w:val="both"/>
              <w:rPr>
                <w:noProof/>
                <w:color w:val="006100"/>
              </w:rPr>
            </w:pPr>
            <w:r>
              <w:rPr>
                <w:noProof/>
                <w:color w:val="006100"/>
              </w:rPr>
              <w:t>Une analyse de la charge de travail est effectuée pour la direction des fonds nationaux, pour l’unité centrale de coordination et pour l’agence exécutive «Audit des fonds de l’UE», en tenant compte de la charge découlant de la mise en œuvre du plan pour la reprise et la résilience et des fonctions et/ou responsabilités modifiées des deux organes. L’analyse fournit des informations adéquates sur les besoins en capacités administratives et élabore un ensemble de recommandations visant à remédier, le cas échéant, à l’insuffisance des capacités,</w:t>
            </w:r>
            <w:r>
              <w:rPr>
                <w:noProof/>
              </w:rPr>
              <w:t xml:space="preserve"> </w:t>
            </w:r>
            <w:r>
              <w:rPr>
                <w:noProof/>
                <w:color w:val="006100"/>
              </w:rPr>
              <w:t>en prenant comme référence les ressources et les tâches actuellement disponibles. Sur la base de l’analyse et des recommandations, les décisions relatives à l’allocation des ressources nécessaires et à l’entrée en vigueur des modifications des règlements pour les deux organes ont lieu avant la première demande de paiement.</w:t>
            </w:r>
          </w:p>
        </w:tc>
      </w:tr>
      <w:tr w:rsidR="00F74E13" w14:paraId="1CEBDE8E"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83" w14:textId="77777777" w:rsidR="00F74E13" w:rsidRDefault="009274FC">
            <w:pPr>
              <w:pStyle w:val="P68B1DB1-Normal35"/>
              <w:spacing w:after="0" w:line="240" w:lineRule="auto"/>
              <w:jc w:val="center"/>
              <w:rPr>
                <w:noProof/>
              </w:rPr>
            </w:pPr>
            <w:r>
              <w:rPr>
                <w:noProof/>
              </w:rPr>
              <w:t>283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84" w14:textId="77777777" w:rsidR="00F74E13" w:rsidRDefault="009274FC">
            <w:pPr>
              <w:pStyle w:val="P68B1DB1-Normal15"/>
              <w:spacing w:after="0" w:line="240" w:lineRule="auto"/>
              <w:rPr>
                <w:noProof/>
                <w:szCs w:val="20"/>
              </w:rPr>
            </w:pPr>
            <w:r>
              <w:rPr>
                <w:noProof/>
                <w:szCs w:val="20"/>
              </w:rPr>
              <w:t xml:space="preserve">C10.I11: </w:t>
            </w:r>
            <w:r>
              <w:rPr>
                <w:noProof/>
              </w:rPr>
              <w:t>I</w:t>
            </w:r>
            <w:r>
              <w:rPr>
                <w:noProof/>
                <w:szCs w:val="20"/>
              </w:rPr>
              <w:t xml:space="preserve"> nformation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1CEBDE85" w14:textId="77777777" w:rsidR="00F74E13" w:rsidRDefault="009274FC">
            <w:pPr>
              <w:pStyle w:val="P68B1DB1-Normal35"/>
              <w:spacing w:after="0" w:line="240" w:lineRule="auto"/>
              <w:jc w:val="center"/>
              <w:rPr>
                <w:noProof/>
              </w:rPr>
            </w:pPr>
            <w:r>
              <w:rPr>
                <w:noProof/>
              </w:rPr>
              <w:t>Objectif</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1CEBDE86" w14:textId="77777777" w:rsidR="00F74E13" w:rsidRDefault="009274FC">
            <w:pPr>
              <w:pStyle w:val="P68B1DB1-Normal33"/>
              <w:spacing w:after="0" w:line="240" w:lineRule="auto"/>
              <w:rPr>
                <w:noProof/>
                <w:color w:val="006100"/>
              </w:rPr>
            </w:pPr>
            <w:r>
              <w:rPr>
                <w:noProof/>
                <w:color w:val="006100"/>
              </w:rPr>
              <w:t>Membres du personnel</w:t>
            </w:r>
            <w:r>
              <w:rPr>
                <w:noProof/>
                <w:color w:val="6D5700"/>
                <w:u w:val="single"/>
              </w:rPr>
              <w:t xml:space="preserve"> </w:t>
            </w:r>
            <w:r>
              <w:rPr>
                <w:noProof/>
                <w:color w:val="006100"/>
              </w:rPr>
              <w:t>formés à la passation de marchés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87" w14:textId="77777777" w:rsidR="00F74E13" w:rsidRDefault="00F74E13">
            <w:pPr>
              <w:spacing w:after="0" w:line="240" w:lineRule="auto"/>
              <w:rPr>
                <w:rFonts w:ascii="Times New Roman" w:hAnsi="Times New Roman"/>
                <w:noProof/>
                <w:color w:val="0061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88" w14:textId="77777777" w:rsidR="00F74E13" w:rsidRDefault="009274FC">
            <w:pPr>
              <w:pStyle w:val="P68B1DB1-Normal35"/>
              <w:spacing w:after="0" w:line="240" w:lineRule="auto"/>
              <w:jc w:val="center"/>
              <w:rPr>
                <w:noProof/>
              </w:rPr>
            </w:pPr>
            <w:r>
              <w:rPr>
                <w:noProof/>
              </w:rPr>
              <w:t>Numéro</w:t>
            </w: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89" w14:textId="77777777" w:rsidR="00F74E13" w:rsidRDefault="009274FC">
            <w:pPr>
              <w:pStyle w:val="P68B1DB1-Normal35"/>
              <w:spacing w:after="0" w:line="240" w:lineRule="auto"/>
              <w:jc w:val="center"/>
              <w:rPr>
                <w:noProof/>
              </w:rPr>
            </w:pPr>
            <w:r>
              <w:rPr>
                <w:noProof/>
              </w:rPr>
              <w:t>0</w:t>
            </w: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1CEBDE8A" w14:textId="77777777" w:rsidR="00F74E13" w:rsidRDefault="009274FC">
            <w:pPr>
              <w:pStyle w:val="P68B1DB1-Normal35"/>
              <w:spacing w:after="0" w:line="240" w:lineRule="auto"/>
              <w:jc w:val="center"/>
              <w:rPr>
                <w:noProof/>
              </w:rPr>
            </w:pPr>
            <w:r>
              <w:rPr>
                <w:noProof/>
              </w:rPr>
              <w:t>800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8B"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8C" w14:textId="77777777" w:rsidR="00F74E13" w:rsidRDefault="009274FC">
            <w:pPr>
              <w:pStyle w:val="P68B1DB1-Normal35"/>
              <w:spacing w:after="0" w:line="240" w:lineRule="auto"/>
              <w:jc w:val="center"/>
              <w:rPr>
                <w:noProof/>
              </w:rPr>
            </w:pPr>
            <w:r>
              <w:rPr>
                <w:noProof/>
              </w:rPr>
              <w:t>2022</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CEBDE8D" w14:textId="77777777" w:rsidR="00F74E13" w:rsidRDefault="009274FC">
            <w:pPr>
              <w:pStyle w:val="P68B1DB1-Normal15"/>
              <w:spacing w:after="0" w:line="240" w:lineRule="auto"/>
              <w:jc w:val="both"/>
              <w:rPr>
                <w:noProof/>
              </w:rPr>
            </w:pPr>
            <w:r>
              <w:rPr>
                <w:noProof/>
              </w:rPr>
              <w:t>Les formations sont complétées par un certificat et comprennent du personnel des municipalités, des opérateurs budgétaires et des entreprises publiques ou contrôlées par l’État, en particulier celles ayant des responsabilités liées à la mise en œuvre du PRR.</w:t>
            </w:r>
          </w:p>
        </w:tc>
      </w:tr>
      <w:tr w:rsidR="00F74E13" w14:paraId="1CEBDE9A"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8F" w14:textId="77777777" w:rsidR="00F74E13" w:rsidRDefault="009274FC">
            <w:pPr>
              <w:pStyle w:val="P68B1DB1-Normal35"/>
              <w:spacing w:after="0" w:line="240" w:lineRule="auto"/>
              <w:jc w:val="center"/>
              <w:rPr>
                <w:noProof/>
              </w:rPr>
            </w:pPr>
            <w:r>
              <w:rPr>
                <w:noProof/>
              </w:rPr>
              <w:t>284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0" w14:textId="77777777" w:rsidR="00F74E13" w:rsidRDefault="009274FC">
            <w:pPr>
              <w:pStyle w:val="P68B1DB1-Normal15"/>
              <w:spacing w:after="0" w:line="240" w:lineRule="auto"/>
              <w:rPr>
                <w:noProof/>
              </w:rPr>
            </w:pPr>
            <w:r>
              <w:rPr>
                <w:noProof/>
              </w:rPr>
              <w:t>C10.I11: Informations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1"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92" w14:textId="77777777" w:rsidR="00F74E13" w:rsidRDefault="009274FC">
            <w:pPr>
              <w:pStyle w:val="P68B1DB1-Normal13"/>
              <w:spacing w:after="0" w:line="240" w:lineRule="auto"/>
              <w:rPr>
                <w:noProof/>
              </w:rPr>
            </w:pPr>
            <w:r>
              <w:rPr>
                <w:noProof/>
              </w:rPr>
              <w:t xml:space="preserve">Mise à jour ou publication de guides vidéo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3" w14:textId="77777777" w:rsidR="00F74E13" w:rsidRDefault="009274FC">
            <w:pPr>
              <w:pStyle w:val="P68B1DB1-Normal15"/>
              <w:spacing w:after="0" w:line="240" w:lineRule="auto"/>
              <w:rPr>
                <w:noProof/>
              </w:rPr>
            </w:pPr>
            <w:r>
              <w:rPr>
                <w:noProof/>
              </w:rPr>
              <w:t>Mise à jour et/ou publication de guides vidéo</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94"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5"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6"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97" w14:textId="77777777"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98"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9" w14:textId="77777777" w:rsidR="00F74E13" w:rsidRDefault="009274FC">
            <w:pPr>
              <w:pStyle w:val="P68B1DB1-Normal13"/>
              <w:spacing w:after="0" w:line="240" w:lineRule="auto"/>
              <w:jc w:val="both"/>
              <w:rPr>
                <w:noProof/>
              </w:rPr>
            </w:pPr>
            <w:r>
              <w:rPr>
                <w:noProof/>
              </w:rPr>
              <w:t>Des guides vidéo sur le système unifié d'information de gestion sont publiés et/ou mis à jour.</w:t>
            </w:r>
          </w:p>
        </w:tc>
      </w:tr>
      <w:tr w:rsidR="00F74E13" w14:paraId="1CEBDEA6"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9B" w14:textId="77777777" w:rsidR="00F74E13" w:rsidRDefault="009274FC">
            <w:pPr>
              <w:pStyle w:val="P68B1DB1-Normal35"/>
              <w:spacing w:after="0" w:line="240" w:lineRule="auto"/>
              <w:jc w:val="center"/>
              <w:rPr>
                <w:noProof/>
              </w:rPr>
            </w:pPr>
            <w:r>
              <w:rPr>
                <w:noProof/>
              </w:rPr>
              <w:t>285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C" w14:textId="77777777" w:rsidR="00F74E13" w:rsidRDefault="009274FC">
            <w:pPr>
              <w:pStyle w:val="P68B1DB1-Normal15"/>
              <w:spacing w:after="0" w:line="240" w:lineRule="auto"/>
              <w:rPr>
                <w:noProof/>
              </w:rPr>
            </w:pPr>
            <w:r>
              <w:rPr>
                <w:noProof/>
              </w:rPr>
              <w:t>C10.I11: Informations et environnement administratif pour le plan pour la reprise et la résilience</w:t>
            </w:r>
          </w:p>
        </w:tc>
        <w:tc>
          <w:tcPr>
            <w:tcW w:w="127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D" w14:textId="77777777"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hideMark/>
          </w:tcPr>
          <w:p w14:paraId="1CEBDE9E" w14:textId="77777777" w:rsidR="00F74E13" w:rsidRDefault="009274FC">
            <w:pPr>
              <w:pStyle w:val="P68B1DB1-Normal35"/>
              <w:spacing w:after="0" w:line="240" w:lineRule="auto"/>
              <w:rPr>
                <w:noProof/>
              </w:rPr>
            </w:pPr>
            <w:r>
              <w:rPr>
                <w:noProof/>
              </w:rPr>
              <w:t>Formations sur les activités au titre de la FRR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F" w14:textId="77777777" w:rsidR="00F74E13" w:rsidRDefault="009274FC">
            <w:pPr>
              <w:pStyle w:val="P68B1DB1-Normal15"/>
              <w:spacing w:after="0" w:line="240" w:lineRule="auto"/>
              <w:rPr>
                <w:noProof/>
              </w:rPr>
            </w:pPr>
            <w:r>
              <w:rPr>
                <w:noProof/>
              </w:rPr>
              <w:t>Formations organisées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A0"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A1" w14:textId="77777777" w:rsidR="00F74E13" w:rsidRDefault="009274FC">
            <w:pPr>
              <w:pStyle w:val="P68B1DB1-Normal35"/>
              <w:spacing w:after="0" w:line="240" w:lineRule="auto"/>
              <w:jc w:val="center"/>
              <w:rPr>
                <w:noProof/>
              </w:rPr>
            </w:pPr>
            <w:r>
              <w:rPr>
                <w:noProof/>
              </w:rPr>
              <w:t>0</w:t>
            </w:r>
          </w:p>
        </w:tc>
        <w:tc>
          <w:tcPr>
            <w:tcW w:w="1006" w:type="dxa"/>
            <w:tcBorders>
              <w:top w:val="single" w:sz="4" w:space="0" w:color="auto"/>
              <w:left w:val="single" w:sz="4" w:space="0" w:color="auto"/>
              <w:bottom w:val="single" w:sz="4" w:space="0" w:color="auto"/>
              <w:right w:val="single" w:sz="4" w:space="0" w:color="auto"/>
            </w:tcBorders>
            <w:shd w:val="clear" w:color="auto" w:fill="C6EFCE"/>
            <w:noWrap/>
            <w:hideMark/>
          </w:tcPr>
          <w:p w14:paraId="1CEBDEA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A3" w14:textId="77777777" w:rsidR="00F74E13" w:rsidRDefault="009274FC">
            <w:pPr>
              <w:pStyle w:val="P68B1DB1-Normal35"/>
              <w:spacing w:after="0" w:line="240" w:lineRule="auto"/>
              <w:jc w:val="center"/>
              <w:rPr>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EA4" w14:textId="77777777" w:rsidR="00F74E13" w:rsidRDefault="009274FC">
            <w:pPr>
              <w:pStyle w:val="P68B1DB1-Normal35"/>
              <w:spacing w:after="0" w:line="240" w:lineRule="auto"/>
              <w:jc w:val="center"/>
              <w:rPr>
                <w:noProof/>
              </w:rPr>
            </w:pPr>
            <w:r>
              <w:rPr>
                <w:noProof/>
              </w:rPr>
              <w:t>2025</w:t>
            </w:r>
          </w:p>
        </w:tc>
        <w:tc>
          <w:tcPr>
            <w:tcW w:w="3833" w:type="dxa"/>
            <w:tcBorders>
              <w:top w:val="single" w:sz="4" w:space="0" w:color="auto"/>
              <w:left w:val="single" w:sz="4" w:space="0" w:color="auto"/>
              <w:bottom w:val="single" w:sz="4" w:space="0" w:color="auto"/>
              <w:right w:val="single" w:sz="4" w:space="0" w:color="auto"/>
            </w:tcBorders>
            <w:shd w:val="clear" w:color="auto" w:fill="C6EFCE"/>
            <w:noWrap/>
            <w:hideMark/>
          </w:tcPr>
          <w:p w14:paraId="1CEBDEA5" w14:textId="77777777" w:rsidR="00F74E13" w:rsidRDefault="009274FC">
            <w:pPr>
              <w:pStyle w:val="P68B1DB1-Normal13"/>
              <w:spacing w:after="0" w:line="278" w:lineRule="auto"/>
              <w:jc w:val="both"/>
              <w:rPr>
                <w:noProof/>
              </w:rPr>
            </w:pPr>
            <w:r>
              <w:rPr>
                <w:noProof/>
              </w:rPr>
              <w:t xml:space="preserve">Formations organisées sur les activités au titre de la FRR. </w:t>
            </w:r>
          </w:p>
        </w:tc>
      </w:tr>
      <w:tr w:rsidR="00F74E13" w14:paraId="185A76F6"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40C7851" w14:textId="7C9275D7" w:rsidR="00F74E13" w:rsidRDefault="009274FC">
            <w:pPr>
              <w:pStyle w:val="P68B1DB1-Normal35"/>
              <w:spacing w:after="0" w:line="240" w:lineRule="auto"/>
              <w:jc w:val="center"/>
              <w:rPr>
                <w:noProof/>
              </w:rPr>
            </w:pPr>
            <w:r>
              <w:rPr>
                <w:noProof/>
              </w:rPr>
              <w:t>285a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70B170" w14:textId="46FB1F6C"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C10.I12: </w:t>
            </w:r>
            <w:r>
              <w:rPr>
                <w:rFonts w:ascii="Times New Roman" w:eastAsia="Times New Roman" w:hAnsi="Times New Roman" w:cs="Times New Roman"/>
                <w:noProof/>
                <w:szCs w:val="20"/>
              </w:rPr>
              <w:t>Numérisation de l’Agence des douanes</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7753F2BF" w14:textId="7317CFC6" w:rsidR="00F74E13" w:rsidRDefault="009274FC">
            <w:pPr>
              <w:pStyle w:val="P68B1DB1-Normal35"/>
              <w:spacing w:after="0" w:line="240" w:lineRule="auto"/>
              <w:jc w:val="center"/>
              <w:rPr>
                <w:noProof/>
              </w:rPr>
            </w:pPr>
            <w:r>
              <w:rPr>
                <w:noProof/>
              </w:rPr>
              <w:t>Étape</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6A947A27" w14:textId="0D28A242" w:rsidR="00F74E13" w:rsidRDefault="009274FC">
            <w:pPr>
              <w:pStyle w:val="P68B1DB1-Normal35"/>
              <w:spacing w:after="0" w:line="240" w:lineRule="auto"/>
              <w:rPr>
                <w:noProof/>
              </w:rPr>
            </w:pPr>
            <w:r>
              <w:rPr>
                <w:noProof/>
              </w:rPr>
              <w:t>Numérisation de l’Agence des douanes</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D1F123E" w14:textId="4DFAA192" w:rsidR="00F74E13" w:rsidRDefault="009274FC">
            <w:pPr>
              <w:pStyle w:val="P68B1DB1-Normal15"/>
              <w:spacing w:after="0" w:line="240" w:lineRule="auto"/>
              <w:rPr>
                <w:noProof/>
              </w:rPr>
            </w:pPr>
            <w:r>
              <w:rPr>
                <w:noProof/>
              </w:rPr>
              <w:t>Mise à niveau ou développement de systèmes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0C0BB9D4"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38E4C3AC"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3B33662A"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E33A71" w14:textId="2A16426D"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145CB14" w14:textId="42E3C5DC"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7D8CA9C9" w14:textId="33A0CAB7" w:rsidR="00F74E13" w:rsidRDefault="009274FC">
            <w:pPr>
              <w:pStyle w:val="P68B1DB1-Normal35"/>
              <w:spacing w:after="0" w:line="278" w:lineRule="auto"/>
              <w:jc w:val="both"/>
              <w:rPr>
                <w:noProof/>
              </w:rPr>
            </w:pPr>
            <w:r>
              <w:rPr>
                <w:noProof/>
              </w:rPr>
              <w:t>Protocole(s) d’acceptation pour la mise à niveau ou le développement de systèmes d’information et de communication, y compris les interventions liées aux systèmes de contrôle des importations, au système de transit, à la gestion des garanties, à la gestion des lignes aux douanes, à l’environnement de guichet unique pour les douanes, aux systèmes d’échange de données relatives aux accises, au(x) centre(s) de données vidéo.</w:t>
            </w:r>
          </w:p>
        </w:tc>
      </w:tr>
      <w:tr w:rsidR="00F74E13" w14:paraId="7513BC49" w14:textId="77777777" w:rsidTr="00D24DB8">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02B355B" w14:textId="612702D1" w:rsidR="00F74E13" w:rsidRDefault="009274FC">
            <w:pPr>
              <w:pStyle w:val="P68B1DB1-Normal35"/>
              <w:spacing w:after="0" w:line="240" w:lineRule="auto"/>
              <w:jc w:val="center"/>
              <w:rPr>
                <w:noProof/>
              </w:rPr>
            </w:pPr>
            <w:r>
              <w:rPr>
                <w:noProof/>
              </w:rPr>
              <w:t>285b</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4AA9D01" w14:textId="11E87B0D"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C10.I13: </w:t>
            </w:r>
            <w:r>
              <w:rPr>
                <w:rFonts w:ascii="Times New Roman" w:eastAsia="Times New Roman" w:hAnsi="Times New Roman" w:cs="Times New Roman"/>
                <w:noProof/>
                <w:szCs w:val="20"/>
              </w:rPr>
              <w:t>Numérisation de l’Agence nationale du revenu</w:t>
            </w:r>
          </w:p>
        </w:tc>
        <w:tc>
          <w:tcPr>
            <w:tcW w:w="1270" w:type="dxa"/>
            <w:tcBorders>
              <w:top w:val="single" w:sz="4" w:space="0" w:color="auto"/>
              <w:left w:val="single" w:sz="4" w:space="0" w:color="auto"/>
              <w:bottom w:val="single" w:sz="4" w:space="0" w:color="auto"/>
              <w:right w:val="single" w:sz="4" w:space="0" w:color="auto"/>
            </w:tcBorders>
            <w:shd w:val="clear" w:color="auto" w:fill="C6EFCE"/>
            <w:noWrap/>
          </w:tcPr>
          <w:p w14:paraId="00560B01" w14:textId="483D3530" w:rsidR="00F74E13" w:rsidRDefault="009274FC">
            <w:pPr>
              <w:pStyle w:val="P68B1DB1-Normal35"/>
              <w:spacing w:after="0" w:line="240" w:lineRule="auto"/>
              <w:jc w:val="center"/>
              <w:rPr>
                <w:noProof/>
              </w:rPr>
            </w:pPr>
            <w:r>
              <w:rPr>
                <w:noProof/>
              </w:rPr>
              <w:t xml:space="preserve">Étape </w:t>
            </w:r>
          </w:p>
        </w:tc>
        <w:tc>
          <w:tcPr>
            <w:tcW w:w="1707" w:type="dxa"/>
            <w:tcBorders>
              <w:top w:val="single" w:sz="4" w:space="0" w:color="auto"/>
              <w:left w:val="single" w:sz="4" w:space="0" w:color="auto"/>
              <w:bottom w:val="single" w:sz="4" w:space="0" w:color="auto"/>
              <w:right w:val="single" w:sz="4" w:space="0" w:color="auto"/>
            </w:tcBorders>
            <w:shd w:val="clear" w:color="auto" w:fill="C6EFCE"/>
            <w:noWrap/>
          </w:tcPr>
          <w:p w14:paraId="7FF0DE74" w14:textId="0C0ABE44" w:rsidR="00F74E13" w:rsidRDefault="009274FC">
            <w:pPr>
              <w:pStyle w:val="P68B1DB1-Normal35"/>
              <w:spacing w:after="0" w:line="240" w:lineRule="auto"/>
              <w:rPr>
                <w:noProof/>
              </w:rPr>
            </w:pPr>
            <w:r>
              <w:rPr>
                <w:noProof/>
              </w:rPr>
              <w:t>Numérisation de l’Agence nationale du revenu</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6931814" w14:textId="30A4029D" w:rsidR="00F74E13" w:rsidRDefault="009274FC">
            <w:pPr>
              <w:pStyle w:val="P68B1DB1-Normal15"/>
              <w:spacing w:after="0" w:line="240" w:lineRule="auto"/>
              <w:rPr>
                <w:noProof/>
              </w:rPr>
            </w:pPr>
            <w:r>
              <w:rPr>
                <w:noProof/>
              </w:rPr>
              <w:t xml:space="preserve">Livraison de matériel et de logiciels pour la mise à niveau des systèmes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640F9CF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4604B60C"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006" w:type="dxa"/>
            <w:tcBorders>
              <w:top w:val="single" w:sz="4" w:space="0" w:color="auto"/>
              <w:left w:val="single" w:sz="4" w:space="0" w:color="auto"/>
              <w:bottom w:val="single" w:sz="4" w:space="0" w:color="auto"/>
              <w:right w:val="single" w:sz="4" w:space="0" w:color="auto"/>
            </w:tcBorders>
            <w:shd w:val="clear" w:color="auto" w:fill="C6EFCE"/>
            <w:noWrap/>
          </w:tcPr>
          <w:p w14:paraId="3DC8C4CC"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32A92A" w14:textId="7BBCBAC8" w:rsidR="00F74E13" w:rsidRDefault="009274FC">
            <w:pPr>
              <w:pStyle w:val="P68B1DB1-Normal35"/>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4908F0A" w14:textId="2AA50B47" w:rsidR="00F74E13" w:rsidRDefault="009274FC">
            <w:pPr>
              <w:pStyle w:val="P68B1DB1-Normal35"/>
              <w:spacing w:after="0" w:line="240" w:lineRule="auto"/>
              <w:jc w:val="center"/>
              <w:rPr>
                <w:noProof/>
              </w:rPr>
            </w:pPr>
            <w:r>
              <w:rPr>
                <w:noProof/>
              </w:rPr>
              <w:t>2026</w:t>
            </w:r>
          </w:p>
        </w:tc>
        <w:tc>
          <w:tcPr>
            <w:tcW w:w="3833" w:type="dxa"/>
            <w:tcBorders>
              <w:top w:val="single" w:sz="4" w:space="0" w:color="auto"/>
              <w:left w:val="single" w:sz="4" w:space="0" w:color="auto"/>
              <w:bottom w:val="single" w:sz="4" w:space="0" w:color="auto"/>
              <w:right w:val="single" w:sz="4" w:space="0" w:color="auto"/>
            </w:tcBorders>
            <w:shd w:val="clear" w:color="auto" w:fill="C6EFCE"/>
            <w:noWrap/>
          </w:tcPr>
          <w:p w14:paraId="18CC6A39" w14:textId="207697FA" w:rsidR="00F74E13" w:rsidRDefault="009274FC">
            <w:pPr>
              <w:pStyle w:val="P68B1DB1-Normal35"/>
              <w:spacing w:after="0" w:line="278" w:lineRule="auto"/>
              <w:jc w:val="both"/>
              <w:rPr>
                <w:noProof/>
              </w:rPr>
            </w:pPr>
            <w:r>
              <w:rPr>
                <w:noProof/>
              </w:rPr>
              <w:t xml:space="preserve">Protocole(s) d’acceptation pour la fourniture de matériel et de logiciels pour la mise à niveau des systèmes d’information et de communication, y compris les interventions liées aux équipements de communication et de serveur, la virtualisation, la solution de protection des utilisateurs finaux, l’environnement de messagerie électronique et la sécurité du réseau. </w:t>
            </w:r>
          </w:p>
        </w:tc>
      </w:tr>
    </w:tbl>
    <w:p w14:paraId="1CEBDEA7" w14:textId="77777777" w:rsidR="00F74E13" w:rsidRDefault="00F74E13">
      <w:pPr>
        <w:rPr>
          <w:rFonts w:ascii="Times New Roman" w:hAnsi="Times New Roman"/>
          <w:noProof/>
        </w:rPr>
        <w:sectPr w:rsidR="00F74E13">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1CEBDEA8" w14:textId="77777777" w:rsidR="00F74E13" w:rsidRDefault="009274FC">
      <w:pPr>
        <w:pStyle w:val="P68B1DB1-Normal5"/>
        <w:keepNext/>
        <w:pageBreakBefore/>
        <w:spacing w:before="360" w:after="120" w:line="240" w:lineRule="auto"/>
        <w:jc w:val="both"/>
        <w:outlineLvl w:val="0"/>
        <w:rPr>
          <w:noProof/>
        </w:rPr>
      </w:pPr>
      <w:r>
        <w:rPr>
          <w:noProof/>
        </w:rPr>
        <w:t>K. Élément 11: Intégration sociale</w:t>
      </w:r>
    </w:p>
    <w:p w14:paraId="1CEBDEA9" w14:textId="77777777" w:rsidR="00F74E13" w:rsidRDefault="009274FC">
      <w:pPr>
        <w:pStyle w:val="P68B1DB1-Normal6"/>
        <w:spacing w:before="120" w:after="120" w:line="240" w:lineRule="auto"/>
        <w:ind w:left="426"/>
        <w:jc w:val="both"/>
        <w:rPr>
          <w:noProof/>
        </w:rPr>
      </w:pPr>
      <w:r>
        <w:rPr>
          <w:noProof/>
        </w:rPr>
        <w:t xml:space="preserve">Ce volet du plan bulgare pour la reprise et la résilience vise à favoriser l’inclusion sociale: </w:t>
      </w:r>
    </w:p>
    <w:p w14:paraId="1CEBDEAA" w14:textId="77777777" w:rsidR="00F74E13" w:rsidRDefault="009274FC">
      <w:pPr>
        <w:pStyle w:val="P68B1DB1-ListParagraph7"/>
        <w:numPr>
          <w:ilvl w:val="0"/>
          <w:numId w:val="65"/>
        </w:numPr>
        <w:spacing w:before="120" w:after="120" w:line="240" w:lineRule="auto"/>
        <w:jc w:val="both"/>
        <w:rPr>
          <w:noProof/>
        </w:rPr>
      </w:pPr>
      <w:r>
        <w:rPr>
          <w:noProof/>
        </w:rPr>
        <w:t xml:space="preserve">améliorer la protection sociale et la fourniture de services. Il s'agit notamment d'une réforme du régime de revenu minimum et de la mise au point de nouveaux outils pour l'Agence d'assistance sociale et pour l'Agence pour l'emploi; </w:t>
      </w:r>
    </w:p>
    <w:p w14:paraId="1CEBDEAB" w14:textId="77777777" w:rsidR="00F74E13" w:rsidRDefault="009274FC">
      <w:pPr>
        <w:pStyle w:val="P68B1DB1-ListParagraph7"/>
        <w:numPr>
          <w:ilvl w:val="0"/>
          <w:numId w:val="65"/>
        </w:numPr>
        <w:spacing w:before="120" w:after="120" w:line="240" w:lineRule="auto"/>
        <w:jc w:val="both"/>
        <w:rPr>
          <w:noProof/>
        </w:rPr>
      </w:pPr>
      <w:r>
        <w:rPr>
          <w:noProof/>
        </w:rPr>
        <w:t xml:space="preserve">réformer la fourniture de soins de longue durée en Bulgarie, conformément aux lignes directrices européennes communes sur la transition des soins en institution vers les soins de proximité, ainsi qu’à la convention des Nations unies relative aux droits des personnes handicapées. En outre, les personnes handicapées permanentes bénéficient d’un soutien sous la forme de dispositifs d’assistance destinés à favoriser leur mobilité et leur autonomie; </w:t>
      </w:r>
    </w:p>
    <w:p w14:paraId="1CEBDEAC" w14:textId="77777777" w:rsidR="00F74E13" w:rsidRDefault="009274FC">
      <w:pPr>
        <w:pStyle w:val="P68B1DB1-ListParagraph7"/>
        <w:numPr>
          <w:ilvl w:val="0"/>
          <w:numId w:val="65"/>
        </w:numPr>
        <w:spacing w:before="120" w:after="120" w:line="240" w:lineRule="auto"/>
        <w:jc w:val="both"/>
        <w:rPr>
          <w:noProof/>
        </w:rPr>
      </w:pPr>
      <w:r>
        <w:rPr>
          <w:noProof/>
        </w:rPr>
        <w:t xml:space="preserve">promouvoir l'économie sociale et les secteurs de la culture et de la création. Cet objectif est atteint par la construction de centres d’intérêt pour l’économie sociale et solidaire fournissant des outils de soutien aux entreprises sociales, par la mise en place de programmes de subventions pour les secteurs de la culture et de la création et par la numérisation du contenu des archives. </w:t>
      </w:r>
    </w:p>
    <w:p w14:paraId="1CEBDEAD" w14:textId="77777777" w:rsidR="00F74E13" w:rsidRDefault="009274FC">
      <w:pPr>
        <w:pStyle w:val="P68B1DB1-Normal6"/>
        <w:spacing w:before="120" w:after="0" w:line="240" w:lineRule="auto"/>
        <w:ind w:left="425"/>
        <w:jc w:val="both"/>
        <w:rPr>
          <w:noProof/>
        </w:rPr>
      </w:pPr>
      <w:r>
        <w:rPr>
          <w:noProof/>
        </w:rPr>
        <w:t xml:space="preserve">Ce volet comprend deux réformes et sept investissements et contribue à relever les défis recensés dans les recommandations par pays, notamment les recommandations visant à remédier aux lacunes du régime de revenu minimum (recommandations par pays no 2 2020 et no 4 2019), ainsi qu’à améliorer l’accès à des services sociaux et de l’emploi intégrés (recommandation par pays no 4 2019). </w:t>
      </w:r>
    </w:p>
    <w:p w14:paraId="1CEBDEAE" w14:textId="77777777" w:rsidR="00F74E13" w:rsidRDefault="009274FC">
      <w:pPr>
        <w:pStyle w:val="P68B1DB1-Normal6"/>
        <w:spacing w:before="120" w:after="240" w:line="240" w:lineRule="auto"/>
        <w:ind w:left="425"/>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CEBDEB0" w14:textId="77777777" w:rsidR="00F74E13" w:rsidRDefault="009274FC">
      <w:pPr>
        <w:pStyle w:val="P68B1DB1-Normal8"/>
        <w:spacing w:after="0" w:line="240" w:lineRule="auto"/>
        <w:ind w:left="425"/>
        <w:jc w:val="both"/>
        <w:rPr>
          <w:i/>
          <w:noProof/>
          <w:color w:val="4F81BD"/>
        </w:rPr>
      </w:pPr>
      <w:r>
        <w:rPr>
          <w:noProof/>
        </w:rPr>
        <w:t>K.1. Description des réformes et des investissements pour le soutien financier non remboursable</w:t>
      </w:r>
    </w:p>
    <w:p w14:paraId="1CEBDEB1" w14:textId="77777777" w:rsidR="00F74E13" w:rsidRDefault="009274FC">
      <w:pPr>
        <w:pStyle w:val="P68B1DB1-Normal9"/>
        <w:spacing w:before="240" w:after="120" w:line="240" w:lineRule="auto"/>
        <w:ind w:left="425"/>
        <w:jc w:val="both"/>
        <w:rPr>
          <w:noProof/>
        </w:rPr>
      </w:pPr>
      <w:r>
        <w:rPr>
          <w:noProof/>
        </w:rPr>
        <w:t>Réforme 1 (C11.R1): Réforme du régime de revenu minimum</w:t>
      </w:r>
    </w:p>
    <w:p w14:paraId="1CEBDEB2" w14:textId="77777777" w:rsidR="00F74E13" w:rsidRDefault="009274FC">
      <w:pPr>
        <w:pStyle w:val="P68B1DB1-Normal6"/>
        <w:spacing w:before="120" w:after="0" w:line="240" w:lineRule="auto"/>
        <w:ind w:left="425"/>
        <w:jc w:val="both"/>
        <w:rPr>
          <w:noProof/>
        </w:rPr>
      </w:pPr>
      <w:r>
        <w:rPr>
          <w:noProof/>
        </w:rPr>
        <w:t xml:space="preserve">L'objectif de la réforme est de réviser les critères et d'étendre la couverture du régime de revenu minimum. </w:t>
      </w:r>
    </w:p>
    <w:p w14:paraId="1CEBDEB3" w14:textId="77777777" w:rsidR="00F74E13" w:rsidRDefault="009274FC">
      <w:pPr>
        <w:pStyle w:val="P68B1DB1-Normal6"/>
        <w:spacing w:before="120" w:after="120" w:line="240" w:lineRule="auto"/>
        <w:ind w:left="426"/>
        <w:jc w:val="both"/>
        <w:rPr>
          <w:noProof/>
        </w:rPr>
      </w:pPr>
      <w:r>
        <w:rPr>
          <w:noProof/>
        </w:rPr>
        <w:t>La mesure consiste en une analyse et en l’entrée en vigueur d’un ou de plusieurs actes juridiques concernant le régime de revenu minimum.</w:t>
      </w:r>
    </w:p>
    <w:p w14:paraId="1CEBDEB5" w14:textId="77777777" w:rsidR="00F74E13" w:rsidRDefault="009274FC">
      <w:pPr>
        <w:pStyle w:val="P68B1DB1-Normal9"/>
        <w:spacing w:before="120" w:after="120" w:line="240" w:lineRule="auto"/>
        <w:ind w:left="426"/>
        <w:jc w:val="both"/>
        <w:rPr>
          <w:noProof/>
        </w:rPr>
      </w:pPr>
      <w:r>
        <w:rPr>
          <w:noProof/>
        </w:rPr>
        <w:t>Réforme 2 (C11.R2): Réforme des services sociaux</w:t>
      </w:r>
    </w:p>
    <w:p w14:paraId="1CEBDEB6" w14:textId="77777777" w:rsidR="00F74E13" w:rsidRDefault="009274FC">
      <w:pPr>
        <w:pStyle w:val="P68B1DB1-Normal6"/>
        <w:spacing w:before="120" w:after="0" w:line="240" w:lineRule="auto"/>
        <w:ind w:left="425"/>
        <w:jc w:val="both"/>
        <w:rPr>
          <w:noProof/>
        </w:rPr>
      </w:pPr>
      <w:r>
        <w:rPr>
          <w:noProof/>
        </w:rPr>
        <w:t xml:space="preserve">L'objectif de la réforme est d'assurer la qualité des services sociaux en Bulgarie. </w:t>
      </w:r>
    </w:p>
    <w:p w14:paraId="1CEBDEB7" w14:textId="77777777" w:rsidR="00F74E13" w:rsidRDefault="009274FC">
      <w:pPr>
        <w:pStyle w:val="P68B1DB1-Normal6"/>
        <w:spacing w:after="120" w:line="240" w:lineRule="auto"/>
        <w:ind w:left="426"/>
        <w:jc w:val="both"/>
        <w:rPr>
          <w:noProof/>
        </w:rPr>
      </w:pPr>
      <w:r>
        <w:rPr>
          <w:noProof/>
        </w:rPr>
        <w:t xml:space="preserve">La mesure consiste en l’entrée en vigueur d’un ou de plusieurs actes juridiques concernant les services sociaux. </w:t>
      </w:r>
    </w:p>
    <w:p w14:paraId="1CEBDEB9" w14:textId="77777777" w:rsidR="00F74E13" w:rsidRDefault="009274FC">
      <w:pPr>
        <w:pStyle w:val="P68B1DB1-Normal9"/>
        <w:spacing w:before="240" w:after="120" w:line="240" w:lineRule="auto"/>
        <w:ind w:left="425"/>
        <w:jc w:val="both"/>
        <w:rPr>
          <w:noProof/>
        </w:rPr>
      </w:pPr>
      <w:r>
        <w:rPr>
          <w:noProof/>
        </w:rPr>
        <w:t>Investissement 1 (C11.I1): Travaux d'infrastructure dans les établissements de soins de longue durée</w:t>
      </w:r>
    </w:p>
    <w:p w14:paraId="1CEBDEBA" w14:textId="77777777" w:rsidR="00F74E13" w:rsidRDefault="009274FC">
      <w:pPr>
        <w:pStyle w:val="P68B1DB1-Normal6"/>
        <w:spacing w:before="120" w:after="0" w:line="240" w:lineRule="auto"/>
        <w:ind w:left="425"/>
        <w:jc w:val="both"/>
        <w:rPr>
          <w:noProof/>
        </w:rPr>
      </w:pPr>
      <w:r>
        <w:rPr>
          <w:noProof/>
        </w:rPr>
        <w:t xml:space="preserve">L’objectif de l’investissement est d’effectuer des travaux d’infrastructure dans le parc immobilier des établissements où des services sociaux sont fournis aux personnes handicapées et aux personnes âgées. </w:t>
      </w:r>
    </w:p>
    <w:p w14:paraId="1CEBDEBB" w14:textId="78D419B8" w:rsidR="00F74E13" w:rsidRDefault="009274FC">
      <w:pPr>
        <w:pStyle w:val="P68B1DB1-Normal6"/>
        <w:spacing w:before="120" w:after="120" w:line="240" w:lineRule="auto"/>
        <w:ind w:left="426"/>
        <w:jc w:val="both"/>
        <w:rPr>
          <w:noProof/>
        </w:rPr>
      </w:pPr>
      <w:r>
        <w:rPr>
          <w:noProof/>
        </w:rPr>
        <w:t>La mesure consiste en des travaux de construction et/ou de rénovation.</w:t>
      </w:r>
    </w:p>
    <w:p w14:paraId="1CEBDEBC" w14:textId="77777777" w:rsidR="00F74E13" w:rsidRDefault="009274FC">
      <w:pPr>
        <w:pStyle w:val="P68B1DB1-Normal9"/>
        <w:spacing w:before="120" w:after="120" w:line="240" w:lineRule="auto"/>
        <w:ind w:left="426"/>
        <w:jc w:val="both"/>
        <w:rPr>
          <w:rFonts w:ascii="Segoe UI" w:hAnsi="Segoe UI"/>
          <w:noProof/>
          <w:color w:val="333333"/>
          <w:sz w:val="18"/>
        </w:rPr>
      </w:pPr>
      <w:r>
        <w:rPr>
          <w:noProof/>
        </w:rPr>
        <w:t xml:space="preserve">Investissement 2 (C11.I2): Fourniture de dispositifs d’assistance aux personnes handicapées permanentes </w:t>
      </w:r>
    </w:p>
    <w:p w14:paraId="1CEBDEBD" w14:textId="028C686B" w:rsidR="00F74E13" w:rsidRDefault="009274FC">
      <w:pPr>
        <w:pStyle w:val="P68B1DB1-Normal6"/>
        <w:spacing w:before="120" w:after="120" w:line="240" w:lineRule="auto"/>
        <w:ind w:left="426"/>
        <w:jc w:val="both"/>
        <w:rPr>
          <w:noProof/>
        </w:rPr>
      </w:pPr>
      <w:r>
        <w:rPr>
          <w:noProof/>
        </w:rPr>
        <w:t xml:space="preserve">L'objectif de l'investissement est de sélectionner des personnes ayant une incapacité permanente pour recevoir des appareils d'assistance. </w:t>
      </w:r>
    </w:p>
    <w:p w14:paraId="1CEBDEBE" w14:textId="5F8E6F97" w:rsidR="00F74E13" w:rsidRDefault="009274FC">
      <w:pPr>
        <w:pStyle w:val="P68B1DB1-Normal6"/>
        <w:spacing w:before="120" w:after="120" w:line="240" w:lineRule="auto"/>
        <w:ind w:left="426"/>
        <w:jc w:val="both"/>
        <w:rPr>
          <w:noProof/>
        </w:rPr>
      </w:pPr>
      <w:r>
        <w:rPr>
          <w:noProof/>
        </w:rPr>
        <w:t>La mesure consiste à approuver la sélection des personnes handicapées permanentes.</w:t>
      </w:r>
    </w:p>
    <w:p w14:paraId="1CEBDEC0" w14:textId="77777777" w:rsidR="00F74E13" w:rsidRDefault="009274FC">
      <w:pPr>
        <w:pStyle w:val="P68B1DB1-Normal9"/>
        <w:spacing w:before="120" w:after="0" w:line="240" w:lineRule="auto"/>
        <w:ind w:left="425"/>
        <w:jc w:val="both"/>
        <w:rPr>
          <w:noProof/>
        </w:rPr>
      </w:pPr>
      <w:r>
        <w:rPr>
          <w:noProof/>
        </w:rPr>
        <w:t xml:space="preserve">Investissement 3 (C11.I3): Développement de l'économie sociale </w:t>
      </w:r>
    </w:p>
    <w:p w14:paraId="1CEBDEC1" w14:textId="77777777" w:rsidR="00F74E13" w:rsidRDefault="009274FC">
      <w:pPr>
        <w:pStyle w:val="P68B1DB1-Normal6"/>
        <w:spacing w:before="120" w:after="0" w:line="240" w:lineRule="auto"/>
        <w:ind w:left="425"/>
        <w:jc w:val="both"/>
        <w:rPr>
          <w:noProof/>
        </w:rPr>
      </w:pPr>
      <w:r>
        <w:rPr>
          <w:noProof/>
        </w:rPr>
        <w:t xml:space="preserve">L’objectif de cet investissement est de promouvoir l’économie sociale en apportant une aide au développement des entreprises et des organisations de l’économie sociale et solidaire. </w:t>
      </w:r>
    </w:p>
    <w:p w14:paraId="1CEBDEC2" w14:textId="77777777" w:rsidR="00F74E13" w:rsidRDefault="009274FC">
      <w:pPr>
        <w:pStyle w:val="P68B1DB1-Normal6"/>
        <w:spacing w:before="120" w:after="0" w:line="240" w:lineRule="auto"/>
        <w:ind w:left="425"/>
        <w:jc w:val="both"/>
        <w:rPr>
          <w:noProof/>
        </w:rPr>
      </w:pPr>
      <w:r>
        <w:rPr>
          <w:noProof/>
        </w:rPr>
        <w:t>L’investissement comprend la construction de centres d’intérêt pour l’économie sociale et solidaire, qui soutiennent les entreprises et les organisations de l’économie sociale et solidaire en fournissant des activités de conseil et une assistance technique, y compris en contribuant à la numérisation des processus commerciaux de ces entreprises. L’emplacement des centres d’intérêt garantit que chaque région, telle qu’identifiée par le niveau deux de la nomenclature des unités territoriales pour la classification statistique, est desservie par un centre d’intérêt.</w:t>
      </w:r>
    </w:p>
    <w:p w14:paraId="1CEBDEC3" w14:textId="77777777" w:rsidR="00F74E13" w:rsidRDefault="009274FC">
      <w:pPr>
        <w:pStyle w:val="P68B1DB1-Normal6"/>
        <w:spacing w:before="120" w:after="0" w:line="240" w:lineRule="auto"/>
        <w:ind w:left="425"/>
        <w:jc w:val="both"/>
        <w:rPr>
          <w:noProof/>
        </w:rPr>
      </w:pPr>
      <w:r>
        <w:rPr>
          <w:noProof/>
        </w:rPr>
        <w:t>La mise en œuvre de l’investissement est achevée au plus tard le 31 décembre 2025.</w:t>
      </w:r>
    </w:p>
    <w:p w14:paraId="1CEBDEC5" w14:textId="77777777" w:rsidR="00F74E13" w:rsidRDefault="009274FC">
      <w:pPr>
        <w:pStyle w:val="P68B1DB1-Normal9"/>
        <w:spacing w:before="240" w:after="0" w:line="240" w:lineRule="auto"/>
        <w:ind w:left="425"/>
        <w:jc w:val="both"/>
        <w:rPr>
          <w:noProof/>
        </w:rPr>
      </w:pPr>
      <w:r>
        <w:rPr>
          <w:noProof/>
        </w:rPr>
        <w:t xml:space="preserve">Investissement 4 (C11.I4): Rénovation de l'Agence d'assistance sociale </w:t>
      </w:r>
    </w:p>
    <w:p w14:paraId="1CEBDEC6" w14:textId="77777777" w:rsidR="00F74E13" w:rsidRDefault="009274FC">
      <w:pPr>
        <w:pStyle w:val="P68B1DB1-Normal6"/>
        <w:spacing w:before="120" w:after="0" w:line="240" w:lineRule="auto"/>
        <w:ind w:left="425"/>
        <w:jc w:val="both"/>
        <w:rPr>
          <w:noProof/>
        </w:rPr>
      </w:pPr>
      <w:r>
        <w:rPr>
          <w:noProof/>
        </w:rPr>
        <w:t>L'objectif de cet investissement est de rénover les structures territoriales de l'Agence d'assistance sociale, notamment en assurant l'accessibilité aux personnes handicapées.</w:t>
      </w:r>
    </w:p>
    <w:p w14:paraId="1CEBDEC7" w14:textId="77777777" w:rsidR="00F74E13" w:rsidRDefault="009274FC">
      <w:pPr>
        <w:pStyle w:val="P68B1DB1-Normal6"/>
        <w:spacing w:before="120" w:after="120" w:line="240" w:lineRule="auto"/>
        <w:ind w:left="426"/>
        <w:jc w:val="both"/>
        <w:rPr>
          <w:noProof/>
        </w:rPr>
      </w:pPr>
      <w:r>
        <w:rPr>
          <w:noProof/>
        </w:rPr>
        <w:t>La mesure consiste en des travaux de rénovation et en la livraison d’équipements.</w:t>
      </w:r>
    </w:p>
    <w:p w14:paraId="1CEBDEC9" w14:textId="77777777" w:rsidR="00F74E13" w:rsidRDefault="009274FC">
      <w:pPr>
        <w:pStyle w:val="P68B1DB1-Normal9"/>
        <w:spacing w:before="120" w:after="0" w:line="240" w:lineRule="auto"/>
        <w:ind w:left="425"/>
        <w:jc w:val="both"/>
        <w:rPr>
          <w:noProof/>
        </w:rPr>
      </w:pPr>
      <w:r>
        <w:rPr>
          <w:noProof/>
        </w:rPr>
        <w:t xml:space="preserve">Investissement 5 (C11.I5): Services numériques à l’Agence pour l’emploi </w:t>
      </w:r>
    </w:p>
    <w:p w14:paraId="1CEBDECA" w14:textId="1CF8FD74" w:rsidR="00F74E13" w:rsidRDefault="009274FC">
      <w:pPr>
        <w:pStyle w:val="P68B1DB1-Normal6"/>
        <w:spacing w:before="120" w:after="0" w:line="240" w:lineRule="auto"/>
        <w:ind w:left="425"/>
        <w:jc w:val="both"/>
        <w:rPr>
          <w:noProof/>
        </w:rPr>
      </w:pPr>
      <w:r>
        <w:rPr>
          <w:noProof/>
        </w:rPr>
        <w:t xml:space="preserve">L’objectif de cet investissement est de fournir à l’Agence pour l’emploi un accès aux services numériques. </w:t>
      </w:r>
    </w:p>
    <w:p w14:paraId="1CEBDECB" w14:textId="3A4577A7" w:rsidR="00F74E13" w:rsidRDefault="009274FC">
      <w:pPr>
        <w:pStyle w:val="P68B1DB1-Normal6"/>
        <w:spacing w:before="120" w:after="120" w:line="240" w:lineRule="auto"/>
        <w:ind w:left="426"/>
        <w:jc w:val="both"/>
        <w:rPr>
          <w:noProof/>
        </w:rPr>
      </w:pPr>
      <w:r>
        <w:rPr>
          <w:noProof/>
        </w:rPr>
        <w:t xml:space="preserve">La mesure se compose de services et d’équipements numériques. </w:t>
      </w:r>
    </w:p>
    <w:p w14:paraId="1CEBDECD" w14:textId="77777777" w:rsidR="00F74E13" w:rsidRDefault="009274FC">
      <w:pPr>
        <w:pStyle w:val="P68B1DB1-Normal9"/>
        <w:spacing w:before="120" w:after="120" w:line="240" w:lineRule="auto"/>
        <w:ind w:left="426"/>
        <w:jc w:val="both"/>
        <w:rPr>
          <w:noProof/>
        </w:rPr>
      </w:pPr>
      <w:r>
        <w:rPr>
          <w:noProof/>
        </w:rPr>
        <w:t xml:space="preserve">Investissement 6 (C11.I6): Soutien au secteur culturel </w:t>
      </w:r>
    </w:p>
    <w:p w14:paraId="1CEBDECE" w14:textId="77777777" w:rsidR="00F74E13" w:rsidRDefault="009274FC">
      <w:pPr>
        <w:pStyle w:val="P68B1DB1-Normal6"/>
        <w:spacing w:before="120" w:after="0" w:line="240" w:lineRule="auto"/>
        <w:ind w:left="425"/>
        <w:jc w:val="both"/>
        <w:rPr>
          <w:noProof/>
        </w:rPr>
      </w:pPr>
      <w:r>
        <w:rPr>
          <w:noProof/>
        </w:rPr>
        <w:t xml:space="preserve">L’objectif de l’investissement est de soutenir le secteur culturel en Bulgarie. </w:t>
      </w:r>
    </w:p>
    <w:p w14:paraId="1CEBDECF" w14:textId="77777777" w:rsidR="00F74E13" w:rsidRDefault="009274FC">
      <w:pPr>
        <w:pStyle w:val="P68B1DB1-Normal6"/>
        <w:spacing w:before="120" w:after="120" w:line="240" w:lineRule="auto"/>
        <w:ind w:left="426"/>
        <w:jc w:val="both"/>
        <w:rPr>
          <w:noProof/>
        </w:rPr>
      </w:pPr>
      <w:r>
        <w:rPr>
          <w:noProof/>
        </w:rPr>
        <w:t>La mesure consiste en l’entrée en vigueur d’un ou de plusieurs actes juridiques et en l’octroi d’une subvention.</w:t>
      </w:r>
    </w:p>
    <w:p w14:paraId="1CEBDED1" w14:textId="77777777" w:rsidR="00F74E13" w:rsidRDefault="009274FC">
      <w:pPr>
        <w:pStyle w:val="P68B1DB1-Normal9"/>
        <w:spacing w:before="120" w:after="120" w:line="240" w:lineRule="auto"/>
        <w:ind w:left="426"/>
        <w:jc w:val="both"/>
        <w:rPr>
          <w:noProof/>
        </w:rPr>
      </w:pPr>
      <w:r>
        <w:rPr>
          <w:noProof/>
        </w:rPr>
        <w:t>Investissement 7 (C11.I7): Numérisation des archives</w:t>
      </w:r>
    </w:p>
    <w:p w14:paraId="1CEBDED2" w14:textId="6AE9ABFD" w:rsidR="00F74E13" w:rsidRDefault="009274FC">
      <w:pPr>
        <w:pStyle w:val="P68B1DB1-Normal6"/>
        <w:spacing w:before="120" w:after="0" w:line="240" w:lineRule="auto"/>
        <w:ind w:left="425"/>
        <w:jc w:val="both"/>
        <w:rPr>
          <w:noProof/>
        </w:rPr>
      </w:pPr>
      <w:r>
        <w:rPr>
          <w:noProof/>
        </w:rPr>
        <w:t>L'objectif de l'investissement est de numériser le contenu des archives et d'y donner accès.</w:t>
      </w:r>
    </w:p>
    <w:p w14:paraId="1CEBDED3" w14:textId="0FCF8C38" w:rsidR="00F74E13" w:rsidRDefault="009274FC">
      <w:pPr>
        <w:pStyle w:val="P68B1DB1-Normal6"/>
        <w:spacing w:before="120" w:after="120" w:line="240" w:lineRule="auto"/>
        <w:ind w:left="426"/>
        <w:jc w:val="both"/>
        <w:rPr>
          <w:noProof/>
        </w:rPr>
      </w:pPr>
      <w:r>
        <w:rPr>
          <w:noProof/>
        </w:rPr>
        <w:t>La mesure consiste à publier une méthodologie, à numériser le contenu et à le mettre à disposition sur la plateforme numérique.</w:t>
      </w:r>
    </w:p>
    <w:p w14:paraId="1CEBDED5" w14:textId="77777777" w:rsidR="00F74E13" w:rsidRDefault="009274FC">
      <w:pPr>
        <w:pStyle w:val="P68B1DB1-Normal50"/>
        <w:spacing w:before="120" w:after="120" w:line="240" w:lineRule="auto"/>
        <w:ind w:left="426"/>
        <w:jc w:val="both"/>
        <w:rPr>
          <w:noProof/>
        </w:rPr>
      </w:pPr>
      <w:r>
        <w:rPr>
          <w:noProof/>
        </w:rPr>
        <w:t>Investissement 8 (C11.I8): Infrastructures culturelles</w:t>
      </w:r>
    </w:p>
    <w:p w14:paraId="1CEBDED6" w14:textId="77777777" w:rsidR="00F74E13" w:rsidRDefault="009274FC">
      <w:pPr>
        <w:pStyle w:val="P68B1DB1-Normal6"/>
        <w:spacing w:before="120" w:after="0" w:line="240" w:lineRule="auto"/>
        <w:ind w:left="425"/>
        <w:jc w:val="both"/>
        <w:rPr>
          <w:noProof/>
        </w:rPr>
      </w:pPr>
      <w:r>
        <w:rPr>
          <w:noProof/>
        </w:rPr>
        <w:t>L'objectif de l'investissement est de numériser les infrastructures et les processus commerciaux du Palais national de la culture et du Centre des festivals et des congrès de Varna.</w:t>
      </w:r>
    </w:p>
    <w:p w14:paraId="1CEBDED7" w14:textId="77777777" w:rsidR="00F74E13" w:rsidRDefault="009274FC">
      <w:pPr>
        <w:pStyle w:val="P68B1DB1-Normal6"/>
        <w:spacing w:before="120" w:after="120" w:line="240" w:lineRule="auto"/>
        <w:ind w:left="426"/>
        <w:jc w:val="both"/>
        <w:rPr>
          <w:noProof/>
        </w:rPr>
      </w:pPr>
      <w:r>
        <w:rPr>
          <w:noProof/>
        </w:rPr>
        <w:t>La mesure consiste en la livraison d'équipements.</w:t>
      </w:r>
    </w:p>
    <w:p w14:paraId="1CEBDED8" w14:textId="77777777" w:rsidR="00F74E13" w:rsidRDefault="00F74E13">
      <w:pPr>
        <w:spacing w:before="120" w:after="120" w:line="240" w:lineRule="auto"/>
        <w:jc w:val="both"/>
        <w:rPr>
          <w:rFonts w:ascii="Times New Roman" w:hAnsi="Times New Roman"/>
          <w:b/>
          <w:noProof/>
          <w:u w:val="single"/>
        </w:rPr>
      </w:pPr>
    </w:p>
    <w:p w14:paraId="1CEBDED9" w14:textId="77777777" w:rsidR="00F74E13" w:rsidRDefault="00F74E13">
      <w:pPr>
        <w:spacing w:before="120" w:after="120" w:line="240" w:lineRule="auto"/>
        <w:jc w:val="both"/>
        <w:rPr>
          <w:rFonts w:ascii="Times New Roman" w:hAnsi="Times New Roman"/>
          <w:b/>
          <w:noProof/>
          <w:u w:val="single"/>
        </w:rPr>
        <w:sectPr w:rsidR="00F74E13">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1CEBDEDA" w14:textId="77777777" w:rsidR="00F74E13" w:rsidRDefault="009274FC">
      <w:pPr>
        <w:pStyle w:val="P68B1DB1-Normal8"/>
        <w:spacing w:before="120" w:after="120" w:line="240" w:lineRule="auto"/>
        <w:jc w:val="center"/>
        <w:rPr>
          <w:noProof/>
        </w:rPr>
      </w:pPr>
      <w:r>
        <w:rPr>
          <w:noProof/>
        </w:rPr>
        <w:t>K.2. Étapes, cibles, indicateurs et calendrier pour le suivi et la mise en œuvre du soutien financier non remboursable</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701"/>
        <w:gridCol w:w="1134"/>
        <w:gridCol w:w="1701"/>
        <w:gridCol w:w="1591"/>
        <w:gridCol w:w="961"/>
        <w:gridCol w:w="992"/>
        <w:gridCol w:w="851"/>
        <w:gridCol w:w="992"/>
        <w:gridCol w:w="1276"/>
        <w:gridCol w:w="3685"/>
      </w:tblGrid>
      <w:tr w:rsidR="00F74E13" w14:paraId="1CEBDEE3" w14:textId="77777777" w:rsidTr="00007CB7">
        <w:trPr>
          <w:trHeight w:val="30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B" w14:textId="77777777" w:rsidR="00F74E13" w:rsidRDefault="009274FC">
            <w:pPr>
              <w:pStyle w:val="P68B1DB1-Normal65"/>
              <w:spacing w:after="0"/>
              <w:jc w:val="center"/>
              <w:rPr>
                <w:rFonts w:eastAsia="Calibri"/>
                <w:bCs/>
                <w:noProof/>
                <w:color w:val="000000" w:themeColor="text1"/>
              </w:rPr>
            </w:pPr>
            <w:r>
              <w:rPr>
                <w:noProof/>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C" w14:textId="77777777" w:rsidR="00F74E13" w:rsidRDefault="009274FC">
            <w:pPr>
              <w:pStyle w:val="P68B1DB1-Normal11"/>
              <w:spacing w:after="0" w:line="240" w:lineRule="auto"/>
              <w:jc w:val="center"/>
              <w:rPr>
                <w:noProof/>
                <w:color w:val="000000" w:themeColor="text1"/>
              </w:rPr>
            </w:pPr>
            <w:r>
              <w:rPr>
                <w:noProof/>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D" w14:textId="3EB6596D" w:rsidR="00F74E13" w:rsidRDefault="009274FC">
            <w:pPr>
              <w:pStyle w:val="P68B1DB1-Normal21"/>
              <w:spacing w:after="0" w:line="240" w:lineRule="auto"/>
              <w:jc w:val="center"/>
              <w:rPr>
                <w:rFonts w:ascii="Times New Roman" w:eastAsia="Calibri" w:hAnsi="Times New Roman" w:cs="Times New Roman"/>
                <w:b/>
                <w:bCs/>
                <w:noProof/>
                <w:color w:val="000000" w:themeColor="text1"/>
              </w:rPr>
            </w:pPr>
            <w:r>
              <w:rPr>
                <w:rFonts w:ascii="Times New Roman" w:eastAsia="Calibri" w:hAnsi="Times New Roman" w:cs="Times New Roman"/>
                <w:b/>
                <w:noProof/>
                <w:color w:val="000000" w:themeColor="text1"/>
              </w:rPr>
              <w:t>Étape / 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E" w14:textId="77777777" w:rsidR="00F74E13" w:rsidRDefault="009274FC">
            <w:pPr>
              <w:pStyle w:val="P68B1DB1-Normal66"/>
              <w:spacing w:after="0" w:line="240" w:lineRule="auto"/>
              <w:jc w:val="center"/>
              <w:rPr>
                <w:bCs/>
                <w:noProof/>
              </w:rPr>
            </w:pPr>
            <w:r>
              <w:rPr>
                <w:noProof/>
              </w:rPr>
              <w:t>Nom</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F" w14:textId="77777777" w:rsidR="00F74E13" w:rsidRDefault="009274FC">
            <w:pPr>
              <w:pStyle w:val="P68B1DB1-Normal66"/>
              <w:spacing w:after="0" w:line="240" w:lineRule="auto"/>
              <w:jc w:val="center"/>
              <w:rPr>
                <w:bCs/>
                <w:noProof/>
              </w:rPr>
            </w:pPr>
            <w:r>
              <w:rPr>
                <w:noProof/>
              </w:rPr>
              <w:t>Indicateur qualitatif pour les jalons</w:t>
            </w:r>
          </w:p>
        </w:tc>
        <w:tc>
          <w:tcPr>
            <w:tcW w:w="2804"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DEE0" w14:textId="77777777" w:rsidR="00F74E13" w:rsidRDefault="009274FC">
            <w:pPr>
              <w:pStyle w:val="P68B1DB1-Normal66"/>
              <w:spacing w:after="0" w:line="240" w:lineRule="auto"/>
              <w:jc w:val="center"/>
              <w:rPr>
                <w:bCs/>
                <w:noProof/>
              </w:rPr>
            </w:pPr>
            <w:r>
              <w:rPr>
                <w:noProof/>
              </w:rPr>
              <w:t>Indicateur quantitatif pour la cible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DEE1" w14:textId="70B8E86B" w:rsidR="00F74E13" w:rsidRDefault="009274FC">
            <w:pPr>
              <w:pStyle w:val="P68B1DB1-Normal67"/>
              <w:spacing w:after="0" w:line="240" w:lineRule="auto"/>
              <w:jc w:val="center"/>
              <w:rPr>
                <w:noProof/>
                <w:sz w:val="20"/>
              </w:rPr>
            </w:pPr>
            <w:r>
              <w:rPr>
                <w:noProof/>
              </w:rPr>
              <w:t>Calendrier indicatif d'achèvement</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E2" w14:textId="77777777" w:rsidR="00F74E13" w:rsidRDefault="009274FC">
            <w:pPr>
              <w:pStyle w:val="P68B1DB1-Normal11"/>
              <w:spacing w:after="0" w:line="240" w:lineRule="auto"/>
              <w:jc w:val="center"/>
              <w:rPr>
                <w:noProof/>
                <w:color w:val="000000" w:themeColor="text1"/>
              </w:rPr>
            </w:pPr>
            <w:r>
              <w:rPr>
                <w:noProof/>
              </w:rPr>
              <w:t>Description de chaque jalon et cible</w:t>
            </w:r>
          </w:p>
        </w:tc>
      </w:tr>
      <w:tr w:rsidR="00F74E13" w14:paraId="1CEBDEEF" w14:textId="77777777" w:rsidTr="00007CB7">
        <w:trPr>
          <w:trHeight w:val="300"/>
          <w:tblHeader/>
          <w:jc w:val="center"/>
        </w:trPr>
        <w:tc>
          <w:tcPr>
            <w:tcW w:w="562" w:type="dxa"/>
            <w:vMerge/>
            <w:noWrap/>
            <w:vAlign w:val="center"/>
          </w:tcPr>
          <w:p w14:paraId="1CEBDEE4" w14:textId="77777777" w:rsidR="00F74E13" w:rsidRDefault="00F74E13">
            <w:pPr>
              <w:spacing w:after="0"/>
              <w:jc w:val="center"/>
              <w:rPr>
                <w:rFonts w:ascii="Times New Roman" w:hAnsi="Times New Roman"/>
                <w:b/>
                <w:noProof/>
                <w:color w:val="000000"/>
                <w:sz w:val="20"/>
              </w:rPr>
            </w:pPr>
          </w:p>
        </w:tc>
        <w:tc>
          <w:tcPr>
            <w:tcW w:w="1701" w:type="dxa"/>
            <w:vMerge/>
            <w:noWrap/>
            <w:vAlign w:val="center"/>
          </w:tcPr>
          <w:p w14:paraId="1CEBDEE5" w14:textId="77777777" w:rsidR="00F74E13" w:rsidRDefault="00F74E13">
            <w:pPr>
              <w:spacing w:after="0" w:line="240" w:lineRule="auto"/>
              <w:jc w:val="center"/>
              <w:rPr>
                <w:rFonts w:ascii="Times New Roman" w:hAnsi="Times New Roman"/>
                <w:b/>
                <w:noProof/>
                <w:color w:val="000000"/>
                <w:sz w:val="20"/>
              </w:rPr>
            </w:pPr>
          </w:p>
        </w:tc>
        <w:tc>
          <w:tcPr>
            <w:tcW w:w="1134" w:type="dxa"/>
            <w:vMerge/>
            <w:noWrap/>
            <w:vAlign w:val="center"/>
          </w:tcPr>
          <w:p w14:paraId="1CEBDEE6" w14:textId="77777777" w:rsidR="00F74E13" w:rsidRDefault="00F74E13">
            <w:pPr>
              <w:spacing w:after="0" w:line="240" w:lineRule="auto"/>
              <w:jc w:val="center"/>
              <w:rPr>
                <w:rFonts w:ascii="Times New Roman" w:hAnsi="Times New Roman"/>
                <w:b/>
                <w:noProof/>
                <w:color w:val="000000"/>
                <w:sz w:val="20"/>
              </w:rPr>
            </w:pPr>
          </w:p>
        </w:tc>
        <w:tc>
          <w:tcPr>
            <w:tcW w:w="1701" w:type="dxa"/>
            <w:vMerge/>
            <w:noWrap/>
            <w:vAlign w:val="center"/>
          </w:tcPr>
          <w:p w14:paraId="1CEBDEE7" w14:textId="77777777" w:rsidR="00F74E13" w:rsidRDefault="00F74E13">
            <w:pPr>
              <w:spacing w:after="0" w:line="240" w:lineRule="auto"/>
              <w:rPr>
                <w:rFonts w:ascii="Times New Roman" w:hAnsi="Times New Roman"/>
                <w:b/>
                <w:noProof/>
                <w:color w:val="000000"/>
                <w:sz w:val="20"/>
              </w:rPr>
            </w:pPr>
          </w:p>
        </w:tc>
        <w:tc>
          <w:tcPr>
            <w:tcW w:w="1591" w:type="dxa"/>
            <w:vMerge/>
            <w:noWrap/>
            <w:vAlign w:val="center"/>
          </w:tcPr>
          <w:p w14:paraId="1CEBDEE8" w14:textId="77777777" w:rsidR="00F74E13" w:rsidRDefault="00F74E13">
            <w:pPr>
              <w:spacing w:after="0" w:line="240" w:lineRule="auto"/>
              <w:jc w:val="center"/>
              <w:rPr>
                <w:rFonts w:ascii="Times New Roman" w:hAnsi="Times New Roman"/>
                <w:b/>
                <w:noProof/>
                <w:color w:val="0000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9" w14:textId="77777777" w:rsidR="00F74E13" w:rsidRDefault="009274FC">
            <w:pPr>
              <w:pStyle w:val="P68B1DB1-Normal66"/>
              <w:spacing w:after="0" w:line="240" w:lineRule="auto"/>
              <w:jc w:val="center"/>
              <w:rPr>
                <w:bCs/>
                <w:noProof/>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A" w14:textId="77777777" w:rsidR="00F74E13" w:rsidRDefault="009274FC">
            <w:pPr>
              <w:pStyle w:val="P68B1DB1-Normal66"/>
              <w:spacing w:after="0" w:line="240" w:lineRule="auto"/>
              <w:jc w:val="center"/>
              <w:rPr>
                <w:bCs/>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B" w14:textId="77777777" w:rsidR="00F74E13" w:rsidRDefault="009274FC">
            <w:pPr>
              <w:pStyle w:val="P68B1DB1-Normal66"/>
              <w:spacing w:after="0" w:line="240" w:lineRule="auto"/>
              <w:jc w:val="center"/>
              <w:rPr>
                <w:bCs/>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C" w14:textId="77777777" w:rsidR="00F74E13" w:rsidRDefault="009274FC">
            <w:pPr>
              <w:pStyle w:val="P68B1DB1-Normal66"/>
              <w:spacing w:after="0" w:line="240" w:lineRule="auto"/>
              <w:jc w:val="center"/>
              <w:rPr>
                <w:bCs/>
                <w:noProof/>
              </w:rPr>
            </w:pPr>
            <w:r>
              <w:rPr>
                <w:noProof/>
              </w:rPr>
              <w:t>Trimestre</w:t>
            </w:r>
          </w:p>
        </w:tc>
        <w:tc>
          <w:tcPr>
            <w:tcW w:w="1276"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D" w14:textId="77777777" w:rsidR="00F74E13" w:rsidRDefault="009274FC">
            <w:pPr>
              <w:pStyle w:val="P68B1DB1-Normal66"/>
              <w:spacing w:after="0" w:line="240" w:lineRule="auto"/>
              <w:jc w:val="center"/>
              <w:rPr>
                <w:bCs/>
                <w:noProof/>
              </w:rPr>
            </w:pPr>
            <w:r>
              <w:rPr>
                <w:noProof/>
              </w:rPr>
              <w:t>Année</w:t>
            </w:r>
          </w:p>
        </w:tc>
        <w:tc>
          <w:tcPr>
            <w:tcW w:w="3685" w:type="dxa"/>
            <w:vMerge/>
            <w:tcBorders>
              <w:left w:val="single" w:sz="4" w:space="0" w:color="auto"/>
            </w:tcBorders>
            <w:noWrap/>
            <w:vAlign w:val="center"/>
          </w:tcPr>
          <w:p w14:paraId="1CEBDEEE" w14:textId="77777777" w:rsidR="00F74E13" w:rsidRDefault="00F74E13">
            <w:pPr>
              <w:spacing w:after="0" w:line="240" w:lineRule="auto"/>
              <w:jc w:val="both"/>
              <w:rPr>
                <w:rFonts w:ascii="Times New Roman" w:eastAsia="Calibri" w:hAnsi="Times New Roman" w:cs="Times New Roman"/>
                <w:b/>
                <w:noProof/>
                <w:color w:val="000000"/>
                <w:sz w:val="20"/>
                <w:szCs w:val="20"/>
              </w:rPr>
            </w:pPr>
          </w:p>
        </w:tc>
      </w:tr>
      <w:tr w:rsidR="00F74E13" w14:paraId="1CEBDEFE"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EF0" w14:textId="77777777" w:rsidR="00F74E13" w:rsidRDefault="009274FC">
            <w:pPr>
              <w:pStyle w:val="P68B1DB1-Normal12"/>
              <w:jc w:val="center"/>
              <w:rPr>
                <w:noProof/>
              </w:rPr>
            </w:pPr>
            <w:r>
              <w:rPr>
                <w:noProof/>
              </w:rPr>
              <w:t>286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EF1" w14:textId="77777777" w:rsidR="00F74E13" w:rsidRDefault="009274FC">
            <w:pPr>
              <w:pStyle w:val="P68B1DB1-Normal13"/>
              <w:spacing w:after="0" w:line="240" w:lineRule="auto"/>
              <w:ind w:left="57" w:right="57"/>
              <w:rPr>
                <w:noProof/>
              </w:rPr>
            </w:pPr>
            <w:r>
              <w:rPr>
                <w:noProof/>
              </w:rPr>
              <w:t xml:space="preserve">C11.R1 : Réforme du régime de revenu minimum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F2" w14:textId="77777777" w:rsidR="00F74E13" w:rsidRDefault="009274FC">
            <w:pPr>
              <w:pStyle w:val="P68B1DB1-Normal13"/>
              <w:spacing w:after="0"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EF3" w14:textId="77777777" w:rsidR="00F74E13" w:rsidRDefault="009274FC">
            <w:pPr>
              <w:pStyle w:val="P68B1DB1-Normal13"/>
              <w:spacing w:after="0" w:line="240" w:lineRule="auto"/>
              <w:ind w:left="57" w:right="57"/>
              <w:rPr>
                <w:noProof/>
              </w:rPr>
            </w:pPr>
            <w:r>
              <w:rPr>
                <w:noProof/>
              </w:rPr>
              <w:t>Entrée en vigueur des modifications du droit dérivé de la loi sur l'assistance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EF4" w14:textId="77777777" w:rsidR="00F74E13" w:rsidRDefault="009274FC">
            <w:pPr>
              <w:pStyle w:val="P68B1DB1-Normal13"/>
              <w:spacing w:after="0" w:line="240" w:lineRule="auto"/>
              <w:ind w:left="57" w:right="57"/>
              <w:rPr>
                <w:noProof/>
              </w:rPr>
            </w:pPr>
            <w:r>
              <w:rPr>
                <w:noProof/>
              </w:rPr>
              <w:t>Disposition du droit dérivé indiquant l'entrée en vigueur des modifications apportées à la loi sur l'assistance sociale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EF5" w14:textId="77777777" w:rsidR="00F74E13" w:rsidRDefault="00F74E13">
            <w:pPr>
              <w:spacing w:after="0"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F6" w14:textId="77777777" w:rsidR="00F74E13" w:rsidRDefault="00F74E13">
            <w:pPr>
              <w:spacing w:after="0" w:line="240" w:lineRule="auto"/>
              <w:ind w:left="57" w:right="57"/>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F7" w14:textId="77777777" w:rsidR="00F74E13" w:rsidRDefault="00F74E13">
            <w:pPr>
              <w:spacing w:after="0"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F8" w14:textId="77777777" w:rsidR="00F74E13" w:rsidRDefault="009274FC">
            <w:pPr>
              <w:pStyle w:val="P68B1DB1-Normal13"/>
              <w:spacing w:after="0" w:line="240" w:lineRule="auto"/>
              <w:ind w:left="57" w:right="57"/>
              <w:jc w:val="center"/>
              <w:rPr>
                <w:noProof/>
              </w:rPr>
            </w:pPr>
            <w:r>
              <w:rPr>
                <w:noProof/>
              </w:rPr>
              <w:t>T1</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EF9" w14:textId="77777777" w:rsidR="00F74E13" w:rsidRDefault="009274FC">
            <w:pPr>
              <w:pStyle w:val="P68B1DB1-Normal13"/>
              <w:spacing w:after="0" w:line="240" w:lineRule="auto"/>
              <w:ind w:left="57" w:right="57"/>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EFA" w14:textId="77777777" w:rsidR="00F74E13" w:rsidRDefault="009274FC">
            <w:pPr>
              <w:pStyle w:val="P68B1DB1-Normal13"/>
              <w:spacing w:after="0" w:line="240" w:lineRule="auto"/>
              <w:ind w:left="57" w:right="57"/>
              <w:jc w:val="both"/>
              <w:rPr>
                <w:noProof/>
              </w:rPr>
            </w:pPr>
            <w:r>
              <w:rPr>
                <w:noProof/>
              </w:rPr>
              <w:t>Afin d’accroître l’adéquation et la couverture du régime de revenu minimum, les modifications comprennent une augmentation progressive des pourcentages utilisés pour le calcul du seuil de revenu du régime de revenu minimum, le revenu minimum différencié (RMD), comme suit:</w:t>
            </w:r>
          </w:p>
          <w:p w14:paraId="5E4BD36B" w14:textId="77777777" w:rsidR="00F74E13" w:rsidRDefault="009274FC">
            <w:pPr>
              <w:pStyle w:val="P68B1DB1-ListParagraph14"/>
              <w:numPr>
                <w:ilvl w:val="0"/>
                <w:numId w:val="66"/>
              </w:numPr>
              <w:spacing w:after="0" w:line="240" w:lineRule="auto"/>
              <w:ind w:left="416" w:right="57"/>
              <w:jc w:val="both"/>
              <w:rPr>
                <w:noProof/>
              </w:rPr>
            </w:pPr>
            <w:r>
              <w:rPr>
                <w:noProof/>
              </w:rPr>
              <w:t>pour 2022: d'un coefficient moyen d'au moins 1,10;</w:t>
            </w:r>
          </w:p>
          <w:p w14:paraId="73F4335E" w14:textId="77777777" w:rsidR="00F74E13" w:rsidRDefault="009274FC">
            <w:pPr>
              <w:pStyle w:val="P68B1DB1-ListParagraph14"/>
              <w:numPr>
                <w:ilvl w:val="0"/>
                <w:numId w:val="66"/>
              </w:numPr>
              <w:spacing w:after="0" w:line="240" w:lineRule="auto"/>
              <w:ind w:left="416" w:right="57"/>
              <w:jc w:val="both"/>
              <w:rPr>
                <w:noProof/>
              </w:rPr>
            </w:pPr>
            <w:r>
              <w:rPr>
                <w:noProof/>
              </w:rPr>
              <w:t>pour 2023: d'un coefficient d'au moins 1 365;</w:t>
            </w:r>
          </w:p>
          <w:p w14:paraId="1CEBDEFD" w14:textId="021845C8" w:rsidR="00F74E13" w:rsidRDefault="009274FC">
            <w:pPr>
              <w:pStyle w:val="P68B1DB1-ListParagraph14"/>
              <w:numPr>
                <w:ilvl w:val="0"/>
                <w:numId w:val="66"/>
              </w:numPr>
              <w:spacing w:after="0" w:line="240" w:lineRule="auto"/>
              <w:ind w:left="416" w:right="57"/>
              <w:jc w:val="both"/>
              <w:rPr>
                <w:noProof/>
              </w:rPr>
            </w:pPr>
            <w:r>
              <w:rPr>
                <w:noProof/>
              </w:rPr>
              <w:t>pour 2024: d'un coefficient d'au moins 1 224.</w:t>
            </w:r>
          </w:p>
        </w:tc>
      </w:tr>
      <w:tr w:rsidR="00F74E13" w14:paraId="1CEBDF0E"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EFF" w14:textId="77777777" w:rsidR="00F74E13" w:rsidRDefault="009274FC">
            <w:pPr>
              <w:pStyle w:val="P68B1DB1-Normal12"/>
              <w:jc w:val="center"/>
              <w:rPr>
                <w:noProof/>
              </w:rPr>
            </w:pPr>
            <w:r>
              <w:rPr>
                <w:noProof/>
              </w:rPr>
              <w:t>287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00" w14:textId="77777777" w:rsidR="00F74E13" w:rsidRDefault="009274FC">
            <w:pPr>
              <w:pStyle w:val="P68B1DB1-Normal13"/>
              <w:spacing w:line="240" w:lineRule="auto"/>
              <w:ind w:left="57" w:right="57"/>
              <w:rPr>
                <w:noProof/>
              </w:rPr>
            </w:pPr>
            <w:r>
              <w:rPr>
                <w:noProof/>
              </w:rPr>
              <w:t xml:space="preserve">C11.R1 : Réforme du régime de revenu minimum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01" w14:textId="77777777" w:rsidR="00F74E13" w:rsidRDefault="009274FC">
            <w:pPr>
              <w:pStyle w:val="P68B1DB1-Normal13"/>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02" w14:textId="77777777" w:rsidR="00F74E13" w:rsidRDefault="009274FC">
            <w:pPr>
              <w:pStyle w:val="P68B1DB1-Normal13"/>
              <w:spacing w:line="240" w:lineRule="auto"/>
              <w:ind w:left="57" w:right="57"/>
              <w:rPr>
                <w:noProof/>
              </w:rPr>
            </w:pPr>
            <w:r>
              <w:rPr>
                <w:noProof/>
              </w:rPr>
              <w:t>Finalisation d'un rapport sur le régime de revenu minimum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03" w14:textId="77777777" w:rsidR="00F74E13" w:rsidRDefault="009274FC">
            <w:pPr>
              <w:pStyle w:val="P68B1DB1-Normal13"/>
              <w:spacing w:line="240" w:lineRule="auto"/>
              <w:ind w:left="57" w:right="57"/>
              <w:rPr>
                <w:noProof/>
              </w:rPr>
            </w:pPr>
            <w:r>
              <w:rPr>
                <w:noProof/>
              </w:rPr>
              <w:t>Rapport final publié par le Ministère du travail et des politiques sociales et publié sur le site Web du Ministère.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04"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05" w14:textId="77777777" w:rsidR="00F74E13" w:rsidRDefault="00F74E13">
            <w:pPr>
              <w:spacing w:line="240" w:lineRule="auto"/>
              <w:ind w:left="57" w:right="57"/>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06"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07" w14:textId="77777777" w:rsidR="00F74E13" w:rsidRDefault="009274FC">
            <w:pPr>
              <w:pStyle w:val="P68B1DB1-Normal12"/>
              <w:spacing w:line="240" w:lineRule="auto"/>
              <w:ind w:left="57" w:right="57"/>
              <w:jc w:val="center"/>
              <w:rPr>
                <w:noProof/>
              </w:rPr>
            </w:pPr>
            <w:r>
              <w:rPr>
                <w:noProof/>
              </w:rPr>
              <w:t>T4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08" w14:textId="77777777" w:rsidR="00F74E13" w:rsidRDefault="009274FC">
            <w:pPr>
              <w:pStyle w:val="P68B1DB1-Normal12"/>
              <w:spacing w:line="240" w:lineRule="auto"/>
              <w:ind w:left="57" w:right="57"/>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09" w14:textId="493ED94D" w:rsidR="00F74E13" w:rsidRDefault="009274FC">
            <w:pPr>
              <w:pStyle w:val="P68B1DB1-Normal13"/>
              <w:spacing w:after="0" w:line="240" w:lineRule="auto"/>
              <w:ind w:left="57" w:right="57"/>
              <w:jc w:val="both"/>
              <w:rPr>
                <w:noProof/>
              </w:rPr>
            </w:pPr>
            <w:r>
              <w:rPr>
                <w:noProof/>
              </w:rPr>
              <w:t>L’analyse formule des recommandations fondées sur des données probantes afin d’étendre la couverture effective, d’améliorer le ciblage du régime de revenu minimum, d’encourager l’accès à un emploi rémunéré, d’améliorer les mesures d’activation liées par l’intermédiaire des SPE et de réduire considérablement la charge administrative pour les personnes et pour l’administration dans les procédures de demande. L'analyse:</w:t>
            </w:r>
          </w:p>
          <w:p w14:paraId="36E7A002" w14:textId="7839A800" w:rsidR="00F74E13" w:rsidRDefault="009274FC">
            <w:pPr>
              <w:pStyle w:val="P68B1DB1-ListParagraph16"/>
              <w:numPr>
                <w:ilvl w:val="0"/>
                <w:numId w:val="67"/>
              </w:numPr>
              <w:spacing w:after="0" w:line="240" w:lineRule="auto"/>
              <w:ind w:left="416" w:right="57"/>
              <w:jc w:val="both"/>
              <w:rPr>
                <w:noProof/>
              </w:rPr>
            </w:pPr>
            <w:r>
              <w:rPr>
                <w:noProof/>
              </w:rPr>
              <w:t>examiner les critères d’éligibilité et de fonctionnement du régime de revenu minimum, y compris les critères de propriété, l’enregistrement des SPE et les exigences en matière de travail d’intérêt général, ainsi que la mise en œuvre de mesures d’activation;</w:t>
            </w:r>
          </w:p>
          <w:p w14:paraId="6F281BA1" w14:textId="77777777" w:rsidR="00F74E13" w:rsidRDefault="009274FC">
            <w:pPr>
              <w:pStyle w:val="P68B1DB1-ListParagraph16"/>
              <w:numPr>
                <w:ilvl w:val="0"/>
                <w:numId w:val="67"/>
              </w:numPr>
              <w:spacing w:after="0" w:line="240" w:lineRule="auto"/>
              <w:ind w:left="416" w:right="57"/>
              <w:jc w:val="both"/>
              <w:rPr>
                <w:noProof/>
              </w:rPr>
            </w:pPr>
            <w:r>
              <w:rPr>
                <w:noProof/>
              </w:rPr>
              <w:t>réexaminer les incitations à l’emploi, y compris la suppression progressive des prestations pour les bénéficiaires de l’aide au revenu minimum qui adoptent un emploi rémunéré;</w:t>
            </w:r>
          </w:p>
          <w:p w14:paraId="1CEBDF0C" w14:textId="56EEF77F" w:rsidR="00F74E13" w:rsidRDefault="009274FC">
            <w:pPr>
              <w:pStyle w:val="P68B1DB1-ListParagraph16"/>
              <w:numPr>
                <w:ilvl w:val="0"/>
                <w:numId w:val="67"/>
              </w:numPr>
              <w:spacing w:after="0" w:line="240" w:lineRule="auto"/>
              <w:ind w:left="416" w:right="57"/>
              <w:jc w:val="both"/>
              <w:rPr>
                <w:noProof/>
              </w:rPr>
            </w:pPr>
            <w:r>
              <w:rPr>
                <w:noProof/>
              </w:rPr>
              <w:t>analyser la charge administrative du processus et en tenir compte dans ses recommandations en vue de parvenir à une réduction significative;</w:t>
            </w:r>
          </w:p>
          <w:p w14:paraId="1CEBDF0D" w14:textId="77777777" w:rsidR="00F74E13" w:rsidRDefault="009274FC">
            <w:pPr>
              <w:pStyle w:val="P68B1DB1-Normal13"/>
              <w:spacing w:after="0" w:line="240" w:lineRule="auto"/>
              <w:ind w:left="57" w:right="57"/>
              <w:jc w:val="both"/>
              <w:rPr>
                <w:noProof/>
              </w:rPr>
            </w:pPr>
            <w:r>
              <w:rPr>
                <w:noProof/>
              </w:rPr>
              <w:t>Pour les éléments ci-dessus, l’analyse fournit des références aux défis recensés dans le cadre du Semestre européen et à l’analyse d’organisations internationales disposant de l’expertise pertinente.</w:t>
            </w:r>
          </w:p>
        </w:tc>
      </w:tr>
      <w:tr w:rsidR="00F74E13" w14:paraId="1CEBDF22"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0F" w14:textId="5577BBE3" w:rsidR="00F74E13" w:rsidRDefault="009274FC">
            <w:pPr>
              <w:pStyle w:val="P68B1DB1-Normal12"/>
              <w:jc w:val="center"/>
              <w:rPr>
                <w:noProof/>
              </w:rPr>
            </w:pPr>
            <w:r>
              <w:rPr>
                <w:noProof/>
              </w:rPr>
              <w:t>288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10" w14:textId="77777777" w:rsidR="00F74E13" w:rsidRDefault="009274FC">
            <w:pPr>
              <w:pStyle w:val="P68B1DB1-Normal15"/>
              <w:spacing w:line="240" w:lineRule="auto"/>
              <w:ind w:left="57" w:right="57"/>
              <w:rPr>
                <w:noProof/>
              </w:rPr>
            </w:pPr>
            <w:r>
              <w:rPr>
                <w:noProof/>
              </w:rPr>
              <w:t>C11.R1 : Réforme du régime de revenu minimum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11" w14:textId="77777777" w:rsidR="00F74E13" w:rsidRDefault="009274FC">
            <w:pPr>
              <w:pStyle w:val="P68B1DB1-Normal15"/>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12" w14:textId="77777777" w:rsidR="00F74E13" w:rsidRDefault="009274FC">
            <w:pPr>
              <w:pStyle w:val="P68B1DB1-Normal13"/>
              <w:spacing w:line="240" w:lineRule="auto"/>
              <w:ind w:left="57" w:right="57"/>
              <w:rPr>
                <w:noProof/>
              </w:rPr>
            </w:pPr>
            <w:r>
              <w:rPr>
                <w:noProof/>
              </w:rPr>
              <w:t>Entrée en vigueur du ou des actes juridiques relatifs au régime de revenu minimum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13" w14:textId="2899987B" w:rsidR="00F74E13" w:rsidRDefault="009274FC">
            <w:pPr>
              <w:pStyle w:val="P68B1DB1-Normal13"/>
              <w:spacing w:line="240" w:lineRule="auto"/>
              <w:ind w:left="57" w:right="57"/>
              <w:rPr>
                <w:noProof/>
              </w:rPr>
            </w:pPr>
            <w:r>
              <w:rPr>
                <w:noProof/>
              </w:rPr>
              <w:t>Dispositions de l’acte ou des actes juridiques indiquant l’entrée en vigueur des modifications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14"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15" w14:textId="77777777" w:rsidR="00F74E13" w:rsidRDefault="00F74E13">
            <w:pPr>
              <w:spacing w:line="240" w:lineRule="auto"/>
              <w:ind w:left="57" w:right="57"/>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16"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17"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18"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19" w14:textId="77777777" w:rsidR="00F74E13" w:rsidRDefault="009274FC">
            <w:pPr>
              <w:pStyle w:val="P68B1DB1-Normal13"/>
              <w:spacing w:after="0" w:line="240" w:lineRule="auto"/>
              <w:ind w:left="57" w:right="57"/>
              <w:jc w:val="both"/>
              <w:rPr>
                <w:noProof/>
              </w:rPr>
            </w:pPr>
            <w:r>
              <w:rPr>
                <w:noProof/>
              </w:rPr>
              <w:t>Les modifications apportées à l'acte ou aux actes juridiques prévoient:</w:t>
            </w:r>
          </w:p>
          <w:p w14:paraId="5E1A5674" w14:textId="07BF9F94" w:rsidR="00F74E13" w:rsidRDefault="009274FC">
            <w:pPr>
              <w:pStyle w:val="P68B1DB1-ListParagraph14"/>
              <w:numPr>
                <w:ilvl w:val="0"/>
                <w:numId w:val="67"/>
              </w:numPr>
              <w:spacing w:after="0" w:line="240" w:lineRule="auto"/>
              <w:ind w:left="274" w:right="57" w:hanging="141"/>
              <w:jc w:val="both"/>
              <w:rPr>
                <w:noProof/>
              </w:rPr>
            </w:pPr>
            <w:r>
              <w:rPr>
                <w:noProof/>
              </w:rPr>
              <w:t>des révisions des critères d’éligibilité et des exigences en matière d’emploi liés au régime de revenu minimum, y compris la réduction du temps d’enregistrement requis auprès des services de l’emploi de 6 à 3 mois et l’introduction d’incitations à l’embauche;</w:t>
            </w:r>
          </w:p>
          <w:p w14:paraId="1C9040C8" w14:textId="77777777" w:rsidR="00F74E13" w:rsidRDefault="009274FC">
            <w:pPr>
              <w:pStyle w:val="P68B1DB1-ListParagraph14"/>
              <w:numPr>
                <w:ilvl w:val="0"/>
                <w:numId w:val="67"/>
              </w:numPr>
              <w:spacing w:after="0" w:line="240" w:lineRule="auto"/>
              <w:ind w:left="274" w:right="57" w:hanging="141"/>
              <w:jc w:val="both"/>
              <w:rPr>
                <w:noProof/>
              </w:rPr>
            </w:pPr>
            <w:r>
              <w:rPr>
                <w:noProof/>
              </w:rPr>
              <w:t>lier le revenu minimum différencié (RMD) au seuil de risque de pauvreté mis à jour chaque année;</w:t>
            </w:r>
          </w:p>
          <w:p w14:paraId="60F70D1D" w14:textId="77777777" w:rsidR="00F74E13" w:rsidRDefault="009274FC">
            <w:pPr>
              <w:pStyle w:val="P68B1DB1-ListParagraph14"/>
              <w:numPr>
                <w:ilvl w:val="0"/>
                <w:numId w:val="67"/>
              </w:numPr>
              <w:spacing w:after="0" w:line="240" w:lineRule="auto"/>
              <w:ind w:left="274" w:right="57" w:hanging="141"/>
              <w:jc w:val="both"/>
              <w:rPr>
                <w:noProof/>
              </w:rPr>
            </w:pPr>
            <w:r>
              <w:rPr>
                <w:noProof/>
              </w:rPr>
              <w:t>le seuil de risque de pauvreté est harmonisé avec la méthodologie EUROSTAT;</w:t>
            </w:r>
          </w:p>
          <w:p w14:paraId="363B0A9A" w14:textId="77777777" w:rsidR="00F74E13" w:rsidRDefault="009274FC">
            <w:pPr>
              <w:pStyle w:val="P68B1DB1-ListParagraph14"/>
              <w:numPr>
                <w:ilvl w:val="0"/>
                <w:numId w:val="67"/>
              </w:numPr>
              <w:spacing w:after="0" w:line="240" w:lineRule="auto"/>
              <w:ind w:left="274" w:right="57" w:hanging="141"/>
              <w:jc w:val="both"/>
              <w:rPr>
                <w:noProof/>
              </w:rPr>
            </w:pPr>
            <w:r>
              <w:rPr>
                <w:noProof/>
              </w:rPr>
              <w:t xml:space="preserve">l’assurance que, pour chaque groupe cible du régime, l’IMD est calculé en multipliant un coefficient spécifique au groupe par un élément d’ancrage commun à tous les groupes cibles: </w:t>
            </w:r>
          </w:p>
          <w:p w14:paraId="7E3DF667" w14:textId="77777777" w:rsidR="00F74E13" w:rsidRDefault="009274FC">
            <w:pPr>
              <w:pStyle w:val="P68B1DB1-ListParagraph14"/>
              <w:numPr>
                <w:ilvl w:val="0"/>
                <w:numId w:val="96"/>
              </w:numPr>
              <w:spacing w:after="0" w:line="240" w:lineRule="auto"/>
              <w:ind w:right="57"/>
              <w:jc w:val="both"/>
              <w:rPr>
                <w:noProof/>
              </w:rPr>
            </w:pPr>
            <w:r>
              <w:rPr>
                <w:noProof/>
              </w:rPr>
              <w:t>pour chaque groupe cible, le coefficient spécifique au groupe n’est pas inférieur à sa valeur de 2021;</w:t>
            </w:r>
          </w:p>
          <w:p w14:paraId="2B1C39B5" w14:textId="5E7D0BE3" w:rsidR="00F74E13" w:rsidRDefault="009274FC">
            <w:pPr>
              <w:pStyle w:val="P68B1DB1-ListParagraph14"/>
              <w:numPr>
                <w:ilvl w:val="0"/>
                <w:numId w:val="96"/>
              </w:numPr>
              <w:spacing w:after="0" w:line="240" w:lineRule="auto"/>
              <w:ind w:right="57"/>
              <w:jc w:val="both"/>
              <w:rPr>
                <w:noProof/>
              </w:rPr>
            </w:pPr>
            <w:r>
              <w:rPr>
                <w:noProof/>
              </w:rPr>
              <w:t>l’élément d’ancrage doit être égal à au moins 30 % du seuil AROP le plus récent;</w:t>
            </w:r>
          </w:p>
          <w:p w14:paraId="45C3CCB7" w14:textId="77777777" w:rsidR="00F74E13" w:rsidRDefault="009274FC">
            <w:pPr>
              <w:pStyle w:val="P68B1DB1-ListParagraph32"/>
              <w:numPr>
                <w:ilvl w:val="0"/>
                <w:numId w:val="67"/>
              </w:numPr>
              <w:spacing w:after="0" w:line="240" w:lineRule="auto"/>
              <w:ind w:left="274" w:right="57" w:hanging="141"/>
              <w:jc w:val="both"/>
              <w:rPr>
                <w:noProof/>
                <w:szCs w:val="20"/>
              </w:rPr>
            </w:pPr>
            <w:r>
              <w:rPr>
                <w:noProof/>
              </w:rPr>
              <w:t>introduction de la définition juridique du terme «économiquement inactif»;</w:t>
            </w:r>
          </w:p>
          <w:p w14:paraId="1CEBDF21" w14:textId="7B27ED34" w:rsidR="00F74E13" w:rsidRDefault="009274FC">
            <w:pPr>
              <w:pStyle w:val="P68B1DB1-ListParagraph14"/>
              <w:numPr>
                <w:ilvl w:val="0"/>
                <w:numId w:val="67"/>
              </w:numPr>
              <w:spacing w:after="0" w:line="240" w:lineRule="auto"/>
              <w:ind w:left="274" w:right="57" w:hanging="141"/>
              <w:jc w:val="both"/>
              <w:rPr>
                <w:noProof/>
              </w:rPr>
            </w:pPr>
            <w:r>
              <w:rPr>
                <w:noProof/>
              </w:rPr>
              <w:t>les dispositions précisant les activités d’activation des «inactifs sur le plan économique».</w:t>
            </w:r>
          </w:p>
        </w:tc>
      </w:tr>
      <w:tr w:rsidR="00F74E13" w14:paraId="1CEBDF36"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23" w14:textId="77777777" w:rsidR="00F74E13" w:rsidRDefault="009274FC">
            <w:pPr>
              <w:pStyle w:val="P68B1DB1-Normal12"/>
              <w:jc w:val="center"/>
              <w:rPr>
                <w:noProof/>
              </w:rPr>
            </w:pPr>
            <w:r>
              <w:rPr>
                <w:noProof/>
              </w:rPr>
              <w:t>290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24" w14:textId="77777777" w:rsidR="00F74E13" w:rsidRDefault="009274FC">
            <w:pPr>
              <w:pStyle w:val="P68B1DB1-Normal13"/>
              <w:spacing w:line="240" w:lineRule="auto"/>
              <w:ind w:left="57" w:right="57"/>
              <w:rPr>
                <w:noProof/>
              </w:rPr>
            </w:pPr>
            <w:r>
              <w:rPr>
                <w:noProof/>
              </w:rPr>
              <w:t>C11.R2 : Réforme des services sociaux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25" w14:textId="77777777"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26" w14:textId="77777777" w:rsidR="00F74E13" w:rsidRDefault="009274FC">
            <w:pPr>
              <w:pStyle w:val="P68B1DB1-Normal13"/>
              <w:spacing w:line="240" w:lineRule="auto"/>
              <w:ind w:left="57" w:right="57"/>
              <w:rPr>
                <w:noProof/>
              </w:rPr>
            </w:pPr>
            <w:r>
              <w:rPr>
                <w:noProof/>
              </w:rPr>
              <w:t>Entrée en vigueur de l'ordonnance sur la qualité des services sociaux</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27" w14:textId="77777777" w:rsidR="00F74E13" w:rsidRDefault="009274FC">
            <w:pPr>
              <w:pStyle w:val="P68B1DB1-Normal13"/>
              <w:spacing w:line="240" w:lineRule="auto"/>
              <w:ind w:left="57" w:right="57"/>
              <w:rPr>
                <w:noProof/>
              </w:rPr>
            </w:pPr>
            <w:r>
              <w:rPr>
                <w:noProof/>
              </w:rPr>
              <w:t>Disposition de l'ordonnance indiquant l'entrée en vigueur de l'ordonnance sur la qualité des services sociaux</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28"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29" w14:textId="77777777" w:rsidR="00F74E13" w:rsidRDefault="00F74E13">
            <w:pPr>
              <w:spacing w:line="240" w:lineRule="auto"/>
              <w:ind w:left="57" w:right="57"/>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2A"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2B"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2C" w14:textId="77777777" w:rsidR="00F74E13" w:rsidRDefault="009274FC">
            <w:pPr>
              <w:pStyle w:val="P68B1DB1-Normal12"/>
              <w:spacing w:line="240" w:lineRule="auto"/>
              <w:ind w:left="57" w:right="57"/>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2D" w14:textId="77777777" w:rsidR="00F74E13" w:rsidRDefault="009274FC">
            <w:pPr>
              <w:pStyle w:val="P68B1DB1-Normal13"/>
              <w:spacing w:after="0" w:line="240" w:lineRule="auto"/>
              <w:ind w:left="57" w:right="57"/>
              <w:jc w:val="both"/>
              <w:rPr>
                <w:noProof/>
              </w:rPr>
            </w:pPr>
            <w:r>
              <w:rPr>
                <w:noProof/>
              </w:rPr>
              <w:t xml:space="preserve">L'ordonnance sur la qualité des services sociaux définit les normes minimales de qualité pour la prestation des services sociaux. </w:t>
            </w:r>
          </w:p>
          <w:p w14:paraId="1CEBDF2F" w14:textId="77777777" w:rsidR="00F74E13" w:rsidRDefault="009274FC">
            <w:pPr>
              <w:pStyle w:val="P68B1DB1-Normal13"/>
              <w:spacing w:before="120" w:after="0" w:line="240" w:lineRule="auto"/>
              <w:ind w:left="57" w:right="57"/>
              <w:jc w:val="both"/>
              <w:rPr>
                <w:noProof/>
              </w:rPr>
            </w:pPr>
            <w:r>
              <w:rPr>
                <w:noProof/>
              </w:rPr>
              <w:t>Les normes minimales de qualité couvrent:</w:t>
            </w:r>
          </w:p>
          <w:p w14:paraId="27200594" w14:textId="77777777" w:rsidR="00F74E13" w:rsidRDefault="009274FC">
            <w:pPr>
              <w:pStyle w:val="P68B1DB1-ListParagraph14"/>
              <w:numPr>
                <w:ilvl w:val="0"/>
                <w:numId w:val="68"/>
              </w:numPr>
              <w:spacing w:after="0" w:line="240" w:lineRule="auto"/>
              <w:ind w:left="274" w:right="57" w:hanging="142"/>
              <w:jc w:val="both"/>
              <w:rPr>
                <w:noProof/>
              </w:rPr>
            </w:pPr>
            <w:r>
              <w:rPr>
                <w:noProof/>
              </w:rPr>
              <w:t>les exigences architecturales des nouveaux établissements de soins résidentiels, y compris en ce qui concerne le nombre maximal d’utilisateurs par établissement fournissant des services sociaux et le nombre maximal d’utilisateurs par chambre à coucher. Les utilisateurs par chambre ne doivent pas être plus de deux;</w:t>
            </w:r>
          </w:p>
          <w:p w14:paraId="650AED34" w14:textId="77777777" w:rsidR="00F74E13" w:rsidRDefault="009274FC">
            <w:pPr>
              <w:pStyle w:val="P68B1DB1-ListParagraph14"/>
              <w:numPr>
                <w:ilvl w:val="0"/>
                <w:numId w:val="68"/>
              </w:numPr>
              <w:spacing w:after="0" w:line="240" w:lineRule="auto"/>
              <w:ind w:left="274" w:right="57" w:hanging="142"/>
              <w:jc w:val="both"/>
              <w:rPr>
                <w:noProof/>
              </w:rPr>
            </w:pPr>
            <w:r>
              <w:rPr>
                <w:noProof/>
              </w:rPr>
              <w:t>les services sociaux fournis par les garderies accompagnant les établissements de soins en établissement, y compris les activités de conseil et de thérapie fournies;</w:t>
            </w:r>
          </w:p>
          <w:p w14:paraId="1CEBDF32" w14:textId="0FFC81C4" w:rsidR="00F74E13" w:rsidRDefault="009274FC">
            <w:pPr>
              <w:pStyle w:val="P68B1DB1-ListParagraph14"/>
              <w:numPr>
                <w:ilvl w:val="0"/>
                <w:numId w:val="68"/>
              </w:numPr>
              <w:spacing w:after="0" w:line="240" w:lineRule="auto"/>
              <w:ind w:left="274" w:right="57" w:hanging="142"/>
              <w:jc w:val="both"/>
              <w:rPr>
                <w:noProof/>
              </w:rPr>
            </w:pPr>
            <w:r>
              <w:rPr>
                <w:noProof/>
              </w:rPr>
              <w:t>les exigences relatives à la modernisation des installations existantes fournissant des soins résidentiels, y compris les foyers de soins résidentiels pour personnes âgées.</w:t>
            </w:r>
          </w:p>
          <w:p w14:paraId="1CEBDF33" w14:textId="77777777" w:rsidR="00F74E13" w:rsidRDefault="009274FC">
            <w:pPr>
              <w:pStyle w:val="P68B1DB1-Normal13"/>
              <w:spacing w:after="0" w:line="240" w:lineRule="auto"/>
              <w:ind w:left="57" w:right="57"/>
              <w:jc w:val="both"/>
              <w:rPr>
                <w:noProof/>
              </w:rPr>
            </w:pPr>
            <w:r>
              <w:rPr>
                <w:noProof/>
              </w:rPr>
              <w:t>En outre, l'ordonnance couvre:</w:t>
            </w:r>
          </w:p>
          <w:p w14:paraId="78EA742C" w14:textId="50591C0B" w:rsidR="00F74E13" w:rsidRDefault="009274FC">
            <w:pPr>
              <w:pStyle w:val="P68B1DB1-ListParagraph14"/>
              <w:numPr>
                <w:ilvl w:val="0"/>
                <w:numId w:val="68"/>
              </w:numPr>
              <w:spacing w:after="0" w:line="240" w:lineRule="auto"/>
              <w:ind w:left="416" w:right="57" w:hanging="274"/>
              <w:jc w:val="both"/>
              <w:rPr>
                <w:noProof/>
              </w:rPr>
            </w:pPr>
            <w:r>
              <w:rPr>
                <w:noProof/>
              </w:rPr>
              <w:t>les procédures de suivi et d’évaluation de la fourniture de services sociaux par les entités responsables;</w:t>
            </w:r>
          </w:p>
          <w:p w14:paraId="1CEBDF35" w14:textId="277B7C41" w:rsidR="00F74E13" w:rsidRDefault="009274FC">
            <w:pPr>
              <w:pStyle w:val="P68B1DB1-ListParagraph14"/>
              <w:numPr>
                <w:ilvl w:val="0"/>
                <w:numId w:val="68"/>
              </w:numPr>
              <w:spacing w:after="0" w:line="240" w:lineRule="auto"/>
              <w:ind w:left="416" w:right="57" w:hanging="274"/>
              <w:jc w:val="both"/>
              <w:rPr>
                <w:noProof/>
              </w:rPr>
            </w:pPr>
            <w:r>
              <w:rPr>
                <w:noProof/>
              </w:rPr>
              <w:t>les normes relatives aux qualifications et au développement professionnel du personnel fournissant des services sociaux.</w:t>
            </w:r>
          </w:p>
        </w:tc>
      </w:tr>
      <w:tr w:rsidR="00F74E13" w14:paraId="1CEBDF44"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37" w14:textId="77777777" w:rsidR="00F74E13" w:rsidRDefault="009274FC">
            <w:pPr>
              <w:pStyle w:val="P68B1DB1-Normal13"/>
              <w:jc w:val="center"/>
              <w:rPr>
                <w:rFonts w:cs="Times New Roman"/>
                <w:noProof/>
              </w:rPr>
            </w:pPr>
            <w:r>
              <w:rPr>
                <w:noProof/>
              </w:rPr>
              <w:t>291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38" w14:textId="77777777" w:rsidR="00F74E13" w:rsidRDefault="009274FC">
            <w:pPr>
              <w:pStyle w:val="P68B1DB1-Normal13"/>
              <w:spacing w:line="240" w:lineRule="auto"/>
              <w:ind w:left="57" w:right="57"/>
              <w:rPr>
                <w:noProof/>
              </w:rPr>
            </w:pPr>
            <w:r>
              <w:rPr>
                <w:noProof/>
              </w:rPr>
              <w:t>C11.R2 : Réforme des services sociaux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39" w14:textId="77777777"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3A" w14:textId="77777777" w:rsidR="00F74E13" w:rsidRDefault="009274FC">
            <w:pPr>
              <w:pStyle w:val="P68B1DB1-Normal13"/>
              <w:spacing w:line="240" w:lineRule="auto"/>
              <w:ind w:left="57" w:right="57"/>
              <w:rPr>
                <w:noProof/>
              </w:rPr>
            </w:pPr>
            <w:r>
              <w:rPr>
                <w:noProof/>
              </w:rPr>
              <w:t>Entrée en vigueur du ou des actes juridiques sur la carte nationale des services sociaux</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3B" w14:textId="77777777" w:rsidR="00F74E13" w:rsidRDefault="009274FC">
            <w:pPr>
              <w:pStyle w:val="P68B1DB1-Normal13"/>
              <w:spacing w:line="240" w:lineRule="auto"/>
              <w:ind w:left="57" w:right="57"/>
              <w:rPr>
                <w:noProof/>
              </w:rPr>
            </w:pPr>
            <w:r>
              <w:rPr>
                <w:noProof/>
              </w:rPr>
              <w:t>Disposition du ou des actes juridiques indiquant l’entrée en vigueur</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3C"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3D" w14:textId="77777777" w:rsidR="00F74E13" w:rsidRDefault="00F74E13">
            <w:pPr>
              <w:spacing w:line="240" w:lineRule="auto"/>
              <w:ind w:left="57" w:right="57"/>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3E"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3F"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40"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41" w14:textId="77777777" w:rsidR="00F74E13" w:rsidRDefault="009274FC">
            <w:pPr>
              <w:pStyle w:val="P68B1DB1-Normal13"/>
              <w:spacing w:after="0" w:line="240" w:lineRule="auto"/>
              <w:ind w:left="57" w:right="57"/>
              <w:jc w:val="both"/>
              <w:rPr>
                <w:rFonts w:cs="Times New Roman"/>
                <w:noProof/>
              </w:rPr>
            </w:pPr>
            <w:r>
              <w:rPr>
                <w:noProof/>
              </w:rPr>
              <w:t>La carte nationale des services sociaux couvre:</w:t>
            </w:r>
          </w:p>
          <w:p w14:paraId="0CE6A1FB" w14:textId="77777777" w:rsidR="00F74E13" w:rsidRDefault="009274FC">
            <w:pPr>
              <w:pStyle w:val="P68B1DB1-ListParagraph14"/>
              <w:numPr>
                <w:ilvl w:val="0"/>
                <w:numId w:val="68"/>
              </w:numPr>
              <w:spacing w:after="0" w:line="240" w:lineRule="auto"/>
              <w:ind w:left="274" w:right="57" w:hanging="142"/>
              <w:jc w:val="both"/>
              <w:rPr>
                <w:noProof/>
              </w:rPr>
            </w:pPr>
            <w:r>
              <w:rPr>
                <w:noProof/>
              </w:rPr>
              <w:t>une liste des services sociaux au niveau des municipalités et des districts financés en tout ou en partie par le budget de l'État;</w:t>
            </w:r>
          </w:p>
          <w:p w14:paraId="1CEBDF43" w14:textId="475A8DB9" w:rsidR="00F74E13" w:rsidRDefault="009274FC">
            <w:pPr>
              <w:pStyle w:val="P68B1DB1-ListParagraph14"/>
              <w:numPr>
                <w:ilvl w:val="0"/>
                <w:numId w:val="68"/>
              </w:numPr>
              <w:spacing w:after="0" w:line="240" w:lineRule="auto"/>
              <w:ind w:left="274" w:right="57" w:hanging="142"/>
              <w:jc w:val="both"/>
              <w:rPr>
                <w:noProof/>
              </w:rPr>
            </w:pPr>
            <w:r>
              <w:rPr>
                <w:noProof/>
              </w:rPr>
              <w:t>le nombre maximal d'utilisateurs pour chaque service social financé en tout ou en partie par le budget de l'État.</w:t>
            </w:r>
          </w:p>
        </w:tc>
      </w:tr>
      <w:tr w:rsidR="00F74E13" w14:paraId="1CEBDF52"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45" w14:textId="77777777" w:rsidR="00F74E13" w:rsidRDefault="009274FC">
            <w:pPr>
              <w:pStyle w:val="P68B1DB1-Normal13"/>
              <w:jc w:val="center"/>
              <w:rPr>
                <w:noProof/>
              </w:rPr>
            </w:pPr>
            <w:r>
              <w:rPr>
                <w:noProof/>
              </w:rPr>
              <w:t>293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46" w14:textId="77777777" w:rsidR="00F74E13" w:rsidRDefault="009274FC">
            <w:pPr>
              <w:pStyle w:val="P68B1DB1-Normal68"/>
              <w:spacing w:line="240" w:lineRule="auto"/>
              <w:ind w:left="57" w:right="57"/>
              <w:rPr>
                <w:noProof/>
              </w:rPr>
            </w:pPr>
            <w:r>
              <w:rPr>
                <w:noProof/>
              </w:rPr>
              <w:t>C11.I1 : Travaux d'infrastructure dans les établissements de soins de longue durée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47" w14:textId="77777777" w:rsidR="00F74E13" w:rsidRDefault="009274FC">
            <w:pPr>
              <w:pStyle w:val="P68B1DB1-Normal12"/>
              <w:spacing w:line="240" w:lineRule="auto"/>
              <w:ind w:left="57" w:right="57"/>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48" w14:textId="43AE7D57" w:rsidR="00F74E13" w:rsidRDefault="009274FC">
            <w:pPr>
              <w:pStyle w:val="P68B1DB1-Normal13"/>
              <w:spacing w:line="240" w:lineRule="auto"/>
              <w:ind w:left="57" w:right="57"/>
              <w:rPr>
                <w:noProof/>
              </w:rPr>
            </w:pPr>
            <w:r>
              <w:rPr>
                <w:noProof/>
              </w:rPr>
              <w:t>Rénovation et/ou construction d'établissements de soins résidentiels, d'établissements d'accompagnement de services sociaux spécialisés et consultatifs aux personnes handicapées et de foyers pour personnes âgées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49" w14:textId="77777777" w:rsidR="00F74E13" w:rsidRDefault="00F74E13">
            <w:pPr>
              <w:spacing w:line="240" w:lineRule="auto"/>
              <w:ind w:left="57" w:right="57"/>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4A" w14:textId="4688ED49" w:rsidR="00F74E13" w:rsidRDefault="009274FC">
            <w:pPr>
              <w:pStyle w:val="P68B1DB1-Normal15"/>
              <w:spacing w:line="240" w:lineRule="auto"/>
              <w:ind w:left="57" w:right="57"/>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4B" w14:textId="77777777" w:rsidR="00F74E13" w:rsidRDefault="009274FC">
            <w:pPr>
              <w:pStyle w:val="P68B1DB1-Normal15"/>
              <w:spacing w:line="240" w:lineRule="auto"/>
              <w:ind w:left="57" w:right="57"/>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4C" w14:textId="7E92BCE9" w:rsidR="00F74E13" w:rsidRDefault="009274FC">
            <w:pPr>
              <w:pStyle w:val="P68B1DB1-Normal12"/>
              <w:spacing w:line="240" w:lineRule="auto"/>
              <w:ind w:left="57" w:right="57"/>
              <w:jc w:val="center"/>
              <w:rPr>
                <w:noProof/>
              </w:rPr>
            </w:pPr>
            <w:r>
              <w:rPr>
                <w:noProof/>
              </w:rPr>
              <w:t>250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4D" w14:textId="32DF9774"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4E" w14:textId="77777777" w:rsidR="00F74E13" w:rsidRDefault="009274FC">
            <w:pPr>
              <w:pStyle w:val="P68B1DB1-Normal12"/>
              <w:spacing w:line="240" w:lineRule="auto"/>
              <w:ind w:left="57" w:right="57"/>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51" w14:textId="2A22BFAF" w:rsidR="00F74E13" w:rsidRDefault="009274FC">
            <w:pPr>
              <w:pStyle w:val="P68B1DB1-Normal13"/>
              <w:spacing w:after="0" w:line="240" w:lineRule="auto"/>
              <w:ind w:left="57" w:right="57"/>
              <w:jc w:val="both"/>
              <w:rPr>
                <w:noProof/>
              </w:rPr>
            </w:pPr>
            <w:r>
              <w:rPr>
                <w:noProof/>
              </w:rPr>
              <w:t>Un total de 250 des éléments suivants: les logements pour personnes âgées, les établissements de soins résidentiels et les établissements d’accompagnement de services sociaux spécialisés et de conseil aux personnes handicapées doivent être rénovés et/ou construits.</w:t>
            </w:r>
          </w:p>
        </w:tc>
      </w:tr>
      <w:tr w:rsidR="00F74E13" w14:paraId="1CEBDF5F"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53" w14:textId="77777777" w:rsidR="00F74E13" w:rsidRDefault="009274FC">
            <w:pPr>
              <w:pStyle w:val="P68B1DB1-Normal13"/>
              <w:jc w:val="center"/>
              <w:rPr>
                <w:noProof/>
              </w:rPr>
            </w:pPr>
            <w:r>
              <w:rPr>
                <w:noProof/>
              </w:rPr>
              <w:t>297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54" w14:textId="77777777" w:rsidR="00F74E13" w:rsidRDefault="009274FC">
            <w:pPr>
              <w:pStyle w:val="P68B1DB1-Normal13"/>
              <w:spacing w:line="240" w:lineRule="auto"/>
              <w:ind w:left="57" w:right="57"/>
              <w:rPr>
                <w:noProof/>
              </w:rPr>
            </w:pPr>
            <w:r>
              <w:rPr>
                <w:noProof/>
              </w:rPr>
              <w:t>C11.I2 : Fourniture de dispositifs d’assistance aux personnes handicapées permanentes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55" w14:textId="77777777" w:rsidR="00F74E13" w:rsidRDefault="009274FC">
            <w:pPr>
              <w:pStyle w:val="P68B1DB1-Normal13"/>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56" w14:textId="77777777" w:rsidR="00F74E13" w:rsidRDefault="009274FC">
            <w:pPr>
              <w:pStyle w:val="P68B1DB1-Normal13"/>
              <w:spacing w:line="240" w:lineRule="auto"/>
              <w:ind w:left="57" w:right="57"/>
              <w:rPr>
                <w:noProof/>
              </w:rPr>
            </w:pPr>
            <w:r>
              <w:rPr>
                <w:noProof/>
              </w:rPr>
              <w:t>Méthodologie de sélection des personnes handicapées permanentes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57" w14:textId="77777777" w:rsidR="00F74E13" w:rsidRDefault="009274FC">
            <w:pPr>
              <w:pStyle w:val="P68B1DB1-Normal13"/>
              <w:spacing w:line="240" w:lineRule="auto"/>
              <w:ind w:left="57" w:right="57"/>
              <w:rPr>
                <w:noProof/>
              </w:rPr>
            </w:pPr>
            <w:r>
              <w:rPr>
                <w:noProof/>
              </w:rPr>
              <w:t xml:space="preserve">Adoption par le Ministère du travail et de la politique sociale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58"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59" w14:textId="77777777" w:rsidR="00F74E13" w:rsidRDefault="00F74E13">
            <w:pPr>
              <w:spacing w:line="240" w:lineRule="auto"/>
              <w:ind w:left="57" w:right="57"/>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5A"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5B" w14:textId="77777777" w:rsidR="00F74E13" w:rsidRDefault="009274FC">
            <w:pPr>
              <w:pStyle w:val="P68B1DB1-Normal12"/>
              <w:spacing w:line="240" w:lineRule="auto"/>
              <w:ind w:left="57" w:right="57"/>
              <w:jc w:val="center"/>
              <w:rPr>
                <w:noProof/>
              </w:rPr>
            </w:pPr>
            <w:r>
              <w:rPr>
                <w:noProof/>
              </w:rPr>
              <w:t>T4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5C" w14:textId="77777777" w:rsidR="00F74E13" w:rsidRDefault="009274FC">
            <w:pPr>
              <w:pStyle w:val="P68B1DB1-Normal12"/>
              <w:spacing w:line="240" w:lineRule="auto"/>
              <w:ind w:left="57" w:right="57"/>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5D" w14:textId="77777777" w:rsidR="00F74E13" w:rsidRDefault="009274FC">
            <w:pPr>
              <w:pStyle w:val="P68B1DB1-Normal13"/>
              <w:spacing w:line="240" w:lineRule="auto"/>
              <w:ind w:left="57" w:right="57"/>
              <w:jc w:val="both"/>
              <w:rPr>
                <w:noProof/>
              </w:rPr>
            </w:pPr>
            <w:r>
              <w:rPr>
                <w:noProof/>
              </w:rPr>
              <w:t xml:space="preserve">Une méthode déterminant la procédure de sélection pour attribuer des dispositifs d’assistance aux personnes souffrant d’un handicap permanent est adoptée. </w:t>
            </w:r>
          </w:p>
          <w:p w14:paraId="1CEBDF5E" w14:textId="77777777" w:rsidR="00F74E13" w:rsidRDefault="009274FC">
            <w:pPr>
              <w:pStyle w:val="P68B1DB1-Normal13"/>
              <w:spacing w:line="240" w:lineRule="auto"/>
              <w:ind w:left="57" w:right="57"/>
              <w:jc w:val="both"/>
              <w:rPr>
                <w:noProof/>
              </w:rPr>
            </w:pPr>
            <w:r>
              <w:rPr>
                <w:noProof/>
              </w:rPr>
              <w:t>La méthodologie est élaborée en tenant compte de la santé et des besoins spécifiques ainsi que des caractéristiques sociodémographiques des personnes handicapées permanentes.</w:t>
            </w:r>
          </w:p>
        </w:tc>
      </w:tr>
      <w:tr w:rsidR="00F74E13" w14:paraId="1CEBDF6C"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60" w14:textId="77777777" w:rsidR="00F74E13" w:rsidRDefault="009274FC">
            <w:pPr>
              <w:pStyle w:val="P68B1DB1-Normal12"/>
              <w:jc w:val="center"/>
              <w:rPr>
                <w:noProof/>
              </w:rPr>
            </w:pPr>
            <w:r>
              <w:rPr>
                <w:noProof/>
              </w:rPr>
              <w:t>298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1" w14:textId="77777777" w:rsidR="00F74E13" w:rsidRDefault="009274FC">
            <w:pPr>
              <w:pStyle w:val="P68B1DB1-Normal15"/>
              <w:spacing w:line="240" w:lineRule="auto"/>
              <w:ind w:left="57" w:right="57"/>
              <w:rPr>
                <w:noProof/>
              </w:rPr>
            </w:pPr>
            <w:r>
              <w:rPr>
                <w:noProof/>
              </w:rPr>
              <w:t>C11.I2 : Fourniture de dispositifs d’assistance aux personnes handicapées permanentes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62" w14:textId="77777777"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3" w14:textId="77777777" w:rsidR="00F74E13" w:rsidRDefault="009274FC">
            <w:pPr>
              <w:pStyle w:val="P68B1DB1-Normal13"/>
              <w:spacing w:line="240" w:lineRule="auto"/>
              <w:ind w:left="57" w:right="57"/>
              <w:rPr>
                <w:noProof/>
              </w:rPr>
            </w:pPr>
            <w:r>
              <w:rPr>
                <w:noProof/>
              </w:rPr>
              <w:t>Sélection de personnes ayant une incapacité permanente à recevoir des appareils d'assistance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64" w14:textId="6E36A47A" w:rsidR="00F74E13" w:rsidRDefault="009274FC">
            <w:pPr>
              <w:pStyle w:val="P68B1DB1-Normal13"/>
              <w:spacing w:line="240" w:lineRule="auto"/>
              <w:ind w:left="57" w:right="57"/>
              <w:rPr>
                <w:noProof/>
              </w:rPr>
            </w:pPr>
            <w:r>
              <w:rPr>
                <w:noProof/>
              </w:rPr>
              <w:t>Approbation de la sélection de personnes ayant une déficience permanente pour recevoir des appareils d'assistance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65"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66"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67"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68"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69" w14:textId="77777777" w:rsidR="00F74E13" w:rsidRDefault="009274FC">
            <w:pPr>
              <w:pStyle w:val="P68B1DB1-Normal12"/>
              <w:spacing w:line="240" w:lineRule="auto"/>
              <w:ind w:left="57" w:right="57"/>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6B" w14:textId="06E0C532" w:rsidR="00F74E13" w:rsidRDefault="009274FC">
            <w:pPr>
              <w:pStyle w:val="P68B1DB1-Normal13"/>
              <w:spacing w:line="240" w:lineRule="auto"/>
              <w:ind w:left="57" w:right="57"/>
              <w:jc w:val="both"/>
              <w:rPr>
                <w:noProof/>
              </w:rPr>
            </w:pPr>
            <w:r>
              <w:rPr>
                <w:noProof/>
              </w:rPr>
              <w:t>La sélection de 2 148 personnes handicapées permanentes pour recevoir des dispositifs d'assistance doit être approuvée.</w:t>
            </w:r>
          </w:p>
        </w:tc>
      </w:tr>
      <w:tr w:rsidR="00F74E13" w14:paraId="1CEBDF78"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6D" w14:textId="77777777" w:rsidR="00F74E13" w:rsidRDefault="009274FC">
            <w:pPr>
              <w:pStyle w:val="P68B1DB1-Normal13"/>
              <w:jc w:val="center"/>
              <w:rPr>
                <w:noProof/>
              </w:rPr>
            </w:pPr>
            <w:r>
              <w:rPr>
                <w:noProof/>
              </w:rPr>
              <w:t> 299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E" w14:textId="77777777" w:rsidR="00F74E13" w:rsidRDefault="009274FC">
            <w:pPr>
              <w:pStyle w:val="P68B1DB1-Normal13"/>
              <w:spacing w:line="240" w:lineRule="auto"/>
              <w:ind w:left="57" w:right="57"/>
              <w:rPr>
                <w:noProof/>
              </w:rPr>
            </w:pPr>
            <w:r>
              <w:rPr>
                <w:noProof/>
              </w:rPr>
              <w:t>C11.I3 : Développement de l'économie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6F" w14:textId="77777777" w:rsidR="00F74E13" w:rsidRDefault="009274FC">
            <w:pPr>
              <w:pStyle w:val="P68B1DB1-Normal12"/>
              <w:spacing w:line="240" w:lineRule="auto"/>
              <w:ind w:left="57" w:right="57"/>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0" w14:textId="77777777" w:rsidR="00F74E13" w:rsidRDefault="009274FC">
            <w:pPr>
              <w:pStyle w:val="P68B1DB1-Normal13"/>
              <w:spacing w:line="240" w:lineRule="auto"/>
              <w:ind w:left="57" w:right="57"/>
              <w:rPr>
                <w:noProof/>
              </w:rPr>
            </w:pPr>
            <w:r>
              <w:rPr>
                <w:noProof/>
              </w:rPr>
              <w:t xml:space="preserve">Construction et équipement de 6 centres d'intérêt régionaux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71" w14:textId="77777777" w:rsidR="00F74E13" w:rsidRDefault="00F74E13">
            <w:pPr>
              <w:spacing w:line="240" w:lineRule="auto"/>
              <w:ind w:left="57" w:right="57"/>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72" w14:textId="77777777" w:rsidR="00F74E13" w:rsidRDefault="009274FC">
            <w:pPr>
              <w:pStyle w:val="P68B1DB1-Normal12"/>
              <w:spacing w:line="240" w:lineRule="auto"/>
              <w:ind w:left="57" w:right="57"/>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73" w14:textId="77777777" w:rsidR="00F74E13" w:rsidRDefault="009274FC">
            <w:pPr>
              <w:pStyle w:val="P68B1DB1-Normal12"/>
              <w:spacing w:line="240" w:lineRule="auto"/>
              <w:ind w:left="57" w:right="57"/>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74" w14:textId="77777777" w:rsidR="00F74E13" w:rsidRDefault="009274FC">
            <w:pPr>
              <w:pStyle w:val="P68B1DB1-Normal13"/>
              <w:spacing w:line="240" w:lineRule="auto"/>
              <w:ind w:left="57" w:right="57"/>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75" w14:textId="77777777" w:rsidR="00F74E13" w:rsidRDefault="009274FC">
            <w:pPr>
              <w:pStyle w:val="P68B1DB1-Normal12"/>
              <w:spacing w:line="240" w:lineRule="auto"/>
              <w:ind w:left="57" w:right="57"/>
              <w:jc w:val="center"/>
              <w:rPr>
                <w:noProof/>
              </w:rPr>
            </w:pPr>
            <w:r>
              <w:rPr>
                <w:noProof/>
              </w:rPr>
              <w:t>T4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76" w14:textId="77777777" w:rsidR="00F74E13" w:rsidRDefault="009274FC">
            <w:pPr>
              <w:pStyle w:val="P68B1DB1-Normal12"/>
              <w:spacing w:line="240" w:lineRule="auto"/>
              <w:ind w:left="57" w:right="57"/>
              <w:jc w:val="center"/>
              <w:rPr>
                <w:noProof/>
              </w:rPr>
            </w:pPr>
            <w:r>
              <w:rPr>
                <w:noProof/>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77" w14:textId="77FBD050" w:rsidR="00F74E13" w:rsidRDefault="009274FC">
            <w:pPr>
              <w:pStyle w:val="P68B1DB1-Normal36"/>
              <w:spacing w:line="240" w:lineRule="auto"/>
              <w:ind w:left="57" w:right="57"/>
              <w:jc w:val="both"/>
              <w:rPr>
                <w:noProof/>
                <w:color w:val="006100"/>
              </w:rPr>
            </w:pPr>
            <w:r>
              <w:rPr>
                <w:noProof/>
                <w:color w:val="006100"/>
              </w:rPr>
              <w:t>Les travaux de construction et/ou de rénovation seront finalisés pour 6 centres d’intérêt régionaux.</w:t>
            </w:r>
            <w:r>
              <w:rPr>
                <w:noProof/>
              </w:rPr>
              <w:t xml:space="preserve"> </w:t>
            </w:r>
            <w:r>
              <w:rPr>
                <w:noProof/>
                <w:color w:val="006100"/>
              </w:rPr>
              <w:t>En outre, les équipements, y compris les meubles, doivent être livrés et installés.</w:t>
            </w:r>
          </w:p>
        </w:tc>
      </w:tr>
      <w:tr w:rsidR="00F74E13" w14:paraId="1CEBDF84"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79" w14:textId="77777777" w:rsidR="00F74E13" w:rsidRDefault="009274FC">
            <w:pPr>
              <w:pStyle w:val="P68B1DB1-Normal13"/>
              <w:jc w:val="center"/>
              <w:rPr>
                <w:noProof/>
              </w:rPr>
            </w:pPr>
            <w:r>
              <w:rPr>
                <w:noProof/>
              </w:rPr>
              <w:t> 303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A" w14:textId="77777777" w:rsidR="00F74E13" w:rsidRDefault="009274FC">
            <w:pPr>
              <w:pStyle w:val="P68B1DB1-Normal68"/>
              <w:spacing w:line="240" w:lineRule="auto"/>
              <w:ind w:left="57" w:right="57"/>
              <w:rPr>
                <w:noProof/>
              </w:rPr>
            </w:pPr>
            <w:r>
              <w:rPr>
                <w:noProof/>
              </w:rPr>
              <w:t xml:space="preserve">C11.I4 : Rénovation de l'Agence d'assistance sociale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7B" w14:textId="77777777"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C" w14:textId="77777777" w:rsidR="00F74E13" w:rsidRDefault="009274FC">
            <w:pPr>
              <w:pStyle w:val="P68B1DB1-Normal13"/>
              <w:spacing w:line="240" w:lineRule="auto"/>
              <w:ind w:left="57" w:right="57"/>
              <w:rPr>
                <w:noProof/>
              </w:rPr>
            </w:pPr>
            <w:r>
              <w:rPr>
                <w:noProof/>
              </w:rPr>
              <w:t>Signature des contrats pour les structures territoriales de l'Agence d'Assistance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7D" w14:textId="77777777" w:rsidR="00F74E13" w:rsidRDefault="009274FC">
            <w:pPr>
              <w:pStyle w:val="P68B1DB1-Normal13"/>
              <w:spacing w:line="240" w:lineRule="auto"/>
              <w:ind w:left="57" w:right="57"/>
              <w:rPr>
                <w:noProof/>
              </w:rPr>
            </w:pPr>
            <w:r>
              <w:rPr>
                <w:noProof/>
              </w:rPr>
              <w:t>Contrats signés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7E"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7F"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80"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1"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82"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83" w14:textId="77777777" w:rsidR="00F74E13" w:rsidRDefault="009274FC">
            <w:pPr>
              <w:pStyle w:val="P68B1DB1-Normal13"/>
              <w:spacing w:after="0" w:line="240" w:lineRule="auto"/>
              <w:ind w:left="57" w:right="57"/>
              <w:jc w:val="both"/>
              <w:rPr>
                <w:noProof/>
              </w:rPr>
            </w:pPr>
            <w:r>
              <w:rPr>
                <w:noProof/>
              </w:rPr>
              <w:t>En ce qui concerne les structures territoriales de l’Agence d’assistance sociale, les contrats couvrent les travaux de rénovation ou la livraison d’appareils de climatisation ou la livraison de dispositifs d’escalade.</w:t>
            </w:r>
          </w:p>
        </w:tc>
      </w:tr>
      <w:tr w:rsidR="00F74E13" w14:paraId="1CEBDF94"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85" w14:textId="77777777" w:rsidR="00F74E13" w:rsidRDefault="009274FC">
            <w:pPr>
              <w:pStyle w:val="P68B1DB1-Normal13"/>
              <w:jc w:val="center"/>
              <w:rPr>
                <w:rFonts w:cs="Times New Roman"/>
                <w:noProof/>
              </w:rPr>
            </w:pPr>
            <w:r>
              <w:rPr>
                <w:noProof/>
              </w:rPr>
              <w:t> 304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86" w14:textId="77777777" w:rsidR="00F74E13" w:rsidRDefault="009274FC">
            <w:pPr>
              <w:pStyle w:val="P68B1DB1-Normal13"/>
              <w:spacing w:line="240" w:lineRule="auto"/>
              <w:ind w:left="57" w:right="57"/>
              <w:rPr>
                <w:noProof/>
              </w:rPr>
            </w:pPr>
            <w:r>
              <w:rPr>
                <w:noProof/>
              </w:rPr>
              <w:t xml:space="preserve">C11.I4 : Rénovation de l'Agence d'assistance sociale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87" w14:textId="77777777" w:rsidR="00F74E13" w:rsidRDefault="009274FC">
            <w:pPr>
              <w:pStyle w:val="P68B1DB1-Normal12"/>
              <w:spacing w:line="240" w:lineRule="auto"/>
              <w:ind w:left="57" w:right="57"/>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88" w14:textId="77777777" w:rsidR="00F74E13" w:rsidRDefault="009274FC">
            <w:pPr>
              <w:pStyle w:val="P68B1DB1-Normal13"/>
              <w:spacing w:after="0" w:line="240" w:lineRule="auto"/>
              <w:ind w:left="57" w:right="57"/>
              <w:rPr>
                <w:noProof/>
              </w:rPr>
            </w:pPr>
            <w:r>
              <w:rPr>
                <w:noProof/>
              </w:rPr>
              <w:t>Rénovation des structures territoriales de l'Agence d'assistance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89" w14:textId="77777777" w:rsidR="00F74E13" w:rsidRDefault="00F74E13">
            <w:pPr>
              <w:spacing w:line="240" w:lineRule="auto"/>
              <w:ind w:left="57" w:right="57"/>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8A" w14:textId="77777777" w:rsidR="00F74E13" w:rsidRDefault="009274FC">
            <w:pPr>
              <w:pStyle w:val="P68B1DB1-Normal12"/>
              <w:spacing w:line="240" w:lineRule="auto"/>
              <w:ind w:left="57" w:right="57"/>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B" w14:textId="77777777" w:rsidR="00F74E13" w:rsidRDefault="009274FC">
            <w:pPr>
              <w:pStyle w:val="P68B1DB1-Normal12"/>
              <w:spacing w:line="240" w:lineRule="auto"/>
              <w:ind w:left="57" w:right="57"/>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8C" w14:textId="77777777" w:rsidR="00F74E13" w:rsidRDefault="009274FC">
            <w:pPr>
              <w:pStyle w:val="P68B1DB1-Normal12"/>
              <w:spacing w:line="240" w:lineRule="auto"/>
              <w:ind w:left="57" w:right="57"/>
              <w:jc w:val="center"/>
              <w:rPr>
                <w:noProof/>
              </w:rPr>
            </w:pPr>
            <w:r>
              <w:rPr>
                <w:noProof/>
              </w:rPr>
              <w:t>419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D" w14:textId="77777777" w:rsidR="00F74E13" w:rsidRDefault="009274FC">
            <w:pPr>
              <w:pStyle w:val="P68B1DB1-Normal12"/>
              <w:spacing w:line="240" w:lineRule="auto"/>
              <w:ind w:left="57" w:right="57"/>
              <w:jc w:val="center"/>
              <w:rPr>
                <w:noProof/>
              </w:rPr>
            </w:pPr>
            <w:r>
              <w:rPr>
                <w:noProof/>
              </w:rPr>
              <w:t>T4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8E"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8F" w14:textId="77777777" w:rsidR="00F74E13" w:rsidRDefault="009274FC">
            <w:pPr>
              <w:pStyle w:val="P68B1DB1-Normal13"/>
              <w:spacing w:after="0" w:line="240" w:lineRule="auto"/>
              <w:ind w:left="57" w:right="57"/>
              <w:jc w:val="both"/>
              <w:rPr>
                <w:noProof/>
              </w:rPr>
            </w:pPr>
            <w:r>
              <w:rPr>
                <w:noProof/>
              </w:rPr>
              <w:t>Les travaux de rénovation de 91 structures territoriales de l'Agence d'assistance sociale seront effectués.</w:t>
            </w:r>
          </w:p>
          <w:p w14:paraId="1CEBDF91" w14:textId="77777777" w:rsidR="00F74E13" w:rsidRDefault="009274FC">
            <w:pPr>
              <w:pStyle w:val="P68B1DB1-Normal13"/>
              <w:spacing w:before="120" w:after="0" w:line="240" w:lineRule="auto"/>
              <w:ind w:left="57" w:right="57"/>
              <w:jc w:val="both"/>
              <w:rPr>
                <w:noProof/>
              </w:rPr>
            </w:pPr>
            <w:r>
              <w:rPr>
                <w:noProof/>
              </w:rPr>
              <w:t>Les appareils de climatisation dans 181 structures territoriales de l’Agence d’assistance sociale doivent être livrés.</w:t>
            </w:r>
          </w:p>
          <w:p w14:paraId="1CEBDF93" w14:textId="77777777" w:rsidR="00F74E13" w:rsidRDefault="009274FC">
            <w:pPr>
              <w:pStyle w:val="P68B1DB1-Normal13"/>
              <w:spacing w:before="120" w:after="0" w:line="240" w:lineRule="auto"/>
              <w:ind w:left="57" w:right="57"/>
              <w:jc w:val="both"/>
              <w:rPr>
                <w:noProof/>
              </w:rPr>
            </w:pPr>
            <w:r>
              <w:rPr>
                <w:noProof/>
              </w:rPr>
              <w:t>Des dispositifs d'escalade dans 147 structures territoriales de l'Agence d'assistance sociale seront livrés.</w:t>
            </w:r>
          </w:p>
        </w:tc>
      </w:tr>
      <w:tr w:rsidR="00F74E13" w14:paraId="1CEBDFA7"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95" w14:textId="77777777" w:rsidR="00F74E13" w:rsidRDefault="009274FC">
            <w:pPr>
              <w:pStyle w:val="P68B1DB1-Normal15"/>
              <w:jc w:val="center"/>
              <w:rPr>
                <w:noProof/>
              </w:rPr>
            </w:pPr>
            <w:r>
              <w:rPr>
                <w:noProof/>
              </w:rPr>
              <w:t>306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96" w14:textId="77777777" w:rsidR="00F74E13" w:rsidRDefault="009274FC">
            <w:pPr>
              <w:pStyle w:val="P68B1DB1-Normal13"/>
              <w:spacing w:line="240" w:lineRule="auto"/>
              <w:ind w:left="57" w:right="57"/>
              <w:rPr>
                <w:noProof/>
              </w:rPr>
            </w:pPr>
            <w:r>
              <w:rPr>
                <w:noProof/>
              </w:rPr>
              <w:t>C11.I5: Services numériques à l’Agence pour l’emploi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97" w14:textId="77777777" w:rsidR="00F74E13" w:rsidRDefault="009274FC">
            <w:pPr>
              <w:pStyle w:val="P68B1DB1-Normal13"/>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98" w14:textId="77777777" w:rsidR="00F74E13" w:rsidRDefault="009274FC">
            <w:pPr>
              <w:pStyle w:val="P68B1DB1-Normal13"/>
              <w:spacing w:line="240" w:lineRule="auto"/>
              <w:ind w:left="57" w:right="57"/>
              <w:rPr>
                <w:noProof/>
              </w:rPr>
            </w:pPr>
            <w:r>
              <w:rPr>
                <w:noProof/>
              </w:rPr>
              <w:t>Services numériques pour l’Agence pour l’emploi</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99" w14:textId="588D552A" w:rsidR="00F74E13" w:rsidRDefault="009274FC">
            <w:pPr>
              <w:pStyle w:val="P68B1DB1-Normal13"/>
              <w:spacing w:line="240" w:lineRule="auto"/>
              <w:ind w:left="57" w:right="57"/>
              <w:rPr>
                <w:noProof/>
              </w:rPr>
            </w:pPr>
            <w:r>
              <w:rPr>
                <w:noProof/>
              </w:rPr>
              <w:t xml:space="preserve">Accès aux services numériques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9A"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9B" w14:textId="77777777" w:rsidR="00F74E13" w:rsidRDefault="00F74E13">
            <w:pPr>
              <w:spacing w:line="240" w:lineRule="auto"/>
              <w:ind w:left="57" w:right="57"/>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9C"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9D"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9E" w14:textId="77777777" w:rsidR="00F74E13" w:rsidRDefault="009274FC">
            <w:pPr>
              <w:pStyle w:val="P68B1DB1-Normal12"/>
              <w:spacing w:line="240" w:lineRule="auto"/>
              <w:ind w:left="57" w:right="57"/>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9F" w14:textId="77777777" w:rsidR="00F74E13" w:rsidRDefault="009274FC">
            <w:pPr>
              <w:pStyle w:val="P68B1DB1-Normal13"/>
              <w:spacing w:line="240" w:lineRule="auto"/>
              <w:ind w:left="57" w:right="57"/>
              <w:jc w:val="both"/>
              <w:rPr>
                <w:noProof/>
              </w:rPr>
            </w:pPr>
            <w:r>
              <w:rPr>
                <w:noProof/>
              </w:rPr>
              <w:t>L'Agence pour l'emploi a accès:</w:t>
            </w:r>
          </w:p>
          <w:p w14:paraId="7A797871" w14:textId="77777777" w:rsidR="00F74E13" w:rsidRDefault="009274FC">
            <w:pPr>
              <w:pStyle w:val="P68B1DB1-ListParagraph32"/>
              <w:numPr>
                <w:ilvl w:val="0"/>
                <w:numId w:val="68"/>
              </w:numPr>
              <w:spacing w:after="0" w:line="240" w:lineRule="auto"/>
              <w:ind w:left="416" w:right="57"/>
              <w:jc w:val="both"/>
              <w:rPr>
                <w:noProof/>
              </w:rPr>
            </w:pPr>
            <w:r>
              <w:rPr>
                <w:noProof/>
              </w:rPr>
              <w:t>le système d'information de la base de données nationale;</w:t>
            </w:r>
          </w:p>
          <w:p w14:paraId="17F13719" w14:textId="77777777" w:rsidR="00F74E13" w:rsidRDefault="009274FC">
            <w:pPr>
              <w:pStyle w:val="P68B1DB1-ListParagraph14"/>
              <w:numPr>
                <w:ilvl w:val="0"/>
                <w:numId w:val="68"/>
              </w:numPr>
              <w:spacing w:after="0" w:line="240" w:lineRule="auto"/>
              <w:ind w:left="416" w:right="57"/>
              <w:jc w:val="both"/>
              <w:rPr>
                <w:noProof/>
              </w:rPr>
            </w:pPr>
            <w:r>
              <w:rPr>
                <w:noProof/>
              </w:rPr>
              <w:t xml:space="preserve">la plateforme numérique du laboratoire; </w:t>
            </w:r>
          </w:p>
          <w:p w14:paraId="58D16D41" w14:textId="77777777" w:rsidR="00F74E13" w:rsidRDefault="009274FC">
            <w:pPr>
              <w:pStyle w:val="P68B1DB1-ListParagraph14"/>
              <w:numPr>
                <w:ilvl w:val="0"/>
                <w:numId w:val="68"/>
              </w:numPr>
              <w:spacing w:after="0" w:line="240" w:lineRule="auto"/>
              <w:ind w:left="416" w:right="57"/>
              <w:jc w:val="both"/>
              <w:rPr>
                <w:noProof/>
              </w:rPr>
            </w:pPr>
            <w:r>
              <w:rPr>
                <w:noProof/>
              </w:rPr>
              <w:t xml:space="preserve">l'application qui répertorie les formations professionnelles et les offres d'emploi; </w:t>
            </w:r>
          </w:p>
          <w:p w14:paraId="3320D839" w14:textId="77777777" w:rsidR="00F74E13" w:rsidRDefault="009274FC">
            <w:pPr>
              <w:pStyle w:val="P68B1DB1-ListParagraph14"/>
              <w:numPr>
                <w:ilvl w:val="0"/>
                <w:numId w:val="68"/>
              </w:numPr>
              <w:spacing w:after="0" w:line="240" w:lineRule="auto"/>
              <w:ind w:left="416" w:right="57"/>
              <w:jc w:val="both"/>
              <w:rPr>
                <w:noProof/>
              </w:rPr>
            </w:pPr>
            <w:r>
              <w:rPr>
                <w:noProof/>
              </w:rPr>
              <w:t xml:space="preserve">logiciel de traitement des résultats d'enquêtes; </w:t>
            </w:r>
          </w:p>
          <w:p w14:paraId="1CEBDFA4" w14:textId="5EA6769A" w:rsidR="00F74E13" w:rsidRDefault="009274FC">
            <w:pPr>
              <w:pStyle w:val="P68B1DB1-ListParagraph14"/>
              <w:numPr>
                <w:ilvl w:val="0"/>
                <w:numId w:val="68"/>
              </w:numPr>
              <w:spacing w:after="0" w:line="240" w:lineRule="auto"/>
              <w:ind w:left="416" w:right="57"/>
              <w:jc w:val="both"/>
              <w:rPr>
                <w:noProof/>
              </w:rPr>
            </w:pPr>
            <w:r>
              <w:rPr>
                <w:noProof/>
              </w:rPr>
              <w:t>les services numériques concernant les subventions à l’emploi, les formations et les procédures d’enregistrement pour les demandeurs d’emploi.</w:t>
            </w:r>
          </w:p>
          <w:p w14:paraId="1CEBDFA5" w14:textId="57C10226" w:rsidR="00F74E13" w:rsidRDefault="009274FC">
            <w:pPr>
              <w:pStyle w:val="P68B1DB1-Normal13"/>
              <w:spacing w:line="240" w:lineRule="auto"/>
              <w:ind w:left="57" w:right="57"/>
              <w:jc w:val="both"/>
              <w:rPr>
                <w:noProof/>
              </w:rPr>
            </w:pPr>
            <w:r>
              <w:rPr>
                <w:noProof/>
              </w:rPr>
              <w:t>Le laboratoire numérique et l’application qui répertorie les formations professionnelles et les offres d’emploi sont accessibles au public.</w:t>
            </w:r>
          </w:p>
          <w:p w14:paraId="1CEBDFA6" w14:textId="77777777" w:rsidR="00F74E13" w:rsidRDefault="009274FC">
            <w:pPr>
              <w:pStyle w:val="P68B1DB1-Normal13"/>
              <w:spacing w:line="240" w:lineRule="auto"/>
              <w:ind w:left="57" w:right="57"/>
              <w:jc w:val="both"/>
              <w:rPr>
                <w:noProof/>
              </w:rPr>
            </w:pPr>
            <w:r>
              <w:rPr>
                <w:noProof/>
              </w:rPr>
              <w:t>En outre, 428 tablettes et lecteurs de cartes d'identité seront livrés.</w:t>
            </w:r>
          </w:p>
        </w:tc>
      </w:tr>
      <w:tr w:rsidR="00F74E13" w14:paraId="1CEBDFB5"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A8" w14:textId="77777777" w:rsidR="00F74E13" w:rsidRDefault="009274FC">
            <w:pPr>
              <w:pStyle w:val="P68B1DB1-Normal22"/>
              <w:jc w:val="center"/>
              <w:rPr>
                <w:rFonts w:ascii="Times New Roman" w:hAnsi="Times New Roman" w:cs="Times New Roman"/>
                <w:noProof/>
                <w:szCs w:val="20"/>
              </w:rPr>
            </w:pPr>
            <w:r>
              <w:rPr>
                <w:rFonts w:ascii="Times New Roman" w:hAnsi="Times New Roman"/>
                <w:noProof/>
              </w:rPr>
              <w:t> </w:t>
            </w:r>
            <w:r>
              <w:rPr>
                <w:rFonts w:ascii="Times New Roman" w:hAnsi="Times New Roman" w:cs="Times New Roman"/>
                <w:noProof/>
                <w:szCs w:val="20"/>
              </w:rPr>
              <w:t>307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A9" w14:textId="77777777" w:rsidR="00F74E13" w:rsidRDefault="009274FC">
            <w:pPr>
              <w:pStyle w:val="P68B1DB1-Normal13"/>
              <w:spacing w:line="240" w:lineRule="auto"/>
              <w:ind w:left="57" w:right="57"/>
              <w:rPr>
                <w:noProof/>
              </w:rPr>
            </w:pPr>
            <w:r>
              <w:rPr>
                <w:noProof/>
              </w:rPr>
              <w:t>C11.I6: Soutien au secteur culturel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AA" w14:textId="77777777"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AB" w14:textId="77777777" w:rsidR="00F74E13" w:rsidRDefault="009274FC">
            <w:pPr>
              <w:pStyle w:val="P68B1DB1-Normal13"/>
              <w:spacing w:line="240" w:lineRule="auto"/>
              <w:ind w:left="57" w:right="57"/>
              <w:rPr>
                <w:noProof/>
              </w:rPr>
            </w:pPr>
            <w:r>
              <w:rPr>
                <w:noProof/>
              </w:rPr>
              <w:t>Entrée en vigueur du ou des actes juridiques relatifs au Fonds national de la culture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AC" w14:textId="77777777" w:rsidR="00F74E13" w:rsidRDefault="009274FC">
            <w:pPr>
              <w:pStyle w:val="P68B1DB1-Normal13"/>
              <w:spacing w:line="240" w:lineRule="auto"/>
              <w:ind w:left="57" w:right="57"/>
              <w:rPr>
                <w:noProof/>
              </w:rPr>
            </w:pPr>
            <w:r>
              <w:rPr>
                <w:noProof/>
              </w:rPr>
              <w:t xml:space="preserve">Disposition du ou des actes juridiques indiquant l’entrée en vigueur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AD"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AE" w14:textId="77777777" w:rsidR="00F74E13" w:rsidRDefault="00F74E13">
            <w:pPr>
              <w:spacing w:line="240" w:lineRule="auto"/>
              <w:ind w:left="57" w:right="57"/>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AF"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0"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B1"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B2" w14:textId="77777777" w:rsidR="00F74E13" w:rsidRDefault="009274FC">
            <w:pPr>
              <w:pStyle w:val="P68B1DB1-Normal13"/>
              <w:spacing w:after="0" w:line="240" w:lineRule="auto"/>
              <w:ind w:left="57" w:right="57"/>
              <w:jc w:val="both"/>
              <w:rPr>
                <w:noProof/>
              </w:rPr>
            </w:pPr>
            <w:r>
              <w:rPr>
                <w:noProof/>
              </w:rPr>
              <w:t xml:space="preserve">Le ou les actes juridiques prévoient: </w:t>
            </w:r>
          </w:p>
          <w:p w14:paraId="2ACDEF8D" w14:textId="77777777" w:rsidR="00F74E13" w:rsidRDefault="009274FC">
            <w:pPr>
              <w:pStyle w:val="P68B1DB1-ListParagraph32"/>
              <w:numPr>
                <w:ilvl w:val="0"/>
                <w:numId w:val="68"/>
              </w:numPr>
              <w:spacing w:after="0" w:line="240" w:lineRule="auto"/>
              <w:ind w:left="416" w:right="57"/>
              <w:jc w:val="both"/>
              <w:rPr>
                <w:noProof/>
              </w:rPr>
            </w:pPr>
            <w:r>
              <w:rPr>
                <w:noProof/>
              </w:rPr>
              <w:t>une révision de l'organisation et de la structure de gestion du Fonds national de la culture;</w:t>
            </w:r>
          </w:p>
          <w:p w14:paraId="1CEBDFB4" w14:textId="7557225B" w:rsidR="00F74E13" w:rsidRDefault="009274FC">
            <w:pPr>
              <w:pStyle w:val="P68B1DB1-ListParagraph14"/>
              <w:numPr>
                <w:ilvl w:val="0"/>
                <w:numId w:val="68"/>
              </w:numPr>
              <w:spacing w:after="0" w:line="240" w:lineRule="auto"/>
              <w:ind w:left="416" w:right="57"/>
              <w:jc w:val="both"/>
              <w:rPr>
                <w:noProof/>
              </w:rPr>
            </w:pPr>
            <w:r>
              <w:rPr>
                <w:noProof/>
              </w:rPr>
              <w:t>le suivi des activités du Fonds national de la culture.</w:t>
            </w:r>
          </w:p>
        </w:tc>
      </w:tr>
      <w:tr w:rsidR="00F74E13" w14:paraId="1CEBDFC4"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B6" w14:textId="77777777" w:rsidR="00F74E13" w:rsidRDefault="009274FC">
            <w:pPr>
              <w:pStyle w:val="P68B1DB1-Normal12"/>
              <w:jc w:val="center"/>
              <w:rPr>
                <w:noProof/>
              </w:rPr>
            </w:pPr>
            <w:r>
              <w:rPr>
                <w:noProof/>
              </w:rPr>
              <w:t>308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B7" w14:textId="77777777" w:rsidR="00F74E13" w:rsidRDefault="009274FC">
            <w:pPr>
              <w:pStyle w:val="P68B1DB1-Normal13"/>
              <w:spacing w:line="240" w:lineRule="auto"/>
              <w:ind w:left="57" w:right="57"/>
              <w:rPr>
                <w:noProof/>
              </w:rPr>
            </w:pPr>
            <w:r>
              <w:rPr>
                <w:noProof/>
              </w:rPr>
              <w:t>C11.I6: Soutien au secteur culturel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B8" w14:textId="77777777" w:rsidR="00F74E13" w:rsidRDefault="009274FC">
            <w:pPr>
              <w:pStyle w:val="P68B1DB1-Normal12"/>
              <w:spacing w:line="240" w:lineRule="auto"/>
              <w:ind w:left="57" w:right="57"/>
              <w:jc w:val="center"/>
              <w:rPr>
                <w:noProof/>
              </w:rPr>
            </w:pPr>
            <w:r>
              <w:rPr>
                <w:noProof/>
              </w:rPr>
              <w:t>Objectif</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B9" w14:textId="77777777" w:rsidR="00F74E13" w:rsidRDefault="009274FC">
            <w:pPr>
              <w:pStyle w:val="P68B1DB1-Normal22"/>
              <w:spacing w:line="240" w:lineRule="auto"/>
              <w:ind w:left="57" w:right="57"/>
              <w:rPr>
                <w:rFonts w:ascii="Times New Roman" w:hAnsi="Times New Roman"/>
                <w:noProof/>
              </w:rPr>
            </w:pPr>
            <w:r>
              <w:rPr>
                <w:rFonts w:ascii="Times New Roman" w:hAnsi="Times New Roman"/>
                <w:noProof/>
              </w:rPr>
              <w:t xml:space="preserve">Soutien </w:t>
            </w:r>
            <w:r>
              <w:rPr>
                <w:rFonts w:ascii="Times New Roman" w:hAnsi="Times New Roman" w:cs="Times New Roman"/>
                <w:noProof/>
                <w:szCs w:val="20"/>
              </w:rPr>
              <w:t xml:space="preserve">au </w:t>
            </w:r>
            <w:r>
              <w:rPr>
                <w:rFonts w:ascii="Times New Roman" w:hAnsi="Times New Roman"/>
                <w:noProof/>
              </w:rPr>
              <w:t xml:space="preserve"> </w:t>
            </w:r>
            <w:r>
              <w:rPr>
                <w:rFonts w:ascii="Times New Roman" w:hAnsi="Times New Roman" w:cs="Times New Roman"/>
                <w:noProof/>
                <w:szCs w:val="20"/>
              </w:rPr>
              <w:t>secteur</w:t>
            </w:r>
            <w:r>
              <w:rPr>
                <w:rFonts w:ascii="Times New Roman" w:hAnsi="Times New Roman"/>
                <w:noProof/>
              </w:rPr>
              <w:t xml:space="preserve"> culturel</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BA" w14:textId="77777777" w:rsidR="00F74E13" w:rsidRDefault="00F74E13">
            <w:pPr>
              <w:spacing w:line="240" w:lineRule="auto"/>
              <w:ind w:left="57" w:right="57"/>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BB" w14:textId="77777777" w:rsidR="00F74E13" w:rsidRDefault="009274FC">
            <w:pPr>
              <w:pStyle w:val="P68B1DB1-Normal13"/>
              <w:spacing w:line="240" w:lineRule="auto"/>
              <w:ind w:left="57" w:right="57"/>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C" w14:textId="77777777" w:rsidR="00F74E13" w:rsidRDefault="009274FC">
            <w:pPr>
              <w:pStyle w:val="P68B1DB1-Normal13"/>
              <w:spacing w:line="240" w:lineRule="auto"/>
              <w:ind w:left="57" w:right="57"/>
              <w:jc w:val="center"/>
              <w:rPr>
                <w:rFonts w:cs="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BD" w14:textId="77777777" w:rsidR="00F74E13" w:rsidRDefault="009274FC">
            <w:pPr>
              <w:pStyle w:val="P68B1DB1-Normal12"/>
              <w:spacing w:line="240" w:lineRule="auto"/>
              <w:ind w:left="57" w:right="57"/>
              <w:jc w:val="center"/>
              <w:rPr>
                <w:noProof/>
              </w:rPr>
            </w:pPr>
            <w:r>
              <w:rPr>
                <w:noProof/>
              </w:rPr>
              <w:t>460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E" w14:textId="77777777" w:rsidR="00F74E13" w:rsidRDefault="009274FC">
            <w:pPr>
              <w:pStyle w:val="P68B1DB1-Normal12"/>
              <w:spacing w:line="240" w:lineRule="auto"/>
              <w:ind w:left="57" w:right="57"/>
              <w:jc w:val="center"/>
              <w:rPr>
                <w:noProof/>
              </w:rPr>
            </w:pPr>
            <w:r>
              <w:rPr>
                <w:noProof/>
              </w:rPr>
              <w:t>T4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BF"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C0" w14:textId="77777777" w:rsidR="00F74E13" w:rsidRDefault="009274FC">
            <w:pPr>
              <w:pStyle w:val="P68B1DB1-Normal13"/>
              <w:spacing w:line="240" w:lineRule="auto"/>
              <w:ind w:left="57" w:right="57"/>
              <w:jc w:val="both"/>
              <w:rPr>
                <w:rFonts w:cs="Times New Roman"/>
                <w:noProof/>
              </w:rPr>
            </w:pPr>
            <w:r>
              <w:rPr>
                <w:noProof/>
              </w:rPr>
              <w:t>Le soutien sous forme de subventions gérées par le Fonds culturel national est fourni comme suit:</w:t>
            </w:r>
          </w:p>
          <w:p w14:paraId="1CEBDFC1" w14:textId="77777777" w:rsidR="00F74E13" w:rsidRDefault="009274FC">
            <w:pPr>
              <w:pStyle w:val="P68B1DB1-Normal12"/>
              <w:spacing w:line="240" w:lineRule="auto"/>
              <w:ind w:left="57" w:right="57"/>
              <w:jc w:val="both"/>
              <w:rPr>
                <w:noProof/>
              </w:rPr>
            </w:pPr>
            <w:r>
              <w:rPr>
                <w:noProof/>
              </w:rPr>
              <w:t>- régime de subventions «Soutien à la coopération culturelle européenne» nécessitant un cofinancement d’au moins 10 % de la part des bénéficiaires.</w:t>
            </w:r>
          </w:p>
          <w:p w14:paraId="1CEBDFC2" w14:textId="77777777" w:rsidR="00F74E13" w:rsidRDefault="009274FC">
            <w:pPr>
              <w:pStyle w:val="P68B1DB1-Normal12"/>
              <w:spacing w:line="240" w:lineRule="auto"/>
              <w:ind w:left="57" w:right="57"/>
              <w:jc w:val="both"/>
              <w:rPr>
                <w:noProof/>
              </w:rPr>
            </w:pPr>
            <w:r>
              <w:rPr>
                <w:noProof/>
              </w:rPr>
              <w:t>- régime de subventions «Soutien au développement et à l’accès du public» nécessitant un cofinancement d’au moins 10 % de la part des bénéficiaires.</w:t>
            </w:r>
          </w:p>
          <w:p w14:paraId="1CEBDFC3" w14:textId="77777777" w:rsidR="00F74E13" w:rsidRDefault="009274FC">
            <w:pPr>
              <w:pStyle w:val="P68B1DB1-Normal13"/>
              <w:spacing w:line="240" w:lineRule="auto"/>
              <w:ind w:left="57" w:right="57"/>
              <w:jc w:val="both"/>
              <w:rPr>
                <w:noProof/>
              </w:rPr>
            </w:pPr>
            <w:r>
              <w:rPr>
                <w:noProof/>
              </w:rPr>
              <w:t>- programme de subventions «Nouvelle génération de politiques culturelles locales» avec deux appels à propositions. Le premier appel cible les municipalités qui sont des centres de district et le montant de la subvention se situe entre 170 000 BGN et 2 000 000 BGN, avec un cofinancement de 50 % de la part des bénéficiaires. Le deuxième appel visera les municipalités qui ne sont pas des centres de district, avec un cofinancement de 25 % de la part des bénéficiaires.</w:t>
            </w:r>
          </w:p>
        </w:tc>
      </w:tr>
      <w:tr w:rsidR="00F74E13" w14:paraId="1CEBDFD0"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C5" w14:textId="77777777" w:rsidR="00F74E13" w:rsidRDefault="009274FC">
            <w:pPr>
              <w:pStyle w:val="P68B1DB1-Normal15"/>
              <w:jc w:val="center"/>
              <w:rPr>
                <w:noProof/>
              </w:rPr>
            </w:pPr>
            <w:r>
              <w:rPr>
                <w:noProof/>
              </w:rPr>
              <w:t>312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C6" w14:textId="77777777" w:rsidR="00F74E13" w:rsidRDefault="009274FC">
            <w:pPr>
              <w:pStyle w:val="P68B1DB1-Normal15"/>
              <w:spacing w:line="240" w:lineRule="auto"/>
              <w:ind w:left="57" w:right="57"/>
              <w:rPr>
                <w:noProof/>
              </w:rPr>
            </w:pPr>
            <w:r>
              <w:rPr>
                <w:noProof/>
              </w:rPr>
              <w:t>C11.I7: Numérisation des archives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C7" w14:textId="77777777" w:rsidR="00F74E13" w:rsidRDefault="009274FC">
            <w:pPr>
              <w:pStyle w:val="P68B1DB1-Normal15"/>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C8" w14:textId="77777777" w:rsidR="00F74E13" w:rsidRDefault="009274FC">
            <w:pPr>
              <w:pStyle w:val="P68B1DB1-Normal13"/>
              <w:spacing w:line="240" w:lineRule="auto"/>
              <w:ind w:left="57" w:right="57"/>
              <w:rPr>
                <w:noProof/>
              </w:rPr>
            </w:pPr>
            <w:r>
              <w:rPr>
                <w:noProof/>
              </w:rPr>
              <w:t>Méthodologie et normes pour la numérisation des contenus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C9" w14:textId="77777777" w:rsidR="00F74E13" w:rsidRDefault="009274FC">
            <w:pPr>
              <w:pStyle w:val="P68B1DB1-Normal36"/>
              <w:spacing w:line="240" w:lineRule="auto"/>
              <w:ind w:left="57" w:right="57"/>
              <w:rPr>
                <w:noProof/>
                <w:color w:val="006100"/>
              </w:rPr>
            </w:pPr>
            <w:r>
              <w:rPr>
                <w:noProof/>
                <w:color w:val="006100"/>
              </w:rPr>
              <w:t>Publication de la</w:t>
            </w:r>
            <w:r>
              <w:rPr>
                <w:noProof/>
              </w:rPr>
              <w:t xml:space="preserve"> </w:t>
            </w:r>
            <w:r>
              <w:rPr>
                <w:noProof/>
                <w:color w:val="006100"/>
              </w:rPr>
              <w:t xml:space="preserve">méthodologie et des normes pour la numérisation des contenus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CA"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CB" w14:textId="77777777" w:rsidR="00F74E13" w:rsidRDefault="00F74E13">
            <w:pPr>
              <w:spacing w:line="240" w:lineRule="auto"/>
              <w:ind w:left="57" w:right="57"/>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CC" w14:textId="77777777" w:rsidR="00F74E13" w:rsidRDefault="00F74E13">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CD"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CE" w14:textId="77777777" w:rsidR="00F74E13" w:rsidRDefault="009274FC">
            <w:pPr>
              <w:pStyle w:val="P68B1DB1-Normal12"/>
              <w:spacing w:line="240" w:lineRule="auto"/>
              <w:ind w:left="57" w:right="57"/>
              <w:jc w:val="center"/>
              <w:rPr>
                <w:noProof/>
              </w:rPr>
            </w:pPr>
            <w:r>
              <w:rPr>
                <w:noProof/>
              </w:rPr>
              <w:t>2025</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CF" w14:textId="77777777" w:rsidR="00F74E13" w:rsidRDefault="009274FC">
            <w:pPr>
              <w:pStyle w:val="P68B1DB1-Normal13"/>
              <w:spacing w:line="240" w:lineRule="auto"/>
              <w:ind w:left="57" w:right="57"/>
              <w:jc w:val="both"/>
              <w:rPr>
                <w:noProof/>
              </w:rPr>
            </w:pPr>
            <w:r>
              <w:rPr>
                <w:noProof/>
              </w:rPr>
              <w:t>La méthodologie couvre les critères de désignation des établissements en tant que coordinateurs nationaux et les critères de sélection du contenu, ainsi que les normes applicables au contenu à numériser. Les normes s'appliquent à la numérisation du contenu des musées, des bibliothèques et des archives.</w:t>
            </w:r>
          </w:p>
        </w:tc>
      </w:tr>
      <w:tr w:rsidR="00F74E13" w14:paraId="1CEBDFDD"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D1" w14:textId="77777777" w:rsidR="00F74E13" w:rsidRDefault="009274FC">
            <w:pPr>
              <w:pStyle w:val="P68B1DB1-Normal12"/>
              <w:jc w:val="center"/>
              <w:rPr>
                <w:noProof/>
              </w:rPr>
            </w:pPr>
            <w:r>
              <w:rPr>
                <w:noProof/>
              </w:rPr>
              <w:t>314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2" w14:textId="77777777" w:rsidR="00F74E13" w:rsidRDefault="009274FC">
            <w:pPr>
              <w:pStyle w:val="P68B1DB1-Normal15"/>
              <w:spacing w:line="240" w:lineRule="auto"/>
              <w:ind w:left="57" w:right="57"/>
              <w:rPr>
                <w:noProof/>
              </w:rPr>
            </w:pPr>
            <w:r>
              <w:rPr>
                <w:noProof/>
              </w:rPr>
              <w:t>C11.I7: Numérisation des archives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D3" w14:textId="1C1FE1C2"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4" w14:textId="0AFECC08" w:rsidR="00F74E13" w:rsidRDefault="009274FC">
            <w:pPr>
              <w:pStyle w:val="P68B1DB1-Normal13"/>
              <w:spacing w:line="240" w:lineRule="auto"/>
              <w:ind w:left="57" w:right="57"/>
              <w:rPr>
                <w:noProof/>
              </w:rPr>
            </w:pPr>
            <w:r>
              <w:rPr>
                <w:noProof/>
              </w:rPr>
              <w:t>Contenu numérisé disponible sur la plateforme numérique, équipements de numérisation des contenus livrés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D5" w14:textId="69715910" w:rsidR="00F74E13" w:rsidRDefault="009274FC">
            <w:pPr>
              <w:pStyle w:val="P68B1DB1-Normal15"/>
              <w:spacing w:line="240" w:lineRule="auto"/>
              <w:ind w:left="57" w:right="57"/>
              <w:rPr>
                <w:noProof/>
              </w:rPr>
            </w:pPr>
            <w:r>
              <w:rPr>
                <w:noProof/>
              </w:rPr>
              <w:t xml:space="preserve">Contenu numérisé et équipements livrés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D6"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D7" w14:textId="77777777" w:rsidR="00F74E13" w:rsidRDefault="00F74E13">
            <w:pPr>
              <w:spacing w:line="240" w:lineRule="auto"/>
              <w:ind w:left="57" w:right="57"/>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D8" w14:textId="77777777" w:rsidR="00F74E13" w:rsidRDefault="00F74E13">
            <w:pPr>
              <w:spacing w:line="240" w:lineRule="auto"/>
              <w:ind w:left="57" w:right="57"/>
              <w:jc w:val="cente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D9"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DA" w14:textId="77777777" w:rsidR="00F74E13" w:rsidRDefault="009274FC">
            <w:pPr>
              <w:pStyle w:val="P68B1DB1-Normal12"/>
              <w:spacing w:line="240" w:lineRule="auto"/>
              <w:ind w:left="57" w:right="57"/>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CEBDFDB" w14:textId="3C72B7A5" w:rsidR="00F74E13" w:rsidRDefault="009274FC">
            <w:pPr>
              <w:pStyle w:val="P68B1DB1-Normal13"/>
              <w:spacing w:line="240" w:lineRule="auto"/>
              <w:ind w:left="57" w:right="57"/>
              <w:jc w:val="both"/>
              <w:rPr>
                <w:rFonts w:cs="Times New Roman"/>
                <w:noProof/>
              </w:rPr>
            </w:pPr>
            <w:r>
              <w:rPr>
                <w:noProof/>
              </w:rPr>
              <w:t>Le contenu numérisé des archives des archives nationales du cinéma bulgare, de la télévision nationale bulgare, de la radio nationale bulgare, de l’agence de presse bulgare et du fonds national des archives est disponible sur la plateforme numérique sur le patrimoine culturel.</w:t>
            </w:r>
          </w:p>
          <w:p w14:paraId="1CEBDFDC" w14:textId="77777777" w:rsidR="00F74E13" w:rsidRDefault="009274FC">
            <w:pPr>
              <w:pStyle w:val="P68B1DB1-Normal12"/>
              <w:spacing w:line="240" w:lineRule="auto"/>
              <w:ind w:left="57" w:right="57"/>
              <w:jc w:val="both"/>
              <w:rPr>
                <w:noProof/>
              </w:rPr>
            </w:pPr>
            <w:r>
              <w:rPr>
                <w:noProof/>
              </w:rPr>
              <w:t>En outre, des équipements permettant de numériser des contenus dans au moins 28 musées et 7 bibliothèques doivent être fournis.</w:t>
            </w:r>
          </w:p>
        </w:tc>
      </w:tr>
      <w:tr w:rsidR="00F74E13" w14:paraId="1CEBDFEE" w14:textId="77777777" w:rsidTr="00007CB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DE" w14:textId="77777777" w:rsidR="00F74E13" w:rsidRDefault="009274FC">
            <w:pPr>
              <w:pStyle w:val="P68B1DB1-Normal12"/>
              <w:jc w:val="center"/>
              <w:rPr>
                <w:noProof/>
              </w:rPr>
            </w:pPr>
            <w:r>
              <w:rPr>
                <w:noProof/>
              </w:rPr>
              <w:t>314а</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F" w14:textId="77777777" w:rsidR="00F74E13" w:rsidRDefault="009274FC">
            <w:pPr>
              <w:pStyle w:val="P68B1DB1-Normal35"/>
              <w:spacing w:line="240" w:lineRule="auto"/>
              <w:ind w:left="57" w:right="57"/>
              <w:rPr>
                <w:noProof/>
              </w:rPr>
            </w:pPr>
            <w:r>
              <w:rPr>
                <w:noProof/>
              </w:rPr>
              <w:t>C11.I8: Infrastructures culturelles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E0" w14:textId="77777777" w:rsidR="00F74E13" w:rsidRDefault="009274FC">
            <w:pPr>
              <w:pStyle w:val="P68B1DB1-Normal12"/>
              <w:spacing w:line="240" w:lineRule="auto"/>
              <w:ind w:left="57" w:right="57"/>
              <w:jc w:val="center"/>
              <w:rPr>
                <w:noProof/>
              </w:rPr>
            </w:pPr>
            <w:r>
              <w:rPr>
                <w:noProof/>
              </w:rPr>
              <w:t>Étape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E1" w14:textId="77777777" w:rsidR="00F74E13" w:rsidRDefault="009274FC">
            <w:pPr>
              <w:pStyle w:val="P68B1DB1-Normal12"/>
              <w:spacing w:line="240" w:lineRule="auto"/>
              <w:ind w:left="57" w:right="57"/>
              <w:rPr>
                <w:noProof/>
              </w:rPr>
            </w:pPr>
            <w:r>
              <w:rPr>
                <w:noProof/>
              </w:rPr>
              <w:t>Équipements numériques</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E2" w14:textId="77777777" w:rsidR="00F74E13" w:rsidRDefault="009274FC">
            <w:pPr>
              <w:pStyle w:val="P68B1DB1-Normal13"/>
              <w:spacing w:line="240" w:lineRule="auto"/>
              <w:ind w:left="57" w:right="57"/>
              <w:rPr>
                <w:noProof/>
              </w:rPr>
            </w:pPr>
            <w:r>
              <w:rPr>
                <w:noProof/>
              </w:rPr>
              <w:t>Équipements numériques livrés</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E3" w14:textId="77777777" w:rsidR="00F74E13" w:rsidRDefault="00F74E13">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E4" w14:textId="77777777" w:rsidR="00F74E13" w:rsidRDefault="00F74E13">
            <w:pPr>
              <w:spacing w:line="240" w:lineRule="auto"/>
              <w:ind w:left="57" w:right="57"/>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FE5" w14:textId="77777777" w:rsidR="00F74E13" w:rsidRDefault="00F74E13">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E6" w14:textId="77777777" w:rsidR="00F74E13" w:rsidRDefault="009274FC">
            <w:pPr>
              <w:pStyle w:val="P68B1DB1-Normal12"/>
              <w:spacing w:line="240" w:lineRule="auto"/>
              <w:ind w:left="57" w:right="57"/>
              <w:jc w:val="center"/>
              <w:rPr>
                <w:noProof/>
              </w:rPr>
            </w:pPr>
            <w:r>
              <w:rPr>
                <w:noProof/>
              </w:rPr>
              <w:t>T2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FE7" w14:textId="77777777" w:rsidR="00F74E13" w:rsidRDefault="009274FC">
            <w:pPr>
              <w:pStyle w:val="P68B1DB1-Normal12"/>
              <w:spacing w:line="240" w:lineRule="auto"/>
              <w:ind w:left="57" w:right="57"/>
              <w:jc w:val="center"/>
              <w:rPr>
                <w:noProof/>
              </w:rPr>
            </w:pPr>
            <w:r>
              <w:rPr>
                <w:noProof/>
              </w:rPr>
              <w:t>2026</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38E5FA4F" w14:textId="77777777" w:rsidR="00F74E13" w:rsidRDefault="009274FC">
            <w:pPr>
              <w:pStyle w:val="P68B1DB1-Normal12"/>
              <w:spacing w:line="240" w:lineRule="auto"/>
              <w:ind w:left="57" w:right="57"/>
              <w:jc w:val="both"/>
              <w:rPr>
                <w:noProof/>
              </w:rPr>
            </w:pPr>
            <w:r>
              <w:rPr>
                <w:noProof/>
              </w:rPr>
              <w:t>En ce qui concerne le Palais national de la culture et le Centre des festivals et des congrès de Varna, les prestations suivantes seront fournies:</w:t>
            </w:r>
          </w:p>
          <w:p w14:paraId="4D85AA09" w14:textId="77777777" w:rsidR="00F74E13" w:rsidRDefault="009274FC">
            <w:pPr>
              <w:pStyle w:val="P68B1DB1-ListParagraph20"/>
              <w:numPr>
                <w:ilvl w:val="0"/>
                <w:numId w:val="69"/>
              </w:numPr>
              <w:spacing w:after="0" w:line="240" w:lineRule="auto"/>
              <w:ind w:left="416" w:right="57"/>
              <w:jc w:val="both"/>
              <w:rPr>
                <w:noProof/>
              </w:rPr>
            </w:pPr>
            <w:r>
              <w:rPr>
                <w:noProof/>
              </w:rPr>
              <w:t>66 écrans LED et logiciels pour leur contrôle;</w:t>
            </w:r>
          </w:p>
          <w:p w14:paraId="2D71A82E" w14:textId="77777777" w:rsidR="00F74E13" w:rsidRDefault="009274FC">
            <w:pPr>
              <w:pStyle w:val="P68B1DB1-ListParagraph20"/>
              <w:numPr>
                <w:ilvl w:val="0"/>
                <w:numId w:val="69"/>
              </w:numPr>
              <w:spacing w:after="0" w:line="240" w:lineRule="auto"/>
              <w:ind w:left="416" w:right="57"/>
              <w:jc w:val="both"/>
              <w:rPr>
                <w:noProof/>
              </w:rPr>
            </w:pPr>
            <w:r>
              <w:rPr>
                <w:noProof/>
              </w:rPr>
              <w:t>Plateforme pour la numérisation des processus d’entreprise;</w:t>
            </w:r>
          </w:p>
          <w:p w14:paraId="1CEBDFED" w14:textId="2AA595D4" w:rsidR="00F74E13" w:rsidRDefault="009274FC">
            <w:pPr>
              <w:pStyle w:val="P68B1DB1-ListParagraph20"/>
              <w:numPr>
                <w:ilvl w:val="0"/>
                <w:numId w:val="69"/>
              </w:numPr>
              <w:spacing w:after="0" w:line="240" w:lineRule="auto"/>
              <w:ind w:left="416" w:right="57"/>
              <w:jc w:val="both"/>
              <w:rPr>
                <w:noProof/>
              </w:rPr>
            </w:pPr>
            <w:r>
              <w:rPr>
                <w:noProof/>
              </w:rPr>
              <w:t>Équipement réseau et plateforme de cybersécurité.</w:t>
            </w:r>
          </w:p>
        </w:tc>
      </w:tr>
    </w:tbl>
    <w:p w14:paraId="1CEBDFEF" w14:textId="77777777" w:rsidR="00F74E13" w:rsidRDefault="00F74E13">
      <w:pPr>
        <w:rPr>
          <w:rFonts w:ascii="Times New Roman" w:eastAsia="Calibri" w:hAnsi="Times New Roman" w:cs="Times New Roman"/>
          <w:noProof/>
        </w:rPr>
      </w:pPr>
    </w:p>
    <w:p w14:paraId="1CEBDFF0" w14:textId="77777777" w:rsidR="00F74E13" w:rsidRDefault="00F74E13">
      <w:pPr>
        <w:rPr>
          <w:rFonts w:ascii="Times New Roman" w:hAnsi="Times New Roman"/>
          <w:noProof/>
        </w:rPr>
        <w:sectPr w:rsidR="00F74E13">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1CEBDFF1" w14:textId="77777777" w:rsidR="00F74E13" w:rsidRDefault="009274FC">
      <w:pPr>
        <w:pStyle w:val="P68B1DB1-Normal5"/>
        <w:keepNext/>
        <w:spacing w:before="360" w:after="120" w:line="240" w:lineRule="auto"/>
        <w:ind w:firstLine="1"/>
        <w:jc w:val="both"/>
        <w:outlineLvl w:val="0"/>
        <w:rPr>
          <w:noProof/>
        </w:rPr>
      </w:pPr>
      <w:r>
        <w:rPr>
          <w:noProof/>
        </w:rPr>
        <w:t>L. Élément 12: Soins de santé</w:t>
      </w:r>
    </w:p>
    <w:p w14:paraId="1CEBDFF2" w14:textId="127392AA" w:rsidR="00F74E13" w:rsidRDefault="009274FC">
      <w:pPr>
        <w:pStyle w:val="P68B1DB1-Normal6"/>
        <w:spacing w:before="120" w:after="0" w:line="240" w:lineRule="auto"/>
        <w:ind w:left="425"/>
        <w:jc w:val="both"/>
        <w:rPr>
          <w:noProof/>
        </w:rPr>
      </w:pPr>
      <w:r>
        <w:rPr>
          <w:noProof/>
        </w:rPr>
        <w:t>Ce volet du plan bulgare pour la reprise et la résilience vise à améliorer la fourniture et la disponibilité des services de santé dans l’ensemble de la Bulgarie. Il comprend six réformes et sept investissements.</w:t>
      </w:r>
    </w:p>
    <w:p w14:paraId="1CEBDFF3" w14:textId="77777777" w:rsidR="00F74E13" w:rsidRDefault="009274FC">
      <w:pPr>
        <w:pStyle w:val="P68B1DB1-Normal6"/>
        <w:spacing w:before="120" w:after="0" w:line="240" w:lineRule="auto"/>
        <w:ind w:left="425"/>
        <w:jc w:val="both"/>
        <w:rPr>
          <w:noProof/>
        </w:rPr>
      </w:pPr>
      <w:r>
        <w:rPr>
          <w:noProof/>
        </w:rPr>
        <w:t>Cette composante comprend des investissements dans le secteur de la santé sur l’ensemble du territoire, y compris la modernisation d’une partie des hôpitaux et des installations médicales fournissant des soins pédiatriques, oncologiques ou psychiatriques.</w:t>
      </w:r>
    </w:p>
    <w:p w14:paraId="1CEBDFF4" w14:textId="77777777" w:rsidR="00F74E13" w:rsidRDefault="009274FC">
      <w:pPr>
        <w:pStyle w:val="P68B1DB1-Normal6"/>
        <w:spacing w:before="120" w:after="0" w:line="240" w:lineRule="auto"/>
        <w:ind w:left="425"/>
        <w:jc w:val="both"/>
        <w:rPr>
          <w:noProof/>
        </w:rPr>
      </w:pPr>
      <w:r>
        <w:rPr>
          <w:noProof/>
        </w:rPr>
        <w:t>La composante comprend également la construction d’unités de soins ambulatoires, la mise en place d’un système d’ambulance aérienne, ainsi que des mesures visant à remédier aux pénuries de professionnels de la santé, y compris leur répartition géographique déséquilibrée.</w:t>
      </w:r>
    </w:p>
    <w:p w14:paraId="1CEBDFF5" w14:textId="76CE3223" w:rsidR="00F74E13" w:rsidRDefault="009274FC">
      <w:pPr>
        <w:pStyle w:val="P68B1DB1-Normal6"/>
        <w:spacing w:before="120" w:after="0" w:line="240" w:lineRule="auto"/>
        <w:ind w:left="425"/>
        <w:jc w:val="both"/>
        <w:rPr>
          <w:noProof/>
        </w:rPr>
      </w:pPr>
      <w:r>
        <w:rPr>
          <w:noProof/>
        </w:rPr>
        <w:t>Le renforcement de la santé en ligne et de l’innovation numérique dans le domaine des soins de santé est soutenu par l’achèvement de la mise en œuvre du système national d’information sur la santé et par le développement d’une plateforme de diagnostic médical.</w:t>
      </w:r>
    </w:p>
    <w:p w14:paraId="1CEBDFF6" w14:textId="77777777" w:rsidR="00F74E13" w:rsidRDefault="009274FC">
      <w:pPr>
        <w:pStyle w:val="P68B1DB1-Normal6"/>
        <w:spacing w:before="120" w:after="0" w:line="240" w:lineRule="auto"/>
        <w:ind w:left="425"/>
        <w:jc w:val="both"/>
        <w:rPr>
          <w:noProof/>
        </w:rPr>
      </w:pPr>
      <w:r>
        <w:rPr>
          <w:noProof/>
        </w:rPr>
        <w:t>En outre, le volet introduit des stratégies et des plans d’action qui sous-tendent les investissements. Les stratégies et plans nationaux couvrent également d'autres préoccupations pertinentes, notamment l'éducation à la santé dans les écoles et le vieillissement en bonne santé.</w:t>
      </w:r>
    </w:p>
    <w:p w14:paraId="1CEBDFF7" w14:textId="77777777" w:rsidR="00F74E13" w:rsidRDefault="009274FC">
      <w:pPr>
        <w:pStyle w:val="P68B1DB1-Normal6"/>
        <w:spacing w:before="120" w:after="0" w:line="240" w:lineRule="auto"/>
        <w:ind w:left="425"/>
        <w:jc w:val="both"/>
        <w:rPr>
          <w:noProof/>
        </w:rPr>
      </w:pPr>
      <w:r>
        <w:rPr>
          <w:noProof/>
        </w:rPr>
        <w:t>Ce volet contribue à relever les défis recensés dans les recommandations par pays visant à mobiliser des ressources financières adéquates pour renforcer la résilience, l’accessibilité et les capacités du système de santé et assurer une répartition géographique équilibrée des agents de santé (recommandation par pays no 1 de 2020), ainsi qu’à améliorer l’accès aux services de santé et à remédier aux pénuries de professionnels de la santé (recommandation par pays no 4 de 2019).</w:t>
      </w:r>
    </w:p>
    <w:p w14:paraId="1CEBDFF8" w14:textId="77777777" w:rsidR="00F74E13" w:rsidRDefault="009274FC">
      <w:pPr>
        <w:pStyle w:val="P68B1DB1-Normal6"/>
        <w:spacing w:before="120" w:after="120" w:line="240" w:lineRule="auto"/>
        <w:ind w:left="426"/>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CEBDFFA" w14:textId="77777777" w:rsidR="00F74E13" w:rsidRDefault="009274FC">
      <w:pPr>
        <w:pStyle w:val="P68B1DB1-Normal8"/>
        <w:spacing w:before="120" w:after="120" w:line="240" w:lineRule="auto"/>
        <w:ind w:left="425"/>
        <w:jc w:val="both"/>
        <w:rPr>
          <w:i/>
          <w:noProof/>
          <w:color w:val="4F81BD"/>
        </w:rPr>
      </w:pPr>
      <w:r>
        <w:rPr>
          <w:noProof/>
        </w:rPr>
        <w:t>L.1. Description des réformes et des investissements pour le soutien financier non remboursable</w:t>
      </w:r>
    </w:p>
    <w:p w14:paraId="1CEBDFFB" w14:textId="77777777" w:rsidR="00F74E13" w:rsidRDefault="009274FC">
      <w:pPr>
        <w:pStyle w:val="P68B1DB1-Normal9"/>
        <w:spacing w:before="120" w:after="120" w:line="240" w:lineRule="auto"/>
        <w:ind w:left="426"/>
        <w:jc w:val="both"/>
        <w:rPr>
          <w:noProof/>
        </w:rPr>
      </w:pPr>
      <w:r>
        <w:rPr>
          <w:noProof/>
        </w:rPr>
        <w:t xml:space="preserve">Réforme 1 (C12.R1): Améliorer le cadre stratégique du secteur des soins de santé </w:t>
      </w:r>
    </w:p>
    <w:p w14:paraId="1CEBDFFC" w14:textId="77777777" w:rsidR="00F74E13" w:rsidRDefault="009274FC">
      <w:pPr>
        <w:pStyle w:val="P68B1DB1-Normal6"/>
        <w:spacing w:before="120" w:after="120" w:line="240" w:lineRule="auto"/>
        <w:ind w:left="426"/>
        <w:jc w:val="both"/>
        <w:rPr>
          <w:noProof/>
        </w:rPr>
      </w:pPr>
      <w:r>
        <w:rPr>
          <w:noProof/>
        </w:rPr>
        <w:t xml:space="preserve">L’objectif de la réforme est d’accroître la résilience du système de santé aux chocs, ainsi que d’accroître l’accès de la population à des soins de santé de qualité et en temps utile en fournissant le fondement stratégique des futurs investissements et réformes et en recensant les actions pertinentes. </w:t>
      </w:r>
    </w:p>
    <w:p w14:paraId="1CEBDFFD" w14:textId="77777777" w:rsidR="00F74E13" w:rsidRDefault="009274FC">
      <w:pPr>
        <w:pStyle w:val="P68B1DB1-Normal6"/>
        <w:spacing w:before="120" w:after="120" w:line="240" w:lineRule="auto"/>
        <w:ind w:left="426"/>
        <w:jc w:val="both"/>
        <w:rPr>
          <w:noProof/>
        </w:rPr>
      </w:pPr>
      <w:r>
        <w:rPr>
          <w:noProof/>
        </w:rPr>
        <w:t>La réforme comprend l'adoption d'un certain nombre de stratégies et de plans, à savoir:</w:t>
      </w:r>
    </w:p>
    <w:p w14:paraId="1CEBDFFE" w14:textId="77777777" w:rsidR="00F74E13" w:rsidRDefault="009274FC">
      <w:pPr>
        <w:pStyle w:val="P68B1DB1-ListParagraph7"/>
        <w:numPr>
          <w:ilvl w:val="0"/>
          <w:numId w:val="70"/>
        </w:numPr>
        <w:spacing w:before="120" w:after="120" w:line="240" w:lineRule="auto"/>
        <w:ind w:left="1134" w:hanging="283"/>
        <w:jc w:val="both"/>
        <w:rPr>
          <w:noProof/>
        </w:rPr>
      </w:pPr>
      <w:r>
        <w:rPr>
          <w:noProof/>
        </w:rPr>
        <w:t xml:space="preserve">la stratégie nationale en matière de santé à l’horizon 2030, qui vise à relever les défis structurels existants dans le secteur de la santé, y compris la pénurie de professionnels de la santé sur l’ensemble du territoire, en fixant les objectifs stratégiques et les priorités sur une période de dix ans; </w:t>
      </w:r>
    </w:p>
    <w:p w14:paraId="1CEBDFFF" w14:textId="77777777" w:rsidR="00F74E13" w:rsidRDefault="009274FC">
      <w:pPr>
        <w:pStyle w:val="P68B1DB1-ListParagraph7"/>
        <w:numPr>
          <w:ilvl w:val="0"/>
          <w:numId w:val="70"/>
        </w:numPr>
        <w:spacing w:before="120" w:after="120" w:line="240" w:lineRule="auto"/>
        <w:ind w:left="1134" w:hanging="283"/>
        <w:jc w:val="both"/>
        <w:rPr>
          <w:noProof/>
        </w:rPr>
      </w:pPr>
      <w:r>
        <w:rPr>
          <w:noProof/>
        </w:rPr>
        <w:t>la stratégie nationale pour la santé mentale des citoyens de la République de Bulgarie 2021-2030, qui contient des recommandations visant à favoriser l’intégration des services psychiatriques dans les services de proximité et les services reçus à domicile (désinstitutionnalisation), ainsi qu’à remédier aux principaux problèmes rencontrés par le système de soins psychiatriques dans le pays, y compris les équipements et les installations obsolètes ainsi que les pénuries de personnel;</w:t>
      </w:r>
    </w:p>
    <w:p w14:paraId="1CEBE000" w14:textId="77777777" w:rsidR="00F74E13" w:rsidRDefault="009274FC">
      <w:pPr>
        <w:pStyle w:val="P68B1DB1-ListParagraph7"/>
        <w:numPr>
          <w:ilvl w:val="0"/>
          <w:numId w:val="70"/>
        </w:numPr>
        <w:spacing w:before="120" w:after="120" w:line="240" w:lineRule="auto"/>
        <w:ind w:left="1134" w:hanging="283"/>
        <w:jc w:val="both"/>
        <w:rPr>
          <w:noProof/>
        </w:rPr>
      </w:pPr>
      <w:r>
        <w:rPr>
          <w:noProof/>
        </w:rPr>
        <w:t>la stratégie nationale pour la santé de l’enfant et de l’adolescent et les soins pédiatriques en République de Bulgarie à l’horizon 2030, qui contient des recommandations ciblées visant à renforcer les services de soins de santé pour les enfants et les adolescents, dès la grossesse;</w:t>
      </w:r>
    </w:p>
    <w:p w14:paraId="1CEBE001" w14:textId="77777777" w:rsidR="00F74E13" w:rsidRDefault="009274FC">
      <w:pPr>
        <w:pStyle w:val="P68B1DB1-ListParagraph7"/>
        <w:numPr>
          <w:ilvl w:val="0"/>
          <w:numId w:val="70"/>
        </w:numPr>
        <w:spacing w:before="120" w:after="120" w:line="240" w:lineRule="auto"/>
        <w:ind w:left="1134" w:hanging="283"/>
        <w:jc w:val="both"/>
        <w:rPr>
          <w:noProof/>
        </w:rPr>
      </w:pPr>
      <w:r>
        <w:rPr>
          <w:noProof/>
        </w:rPr>
        <w:t>la stratégie nationale pour des soins gériatriques sains et le vieillissement en République de Bulgarie 2021-2030. La stratégie promeut un ensemble complet de recommandations axées sur la santé et le bien-être des personnes âgées, en tenant compte des tendances démographiques régionales et de la disponibilité des services, y compris l’accès aux services de santé et aux services sociaux.</w:t>
      </w:r>
    </w:p>
    <w:p w14:paraId="1CEBE002" w14:textId="77777777" w:rsidR="00F74E13" w:rsidRDefault="009274FC">
      <w:pPr>
        <w:pStyle w:val="P68B1DB1-Normal6"/>
        <w:spacing w:before="120" w:after="120" w:line="240" w:lineRule="auto"/>
        <w:ind w:left="426"/>
        <w:jc w:val="both"/>
        <w:rPr>
          <w:noProof/>
        </w:rPr>
      </w:pPr>
      <w:r>
        <w:rPr>
          <w:noProof/>
        </w:rPr>
        <w:t>L'adoption de ces stratégies est complétée par l'adoption de plans d'action d'accompagnement pour leur mise en œuvre. Les plans d’action s’appuient sur les recommandations des stratégies pour définir les mesures, y compris leur calendrier.</w:t>
      </w:r>
    </w:p>
    <w:p w14:paraId="1CEBE003" w14:textId="77777777" w:rsidR="00F74E13" w:rsidRDefault="009274FC">
      <w:pPr>
        <w:pStyle w:val="P68B1DB1-Normal6"/>
        <w:spacing w:before="120" w:after="0" w:line="240" w:lineRule="auto"/>
        <w:ind w:left="425"/>
        <w:jc w:val="both"/>
        <w:rPr>
          <w:noProof/>
        </w:rPr>
      </w:pPr>
      <w:r>
        <w:rPr>
          <w:noProof/>
        </w:rPr>
        <w:t>La réforme prévoit également l'adoption:</w:t>
      </w:r>
    </w:p>
    <w:p w14:paraId="1CEBE004" w14:textId="77777777" w:rsidR="00F74E13" w:rsidRDefault="009274FC">
      <w:pPr>
        <w:pStyle w:val="P68B1DB1-ListParagraph7"/>
        <w:numPr>
          <w:ilvl w:val="0"/>
          <w:numId w:val="70"/>
        </w:numPr>
        <w:spacing w:before="120" w:after="120" w:line="240" w:lineRule="auto"/>
        <w:ind w:left="1134" w:hanging="283"/>
        <w:jc w:val="both"/>
        <w:rPr>
          <w:noProof/>
          <w:u w:val="single"/>
        </w:rPr>
      </w:pPr>
      <w:r>
        <w:rPr>
          <w:noProof/>
        </w:rPr>
        <w:t>la carte nationale des besoins à long terme du secteur des soins de santé en Bulgarie, qui contient des recommandations sur la manière de promouvoir une répartition équilibrée des services de soins de santé en Bulgarie, sur la base d’une analyse couvrant les établissements de santé de chaque région;</w:t>
      </w:r>
    </w:p>
    <w:p w14:paraId="1CEBE005" w14:textId="77777777" w:rsidR="00F74E13" w:rsidRDefault="009274FC">
      <w:pPr>
        <w:pStyle w:val="P68B1DB1-ListParagraph7"/>
        <w:numPr>
          <w:ilvl w:val="0"/>
          <w:numId w:val="70"/>
        </w:numPr>
        <w:spacing w:before="120" w:after="120" w:line="240" w:lineRule="auto"/>
        <w:ind w:left="1134" w:hanging="283"/>
        <w:jc w:val="both"/>
        <w:rPr>
          <w:noProof/>
        </w:rPr>
      </w:pPr>
      <w:r>
        <w:rPr>
          <w:noProof/>
        </w:rPr>
        <w:t>le plan national de lutte contre le cancer en République de Bulgarie pour la période 2021-2027, qui définit des mesures visant à réduire l’incidence et la mortalité du cancer, en ciblant les activités de dépistage pour la détection précoce du cancer, ainsi que les thérapies de traitement du cancer;</w:t>
      </w:r>
    </w:p>
    <w:p w14:paraId="1CEBE006" w14:textId="77777777" w:rsidR="00F74E13" w:rsidRDefault="009274FC">
      <w:pPr>
        <w:pStyle w:val="P68B1DB1-Normal6"/>
        <w:spacing w:before="120" w:after="120" w:line="240" w:lineRule="auto"/>
        <w:ind w:left="426"/>
        <w:jc w:val="both"/>
        <w:rPr>
          <w:noProof/>
        </w:rPr>
      </w:pPr>
      <w:r>
        <w:rPr>
          <w:noProof/>
        </w:rPr>
        <w:t>La mise en œuvre de la réforme est achevée au plus tard le 30 juin 2025.</w:t>
      </w:r>
    </w:p>
    <w:p w14:paraId="1CEBE007" w14:textId="77777777" w:rsidR="00F74E13" w:rsidRDefault="009274FC">
      <w:pPr>
        <w:pStyle w:val="P68B1DB1-Normal9"/>
        <w:spacing w:before="120" w:after="0" w:line="240" w:lineRule="auto"/>
        <w:ind w:left="425"/>
        <w:jc w:val="both"/>
        <w:rPr>
          <w:noProof/>
        </w:rPr>
      </w:pPr>
      <w:r>
        <w:rPr>
          <w:noProof/>
        </w:rPr>
        <w:t>Réforme 2 (C12.R2): Développement de l'e-santé et du système national d'information sanitaire</w:t>
      </w:r>
    </w:p>
    <w:p w14:paraId="1CEBE008" w14:textId="77777777" w:rsidR="00F74E13" w:rsidRDefault="009274FC">
      <w:pPr>
        <w:pStyle w:val="P68B1DB1-Normal6"/>
        <w:spacing w:before="120" w:after="0" w:line="240" w:lineRule="auto"/>
        <w:ind w:left="425"/>
        <w:jc w:val="both"/>
        <w:rPr>
          <w:noProof/>
        </w:rPr>
      </w:pPr>
      <w:r>
        <w:rPr>
          <w:noProof/>
        </w:rPr>
        <w:t xml:space="preserve">L'objectif de la réforme est de contribuer au développement de la santé en ligne. </w:t>
      </w:r>
    </w:p>
    <w:p w14:paraId="1CEBE009" w14:textId="77777777" w:rsidR="00F74E13" w:rsidRDefault="009274FC">
      <w:pPr>
        <w:pStyle w:val="P68B1DB1-Normal6"/>
        <w:spacing w:before="120" w:after="120" w:line="240" w:lineRule="auto"/>
        <w:ind w:left="426"/>
        <w:jc w:val="both"/>
        <w:rPr>
          <w:noProof/>
        </w:rPr>
      </w:pPr>
      <w:r>
        <w:rPr>
          <w:noProof/>
        </w:rPr>
        <w:t>La mesure consiste en l’entrée en vigueur d’un ou de plusieurs actes juridiques sur la santé en ligne et en la mise à niveau du système national d’information sur la santé (NHIS).</w:t>
      </w:r>
    </w:p>
    <w:p w14:paraId="1CEBE00B" w14:textId="77777777" w:rsidR="00F74E13" w:rsidRDefault="009274FC">
      <w:pPr>
        <w:pStyle w:val="P68B1DB1-Normal9"/>
        <w:spacing w:before="120" w:after="120" w:line="240" w:lineRule="auto"/>
        <w:ind w:left="426"/>
        <w:jc w:val="both"/>
        <w:rPr>
          <w:noProof/>
        </w:rPr>
      </w:pPr>
      <w:r>
        <w:rPr>
          <w:noProof/>
        </w:rPr>
        <w:t>Réforme 3 (C12.R3): Améliorer l’attractivité des professions de santé et promouvoir une répartition plus équilibrée des professionnels de la santé sur l’ensemble du territoire</w:t>
      </w:r>
    </w:p>
    <w:p w14:paraId="1CEBE00C" w14:textId="77777777" w:rsidR="00F74E13" w:rsidRDefault="009274FC">
      <w:pPr>
        <w:pStyle w:val="P68B1DB1-Normal6"/>
        <w:spacing w:before="120" w:after="0" w:line="240" w:lineRule="auto"/>
        <w:ind w:left="425"/>
        <w:jc w:val="both"/>
        <w:rPr>
          <w:noProof/>
        </w:rPr>
      </w:pPr>
      <w:r>
        <w:rPr>
          <w:noProof/>
        </w:rPr>
        <w:t xml:space="preserve">L'objectif de la réforme est de contribuer à réduire les pénuries de professionnels de la santé et leur répartition inégale dans l'ensemble du pays. </w:t>
      </w:r>
    </w:p>
    <w:p w14:paraId="1CEBE00D" w14:textId="77777777" w:rsidR="00F74E13" w:rsidRDefault="009274FC">
      <w:pPr>
        <w:pStyle w:val="P68B1DB1-Normal6"/>
        <w:ind w:left="426"/>
        <w:jc w:val="both"/>
        <w:rPr>
          <w:noProof/>
        </w:rPr>
      </w:pPr>
      <w:r>
        <w:rPr>
          <w:noProof/>
        </w:rPr>
        <w:t>La mesure consiste en l’entrée en vigueur d’un ou de plusieurs actes juridiques et d’autres actions.</w:t>
      </w:r>
    </w:p>
    <w:p w14:paraId="1CEBE00F" w14:textId="77777777" w:rsidR="00F74E13" w:rsidRDefault="009274FC">
      <w:pPr>
        <w:pStyle w:val="P68B1DB1-Normal9"/>
        <w:spacing w:before="120" w:line="278" w:lineRule="auto"/>
        <w:ind w:left="425"/>
        <w:jc w:val="both"/>
        <w:rPr>
          <w:noProof/>
        </w:rPr>
      </w:pPr>
      <w:r>
        <w:rPr>
          <w:noProof/>
        </w:rPr>
        <w:t>Réforme 6 (C12.R6): Plan pour une éducation sanitaire moderne dans les écoles</w:t>
      </w:r>
    </w:p>
    <w:p w14:paraId="1CEBE010" w14:textId="77777777" w:rsidR="00F74E13" w:rsidRDefault="009274FC">
      <w:pPr>
        <w:pStyle w:val="P68B1DB1-Normal6"/>
        <w:spacing w:after="120" w:line="240" w:lineRule="auto"/>
        <w:ind w:left="425"/>
        <w:jc w:val="both"/>
        <w:rPr>
          <w:noProof/>
        </w:rPr>
      </w:pPr>
      <w:r>
        <w:rPr>
          <w:noProof/>
        </w:rPr>
        <w:t xml:space="preserve">L'objectif de la réforme est de contribuer à réduire les maladies évitables par l'éducation aux soins de santé dans les écoles. </w:t>
      </w:r>
    </w:p>
    <w:p w14:paraId="1CEBE011" w14:textId="77777777" w:rsidR="00F74E13" w:rsidRDefault="009274FC">
      <w:pPr>
        <w:pStyle w:val="P68B1DB1-Normal51"/>
        <w:spacing w:after="120" w:line="240" w:lineRule="auto"/>
        <w:ind w:left="425"/>
        <w:jc w:val="both"/>
        <w:rPr>
          <w:noProof/>
        </w:rPr>
      </w:pPr>
      <w:r>
        <w:rPr>
          <w:noProof/>
        </w:rPr>
        <w:t xml:space="preserve">La réforme consiste en l’élaboration et l’adoption d’un plan pour l’éducation à la santé dans l’école bulgare 2021-2027. Le plan précise les mesures visant à promouvoir un mode de vie sain chez les élèves dans les domaines de la santé génésique, de la nutrition et de la consommation nocive d'alcool et d'autres substances psychoactives. </w:t>
      </w:r>
    </w:p>
    <w:p w14:paraId="1CEBE012" w14:textId="77777777" w:rsidR="00F74E13" w:rsidRDefault="009274FC">
      <w:pPr>
        <w:pStyle w:val="P68B1DB1-Normal6"/>
        <w:spacing w:after="120" w:line="240" w:lineRule="auto"/>
        <w:ind w:left="425"/>
        <w:jc w:val="both"/>
        <w:rPr>
          <w:noProof/>
        </w:rPr>
      </w:pPr>
      <w:r>
        <w:rPr>
          <w:noProof/>
        </w:rPr>
        <w:t>La mise en œuvre de la réforme est achevée au plus tard le 31 décembre 2022.</w:t>
      </w:r>
    </w:p>
    <w:p w14:paraId="1CEBE014" w14:textId="77777777" w:rsidR="00F74E13" w:rsidRDefault="009274FC">
      <w:pPr>
        <w:pStyle w:val="P68B1DB1-Normal9"/>
        <w:spacing w:before="120" w:after="120" w:line="240" w:lineRule="auto"/>
        <w:ind w:left="426"/>
        <w:jc w:val="both"/>
        <w:rPr>
          <w:noProof/>
        </w:rPr>
      </w:pPr>
      <w:r>
        <w:rPr>
          <w:noProof/>
        </w:rPr>
        <w:t>Investissement 1 (C12.I1): Modernisation des installations hospitalières</w:t>
      </w:r>
    </w:p>
    <w:p w14:paraId="1CEBE015" w14:textId="77777777" w:rsidR="00F74E13" w:rsidRDefault="009274FC">
      <w:pPr>
        <w:pStyle w:val="P68B1DB1-Normal6"/>
        <w:spacing w:after="120" w:line="240" w:lineRule="auto"/>
        <w:ind w:left="425"/>
        <w:jc w:val="both"/>
        <w:rPr>
          <w:noProof/>
        </w:rPr>
      </w:pPr>
      <w:r>
        <w:rPr>
          <w:noProof/>
        </w:rPr>
        <w:t xml:space="preserve">L'objectif de cet investissement est de moderniser l'équipement des établissements de soins pédiatriques et oncologiques. </w:t>
      </w:r>
    </w:p>
    <w:p w14:paraId="1CEBE016" w14:textId="3996B9EF" w:rsidR="00F74E13" w:rsidRDefault="009274FC">
      <w:pPr>
        <w:pStyle w:val="P68B1DB1-Normal6"/>
        <w:spacing w:after="120" w:line="240" w:lineRule="auto"/>
        <w:ind w:left="425"/>
        <w:jc w:val="both"/>
        <w:rPr>
          <w:noProof/>
        </w:rPr>
      </w:pPr>
      <w:r>
        <w:rPr>
          <w:noProof/>
        </w:rPr>
        <w:t xml:space="preserve">La mesure consiste en la livraison d’équipements médicaux ainsi qu’en des travaux de construction et/ou de rénovation. </w:t>
      </w:r>
    </w:p>
    <w:p w14:paraId="1CEBE018" w14:textId="77777777" w:rsidR="00F74E13" w:rsidRDefault="009274FC">
      <w:pPr>
        <w:pStyle w:val="P68B1DB1-Normal9"/>
        <w:spacing w:before="120" w:after="120" w:line="240" w:lineRule="auto"/>
        <w:ind w:left="426"/>
        <w:jc w:val="both"/>
        <w:rPr>
          <w:noProof/>
        </w:rPr>
      </w:pPr>
      <w:r>
        <w:rPr>
          <w:noProof/>
        </w:rPr>
        <w:t>Investissement 2 (C12.I2): Centres de diagnostic interventionnel et de traitement endovasculaire des maladies cérébrovasculaires</w:t>
      </w:r>
    </w:p>
    <w:p w14:paraId="1CEBE019" w14:textId="77777777" w:rsidR="00F74E13" w:rsidRDefault="009274FC">
      <w:pPr>
        <w:pStyle w:val="P68B1DB1-Normal6"/>
        <w:spacing w:after="120" w:line="240" w:lineRule="auto"/>
        <w:ind w:left="425"/>
        <w:jc w:val="both"/>
        <w:rPr>
          <w:noProof/>
        </w:rPr>
      </w:pPr>
      <w:r>
        <w:rPr>
          <w:noProof/>
        </w:rPr>
        <w:t xml:space="preserve">L'objectif de l'investissement est d'accroître l'accès aux soins fournis pour les maladies cérébrovasculaires. </w:t>
      </w:r>
    </w:p>
    <w:p w14:paraId="1CEBE01A" w14:textId="0168C4B1" w:rsidR="00F74E13" w:rsidRDefault="009274FC">
      <w:pPr>
        <w:pStyle w:val="P68B1DB1-Normal6"/>
        <w:spacing w:after="120" w:line="240" w:lineRule="auto"/>
        <w:ind w:left="425"/>
        <w:jc w:val="both"/>
        <w:rPr>
          <w:noProof/>
        </w:rPr>
      </w:pPr>
      <w:r>
        <w:rPr>
          <w:noProof/>
        </w:rPr>
        <w:t>La mesure consiste en des travaux de construction et/ou de rénovation et en la livraison d’équipements pour des centres spécialisés.</w:t>
      </w:r>
    </w:p>
    <w:p w14:paraId="1CEBE01C" w14:textId="77777777" w:rsidR="00F74E13" w:rsidRDefault="009274FC">
      <w:pPr>
        <w:pStyle w:val="P68B1DB1-Normal9"/>
        <w:spacing w:before="120" w:after="120" w:line="240" w:lineRule="auto"/>
        <w:ind w:left="426"/>
        <w:jc w:val="both"/>
        <w:rPr>
          <w:noProof/>
        </w:rPr>
      </w:pPr>
      <w:r>
        <w:rPr>
          <w:noProof/>
        </w:rPr>
        <w:t>Investissement 3 (C12.I3): Modernisation des soins psychiatriques</w:t>
      </w:r>
    </w:p>
    <w:p w14:paraId="1CEBE01D" w14:textId="77777777" w:rsidR="00F74E13" w:rsidRDefault="009274FC">
      <w:pPr>
        <w:pStyle w:val="P68B1DB1-Normal6"/>
        <w:spacing w:after="120" w:line="240" w:lineRule="auto"/>
        <w:ind w:left="425"/>
        <w:jc w:val="both"/>
        <w:rPr>
          <w:noProof/>
        </w:rPr>
      </w:pPr>
      <w:r>
        <w:rPr>
          <w:noProof/>
        </w:rPr>
        <w:t xml:space="preserve">L’objectif de l’investissement est de moderniser les équipements et infrastructures obsolètes des établissements de soins psychiatriques. </w:t>
      </w:r>
    </w:p>
    <w:p w14:paraId="1CEBE01E" w14:textId="780D5D09" w:rsidR="00F74E13" w:rsidRDefault="009274FC">
      <w:pPr>
        <w:pStyle w:val="P68B1DB1-Normal6"/>
        <w:spacing w:after="120" w:line="240" w:lineRule="auto"/>
        <w:ind w:left="425"/>
        <w:jc w:val="both"/>
        <w:rPr>
          <w:noProof/>
        </w:rPr>
      </w:pPr>
      <w:r>
        <w:rPr>
          <w:noProof/>
        </w:rPr>
        <w:t>La mesure consiste à rénover les établissements de soins psychiatriques et à fournir du matériel.</w:t>
      </w:r>
    </w:p>
    <w:p w14:paraId="1CEBE020" w14:textId="77777777" w:rsidR="00F74E13" w:rsidRDefault="009274FC">
      <w:pPr>
        <w:pStyle w:val="P68B1DB1-Normal9"/>
        <w:spacing w:before="120" w:after="120" w:line="240" w:lineRule="auto"/>
        <w:ind w:left="426"/>
        <w:jc w:val="both"/>
        <w:rPr>
          <w:noProof/>
        </w:rPr>
      </w:pPr>
      <w:r>
        <w:rPr>
          <w:noProof/>
        </w:rPr>
        <w:t>Investissement 4 (C12.I4): Mise en place d'un système d'ambulance aérienne</w:t>
      </w:r>
    </w:p>
    <w:p w14:paraId="1CEBE021" w14:textId="77777777" w:rsidR="00F74E13" w:rsidRDefault="009274FC">
      <w:pPr>
        <w:pStyle w:val="P68B1DB1-Normal6"/>
        <w:spacing w:before="120" w:after="0" w:line="240" w:lineRule="auto"/>
        <w:ind w:left="425"/>
        <w:jc w:val="both"/>
        <w:rPr>
          <w:noProof/>
        </w:rPr>
      </w:pPr>
      <w:r>
        <w:rPr>
          <w:noProof/>
        </w:rPr>
        <w:t xml:space="preserve">L'objectif de cet investissement est de mettre en place un système d'ambulance aérienne. </w:t>
      </w:r>
    </w:p>
    <w:p w14:paraId="1CEBE022" w14:textId="015329AE" w:rsidR="00F74E13" w:rsidRDefault="009274FC">
      <w:pPr>
        <w:pStyle w:val="P68B1DB1-Normal6"/>
        <w:spacing w:before="120" w:after="0" w:line="240" w:lineRule="auto"/>
        <w:ind w:left="425"/>
        <w:jc w:val="both"/>
        <w:rPr>
          <w:noProof/>
        </w:rPr>
      </w:pPr>
      <w:r>
        <w:rPr>
          <w:noProof/>
        </w:rPr>
        <w:t xml:space="preserve">La mesure consiste en la livraison d'hélicoptères. </w:t>
      </w:r>
    </w:p>
    <w:p w14:paraId="1CEBE024" w14:textId="77777777" w:rsidR="00F74E13" w:rsidRDefault="009274FC">
      <w:pPr>
        <w:pStyle w:val="P68B1DB1-Normal9"/>
        <w:spacing w:before="240" w:after="120" w:line="240" w:lineRule="auto"/>
        <w:ind w:left="425"/>
        <w:jc w:val="both"/>
        <w:rPr>
          <w:noProof/>
        </w:rPr>
      </w:pPr>
      <w:r>
        <w:rPr>
          <w:noProof/>
        </w:rPr>
        <w:t>Investissement 5 (C12.I5): Plateforme numérique nationale pour le diagnostic médical</w:t>
      </w:r>
    </w:p>
    <w:p w14:paraId="1CEBE025" w14:textId="77777777" w:rsidR="00F74E13" w:rsidRDefault="009274FC">
      <w:pPr>
        <w:pStyle w:val="P68B1DB1-Normal6"/>
        <w:spacing w:before="120" w:after="0" w:line="240" w:lineRule="auto"/>
        <w:ind w:left="425"/>
        <w:jc w:val="both"/>
        <w:rPr>
          <w:noProof/>
        </w:rPr>
      </w:pPr>
      <w:r>
        <w:rPr>
          <w:noProof/>
        </w:rPr>
        <w:t xml:space="preserve">L’objectif de l’investissement est de parvenir à une meilleure qualité de l’infrastructure informatique pour les services de diagnostic médical. </w:t>
      </w:r>
    </w:p>
    <w:p w14:paraId="1CEBE026" w14:textId="77777777" w:rsidR="00F74E13" w:rsidRDefault="009274FC">
      <w:pPr>
        <w:pStyle w:val="P68B1DB1-Normal6"/>
        <w:spacing w:after="120" w:line="240" w:lineRule="auto"/>
        <w:ind w:left="425"/>
        <w:jc w:val="both"/>
        <w:rPr>
          <w:noProof/>
        </w:rPr>
      </w:pPr>
      <w:r>
        <w:rPr>
          <w:noProof/>
        </w:rPr>
        <w:t>La mesure consiste en la mise en place d’une plateforme numérique pour le diagnostic médical.</w:t>
      </w:r>
    </w:p>
    <w:p w14:paraId="1CEBE028" w14:textId="77777777" w:rsidR="00F74E13" w:rsidRDefault="009274FC">
      <w:pPr>
        <w:pStyle w:val="P68B1DB1-Normal9"/>
        <w:spacing w:before="240" w:after="120" w:line="240" w:lineRule="auto"/>
        <w:ind w:left="425"/>
        <w:jc w:val="both"/>
        <w:rPr>
          <w:noProof/>
        </w:rPr>
      </w:pPr>
      <w:r>
        <w:rPr>
          <w:noProof/>
        </w:rPr>
        <w:t>Investissement 7 (C12.I7): Développement des soins ambulatoires</w:t>
      </w:r>
    </w:p>
    <w:p w14:paraId="1CEBE029" w14:textId="77777777" w:rsidR="00F74E13" w:rsidRDefault="009274FC">
      <w:pPr>
        <w:pStyle w:val="P68B1DB1-Normal6"/>
        <w:spacing w:before="120" w:after="0" w:line="240" w:lineRule="auto"/>
        <w:ind w:left="425"/>
        <w:jc w:val="both"/>
        <w:rPr>
          <w:noProof/>
        </w:rPr>
      </w:pPr>
      <w:r>
        <w:rPr>
          <w:noProof/>
        </w:rPr>
        <w:t xml:space="preserve">L'objectif de cet investissement est de favoriser les soins préventifs et ambulatoires dans les zones reculées. </w:t>
      </w:r>
    </w:p>
    <w:p w14:paraId="1CEBE02A" w14:textId="6E729F65" w:rsidR="00F74E13" w:rsidRDefault="009274FC">
      <w:pPr>
        <w:pStyle w:val="P68B1DB1-Normal6"/>
        <w:spacing w:before="120" w:after="0" w:line="240" w:lineRule="auto"/>
        <w:ind w:left="425"/>
        <w:jc w:val="both"/>
        <w:rPr>
          <w:noProof/>
        </w:rPr>
      </w:pPr>
      <w:r>
        <w:rPr>
          <w:noProof/>
        </w:rPr>
        <w:t xml:space="preserve">La mesure consiste à construire et/ou rénover des unités médicales ambulatoires et/ou à livrer des conteneurs ambulatoires. </w:t>
      </w:r>
    </w:p>
    <w:p w14:paraId="1CEBE02B" w14:textId="77777777" w:rsidR="00F74E13" w:rsidRDefault="00F74E13">
      <w:pPr>
        <w:spacing w:before="120" w:after="120" w:line="240" w:lineRule="auto"/>
        <w:ind w:left="426"/>
        <w:jc w:val="both"/>
        <w:rPr>
          <w:rFonts w:ascii="Times New Roman" w:hAnsi="Times New Roman"/>
          <w:noProof/>
        </w:rPr>
        <w:sectPr w:rsidR="00F74E13">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1CEBE02C" w14:textId="1011719A" w:rsidR="00F74E13" w:rsidRDefault="009274FC">
      <w:pPr>
        <w:pStyle w:val="P68B1DB1-Normal8"/>
        <w:spacing w:before="120" w:after="120" w:line="240" w:lineRule="auto"/>
        <w:ind w:left="850"/>
        <w:jc w:val="center"/>
        <w:rPr>
          <w:noProof/>
        </w:rPr>
      </w:pPr>
      <w:r>
        <w:rPr>
          <w:noProof/>
        </w:rPr>
        <w:t>L.2. Étapes, cibles, indicateurs et calendrier pour le suivi et la mise en œuvre du soutien financier non remboursable</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95"/>
        <w:gridCol w:w="1701"/>
        <w:gridCol w:w="1101"/>
        <w:gridCol w:w="1843"/>
        <w:gridCol w:w="1559"/>
        <w:gridCol w:w="851"/>
        <w:gridCol w:w="1276"/>
        <w:gridCol w:w="850"/>
        <w:gridCol w:w="992"/>
        <w:gridCol w:w="1134"/>
        <w:gridCol w:w="3686"/>
      </w:tblGrid>
      <w:tr w:rsidR="00F74E13" w14:paraId="1CEBE035" w14:textId="77777777" w:rsidTr="00197066">
        <w:trPr>
          <w:trHeight w:val="300"/>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D" w14:textId="77777777" w:rsidR="00F74E13" w:rsidRDefault="009274FC">
            <w:pPr>
              <w:pStyle w:val="P68B1DB1-Normal69"/>
              <w:spacing w:after="0"/>
              <w:jc w:val="center"/>
              <w:rPr>
                <w:rFonts w:eastAsia="Calibri"/>
                <w:bCs/>
                <w:noProof/>
                <w:color w:val="000000" w:themeColor="text1"/>
                <w:szCs w:val="20"/>
              </w:rPr>
            </w:pPr>
            <w:r>
              <w:rPr>
                <w:noProof/>
              </w:rPr>
              <w:t>Seq. 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E" w14:textId="77777777" w:rsidR="00F74E13" w:rsidRDefault="009274FC">
            <w:pPr>
              <w:pStyle w:val="P68B1DB1-Normal69"/>
              <w:spacing w:after="0"/>
              <w:jc w:val="center"/>
              <w:rPr>
                <w:noProof/>
                <w:color w:val="000000" w:themeColor="text1"/>
              </w:rPr>
            </w:pPr>
            <w:r>
              <w:rPr>
                <w:noProof/>
              </w:rPr>
              <w:t>Mesure connexe (réforme ou investissement)</w:t>
            </w:r>
          </w:p>
        </w:tc>
        <w:tc>
          <w:tcPr>
            <w:tcW w:w="11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F" w14:textId="77777777" w:rsidR="00F74E13" w:rsidRDefault="009274FC">
            <w:pPr>
              <w:pStyle w:val="P68B1DB1-Normal69"/>
              <w:spacing w:after="0"/>
              <w:jc w:val="center"/>
              <w:rPr>
                <w:rFonts w:eastAsia="Calibri"/>
                <w:bCs/>
                <w:noProof/>
                <w:color w:val="000000" w:themeColor="text1"/>
                <w:szCs w:val="20"/>
              </w:rPr>
            </w:pPr>
            <w:r>
              <w:rPr>
                <w:noProof/>
              </w:rPr>
              <w:t>Étape/cible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0" w14:textId="77777777" w:rsidR="00F74E13" w:rsidRDefault="009274FC">
            <w:pPr>
              <w:pStyle w:val="P68B1DB1-Normal69"/>
              <w:spacing w:after="0"/>
              <w:jc w:val="center"/>
              <w:rPr>
                <w:rFonts w:eastAsia="Calibri"/>
                <w:bCs/>
                <w:noProof/>
                <w:color w:val="000000" w:themeColor="text1"/>
                <w:szCs w:val="20"/>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1" w14:textId="77777777" w:rsidR="00F74E13" w:rsidRDefault="009274FC">
            <w:pPr>
              <w:pStyle w:val="P68B1DB1-Normal70"/>
              <w:spacing w:after="0"/>
              <w:jc w:val="center"/>
              <w:rPr>
                <w:rFonts w:eastAsia="Calibri"/>
                <w:b/>
                <w:bCs/>
                <w:noProof/>
                <w:color w:val="000000" w:themeColor="text1"/>
                <w:szCs w:val="20"/>
              </w:rPr>
            </w:pPr>
            <w:r>
              <w:rPr>
                <w:b/>
                <w:noProof/>
              </w:rPr>
              <w:t xml:space="preserve">Indicateurs qualitatifs </w:t>
            </w:r>
            <w:r>
              <w:rPr>
                <w:noProof/>
                <w:szCs w:val="20"/>
              </w:rPr>
              <w:br/>
            </w:r>
            <w:r>
              <w:rPr>
                <w:b/>
                <w:noProof/>
              </w:rPr>
              <w:t>(pour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E032" w14:textId="77777777" w:rsidR="00F74E13" w:rsidRDefault="009274FC">
            <w:pPr>
              <w:pStyle w:val="P68B1DB1-Normal70"/>
              <w:spacing w:after="0"/>
              <w:jc w:val="center"/>
              <w:rPr>
                <w:rFonts w:eastAsia="Calibri"/>
                <w:b/>
                <w:bCs/>
                <w:noProof/>
                <w:color w:val="000000" w:themeColor="text1"/>
                <w:szCs w:val="20"/>
              </w:rPr>
            </w:pPr>
            <w:r>
              <w:rPr>
                <w:b/>
                <w:noProof/>
              </w:rPr>
              <w:t xml:space="preserve">Indicateurs quantitatifs </w:t>
            </w:r>
            <w:r>
              <w:rPr>
                <w:noProof/>
                <w:szCs w:val="20"/>
              </w:rPr>
              <w:br/>
            </w:r>
            <w:r>
              <w:rPr>
                <w:b/>
                <w:noProof/>
              </w:rPr>
              <w:t>(pour les objectifs)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E033" w14:textId="77777777" w:rsidR="00F74E13" w:rsidRDefault="009274FC">
            <w:pPr>
              <w:pStyle w:val="P68B1DB1-Normal69"/>
              <w:spacing w:after="0"/>
              <w:jc w:val="center"/>
              <w:rPr>
                <w:noProof/>
              </w:rPr>
            </w:pPr>
            <w:r>
              <w:rPr>
                <w:noProof/>
              </w:rPr>
              <w:t>Calendrier indicatif d'achèvement</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4" w14:textId="77777777" w:rsidR="00F74E13" w:rsidRDefault="009274FC">
            <w:pPr>
              <w:pStyle w:val="P68B1DB1-Normal69"/>
              <w:spacing w:after="0"/>
              <w:jc w:val="center"/>
              <w:rPr>
                <w:noProof/>
                <w:color w:val="006100"/>
                <w:szCs w:val="20"/>
              </w:rPr>
            </w:pPr>
            <w:r>
              <w:rPr>
                <w:noProof/>
              </w:rPr>
              <w:t>Description de chaque jalon et cible</w:t>
            </w:r>
          </w:p>
        </w:tc>
      </w:tr>
      <w:tr w:rsidR="00F74E13" w14:paraId="1CEBE041" w14:textId="77777777" w:rsidTr="00197066">
        <w:trPr>
          <w:trHeight w:val="300"/>
          <w:tblHeader/>
          <w:jc w:val="center"/>
        </w:trPr>
        <w:tc>
          <w:tcPr>
            <w:tcW w:w="595" w:type="dxa"/>
            <w:vMerge/>
            <w:noWrap/>
            <w:vAlign w:val="center"/>
          </w:tcPr>
          <w:p w14:paraId="1CEBE036" w14:textId="77777777" w:rsidR="00F74E13" w:rsidRDefault="00F74E13">
            <w:pPr>
              <w:spacing w:after="0"/>
              <w:jc w:val="center"/>
              <w:rPr>
                <w:rFonts w:ascii="Times New Roman" w:hAnsi="Times New Roman" w:cs="Times New Roman"/>
                <w:b/>
                <w:noProof/>
                <w:color w:val="000000"/>
                <w:sz w:val="20"/>
              </w:rPr>
            </w:pPr>
          </w:p>
        </w:tc>
        <w:tc>
          <w:tcPr>
            <w:tcW w:w="1701" w:type="dxa"/>
            <w:vMerge/>
            <w:noWrap/>
            <w:vAlign w:val="center"/>
          </w:tcPr>
          <w:p w14:paraId="1CEBE037" w14:textId="77777777" w:rsidR="00F74E13" w:rsidRDefault="00F74E13">
            <w:pPr>
              <w:spacing w:after="0"/>
              <w:jc w:val="center"/>
              <w:rPr>
                <w:rFonts w:ascii="Times New Roman" w:hAnsi="Times New Roman" w:cs="Times New Roman"/>
                <w:b/>
                <w:noProof/>
                <w:color w:val="000000"/>
                <w:sz w:val="20"/>
              </w:rPr>
            </w:pPr>
          </w:p>
        </w:tc>
        <w:tc>
          <w:tcPr>
            <w:tcW w:w="1101" w:type="dxa"/>
            <w:vMerge/>
            <w:noWrap/>
            <w:vAlign w:val="center"/>
          </w:tcPr>
          <w:p w14:paraId="1CEBE038" w14:textId="77777777" w:rsidR="00F74E13" w:rsidRDefault="00F74E13">
            <w:pPr>
              <w:spacing w:after="0"/>
              <w:jc w:val="center"/>
              <w:rPr>
                <w:rFonts w:ascii="Times New Roman" w:hAnsi="Times New Roman" w:cs="Times New Roman"/>
                <w:b/>
                <w:noProof/>
                <w:color w:val="000000"/>
                <w:sz w:val="20"/>
              </w:rPr>
            </w:pPr>
          </w:p>
        </w:tc>
        <w:tc>
          <w:tcPr>
            <w:tcW w:w="1843" w:type="dxa"/>
            <w:vMerge/>
            <w:noWrap/>
            <w:vAlign w:val="center"/>
          </w:tcPr>
          <w:p w14:paraId="1CEBE039" w14:textId="77777777" w:rsidR="00F74E13" w:rsidRDefault="00F74E13">
            <w:pPr>
              <w:spacing w:after="0"/>
              <w:jc w:val="center"/>
              <w:rPr>
                <w:rFonts w:ascii="Times New Roman" w:hAnsi="Times New Roman" w:cs="Times New Roman"/>
                <w:b/>
                <w:noProof/>
                <w:color w:val="000000"/>
                <w:sz w:val="20"/>
              </w:rPr>
            </w:pPr>
          </w:p>
        </w:tc>
        <w:tc>
          <w:tcPr>
            <w:tcW w:w="1559" w:type="dxa"/>
            <w:vMerge/>
            <w:noWrap/>
            <w:vAlign w:val="center"/>
          </w:tcPr>
          <w:p w14:paraId="1CEBE03A" w14:textId="77777777" w:rsidR="00F74E13" w:rsidRDefault="00F74E13">
            <w:pPr>
              <w:spacing w:after="0"/>
              <w:rPr>
                <w:rFonts w:ascii="Times New Roman" w:hAnsi="Times New Roman" w:cs="Times New Roman"/>
                <w:b/>
                <w:noProof/>
                <w:color w:val="0000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B" w14:textId="77777777" w:rsidR="00F74E13" w:rsidRDefault="009274FC">
            <w:pPr>
              <w:pStyle w:val="P68B1DB1-Normal69"/>
              <w:spacing w:after="0"/>
              <w:jc w:val="center"/>
              <w:rPr>
                <w:rFonts w:eastAsia="Calibri"/>
                <w:bCs/>
                <w:noProof/>
                <w:color w:val="000000" w:themeColor="text1"/>
                <w:szCs w:val="20"/>
              </w:rPr>
            </w:pPr>
            <w:r>
              <w:rPr>
                <w:noProof/>
              </w:rPr>
              <w:t>Unité de mesure</w:t>
            </w:r>
          </w:p>
        </w:tc>
        <w:tc>
          <w:tcPr>
            <w:tcW w:w="1276"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C" w14:textId="77777777" w:rsidR="00F74E13" w:rsidRDefault="009274FC">
            <w:pPr>
              <w:pStyle w:val="P68B1DB1-Normal69"/>
              <w:spacing w:after="0"/>
              <w:jc w:val="center"/>
              <w:rPr>
                <w:rFonts w:eastAsia="Calibri"/>
                <w:bCs/>
                <w:noProof/>
                <w:color w:val="000000" w:themeColor="text1"/>
                <w:szCs w:val="20"/>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D" w14:textId="77777777" w:rsidR="00F74E13" w:rsidRDefault="009274FC">
            <w:pPr>
              <w:pStyle w:val="P68B1DB1-Normal69"/>
              <w:spacing w:after="0"/>
              <w:jc w:val="center"/>
              <w:rPr>
                <w:rFonts w:eastAsia="Calibri"/>
                <w:bCs/>
                <w:noProof/>
                <w:color w:val="000000" w:themeColor="text1"/>
                <w:szCs w:val="20"/>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E" w14:textId="77777777" w:rsidR="00F74E13" w:rsidRDefault="009274FC">
            <w:pPr>
              <w:pStyle w:val="P68B1DB1-Normal69"/>
              <w:spacing w:after="0"/>
              <w:jc w:val="center"/>
              <w:rPr>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F" w14:textId="77777777" w:rsidR="00F74E13" w:rsidRDefault="009274FC">
            <w:pPr>
              <w:pStyle w:val="P68B1DB1-Normal69"/>
              <w:spacing w:after="0"/>
              <w:jc w:val="center"/>
              <w:rPr>
                <w:noProof/>
              </w:rPr>
            </w:pPr>
            <w:r>
              <w:rPr>
                <w:noProof/>
              </w:rPr>
              <w:t>Année</w:t>
            </w:r>
          </w:p>
        </w:tc>
        <w:tc>
          <w:tcPr>
            <w:tcW w:w="3686" w:type="dxa"/>
            <w:vMerge/>
            <w:noWrap/>
            <w:vAlign w:val="center"/>
          </w:tcPr>
          <w:p w14:paraId="1CEBE040" w14:textId="77777777" w:rsidR="00F74E13" w:rsidRDefault="00F74E13">
            <w:pPr>
              <w:spacing w:after="0"/>
              <w:jc w:val="center"/>
              <w:rPr>
                <w:rFonts w:ascii="Times New Roman" w:eastAsia="Calibri" w:hAnsi="Times New Roman" w:cs="Times New Roman"/>
                <w:b/>
                <w:noProof/>
                <w:color w:val="000000"/>
                <w:sz w:val="20"/>
                <w:szCs w:val="20"/>
              </w:rPr>
            </w:pPr>
          </w:p>
        </w:tc>
      </w:tr>
      <w:tr w:rsidR="00F74E13" w14:paraId="1CEBE052"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42" w14:textId="77777777" w:rsidR="00F74E13" w:rsidRDefault="009274FC">
            <w:pPr>
              <w:pStyle w:val="P68B1DB1-Normal12"/>
              <w:spacing w:after="0"/>
              <w:jc w:val="center"/>
              <w:rPr>
                <w:noProof/>
              </w:rPr>
            </w:pPr>
            <w:r>
              <w:rPr>
                <w:noProof/>
              </w:rPr>
              <w:t>315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43" w14:textId="77777777" w:rsidR="00F74E13" w:rsidRDefault="009274FC">
            <w:pPr>
              <w:pStyle w:val="P68B1DB1-Normal12"/>
              <w:spacing w:after="0" w:line="240" w:lineRule="auto"/>
              <w:ind w:left="57" w:right="57"/>
              <w:rPr>
                <w:noProof/>
              </w:rPr>
            </w:pPr>
            <w:r>
              <w:rPr>
                <w:noProof/>
              </w:rPr>
              <w:t>C12.R1 :</w:t>
            </w:r>
          </w:p>
          <w:p w14:paraId="1CEBE044" w14:textId="77777777" w:rsidR="00F74E13" w:rsidRDefault="009274FC">
            <w:pPr>
              <w:pStyle w:val="P68B1DB1-Normal12"/>
              <w:spacing w:after="0" w:line="240" w:lineRule="auto"/>
              <w:ind w:left="57" w:right="57"/>
              <w:rPr>
                <w:noProof/>
              </w:rPr>
            </w:pPr>
            <w:r>
              <w:rPr>
                <w:noProof/>
              </w:rPr>
              <w:t>Améliorer le cadre stratégique du secteur des soins de santé</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45"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46" w14:textId="77777777" w:rsidR="00F74E13" w:rsidRDefault="009274FC">
            <w:pPr>
              <w:pStyle w:val="P68B1DB1-Normal12"/>
              <w:spacing w:after="0" w:line="240" w:lineRule="auto"/>
              <w:ind w:left="57" w:right="57"/>
              <w:rPr>
                <w:noProof/>
              </w:rPr>
            </w:pPr>
            <w:r>
              <w:rPr>
                <w:noProof/>
              </w:rPr>
              <w:t>Stratégie nationale pour la santé mentale des citoyens de la République de Bulgarie 2021-2030 et plan d’action pour la mise en œuvre de la stratégie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47" w14:textId="26F045F4" w:rsidR="00F74E13" w:rsidRDefault="009274FC">
            <w:pPr>
              <w:pStyle w:val="P68B1DB1-Normal12"/>
              <w:spacing w:after="0" w:line="240" w:lineRule="auto"/>
              <w:ind w:left="57" w:right="57"/>
              <w:rPr>
                <w:noProof/>
              </w:rPr>
            </w:pPr>
            <w:r>
              <w:rPr>
                <w:noProof/>
              </w:rPr>
              <w:t>Adoption de la stratégie et du plan d'action par le Conseil des ministres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48" w14:textId="77777777" w:rsidR="00F74E13" w:rsidRDefault="009274FC">
            <w:pPr>
              <w:pStyle w:val="P68B1DB1-Normal12"/>
              <w:spacing w:after="0" w:line="240" w:lineRule="auto"/>
              <w:ind w:left="57" w:right="57"/>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49" w14:textId="77777777" w:rsidR="00F74E13" w:rsidRDefault="009274FC">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4A" w14:textId="77777777" w:rsidR="00F74E13" w:rsidRDefault="009274FC">
            <w:pPr>
              <w:pStyle w:val="P68B1DB1-Normal12"/>
              <w:spacing w:after="0" w:line="240" w:lineRule="auto"/>
              <w:ind w:left="57" w:right="57"/>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4B" w14:textId="77777777" w:rsidR="00F74E13" w:rsidRDefault="009274FC">
            <w:pPr>
              <w:pStyle w:val="P68B1DB1-Normal12"/>
              <w:spacing w:after="0" w:line="240" w:lineRule="auto"/>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4C" w14:textId="77777777" w:rsidR="00F74E13" w:rsidRDefault="009274FC">
            <w:pPr>
              <w:pStyle w:val="P68B1DB1-Normal12"/>
              <w:spacing w:after="0" w:line="240" w:lineRule="auto"/>
              <w:ind w:left="57" w:right="57"/>
              <w:jc w:val="center"/>
              <w:rPr>
                <w:noProof/>
              </w:rPr>
            </w:pPr>
            <w:r>
              <w:rPr>
                <w:noProof/>
              </w:rPr>
              <w:t>2021</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04D" w14:textId="77777777" w:rsidR="00F74E13" w:rsidRDefault="009274FC">
            <w:pPr>
              <w:pStyle w:val="P68B1DB1-Normal12"/>
              <w:spacing w:after="0" w:line="240" w:lineRule="auto"/>
              <w:ind w:left="57" w:right="57"/>
              <w:jc w:val="both"/>
              <w:rPr>
                <w:noProof/>
              </w:rPr>
            </w:pPr>
            <w:r>
              <w:rPr>
                <w:noProof/>
              </w:rPr>
              <w:t>La stratégie nationale pour la santé mentale des citoyens de la République de Bulgarie 2021-2030 définit les objectifs et priorités stratégiques sur une période de dix ans et fournit des recommandations couvrant:</w:t>
            </w:r>
          </w:p>
          <w:p w14:paraId="2F21D992" w14:textId="77777777" w:rsidR="00F74E13" w:rsidRDefault="009274FC">
            <w:pPr>
              <w:pStyle w:val="P68B1DB1-ListParagraph16"/>
              <w:numPr>
                <w:ilvl w:val="0"/>
                <w:numId w:val="71"/>
              </w:numPr>
              <w:spacing w:after="0" w:line="240" w:lineRule="auto"/>
              <w:ind w:left="468" w:right="57"/>
              <w:jc w:val="both"/>
              <w:rPr>
                <w:noProof/>
              </w:rPr>
            </w:pPr>
            <w:r>
              <w:rPr>
                <w:noProof/>
              </w:rPr>
              <w:t>l’intégration des soins psychiatriques dans la prestation de services de proximité et à domicile (désinstitutionnalisation) pour les personnes souffrant de maladies mentales et de troubles de l’alimentation;</w:t>
            </w:r>
          </w:p>
          <w:p w14:paraId="6556CAC9" w14:textId="77777777" w:rsidR="00F74E13" w:rsidRDefault="009274FC">
            <w:pPr>
              <w:pStyle w:val="P68B1DB1-ListParagraph16"/>
              <w:numPr>
                <w:ilvl w:val="0"/>
                <w:numId w:val="71"/>
              </w:numPr>
              <w:spacing w:after="0" w:line="240" w:lineRule="auto"/>
              <w:ind w:left="468" w:right="57"/>
              <w:jc w:val="both"/>
              <w:rPr>
                <w:noProof/>
              </w:rPr>
            </w:pPr>
            <w:r>
              <w:rPr>
                <w:noProof/>
              </w:rPr>
              <w:t>pénurie de personnel travaillant dans le domaine de la santé mentale;</w:t>
            </w:r>
          </w:p>
          <w:p w14:paraId="1CEBE050" w14:textId="18D2AD80" w:rsidR="00F74E13" w:rsidRDefault="009274FC">
            <w:pPr>
              <w:pStyle w:val="P68B1DB1-ListParagraph16"/>
              <w:numPr>
                <w:ilvl w:val="0"/>
                <w:numId w:val="71"/>
              </w:numPr>
              <w:spacing w:after="0" w:line="240" w:lineRule="auto"/>
              <w:ind w:left="468" w:right="57"/>
              <w:jc w:val="both"/>
              <w:rPr>
                <w:noProof/>
              </w:rPr>
            </w:pPr>
            <w:r>
              <w:rPr>
                <w:noProof/>
              </w:rPr>
              <w:t>les besoins de rénovation des établissements de soins psychiatriques.</w:t>
            </w:r>
          </w:p>
          <w:p w14:paraId="1CEBE051" w14:textId="77777777" w:rsidR="00F74E13" w:rsidRDefault="009274FC">
            <w:pPr>
              <w:pStyle w:val="P68B1DB1-Normal12"/>
              <w:spacing w:after="0" w:line="240" w:lineRule="auto"/>
              <w:ind w:left="57" w:right="57"/>
              <w:jc w:val="both"/>
              <w:rPr>
                <w:noProof/>
              </w:rPr>
            </w:pPr>
            <w:r>
              <w:rPr>
                <w:noProof/>
              </w:rPr>
              <w:t>Le plan d'action formule des mesures et des actions, y compris leur calendrier, pour mettre en œuvre les recommandations de la stratégie.</w:t>
            </w:r>
          </w:p>
        </w:tc>
      </w:tr>
      <w:tr w:rsidR="00F74E13" w14:paraId="1CEBE067"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53" w14:textId="77777777" w:rsidR="00F74E13" w:rsidRDefault="009274FC">
            <w:pPr>
              <w:pStyle w:val="P68B1DB1-Normal12"/>
              <w:spacing w:after="0"/>
              <w:jc w:val="center"/>
              <w:rPr>
                <w:noProof/>
              </w:rPr>
            </w:pPr>
            <w:r>
              <w:rPr>
                <w:noProof/>
              </w:rPr>
              <w:t>316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54" w14:textId="77777777" w:rsidR="00F74E13" w:rsidRDefault="009274FC">
            <w:pPr>
              <w:pStyle w:val="P68B1DB1-Normal12"/>
              <w:spacing w:after="0" w:line="240" w:lineRule="auto"/>
              <w:ind w:left="57" w:right="57"/>
              <w:rPr>
                <w:noProof/>
              </w:rPr>
            </w:pPr>
            <w:r>
              <w:rPr>
                <w:noProof/>
              </w:rPr>
              <w:t>C12.R1 :</w:t>
            </w:r>
          </w:p>
          <w:p w14:paraId="1CEBE055" w14:textId="77777777" w:rsidR="00F74E13" w:rsidRDefault="009274FC">
            <w:pPr>
              <w:pStyle w:val="P68B1DB1-Normal12"/>
              <w:spacing w:after="0" w:line="240" w:lineRule="auto"/>
              <w:ind w:left="57" w:right="57"/>
              <w:rPr>
                <w:noProof/>
              </w:rPr>
            </w:pPr>
            <w:r>
              <w:rPr>
                <w:noProof/>
              </w:rPr>
              <w:t>Améliorer le cadre stratégique du secteur des soins de santé</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56"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57" w14:textId="77777777" w:rsidR="00F74E13" w:rsidRDefault="009274FC">
            <w:pPr>
              <w:pStyle w:val="P68B1DB1-Normal12"/>
              <w:spacing w:after="0" w:line="240" w:lineRule="auto"/>
              <w:ind w:left="57" w:right="57"/>
              <w:rPr>
                <w:noProof/>
              </w:rPr>
            </w:pPr>
            <w:r>
              <w:rPr>
                <w:noProof/>
              </w:rPr>
              <w:t>Carte nationale des besoins à long terme du secteur de la santé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58" w14:textId="1D2170C7" w:rsidR="00F74E13" w:rsidRDefault="009274FC">
            <w:pPr>
              <w:pStyle w:val="P68B1DB1-Normal12"/>
              <w:spacing w:after="0" w:line="240" w:lineRule="auto"/>
              <w:ind w:left="57" w:right="57"/>
              <w:rPr>
                <w:noProof/>
              </w:rPr>
            </w:pPr>
            <w:r>
              <w:rPr>
                <w:noProof/>
              </w:rPr>
              <w:t>Adoption par le Conseil des ministres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59" w14:textId="77777777" w:rsidR="00F74E13" w:rsidRDefault="009274FC">
            <w:pPr>
              <w:pStyle w:val="P68B1DB1-Normal12"/>
              <w:spacing w:after="0" w:line="240" w:lineRule="auto"/>
              <w:ind w:left="57" w:right="57"/>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5A" w14:textId="77777777" w:rsidR="00F74E13" w:rsidRDefault="009274FC">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5B" w14:textId="77777777" w:rsidR="00F74E13" w:rsidRDefault="009274FC">
            <w:pPr>
              <w:pStyle w:val="P68B1DB1-Normal12"/>
              <w:spacing w:after="0" w:line="240" w:lineRule="auto"/>
              <w:ind w:left="57" w:right="57"/>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5C" w14:textId="77777777" w:rsidR="00F74E13" w:rsidRDefault="009274FC">
            <w:pPr>
              <w:pStyle w:val="P68B1DB1-Normal12"/>
              <w:spacing w:after="0" w:line="240" w:lineRule="auto"/>
              <w:ind w:left="57" w:right="57"/>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5D" w14:textId="77777777" w:rsidR="00F74E13" w:rsidRDefault="009274FC">
            <w:pPr>
              <w:pStyle w:val="P68B1DB1-Normal12"/>
              <w:spacing w:after="0" w:line="240" w:lineRule="auto"/>
              <w:ind w:left="57" w:right="57"/>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05E" w14:textId="77777777" w:rsidR="00F74E13" w:rsidRDefault="009274FC">
            <w:pPr>
              <w:pStyle w:val="P68B1DB1-Normal12"/>
              <w:spacing w:after="0" w:line="240" w:lineRule="auto"/>
              <w:ind w:left="57" w:right="57"/>
              <w:jc w:val="both"/>
              <w:rPr>
                <w:noProof/>
              </w:rPr>
            </w:pPr>
            <w:r>
              <w:rPr>
                <w:noProof/>
              </w:rPr>
              <w:t>La carte nationale des besoins à long terme du secteur des soins de santé comprend une analyse des besoins du système de soins de santé sur l’ensemble du territoire bulgare.</w:t>
            </w:r>
          </w:p>
          <w:p w14:paraId="1CEBE060" w14:textId="77777777" w:rsidR="00F74E13" w:rsidRDefault="009274FC">
            <w:pPr>
              <w:pStyle w:val="P68B1DB1-Normal12"/>
              <w:spacing w:before="120" w:after="0" w:line="240" w:lineRule="auto"/>
              <w:ind w:left="57" w:right="57"/>
              <w:jc w:val="both"/>
              <w:rPr>
                <w:noProof/>
              </w:rPr>
            </w:pPr>
            <w:r>
              <w:rPr>
                <w:noProof/>
              </w:rPr>
              <w:t xml:space="preserve">L'analyse porte sur: </w:t>
            </w:r>
          </w:p>
          <w:p w14:paraId="38F537AD" w14:textId="77777777" w:rsidR="00F74E13" w:rsidRDefault="009274FC">
            <w:pPr>
              <w:pStyle w:val="P68B1DB1-ListParagraph16"/>
              <w:numPr>
                <w:ilvl w:val="0"/>
                <w:numId w:val="71"/>
              </w:numPr>
              <w:spacing w:after="0" w:line="240" w:lineRule="auto"/>
              <w:ind w:right="57"/>
              <w:jc w:val="both"/>
              <w:rPr>
                <w:noProof/>
              </w:rPr>
            </w:pPr>
            <w:r>
              <w:rPr>
                <w:noProof/>
              </w:rPr>
              <w:t>la disponibilité de soins hospitaliers et ambulatoires sur l’ensemble du territoire;</w:t>
            </w:r>
          </w:p>
          <w:p w14:paraId="192B137B" w14:textId="77777777" w:rsidR="00F74E13" w:rsidRDefault="009274FC">
            <w:pPr>
              <w:pStyle w:val="P68B1DB1-ListParagraph16"/>
              <w:numPr>
                <w:ilvl w:val="0"/>
                <w:numId w:val="71"/>
              </w:numPr>
              <w:spacing w:after="0" w:line="240" w:lineRule="auto"/>
              <w:ind w:right="57"/>
              <w:jc w:val="both"/>
              <w:rPr>
                <w:noProof/>
              </w:rPr>
            </w:pPr>
            <w:r>
              <w:rPr>
                <w:noProof/>
              </w:rPr>
              <w:t>la nécessité de nouveaux établissements de soins de santé, y compris des établissements de soins ambulatoires;</w:t>
            </w:r>
          </w:p>
          <w:p w14:paraId="230FCB67" w14:textId="77777777" w:rsidR="00F74E13" w:rsidRDefault="009274FC">
            <w:pPr>
              <w:pStyle w:val="P68B1DB1-ListParagraph16"/>
              <w:numPr>
                <w:ilvl w:val="0"/>
                <w:numId w:val="71"/>
              </w:numPr>
              <w:spacing w:after="0" w:line="240" w:lineRule="auto"/>
              <w:ind w:right="57"/>
              <w:jc w:val="both"/>
              <w:rPr>
                <w:noProof/>
              </w:rPr>
            </w:pPr>
            <w:r>
              <w:rPr>
                <w:noProof/>
              </w:rPr>
              <w:t>pénurie de professionnels de la santé;</w:t>
            </w:r>
          </w:p>
          <w:p w14:paraId="7FD7B242" w14:textId="77777777" w:rsidR="00F74E13" w:rsidRDefault="009274FC">
            <w:pPr>
              <w:pStyle w:val="P68B1DB1-ListParagraph16"/>
              <w:numPr>
                <w:ilvl w:val="0"/>
                <w:numId w:val="71"/>
              </w:numPr>
              <w:spacing w:after="0" w:line="240" w:lineRule="auto"/>
              <w:ind w:right="57"/>
              <w:jc w:val="both"/>
              <w:rPr>
                <w:noProof/>
              </w:rPr>
            </w:pPr>
            <w:r>
              <w:rPr>
                <w:noProof/>
              </w:rPr>
              <w:t>les besoins en matière de rénovation et d’équipement des établissements de soins de santé, y compris les établissements de soins ambulatoires;</w:t>
            </w:r>
          </w:p>
          <w:p w14:paraId="1CEBE065" w14:textId="4AE64AFD" w:rsidR="00F74E13" w:rsidRDefault="009274FC">
            <w:pPr>
              <w:pStyle w:val="P68B1DB1-ListParagraph16"/>
              <w:numPr>
                <w:ilvl w:val="0"/>
                <w:numId w:val="71"/>
              </w:numPr>
              <w:spacing w:after="0" w:line="240" w:lineRule="auto"/>
              <w:ind w:right="57"/>
              <w:jc w:val="both"/>
              <w:rPr>
                <w:noProof/>
              </w:rPr>
            </w:pPr>
            <w:r>
              <w:rPr>
                <w:noProof/>
              </w:rPr>
              <w:t>des informations pertinentes sur les municipalités bulgares, y compris les caractéristiques démographiques de la population; la couverture de l'assurance maladie ainsi que les taux de morbidité et de mortalité.</w:t>
            </w:r>
          </w:p>
          <w:p w14:paraId="1CEBE066" w14:textId="77777777" w:rsidR="00F74E13" w:rsidRDefault="009274FC">
            <w:pPr>
              <w:pStyle w:val="P68B1DB1-Normal12"/>
              <w:spacing w:after="0" w:line="240" w:lineRule="auto"/>
              <w:ind w:left="57" w:right="57"/>
              <w:jc w:val="both"/>
              <w:rPr>
                <w:noProof/>
              </w:rPr>
            </w:pPr>
            <w:r>
              <w:rPr>
                <w:noProof/>
              </w:rPr>
              <w:t>Sur la base de cette analyse, la carte fournira également des recommandations sur la manière de promouvoir une répartition équilibrée des services de santé en Bulgarie.</w:t>
            </w:r>
          </w:p>
        </w:tc>
      </w:tr>
      <w:tr w:rsidR="00F74E13" w14:paraId="1CEBE07C"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68" w14:textId="77777777" w:rsidR="00F74E13" w:rsidRDefault="009274FC">
            <w:pPr>
              <w:pStyle w:val="P68B1DB1-Normal12"/>
              <w:spacing w:after="0"/>
              <w:jc w:val="center"/>
              <w:rPr>
                <w:noProof/>
              </w:rPr>
            </w:pPr>
            <w:r>
              <w:rPr>
                <w:noProof/>
              </w:rPr>
              <w:t>317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69" w14:textId="77777777" w:rsidR="00F74E13" w:rsidRDefault="009274FC">
            <w:pPr>
              <w:pStyle w:val="P68B1DB1-Normal12"/>
              <w:spacing w:after="0" w:line="240" w:lineRule="auto"/>
              <w:ind w:left="57" w:right="57"/>
              <w:rPr>
                <w:noProof/>
              </w:rPr>
            </w:pPr>
            <w:r>
              <w:rPr>
                <w:noProof/>
              </w:rPr>
              <w:t>C12.R1 :</w:t>
            </w:r>
          </w:p>
          <w:p w14:paraId="1CEBE06A" w14:textId="77777777" w:rsidR="00F74E13" w:rsidRDefault="009274FC">
            <w:pPr>
              <w:pStyle w:val="P68B1DB1-Normal12"/>
              <w:spacing w:after="0" w:line="240" w:lineRule="auto"/>
              <w:ind w:left="57" w:right="57"/>
              <w:rPr>
                <w:noProof/>
              </w:rPr>
            </w:pPr>
            <w:r>
              <w:rPr>
                <w:noProof/>
              </w:rPr>
              <w:t>Améliorer le cadre stratégique du secteur des soins de santé</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6B"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6C" w14:textId="77777777" w:rsidR="00F74E13" w:rsidRDefault="009274FC">
            <w:pPr>
              <w:pStyle w:val="P68B1DB1-Normal12"/>
              <w:spacing w:after="0" w:line="240" w:lineRule="auto"/>
              <w:ind w:left="57" w:right="57"/>
              <w:rPr>
                <w:noProof/>
              </w:rPr>
            </w:pPr>
            <w:r>
              <w:rPr>
                <w:noProof/>
              </w:rPr>
              <w:t xml:space="preserve">Stratégie nationale de santé 2030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6D" w14:textId="5D11C20F" w:rsidR="00F74E13" w:rsidRDefault="009274FC">
            <w:pPr>
              <w:pStyle w:val="P68B1DB1-Normal12"/>
              <w:spacing w:after="0" w:line="240" w:lineRule="auto"/>
              <w:ind w:left="57" w:right="57"/>
              <w:rPr>
                <w:noProof/>
              </w:rPr>
            </w:pPr>
            <w:r>
              <w:rPr>
                <w:noProof/>
              </w:rPr>
              <w:t>Adoption de la stratégie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6E" w14:textId="77777777" w:rsidR="00F74E13" w:rsidRDefault="009274FC">
            <w:pPr>
              <w:pStyle w:val="P68B1DB1-Normal12"/>
              <w:spacing w:after="0" w:line="240" w:lineRule="auto"/>
              <w:ind w:left="57" w:right="57"/>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6F" w14:textId="77777777" w:rsidR="00F74E13" w:rsidRDefault="009274FC">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70" w14:textId="77777777" w:rsidR="00F74E13" w:rsidRDefault="009274FC">
            <w:pPr>
              <w:pStyle w:val="P68B1DB1-Normal12"/>
              <w:spacing w:after="0" w:line="240" w:lineRule="auto"/>
              <w:ind w:left="57" w:right="57"/>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71" w14:textId="77777777" w:rsidR="00F74E13" w:rsidRDefault="009274FC">
            <w:pPr>
              <w:pStyle w:val="P68B1DB1-Normal12"/>
              <w:spacing w:after="0" w:line="240" w:lineRule="auto"/>
              <w:ind w:left="57" w:right="57"/>
              <w:jc w:val="center"/>
              <w:rPr>
                <w:noProof/>
              </w:rPr>
            </w:pPr>
            <w:r>
              <w:rPr>
                <w:noProof/>
              </w:rPr>
              <w:t>T3</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72" w14:textId="77777777" w:rsidR="00F74E13" w:rsidRDefault="009274FC">
            <w:pPr>
              <w:pStyle w:val="P68B1DB1-Normal12"/>
              <w:spacing w:after="0" w:line="240" w:lineRule="auto"/>
              <w:ind w:left="57" w:right="57"/>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073" w14:textId="77777777" w:rsidR="00F74E13" w:rsidRDefault="009274FC">
            <w:pPr>
              <w:pStyle w:val="P68B1DB1-Normal12"/>
              <w:spacing w:after="0" w:line="240" w:lineRule="auto"/>
              <w:ind w:left="57" w:right="57"/>
              <w:jc w:val="both"/>
              <w:rPr>
                <w:noProof/>
              </w:rPr>
            </w:pPr>
            <w:r>
              <w:rPr>
                <w:noProof/>
              </w:rPr>
              <w:t xml:space="preserve">La stratégie nationale en matière de santé à l’horizon 2030 définit les objectifs et priorités stratégiques sur une période de dix ans et formule des recommandations pour relever les défis structurels existants du système de santé. </w:t>
            </w:r>
          </w:p>
          <w:p w14:paraId="1CEBE075" w14:textId="77777777" w:rsidR="00F74E13" w:rsidRDefault="009274FC">
            <w:pPr>
              <w:pStyle w:val="P68B1DB1-Normal12"/>
              <w:spacing w:before="120" w:after="0" w:line="240" w:lineRule="auto"/>
              <w:ind w:left="57" w:right="57"/>
              <w:jc w:val="both"/>
              <w:rPr>
                <w:noProof/>
              </w:rPr>
            </w:pPr>
            <w:r>
              <w:rPr>
                <w:noProof/>
              </w:rPr>
              <w:t>Les recommandations portent sur:</w:t>
            </w:r>
          </w:p>
          <w:p w14:paraId="2B97AA42" w14:textId="77777777" w:rsidR="00F74E13" w:rsidRDefault="009274FC">
            <w:pPr>
              <w:pStyle w:val="P68B1DB1-ListParagraph16"/>
              <w:numPr>
                <w:ilvl w:val="0"/>
                <w:numId w:val="72"/>
              </w:numPr>
              <w:spacing w:after="0" w:line="240" w:lineRule="auto"/>
              <w:ind w:left="468" w:right="57"/>
              <w:jc w:val="both"/>
              <w:rPr>
                <w:noProof/>
              </w:rPr>
            </w:pPr>
            <w:r>
              <w:rPr>
                <w:noProof/>
              </w:rPr>
              <w:t xml:space="preserve">les déséquilibres régionaux dans la fourniture de services de soins de santé; </w:t>
            </w:r>
          </w:p>
          <w:p w14:paraId="773CB0B0" w14:textId="77777777" w:rsidR="00F74E13" w:rsidRDefault="009274FC">
            <w:pPr>
              <w:pStyle w:val="P68B1DB1-ListParagraph16"/>
              <w:numPr>
                <w:ilvl w:val="0"/>
                <w:numId w:val="72"/>
              </w:numPr>
              <w:spacing w:after="0" w:line="240" w:lineRule="auto"/>
              <w:ind w:left="468" w:right="57"/>
              <w:jc w:val="both"/>
              <w:rPr>
                <w:noProof/>
              </w:rPr>
            </w:pPr>
            <w:r>
              <w:rPr>
                <w:noProof/>
              </w:rPr>
              <w:t>la répartition des services entre les soins hospitaliers et ambulatoires, en ce qui concerne les activités de prévention, de réadaptation et de soins de longue durée;</w:t>
            </w:r>
          </w:p>
          <w:p w14:paraId="46F4E1D1" w14:textId="77777777" w:rsidR="00F74E13" w:rsidRDefault="009274FC">
            <w:pPr>
              <w:pStyle w:val="P68B1DB1-ListParagraph16"/>
              <w:numPr>
                <w:ilvl w:val="0"/>
                <w:numId w:val="72"/>
              </w:numPr>
              <w:spacing w:after="0" w:line="240" w:lineRule="auto"/>
              <w:ind w:left="468" w:right="57"/>
              <w:jc w:val="both"/>
              <w:rPr>
                <w:noProof/>
              </w:rPr>
            </w:pPr>
            <w:r>
              <w:rPr>
                <w:noProof/>
              </w:rPr>
              <w:t>l'élaboration d'indicateurs de performance pour évaluer la prestation de services et sa gestion;</w:t>
            </w:r>
          </w:p>
          <w:p w14:paraId="1CEBE079" w14:textId="7F3FA048" w:rsidR="00F74E13" w:rsidRDefault="009274FC">
            <w:pPr>
              <w:pStyle w:val="P68B1DB1-ListParagraph16"/>
              <w:numPr>
                <w:ilvl w:val="0"/>
                <w:numId w:val="72"/>
              </w:numPr>
              <w:spacing w:after="0" w:line="240" w:lineRule="auto"/>
              <w:ind w:left="468" w:right="57"/>
              <w:jc w:val="both"/>
              <w:rPr>
                <w:noProof/>
              </w:rPr>
            </w:pPr>
            <w:r>
              <w:rPr>
                <w:noProof/>
              </w:rPr>
              <w:t>les pénuries et la répartition des professionnels de la santé sur la base de l’analyse de la carte nationale (étape 316).</w:t>
            </w:r>
          </w:p>
          <w:p w14:paraId="1CEBE07B" w14:textId="77777777" w:rsidR="00F74E13" w:rsidRDefault="009274FC">
            <w:pPr>
              <w:pStyle w:val="P68B1DB1-Normal12"/>
              <w:spacing w:before="120" w:after="0" w:line="240" w:lineRule="auto"/>
              <w:ind w:left="57" w:right="57"/>
              <w:jc w:val="both"/>
              <w:rPr>
                <w:noProof/>
              </w:rPr>
            </w:pPr>
            <w:r>
              <w:rPr>
                <w:noProof/>
              </w:rPr>
              <w:t>Un plan d’action couvrant la période 2023-2026 est adopté par le Conseil des ministres. Elle formule des mesures et des actions, y compris leur calendrier, pour mettre en œuvre les recommandations de la stratégie.</w:t>
            </w:r>
          </w:p>
        </w:tc>
      </w:tr>
      <w:tr w:rsidR="00F74E13" w14:paraId="1CEBE08D"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7D" w14:textId="77777777" w:rsidR="00F74E13" w:rsidRDefault="009274FC">
            <w:pPr>
              <w:pStyle w:val="P68B1DB1-Normal12"/>
              <w:spacing w:after="0"/>
              <w:jc w:val="center"/>
              <w:rPr>
                <w:noProof/>
              </w:rPr>
            </w:pPr>
            <w:r>
              <w:rPr>
                <w:noProof/>
              </w:rPr>
              <w:t>318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7E" w14:textId="77777777" w:rsidR="00F74E13" w:rsidRDefault="009274FC">
            <w:pPr>
              <w:pStyle w:val="P68B1DB1-Normal12"/>
              <w:spacing w:after="0"/>
              <w:ind w:left="57" w:right="57"/>
              <w:rPr>
                <w:noProof/>
              </w:rPr>
            </w:pPr>
            <w:r>
              <w:rPr>
                <w:noProof/>
              </w:rPr>
              <w:t>C12.R1 :</w:t>
            </w:r>
          </w:p>
          <w:p w14:paraId="1CEBE07F" w14:textId="77777777" w:rsidR="00F74E13" w:rsidRDefault="009274FC">
            <w:pPr>
              <w:pStyle w:val="P68B1DB1-Normal12"/>
              <w:spacing w:after="0"/>
              <w:ind w:left="57" w:right="57"/>
              <w:rPr>
                <w:noProof/>
              </w:rPr>
            </w:pPr>
            <w:r>
              <w:rPr>
                <w:noProof/>
              </w:rPr>
              <w:t>Améliorer le cadre stratégique du secteur des soins de santé</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80" w14:textId="77777777" w:rsidR="00F74E13" w:rsidRDefault="009274FC">
            <w:pPr>
              <w:pStyle w:val="P68B1DB1-Normal12"/>
              <w:spacing w:after="0"/>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81" w14:textId="6AB87C4D" w:rsidR="00F74E13" w:rsidRDefault="009274FC">
            <w:pPr>
              <w:pStyle w:val="P68B1DB1-Normal12"/>
              <w:spacing w:after="0"/>
              <w:ind w:left="57" w:right="57"/>
              <w:rPr>
                <w:noProof/>
              </w:rPr>
            </w:pPr>
            <w:r>
              <w:rPr>
                <w:noProof/>
              </w:rPr>
              <w:t>Stratégie nationale pour la santé de l'enfant et de l'adolescent et les soins pédiatriques en République de Bulgarie 2030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82" w14:textId="0D4EA520" w:rsidR="00F74E13" w:rsidRDefault="009274FC">
            <w:pPr>
              <w:pStyle w:val="P68B1DB1-Normal12"/>
              <w:spacing w:after="0"/>
              <w:ind w:left="57" w:right="57"/>
              <w:rPr>
                <w:noProof/>
              </w:rPr>
            </w:pPr>
            <w:r>
              <w:rPr>
                <w:noProof/>
              </w:rPr>
              <w:t>Adoption de la stratégie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83" w14:textId="1E09F5CC" w:rsidR="00F74E13" w:rsidRDefault="00F74E13">
            <w:pPr>
              <w:spacing w:after="0"/>
              <w:ind w:left="57" w:right="57"/>
              <w:jc w:val="right"/>
              <w:rPr>
                <w:rFonts w:ascii="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84" w14:textId="2AE7EA08" w:rsidR="00F74E13" w:rsidRDefault="00F74E13">
            <w:pPr>
              <w:spacing w:after="0"/>
              <w:ind w:left="57" w:right="57"/>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85" w14:textId="22FEFACA" w:rsidR="00F74E13" w:rsidRDefault="00F74E13">
            <w:pPr>
              <w:spacing w:after="0"/>
              <w:ind w:left="57" w:right="57"/>
              <w:jc w:val="right"/>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86" w14:textId="77777777" w:rsidR="00F74E13" w:rsidRDefault="009274FC">
            <w:pPr>
              <w:pStyle w:val="P68B1DB1-Normal12"/>
              <w:spacing w:after="0"/>
              <w:ind w:left="57" w:right="57"/>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87" w14:textId="77777777" w:rsidR="00F74E13" w:rsidRDefault="009274FC">
            <w:pPr>
              <w:pStyle w:val="P68B1DB1-Normal12"/>
              <w:spacing w:after="0"/>
              <w:ind w:left="57" w:right="57"/>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63195A16" w14:textId="77777777" w:rsidR="00F74E13" w:rsidRDefault="009274FC">
            <w:pPr>
              <w:pStyle w:val="P68B1DB1-Normal12"/>
              <w:spacing w:after="0" w:line="240" w:lineRule="auto"/>
              <w:ind w:left="57" w:right="57"/>
              <w:jc w:val="both"/>
              <w:rPr>
                <w:noProof/>
              </w:rPr>
            </w:pPr>
            <w:r>
              <w:rPr>
                <w:noProof/>
              </w:rPr>
              <w:t>La stratégie nationale pour la santé de l’enfant et de l’adolescent et les soins pédiatriques en République de Bulgarie à l’horizon 2030 définit les objectifs et priorités stratégiques sur une période de dix ans et formule des recommandations portant sur:</w:t>
            </w:r>
          </w:p>
          <w:p w14:paraId="2B861248" w14:textId="77777777" w:rsidR="00F74E13" w:rsidRDefault="009274FC">
            <w:pPr>
              <w:pStyle w:val="P68B1DB1-ListParagraph16"/>
              <w:numPr>
                <w:ilvl w:val="0"/>
                <w:numId w:val="73"/>
              </w:numPr>
              <w:spacing w:after="0" w:line="240" w:lineRule="auto"/>
              <w:ind w:right="57"/>
              <w:jc w:val="both"/>
              <w:rPr>
                <w:noProof/>
              </w:rPr>
            </w:pPr>
            <w:r>
              <w:rPr>
                <w:noProof/>
              </w:rPr>
              <w:t>l’accessibilité des diagnostics et des traitements ciblant les enfants et les adolescents, y compris des équipements médicaux pédiatriques spécialisés dans les établissements de santé;</w:t>
            </w:r>
          </w:p>
          <w:p w14:paraId="7EE5DDB8" w14:textId="77777777" w:rsidR="00F74E13" w:rsidRDefault="009274FC">
            <w:pPr>
              <w:pStyle w:val="P68B1DB1-ListParagraph16"/>
              <w:numPr>
                <w:ilvl w:val="0"/>
                <w:numId w:val="73"/>
              </w:numPr>
              <w:spacing w:after="0" w:line="240" w:lineRule="auto"/>
              <w:ind w:right="57"/>
              <w:jc w:val="both"/>
              <w:rPr>
                <w:noProof/>
              </w:rPr>
            </w:pPr>
            <w:r>
              <w:rPr>
                <w:noProof/>
              </w:rPr>
              <w:t>des initiatives de sensibilisation et de prévention, y compris pour les parents et en ce qui concerne la grossesse;</w:t>
            </w:r>
          </w:p>
          <w:p w14:paraId="1CEBE08B" w14:textId="5CD1FD0E" w:rsidR="00F74E13" w:rsidRDefault="009274FC">
            <w:pPr>
              <w:pStyle w:val="P68B1DB1-ListParagraph16"/>
              <w:numPr>
                <w:ilvl w:val="0"/>
                <w:numId w:val="73"/>
              </w:numPr>
              <w:spacing w:after="0" w:line="240" w:lineRule="auto"/>
              <w:ind w:right="57"/>
              <w:jc w:val="both"/>
              <w:rPr>
                <w:noProof/>
              </w:rPr>
            </w:pPr>
            <w:r>
              <w:rPr>
                <w:noProof/>
              </w:rPr>
              <w:t>les soins de mécénat régionaux et la fourniture de services de conseil en matière de santé.</w:t>
            </w:r>
          </w:p>
          <w:p w14:paraId="1CEBE08C" w14:textId="77777777" w:rsidR="00F74E13" w:rsidRDefault="009274FC">
            <w:pPr>
              <w:pStyle w:val="P68B1DB1-Normal12"/>
              <w:spacing w:before="120" w:after="0" w:line="240" w:lineRule="auto"/>
              <w:ind w:left="57" w:right="57"/>
              <w:jc w:val="both"/>
              <w:rPr>
                <w:noProof/>
              </w:rPr>
            </w:pPr>
            <w:r>
              <w:rPr>
                <w:noProof/>
              </w:rPr>
              <w:t>Un plan d’action couvrant la période 2023-2025 est adopté par le Conseil des ministres. Elle formule des mesures et des actions, y compris leur calendrier, pour mettre en œuvre les recommandations de la stratégie.</w:t>
            </w:r>
          </w:p>
        </w:tc>
      </w:tr>
      <w:tr w:rsidR="00F74E13" w14:paraId="1CEBE09E"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8E" w14:textId="77777777" w:rsidR="00F74E13" w:rsidRDefault="009274FC">
            <w:pPr>
              <w:pStyle w:val="P68B1DB1-Normal12"/>
              <w:spacing w:after="0"/>
              <w:jc w:val="center"/>
              <w:rPr>
                <w:noProof/>
              </w:rPr>
            </w:pPr>
            <w:r>
              <w:rPr>
                <w:noProof/>
              </w:rPr>
              <w:t>319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8F" w14:textId="77777777" w:rsidR="00F74E13" w:rsidRDefault="009274FC">
            <w:pPr>
              <w:pStyle w:val="P68B1DB1-Normal12"/>
              <w:spacing w:after="0" w:line="240" w:lineRule="auto"/>
              <w:ind w:left="57" w:right="57"/>
              <w:rPr>
                <w:noProof/>
              </w:rPr>
            </w:pPr>
            <w:r>
              <w:rPr>
                <w:noProof/>
              </w:rPr>
              <w:t>C12.R1 :</w:t>
            </w:r>
          </w:p>
          <w:p w14:paraId="1CEBE090" w14:textId="77777777" w:rsidR="00F74E13" w:rsidRDefault="009274FC">
            <w:pPr>
              <w:pStyle w:val="P68B1DB1-Normal12"/>
              <w:spacing w:after="0" w:line="240" w:lineRule="auto"/>
              <w:ind w:left="57" w:right="57"/>
              <w:rPr>
                <w:noProof/>
              </w:rPr>
            </w:pPr>
            <w:r>
              <w:rPr>
                <w:noProof/>
              </w:rPr>
              <w:t>Améliorer le cadre stratégique du secteur des soins de santé</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91"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92" w14:textId="77777777" w:rsidR="00F74E13" w:rsidRDefault="009274FC">
            <w:pPr>
              <w:pStyle w:val="P68B1DB1-Normal12"/>
              <w:spacing w:after="0" w:line="240" w:lineRule="auto"/>
              <w:ind w:left="57" w:right="57"/>
              <w:rPr>
                <w:noProof/>
              </w:rPr>
            </w:pPr>
            <w:r>
              <w:rPr>
                <w:noProof/>
              </w:rPr>
              <w:t>Plan national de lutte contre le cancer en République de Bulgarie 2021-2027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93" w14:textId="563C2985" w:rsidR="00F74E13" w:rsidRDefault="009274FC">
            <w:pPr>
              <w:pStyle w:val="P68B1DB1-Normal12"/>
              <w:spacing w:after="0"/>
              <w:ind w:left="57" w:right="57"/>
              <w:rPr>
                <w:noProof/>
              </w:rPr>
            </w:pPr>
            <w:r>
              <w:rPr>
                <w:noProof/>
              </w:rPr>
              <w:t>Adoption par le Conseil des ministres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94" w14:textId="77777777" w:rsidR="00F74E13" w:rsidRDefault="009274FC">
            <w:pPr>
              <w:pStyle w:val="P68B1DB1-Normal12"/>
              <w:spacing w:after="0"/>
              <w:ind w:left="57" w:right="57"/>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95" w14:textId="77777777" w:rsidR="00F74E13" w:rsidRDefault="009274FC">
            <w:pPr>
              <w:pStyle w:val="P68B1DB1-Normal12"/>
              <w:spacing w:after="0"/>
              <w:ind w:left="57" w:right="57"/>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96" w14:textId="77777777" w:rsidR="00F74E13" w:rsidRDefault="009274FC">
            <w:pPr>
              <w:pStyle w:val="P68B1DB1-Normal12"/>
              <w:spacing w:after="0"/>
              <w:ind w:left="57" w:right="57"/>
              <w:jc w:val="right"/>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97" w14:textId="77777777" w:rsidR="00F74E13" w:rsidRDefault="009274FC">
            <w:pPr>
              <w:pStyle w:val="P68B1DB1-Normal12"/>
              <w:spacing w:after="0"/>
              <w:ind w:left="57" w:right="57"/>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98" w14:textId="77777777" w:rsidR="00F74E13" w:rsidRDefault="009274FC">
            <w:pPr>
              <w:pStyle w:val="P68B1DB1-Normal12"/>
              <w:spacing w:after="0"/>
              <w:ind w:left="57" w:right="57"/>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79A8B69" w14:textId="77777777" w:rsidR="00F74E13" w:rsidRDefault="009274FC">
            <w:pPr>
              <w:pStyle w:val="P68B1DB1-Normal12"/>
              <w:spacing w:after="0"/>
              <w:ind w:left="57" w:right="57"/>
              <w:jc w:val="both"/>
              <w:rPr>
                <w:noProof/>
              </w:rPr>
            </w:pPr>
            <w:r>
              <w:rPr>
                <w:noProof/>
              </w:rPr>
              <w:t xml:space="preserve">Le plan national de lutte contre le cancer en République de Bulgarie pour la période 2021-2027 définit des mesures visant à renforcer: </w:t>
            </w:r>
          </w:p>
          <w:p w14:paraId="3223F13E" w14:textId="77777777" w:rsidR="00F74E13" w:rsidRDefault="009274FC">
            <w:pPr>
              <w:pStyle w:val="P68B1DB1-ListParagraph16"/>
              <w:numPr>
                <w:ilvl w:val="0"/>
                <w:numId w:val="71"/>
              </w:numPr>
              <w:spacing w:after="0" w:line="240" w:lineRule="auto"/>
              <w:ind w:left="714" w:right="57" w:hanging="357"/>
              <w:jc w:val="both"/>
              <w:rPr>
                <w:noProof/>
              </w:rPr>
            </w:pPr>
            <w:r>
              <w:rPr>
                <w:noProof/>
              </w:rPr>
              <w:t xml:space="preserve">la détection précoce du cancer par des activités de dépistage; </w:t>
            </w:r>
          </w:p>
          <w:p w14:paraId="76700ADD" w14:textId="77777777" w:rsidR="00F74E13" w:rsidRDefault="009274FC">
            <w:pPr>
              <w:pStyle w:val="P68B1DB1-ListParagraph16"/>
              <w:numPr>
                <w:ilvl w:val="0"/>
                <w:numId w:val="71"/>
              </w:numPr>
              <w:spacing w:after="0" w:line="240" w:lineRule="auto"/>
              <w:ind w:left="714" w:right="57" w:hanging="357"/>
              <w:jc w:val="both"/>
              <w:rPr>
                <w:noProof/>
              </w:rPr>
            </w:pPr>
            <w:r>
              <w:rPr>
                <w:noProof/>
              </w:rPr>
              <w:t xml:space="preserve">la disponibilité et l’exactitude des diagnostics du cancer; </w:t>
            </w:r>
          </w:p>
          <w:p w14:paraId="5CE8C4BF" w14:textId="77777777" w:rsidR="00F74E13" w:rsidRDefault="009274FC">
            <w:pPr>
              <w:pStyle w:val="P68B1DB1-ListParagraph16"/>
              <w:numPr>
                <w:ilvl w:val="0"/>
                <w:numId w:val="71"/>
              </w:numPr>
              <w:spacing w:after="0" w:line="240" w:lineRule="auto"/>
              <w:ind w:left="714" w:right="57" w:hanging="357"/>
              <w:jc w:val="both"/>
              <w:rPr>
                <w:noProof/>
              </w:rPr>
            </w:pPr>
            <w:r>
              <w:rPr>
                <w:noProof/>
              </w:rPr>
              <w:t>l'accès aux traitements et leur efficacité;</w:t>
            </w:r>
          </w:p>
          <w:p w14:paraId="1CEBE09D" w14:textId="68D0CC18" w:rsidR="00F74E13" w:rsidRDefault="009274FC">
            <w:pPr>
              <w:pStyle w:val="P68B1DB1-ListParagraph16"/>
              <w:numPr>
                <w:ilvl w:val="0"/>
                <w:numId w:val="71"/>
              </w:numPr>
              <w:spacing w:after="0" w:line="240" w:lineRule="auto"/>
              <w:ind w:left="714" w:right="57" w:hanging="357"/>
              <w:jc w:val="both"/>
              <w:rPr>
                <w:noProof/>
              </w:rPr>
            </w:pPr>
            <w:r>
              <w:rPr>
                <w:noProof/>
              </w:rPr>
              <w:t>le bien-être des patients atteints de cancer et des survivants du cancer.</w:t>
            </w:r>
          </w:p>
        </w:tc>
      </w:tr>
      <w:tr w:rsidR="00F74E13" w14:paraId="1CEBE0AF"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9F" w14:textId="77777777" w:rsidR="00F74E13" w:rsidRDefault="009274FC">
            <w:pPr>
              <w:pStyle w:val="P68B1DB1-Normal12"/>
              <w:spacing w:after="0"/>
              <w:jc w:val="center"/>
              <w:rPr>
                <w:noProof/>
              </w:rPr>
            </w:pPr>
            <w:r>
              <w:rPr>
                <w:noProof/>
              </w:rPr>
              <w:t>321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A0" w14:textId="77777777" w:rsidR="00F74E13" w:rsidRDefault="009274FC">
            <w:pPr>
              <w:pStyle w:val="P68B1DB1-Normal12"/>
              <w:spacing w:after="0" w:line="240" w:lineRule="auto"/>
              <w:ind w:left="57" w:right="57"/>
              <w:rPr>
                <w:noProof/>
              </w:rPr>
            </w:pPr>
            <w:r>
              <w:rPr>
                <w:noProof/>
              </w:rPr>
              <w:t>C12.R2 :</w:t>
            </w:r>
          </w:p>
          <w:p w14:paraId="1CEBE0A1" w14:textId="77777777" w:rsidR="00F74E13" w:rsidRDefault="009274FC">
            <w:pPr>
              <w:pStyle w:val="P68B1DB1-Normal12"/>
              <w:spacing w:after="0" w:line="240" w:lineRule="auto"/>
              <w:ind w:left="57" w:right="57"/>
              <w:rPr>
                <w:noProof/>
              </w:rPr>
            </w:pPr>
            <w:r>
              <w:rPr>
                <w:noProof/>
              </w:rPr>
              <w:t>Développement de l'e-santé et du système national d'information sanitaire</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A2"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A3" w14:textId="77777777" w:rsidR="00F74E13" w:rsidRDefault="009274FC">
            <w:pPr>
              <w:pStyle w:val="P68B1DB1-Normal12"/>
              <w:spacing w:after="0" w:line="240" w:lineRule="auto"/>
              <w:ind w:left="57" w:right="57"/>
              <w:rPr>
                <w:noProof/>
              </w:rPr>
            </w:pPr>
            <w:r>
              <w:rPr>
                <w:noProof/>
              </w:rPr>
              <w:t>Entrée en vigueur des modifications du cadre réglementaire en matière de santé en ligne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A4" w14:textId="398FA1BA" w:rsidR="00F74E13" w:rsidRDefault="009274FC">
            <w:pPr>
              <w:pStyle w:val="P68B1DB1-Normal12"/>
              <w:spacing w:after="0" w:line="240" w:lineRule="auto"/>
              <w:ind w:left="57" w:right="57"/>
              <w:rPr>
                <w:noProof/>
              </w:rPr>
            </w:pPr>
            <w:r>
              <w:rPr>
                <w:noProof/>
              </w:rPr>
              <w:t>Disposition de la loi indiquant l’entrée en vigueur des modifications du cadre réglementaire en matière de santé en ligne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A5" w14:textId="77777777" w:rsidR="00F74E13" w:rsidRDefault="009274FC">
            <w:pPr>
              <w:pStyle w:val="P68B1DB1-Normal12"/>
              <w:spacing w:after="0"/>
              <w:ind w:left="57" w:right="57"/>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A6" w14:textId="77777777" w:rsidR="00F74E13" w:rsidRDefault="009274FC">
            <w:pPr>
              <w:pStyle w:val="P68B1DB1-Normal12"/>
              <w:spacing w:after="0"/>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A7" w14:textId="77777777" w:rsidR="00F74E13" w:rsidRDefault="009274FC">
            <w:pPr>
              <w:pStyle w:val="P68B1DB1-Normal12"/>
              <w:spacing w:after="0"/>
              <w:ind w:left="57" w:right="57"/>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A8" w14:textId="77777777" w:rsidR="00F74E13" w:rsidRDefault="009274FC">
            <w:pPr>
              <w:pStyle w:val="P68B1DB1-Normal12"/>
              <w:spacing w:after="0"/>
              <w:ind w:left="57" w:right="57"/>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A9" w14:textId="77777777" w:rsidR="00F74E13" w:rsidRDefault="009274FC">
            <w:pPr>
              <w:pStyle w:val="P68B1DB1-Normal12"/>
              <w:spacing w:after="0"/>
              <w:ind w:left="57" w:right="57"/>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3CEDF963" w14:textId="77777777" w:rsidR="00F74E13" w:rsidRDefault="009274FC">
            <w:pPr>
              <w:pStyle w:val="P68B1DB1-Normal12"/>
              <w:spacing w:after="0" w:line="240" w:lineRule="auto"/>
              <w:ind w:left="57" w:right="57"/>
              <w:jc w:val="both"/>
              <w:rPr>
                <w:noProof/>
              </w:rPr>
            </w:pPr>
            <w:r>
              <w:rPr>
                <w:noProof/>
              </w:rPr>
              <w:t>Les modifications apportées au cadre réglementaire en matière de santé en ligne renforcent l'accès aux services de santé en ligne en introduisant la base juridique pour:</w:t>
            </w:r>
          </w:p>
          <w:p w14:paraId="5604FCEC" w14:textId="77777777" w:rsidR="00F74E13" w:rsidRDefault="009274FC">
            <w:pPr>
              <w:pStyle w:val="P68B1DB1-ListParagraph16"/>
              <w:numPr>
                <w:ilvl w:val="0"/>
                <w:numId w:val="74"/>
              </w:numPr>
              <w:spacing w:after="0" w:line="240" w:lineRule="auto"/>
              <w:ind w:right="57"/>
              <w:jc w:val="both"/>
              <w:rPr>
                <w:noProof/>
              </w:rPr>
            </w:pPr>
            <w:r>
              <w:rPr>
                <w:noProof/>
              </w:rPr>
              <w:t>les prescriptions en ligne et la délivrance de médicaments;</w:t>
            </w:r>
          </w:p>
          <w:p w14:paraId="37FAACA6" w14:textId="77777777" w:rsidR="00F74E13" w:rsidRDefault="009274FC">
            <w:pPr>
              <w:pStyle w:val="P68B1DB1-ListParagraph16"/>
              <w:numPr>
                <w:ilvl w:val="0"/>
                <w:numId w:val="74"/>
              </w:numPr>
              <w:spacing w:after="0" w:line="240" w:lineRule="auto"/>
              <w:ind w:right="57"/>
              <w:jc w:val="both"/>
              <w:rPr>
                <w:noProof/>
              </w:rPr>
            </w:pPr>
            <w:r>
              <w:rPr>
                <w:noProof/>
              </w:rPr>
              <w:t xml:space="preserve">la télémédecine, y compris le télédiagnostic et la télésurveillance; </w:t>
            </w:r>
          </w:p>
          <w:p w14:paraId="1CEBE0AD" w14:textId="1769269A" w:rsidR="00F74E13" w:rsidRDefault="009274FC">
            <w:pPr>
              <w:pStyle w:val="P68B1DB1-ListParagraph16"/>
              <w:numPr>
                <w:ilvl w:val="0"/>
                <w:numId w:val="74"/>
              </w:numPr>
              <w:spacing w:after="0" w:line="240" w:lineRule="auto"/>
              <w:ind w:right="57"/>
              <w:jc w:val="both"/>
              <w:rPr>
                <w:noProof/>
              </w:rPr>
            </w:pPr>
            <w:r>
              <w:rPr>
                <w:noProof/>
              </w:rPr>
              <w:t xml:space="preserve">l'enregistrement des informations médicales au moyen de dossiers médicaux électroniques et leur tenue à jour. </w:t>
            </w:r>
          </w:p>
          <w:p w14:paraId="1CEBE0AE" w14:textId="77777777" w:rsidR="00F74E13" w:rsidRDefault="009274FC">
            <w:pPr>
              <w:pStyle w:val="P68B1DB1-Normal12"/>
              <w:spacing w:before="120" w:after="0" w:line="240" w:lineRule="auto"/>
              <w:ind w:left="57" w:right="57"/>
              <w:jc w:val="both"/>
              <w:rPr>
                <w:noProof/>
              </w:rPr>
            </w:pPr>
            <w:r>
              <w:rPr>
                <w:noProof/>
              </w:rPr>
              <w:t>Les modifications comprennent également l’organisation des processus de travail du système national d’information sur la santé (NHIS).</w:t>
            </w:r>
          </w:p>
        </w:tc>
      </w:tr>
      <w:tr w:rsidR="00F74E13" w14:paraId="1CEBE0BF"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B0" w14:textId="77777777" w:rsidR="00F74E13" w:rsidRDefault="009274FC">
            <w:pPr>
              <w:pStyle w:val="P68B1DB1-Normal12"/>
              <w:spacing w:after="0"/>
              <w:jc w:val="center"/>
              <w:rPr>
                <w:noProof/>
              </w:rPr>
            </w:pPr>
            <w:r>
              <w:rPr>
                <w:noProof/>
              </w:rPr>
              <w:t>322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B1" w14:textId="77777777" w:rsidR="00F74E13" w:rsidRDefault="009274FC">
            <w:pPr>
              <w:pStyle w:val="P68B1DB1-Normal71"/>
              <w:spacing w:after="0" w:line="240" w:lineRule="auto"/>
              <w:ind w:left="57" w:right="57"/>
              <w:rPr>
                <w:noProof/>
              </w:rPr>
            </w:pPr>
            <w:r>
              <w:rPr>
                <w:noProof/>
              </w:rPr>
              <w:t>C12.R2 :</w:t>
            </w:r>
          </w:p>
          <w:p w14:paraId="1CEBE0B2" w14:textId="77777777" w:rsidR="00F74E13" w:rsidRDefault="009274FC">
            <w:pPr>
              <w:pStyle w:val="P68B1DB1-Normal12"/>
              <w:spacing w:after="0" w:line="240" w:lineRule="auto"/>
              <w:ind w:left="57" w:right="57"/>
              <w:rPr>
                <w:noProof/>
              </w:rPr>
            </w:pPr>
            <w:r>
              <w:rPr>
                <w:noProof/>
              </w:rPr>
              <w:t>Développement de l'e-santé et du système national d'information sanitaire</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B3"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B4" w14:textId="77777777" w:rsidR="00F74E13" w:rsidRDefault="009274FC">
            <w:pPr>
              <w:pStyle w:val="P68B1DB1-Normal12"/>
              <w:spacing w:after="0" w:line="240" w:lineRule="auto"/>
              <w:ind w:left="57" w:right="57"/>
              <w:rPr>
                <w:noProof/>
              </w:rPr>
            </w:pPr>
            <w:r>
              <w:rPr>
                <w:noProof/>
              </w:rPr>
              <w:t>Mise à niveau du système national d’information sur la santé (NHIS)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B5" w14:textId="77777777" w:rsidR="00F74E13" w:rsidRDefault="009274FC">
            <w:pPr>
              <w:pStyle w:val="P68B1DB1-Normal12"/>
              <w:spacing w:after="0" w:line="240" w:lineRule="auto"/>
              <w:ind w:left="57" w:right="57"/>
              <w:rPr>
                <w:noProof/>
              </w:rPr>
            </w:pPr>
            <w:r>
              <w:rPr>
                <w:noProof/>
              </w:rPr>
              <w:t>Services accessibles sur le site web du NHIS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B6" w14:textId="77777777" w:rsidR="00F74E13" w:rsidRDefault="00F74E13">
            <w:pPr>
              <w:spacing w:after="0" w:line="240" w:lineRule="auto"/>
              <w:ind w:left="57" w:right="57"/>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B7" w14:textId="77777777" w:rsidR="00F74E13" w:rsidRDefault="00F74E13">
            <w:pPr>
              <w:spacing w:after="0" w:line="240" w:lineRule="auto"/>
              <w:ind w:left="57" w:right="57"/>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B8" w14:textId="77777777" w:rsidR="00F74E13" w:rsidRDefault="00F74E13">
            <w:pPr>
              <w:spacing w:after="0" w:line="240" w:lineRule="auto"/>
              <w:ind w:left="57" w:right="57"/>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B9" w14:textId="77777777" w:rsidR="00F74E13" w:rsidRDefault="009274FC">
            <w:pPr>
              <w:pStyle w:val="P68B1DB1-Normal12"/>
              <w:spacing w:after="0" w:line="240" w:lineRule="auto"/>
              <w:ind w:left="57" w:right="57"/>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BA" w14:textId="77777777" w:rsidR="00F74E13" w:rsidRDefault="009274FC">
            <w:pPr>
              <w:pStyle w:val="P68B1DB1-Normal12"/>
              <w:spacing w:after="0" w:line="240" w:lineRule="auto"/>
              <w:ind w:left="57" w:right="57"/>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3BF304B6" w14:textId="77777777" w:rsidR="00F74E13" w:rsidRDefault="009274FC">
            <w:pPr>
              <w:pStyle w:val="P68B1DB1-Normal12"/>
              <w:spacing w:after="0" w:line="240" w:lineRule="auto"/>
              <w:ind w:left="57" w:right="57"/>
              <w:jc w:val="both"/>
              <w:rPr>
                <w:noProof/>
              </w:rPr>
            </w:pPr>
            <w:r>
              <w:rPr>
                <w:noProof/>
              </w:rPr>
              <w:t>Le système national d’information sur la santé (NHIS) est mis à niveau par l’ajout de nouvelles fonctionnalités liées aux services concernant:</w:t>
            </w:r>
          </w:p>
          <w:p w14:paraId="056FD6EA" w14:textId="77777777" w:rsidR="00F74E13" w:rsidRDefault="009274FC">
            <w:pPr>
              <w:pStyle w:val="P68B1DB1-ListParagraph16"/>
              <w:numPr>
                <w:ilvl w:val="0"/>
                <w:numId w:val="74"/>
              </w:numPr>
              <w:spacing w:after="0" w:line="240" w:lineRule="auto"/>
              <w:ind w:right="57"/>
              <w:jc w:val="both"/>
              <w:rPr>
                <w:noProof/>
              </w:rPr>
            </w:pPr>
            <w:r>
              <w:rPr>
                <w:noProof/>
              </w:rPr>
              <w:t>les dossiers médicaux électroniques des citoyens;</w:t>
            </w:r>
          </w:p>
          <w:p w14:paraId="0B04A9DE" w14:textId="77777777" w:rsidR="00F74E13" w:rsidRDefault="009274FC">
            <w:pPr>
              <w:pStyle w:val="P68B1DB1-ListParagraph16"/>
              <w:numPr>
                <w:ilvl w:val="0"/>
                <w:numId w:val="74"/>
              </w:numPr>
              <w:spacing w:after="0" w:line="240" w:lineRule="auto"/>
              <w:ind w:right="57"/>
              <w:jc w:val="both"/>
              <w:rPr>
                <w:noProof/>
              </w:rPr>
            </w:pPr>
            <w:r>
              <w:rPr>
                <w:noProof/>
              </w:rPr>
              <w:t>e-prescriptions et e-referrals modules;</w:t>
            </w:r>
          </w:p>
          <w:p w14:paraId="1CEBE0BE" w14:textId="41B9ABE8" w:rsidR="00F74E13" w:rsidRDefault="009274FC">
            <w:pPr>
              <w:pStyle w:val="P68B1DB1-ListParagraph16"/>
              <w:numPr>
                <w:ilvl w:val="0"/>
                <w:numId w:val="74"/>
              </w:numPr>
              <w:spacing w:after="0" w:line="240" w:lineRule="auto"/>
              <w:ind w:right="57"/>
              <w:jc w:val="both"/>
              <w:rPr>
                <w:noProof/>
              </w:rPr>
            </w:pPr>
            <w:r>
              <w:rPr>
                <w:noProof/>
              </w:rPr>
              <w:t>un système de collecte de données auprès des hôpitaux.</w:t>
            </w:r>
          </w:p>
        </w:tc>
      </w:tr>
      <w:tr w:rsidR="00F74E13" w14:paraId="1CEBE0CF"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C0" w14:textId="77777777" w:rsidR="00F74E13" w:rsidRDefault="009274FC">
            <w:pPr>
              <w:pStyle w:val="P68B1DB1-Normal12"/>
              <w:spacing w:after="0"/>
              <w:jc w:val="center"/>
              <w:rPr>
                <w:noProof/>
              </w:rPr>
            </w:pPr>
            <w:r>
              <w:rPr>
                <w:noProof/>
              </w:rPr>
              <w:t>323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C1" w14:textId="77777777" w:rsidR="00F74E13" w:rsidRDefault="009274FC">
            <w:pPr>
              <w:pStyle w:val="P68B1DB1-Normal12"/>
              <w:spacing w:after="0" w:line="240" w:lineRule="auto"/>
              <w:ind w:left="57" w:right="57"/>
              <w:rPr>
                <w:noProof/>
              </w:rPr>
            </w:pPr>
            <w:r>
              <w:rPr>
                <w:noProof/>
              </w:rPr>
              <w:t>C12.R3 :</w:t>
            </w:r>
          </w:p>
          <w:p w14:paraId="1CEBE0C2" w14:textId="77777777" w:rsidR="00F74E13" w:rsidRDefault="009274FC">
            <w:pPr>
              <w:pStyle w:val="P68B1DB1-Normal12"/>
              <w:spacing w:after="0" w:line="240" w:lineRule="auto"/>
              <w:ind w:left="57" w:right="57"/>
              <w:rPr>
                <w:noProof/>
              </w:rPr>
            </w:pPr>
            <w:r>
              <w:rPr>
                <w:noProof/>
              </w:rPr>
              <w:t>Améliorer l’attractivité des professions de santé et promouvoir une répartition plus équilibrée des professionnels de la santé sur l’ensemble du territoire</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C3"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C4" w14:textId="77777777" w:rsidR="00F74E13" w:rsidRDefault="009274FC">
            <w:pPr>
              <w:pStyle w:val="P68B1DB1-Normal71"/>
              <w:spacing w:after="0" w:line="240" w:lineRule="auto"/>
              <w:ind w:left="57" w:right="57"/>
              <w:rPr>
                <w:noProof/>
                <w:szCs w:val="20"/>
              </w:rPr>
            </w:pPr>
            <w:r>
              <w:rPr>
                <w:noProof/>
              </w:rPr>
              <w:t xml:space="preserve">Entrée en vigueur du ou des actes juridiques </w:t>
            </w:r>
            <w:r>
              <w:rPr>
                <w:noProof/>
                <w:szCs w:val="20"/>
              </w:rPr>
              <w:t>concernant le financement du personnel médical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C5" w14:textId="42858DEF" w:rsidR="00F74E13" w:rsidRDefault="009274FC">
            <w:pPr>
              <w:pStyle w:val="P68B1DB1-Normal12"/>
              <w:spacing w:after="0" w:line="240" w:lineRule="auto"/>
              <w:ind w:left="57" w:right="57"/>
              <w:rPr>
                <w:noProof/>
              </w:rPr>
            </w:pPr>
            <w:r>
              <w:rPr>
                <w:noProof/>
              </w:rPr>
              <w:t>Dispositions de l’acte ou des actes juridiques indiquant l’entrée en vigueur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C6" w14:textId="77777777" w:rsidR="00F74E13" w:rsidRDefault="00F74E13">
            <w:pPr>
              <w:spacing w:after="0" w:line="240" w:lineRule="auto"/>
              <w:ind w:left="57" w:right="57"/>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C7" w14:textId="77777777" w:rsidR="00F74E13" w:rsidRDefault="00F74E13">
            <w:pPr>
              <w:spacing w:after="0" w:line="240" w:lineRule="auto"/>
              <w:ind w:left="57" w:right="57"/>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C8" w14:textId="77777777" w:rsidR="00F74E13" w:rsidRDefault="00F74E13">
            <w:pPr>
              <w:spacing w:after="0" w:line="240" w:lineRule="auto"/>
              <w:ind w:left="57" w:right="57"/>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C9" w14:textId="77777777" w:rsidR="00F74E13" w:rsidRDefault="009274FC">
            <w:pPr>
              <w:pStyle w:val="P68B1DB1-Normal12"/>
              <w:spacing w:after="0" w:line="240" w:lineRule="auto"/>
              <w:ind w:left="57" w:right="57"/>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CA" w14:textId="77777777" w:rsidR="00F74E13" w:rsidRDefault="009274FC">
            <w:pPr>
              <w:pStyle w:val="P68B1DB1-Normal12"/>
              <w:spacing w:after="0" w:line="240" w:lineRule="auto"/>
              <w:ind w:left="57" w:right="57"/>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470D839F" w14:textId="77777777" w:rsidR="00F74E13" w:rsidRDefault="009274FC">
            <w:pPr>
              <w:pStyle w:val="P68B1DB1-Normal12"/>
              <w:spacing w:after="0" w:line="240" w:lineRule="auto"/>
              <w:ind w:left="57" w:right="57"/>
              <w:rPr>
                <w:noProof/>
              </w:rPr>
            </w:pPr>
            <w:r>
              <w:rPr>
                <w:noProof/>
              </w:rPr>
              <w:t>Le ou les actes juridiques:</w:t>
            </w:r>
          </w:p>
          <w:p w14:paraId="18C916E0" w14:textId="77777777" w:rsidR="00F74E13" w:rsidRDefault="009274FC">
            <w:pPr>
              <w:pStyle w:val="P68B1DB1-ListParagraph16"/>
              <w:numPr>
                <w:ilvl w:val="0"/>
                <w:numId w:val="74"/>
              </w:numPr>
              <w:spacing w:after="0" w:line="240" w:lineRule="auto"/>
              <w:ind w:right="57"/>
              <w:jc w:val="both"/>
              <w:rPr>
                <w:noProof/>
              </w:rPr>
            </w:pPr>
            <w:r>
              <w:rPr>
                <w:noProof/>
              </w:rPr>
              <w:t>prévoir un financement mensuel supplémentaire pour le personnel médical travaillant dans des établissements éloignés ou difficiles d’accès.</w:t>
            </w:r>
          </w:p>
          <w:p w14:paraId="1CEBE0CD" w14:textId="15D7F470" w:rsidR="00F74E13" w:rsidRDefault="009274FC">
            <w:pPr>
              <w:pStyle w:val="P68B1DB1-ListParagraph29"/>
              <w:numPr>
                <w:ilvl w:val="0"/>
                <w:numId w:val="74"/>
              </w:numPr>
              <w:spacing w:after="0" w:line="240" w:lineRule="auto"/>
              <w:ind w:right="57"/>
              <w:jc w:val="both"/>
              <w:rPr>
                <w:noProof/>
                <w:color w:val="006100"/>
                <w:sz w:val="20"/>
                <w:szCs w:val="20"/>
              </w:rPr>
            </w:pPr>
            <w:r>
              <w:rPr>
                <w:noProof/>
                <w:color w:val="006100"/>
                <w:sz w:val="20"/>
                <w:szCs w:val="20"/>
              </w:rPr>
              <w:t>définir la méthode de calcul du financement mensuel supplémentaire que les établissements médicaux distribuent au personnel médical travaillant dans des zones reculées ou difficiles d’accès. La méthodologie est fondée sur des facteurs tels que l’éloignement, l’accessibilité difficile des établissements et le nombre de membres du personnel médical recrutés. Chaque établissement médical répartit au moins 90 % de son allocation mensuelle supplémentaire aux frais de personnel, en fonction des qualifications du personnel médical.</w:t>
            </w:r>
            <w:r>
              <w:rPr>
                <w:noProof/>
              </w:rPr>
              <w:br/>
            </w:r>
          </w:p>
          <w:p w14:paraId="1CEBE0CE" w14:textId="77777777" w:rsidR="00F74E13" w:rsidRDefault="009274FC">
            <w:pPr>
              <w:pStyle w:val="P68B1DB1-Normal12"/>
              <w:spacing w:after="0" w:line="240" w:lineRule="auto"/>
              <w:ind w:left="57" w:right="57"/>
              <w:jc w:val="both"/>
              <w:rPr>
                <w:noProof/>
              </w:rPr>
            </w:pPr>
            <w:r>
              <w:rPr>
                <w:noProof/>
              </w:rPr>
              <w:t>Une liste des établissements médicaux pouvant bénéficier d’un financement supplémentaire au titre de cette méthode est publiée sur le site internet de la Caisse nationale d’assurance maladie (NHIF).</w:t>
            </w:r>
          </w:p>
        </w:tc>
      </w:tr>
      <w:tr w:rsidR="00F74E13" w14:paraId="1CEBE0E3"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D0" w14:textId="77777777" w:rsidR="00F74E13" w:rsidRDefault="009274FC">
            <w:pPr>
              <w:pStyle w:val="P68B1DB1-Normal12"/>
              <w:spacing w:after="0"/>
              <w:jc w:val="center"/>
              <w:rPr>
                <w:noProof/>
              </w:rPr>
            </w:pPr>
            <w:r>
              <w:rPr>
                <w:noProof/>
              </w:rPr>
              <w:t>324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D1" w14:textId="77777777" w:rsidR="00F74E13" w:rsidRDefault="009274FC">
            <w:pPr>
              <w:pStyle w:val="P68B1DB1-Normal71"/>
              <w:spacing w:after="0" w:line="240" w:lineRule="auto"/>
              <w:ind w:left="57" w:right="57"/>
              <w:rPr>
                <w:noProof/>
              </w:rPr>
            </w:pPr>
            <w:r>
              <w:rPr>
                <w:noProof/>
              </w:rPr>
              <w:t>C12.R3 :</w:t>
            </w:r>
          </w:p>
          <w:p w14:paraId="1CEBE0D2" w14:textId="77777777" w:rsidR="00F74E13" w:rsidRDefault="009274FC">
            <w:pPr>
              <w:pStyle w:val="P68B1DB1-Normal12"/>
              <w:spacing w:after="0" w:line="240" w:lineRule="auto"/>
              <w:ind w:left="57" w:right="57"/>
              <w:rPr>
                <w:noProof/>
              </w:rPr>
            </w:pPr>
            <w:r>
              <w:rPr>
                <w:noProof/>
              </w:rPr>
              <w:t>Améliorer l’attractivité des professions de santé et promouvoir une répartition plus équilibrée des professionnels de la santé sur l’ensemble du territoire</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D3"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D4" w14:textId="5F665343" w:rsidR="00F74E13" w:rsidRDefault="009274FC">
            <w:pPr>
              <w:pStyle w:val="P68B1DB1-Normal12"/>
              <w:spacing w:after="0" w:line="240" w:lineRule="auto"/>
              <w:ind w:left="57" w:right="57"/>
              <w:rPr>
                <w:noProof/>
              </w:rPr>
            </w:pPr>
            <w:r>
              <w:rPr>
                <w:noProof/>
              </w:rPr>
              <w:t>Entrée en vigueur du ou des actes juridiques relatifs aux soins de santé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D5" w14:textId="73951691" w:rsidR="00F74E13" w:rsidRDefault="009274FC">
            <w:pPr>
              <w:pStyle w:val="P68B1DB1-Normal12"/>
              <w:spacing w:after="0" w:line="240" w:lineRule="auto"/>
              <w:ind w:left="57" w:right="57"/>
              <w:rPr>
                <w:noProof/>
              </w:rPr>
            </w:pPr>
            <w:r>
              <w:rPr>
                <w:noProof/>
              </w:rPr>
              <w:t>Dispositions de l’acte ou des actes juridiques indiquant l’entrée en vigueur</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D6" w14:textId="77777777" w:rsidR="00F74E13" w:rsidRDefault="009274FC">
            <w:pPr>
              <w:pStyle w:val="P68B1DB1-Normal71"/>
              <w:spacing w:after="0" w:line="240" w:lineRule="auto"/>
              <w:ind w:left="57" w:right="57"/>
              <w:jc w:val="center"/>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D7" w14:textId="77777777" w:rsidR="00F74E13" w:rsidRDefault="009274FC">
            <w:pPr>
              <w:pStyle w:val="P68B1DB1-Normal71"/>
              <w:spacing w:after="0"/>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D8" w14:textId="77777777" w:rsidR="00F74E13" w:rsidRDefault="009274FC">
            <w:pPr>
              <w:pStyle w:val="P68B1DB1-Normal71"/>
              <w:spacing w:after="0"/>
              <w:ind w:left="57" w:right="57"/>
              <w:jc w:val="right"/>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D9" w14:textId="77777777" w:rsidR="00F74E13" w:rsidRDefault="009274FC">
            <w:pPr>
              <w:pStyle w:val="P68B1DB1-Normal12"/>
              <w:spacing w:after="0"/>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DA" w14:textId="77777777" w:rsidR="00F74E13" w:rsidRDefault="009274FC">
            <w:pPr>
              <w:pStyle w:val="P68B1DB1-Normal12"/>
              <w:spacing w:after="0"/>
              <w:ind w:left="57" w:right="57"/>
              <w:jc w:val="center"/>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6C114804" w14:textId="77777777" w:rsidR="00F74E13" w:rsidRDefault="009274FC">
            <w:pPr>
              <w:pStyle w:val="P68B1DB1-Normal12"/>
              <w:spacing w:after="0" w:line="240" w:lineRule="auto"/>
              <w:ind w:left="57" w:right="57"/>
              <w:jc w:val="both"/>
              <w:rPr>
                <w:noProof/>
              </w:rPr>
            </w:pPr>
            <w:r>
              <w:rPr>
                <w:noProof/>
              </w:rPr>
              <w:t>Le ou les actes juridiques:</w:t>
            </w:r>
          </w:p>
          <w:p w14:paraId="0AD25EC7" w14:textId="77777777" w:rsidR="00F74E13" w:rsidRDefault="009274FC">
            <w:pPr>
              <w:pStyle w:val="P68B1DB1-ListParagraph16"/>
              <w:numPr>
                <w:ilvl w:val="0"/>
                <w:numId w:val="74"/>
              </w:numPr>
              <w:spacing w:after="0" w:line="240" w:lineRule="auto"/>
              <w:ind w:right="57"/>
              <w:jc w:val="both"/>
              <w:rPr>
                <w:noProof/>
              </w:rPr>
            </w:pPr>
            <w:r>
              <w:rPr>
                <w:noProof/>
              </w:rPr>
              <w:t>introduire une méthode permettant de déterminer le nombre de professionnels des soins infirmiers et/ou des sages-femmes requis dans différents types d’établissements de soins de santé;</w:t>
            </w:r>
          </w:p>
          <w:p w14:paraId="0B53FA18" w14:textId="77777777" w:rsidR="00F74E13" w:rsidRDefault="009274FC">
            <w:pPr>
              <w:pStyle w:val="P68B1DB1-ListParagraph16"/>
              <w:numPr>
                <w:ilvl w:val="0"/>
                <w:numId w:val="74"/>
              </w:numPr>
              <w:spacing w:after="0" w:line="240" w:lineRule="auto"/>
              <w:ind w:right="57"/>
              <w:jc w:val="both"/>
              <w:rPr>
                <w:noProof/>
              </w:rPr>
            </w:pPr>
            <w:r>
              <w:rPr>
                <w:noProof/>
              </w:rPr>
              <w:t xml:space="preserve">supprimer les frais universitaires pour les étudiants des programmes de soins infirmiers et de sages-femmes; </w:t>
            </w:r>
          </w:p>
          <w:p w14:paraId="6A399A0E" w14:textId="77777777" w:rsidR="00F74E13" w:rsidRDefault="009274FC">
            <w:pPr>
              <w:pStyle w:val="P68B1DB1-ListParagraph16"/>
              <w:numPr>
                <w:ilvl w:val="0"/>
                <w:numId w:val="74"/>
              </w:numPr>
              <w:spacing w:after="0" w:line="240" w:lineRule="auto"/>
              <w:ind w:right="57"/>
              <w:jc w:val="both"/>
              <w:rPr>
                <w:noProof/>
              </w:rPr>
            </w:pPr>
            <w:r>
              <w:rPr>
                <w:noProof/>
              </w:rPr>
              <w:t>prévoir que les coûts de personnel pour les professionnels de la santé des prestataires de soins hospitaliers et ambulatoires qui ont conclu des contrats avec la Caisse nationale d'assurance maladie sont déterminés en fonction de leurs qualifications;</w:t>
            </w:r>
          </w:p>
          <w:p w14:paraId="56ACC24F" w14:textId="77777777" w:rsidR="00F74E13" w:rsidRDefault="009274FC">
            <w:pPr>
              <w:pStyle w:val="P68B1DB1-ListParagraph16"/>
              <w:numPr>
                <w:ilvl w:val="0"/>
                <w:numId w:val="74"/>
              </w:numPr>
              <w:spacing w:after="0" w:line="240" w:lineRule="auto"/>
              <w:ind w:right="57"/>
              <w:jc w:val="both"/>
              <w:rPr>
                <w:noProof/>
              </w:rPr>
            </w:pPr>
            <w:r>
              <w:rPr>
                <w:noProof/>
              </w:rPr>
              <w:t xml:space="preserve">offrir une formation gratuite aux professionnels de la santé qui s’engagent à travailler dans des cliniques ambulatoires dans des régions ayant un accès limité aux soins de santé; </w:t>
            </w:r>
          </w:p>
          <w:p w14:paraId="60D51FBC" w14:textId="77777777" w:rsidR="00F74E13" w:rsidRDefault="009274FC">
            <w:pPr>
              <w:pStyle w:val="P68B1DB1-ListParagraph16"/>
              <w:numPr>
                <w:ilvl w:val="0"/>
                <w:numId w:val="74"/>
              </w:numPr>
              <w:spacing w:after="0" w:line="240" w:lineRule="auto"/>
              <w:ind w:right="57"/>
              <w:jc w:val="both"/>
              <w:rPr>
                <w:noProof/>
              </w:rPr>
            </w:pPr>
            <w:r>
              <w:rPr>
                <w:noProof/>
              </w:rPr>
              <w:t xml:space="preserve">introduire la possibilité pour les professionnels des soins infirmiers et des sages-femmes, les réhabilitateurs et les assistants médicaux d’établir leur propre pratique; </w:t>
            </w:r>
          </w:p>
          <w:p w14:paraId="086D1F18" w14:textId="77777777" w:rsidR="00F74E13" w:rsidRDefault="009274FC">
            <w:pPr>
              <w:pStyle w:val="P68B1DB1-ListParagraph16"/>
              <w:numPr>
                <w:ilvl w:val="0"/>
                <w:numId w:val="74"/>
              </w:numPr>
              <w:spacing w:after="0" w:line="240" w:lineRule="auto"/>
              <w:ind w:right="57"/>
              <w:jc w:val="both"/>
              <w:rPr>
                <w:noProof/>
              </w:rPr>
            </w:pPr>
            <w:r>
              <w:rPr>
                <w:noProof/>
              </w:rPr>
              <w:t>prévoir l'invitation à la participation de l'organisation professionnelle des infirmières, sages-femmes et professionnels de la santé associés au processus de négociation avec la Caisse nationale d'assurance maladie (NHIF).</w:t>
            </w:r>
          </w:p>
          <w:p w14:paraId="1CEBE0E2" w14:textId="6BDC95D6" w:rsidR="00F74E13" w:rsidRDefault="009274FC">
            <w:pPr>
              <w:pStyle w:val="P68B1DB1-ListParagraph16"/>
              <w:numPr>
                <w:ilvl w:val="0"/>
                <w:numId w:val="74"/>
              </w:numPr>
              <w:spacing w:after="0" w:line="240" w:lineRule="auto"/>
              <w:ind w:right="57"/>
              <w:jc w:val="both"/>
              <w:rPr>
                <w:noProof/>
              </w:rPr>
            </w:pPr>
            <w:r>
              <w:rPr>
                <w:noProof/>
              </w:rPr>
              <w:t xml:space="preserve">introduire les services de soins de santé dispensés aux nouveau-nés jusqu’à 6 mois après leur sortie de l’hôpital dans le paquet d’activités de soins ambulatoires financées par la NHIF et fournies par des professionnels des soins infirmiers et des sages-femmes par l’intermédiaire de leur propre cabinet privé. </w:t>
            </w:r>
          </w:p>
        </w:tc>
      </w:tr>
      <w:tr w:rsidR="00F74E13" w14:paraId="1CEBE0F0"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E4" w14:textId="77777777" w:rsidR="00F74E13" w:rsidRDefault="009274FC">
            <w:pPr>
              <w:pStyle w:val="P68B1DB1-Normal12"/>
              <w:spacing w:after="0"/>
              <w:jc w:val="center"/>
              <w:rPr>
                <w:noProof/>
              </w:rPr>
            </w:pPr>
            <w:r>
              <w:rPr>
                <w:noProof/>
              </w:rPr>
              <w:t>328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E5" w14:textId="77777777" w:rsidR="00F74E13" w:rsidRDefault="009274FC">
            <w:pPr>
              <w:pStyle w:val="P68B1DB1-Normal12"/>
              <w:spacing w:after="0" w:line="240" w:lineRule="auto"/>
              <w:ind w:left="57" w:right="57"/>
              <w:rPr>
                <w:noProof/>
              </w:rPr>
            </w:pPr>
            <w:r>
              <w:rPr>
                <w:noProof/>
              </w:rPr>
              <w:t>C12.R6:</w:t>
            </w:r>
          </w:p>
          <w:p w14:paraId="1CEBE0E6" w14:textId="77777777" w:rsidR="00F74E13" w:rsidRDefault="009274FC">
            <w:pPr>
              <w:pStyle w:val="P68B1DB1-Normal12"/>
              <w:spacing w:after="0" w:line="240" w:lineRule="auto"/>
              <w:ind w:left="57" w:right="57"/>
              <w:rPr>
                <w:noProof/>
              </w:rPr>
            </w:pPr>
            <w:r>
              <w:rPr>
                <w:noProof/>
              </w:rPr>
              <w:t>Plan pour une éducation sanitaire moderne dans les écoles</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E7"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E8" w14:textId="77777777" w:rsidR="00F74E13" w:rsidRDefault="009274FC">
            <w:pPr>
              <w:pStyle w:val="P68B1DB1-Normal12"/>
              <w:spacing w:after="0" w:line="240" w:lineRule="auto"/>
              <w:ind w:left="57" w:right="57"/>
              <w:rPr>
                <w:noProof/>
              </w:rPr>
            </w:pPr>
            <w:r>
              <w:rPr>
                <w:noProof/>
              </w:rPr>
              <w:t xml:space="preserve">Plan national pour l’éducation à la santé dans les écoles bulgares 2021-2027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E9" w14:textId="77777777" w:rsidR="00F74E13" w:rsidRDefault="009274FC">
            <w:pPr>
              <w:pStyle w:val="P68B1DB1-Normal12"/>
              <w:spacing w:after="0" w:line="240" w:lineRule="auto"/>
              <w:ind w:left="57" w:right="57"/>
              <w:rPr>
                <w:noProof/>
              </w:rPr>
            </w:pPr>
            <w:r>
              <w:rPr>
                <w:noProof/>
              </w:rPr>
              <w:t xml:space="preserve">Adoption par le Conseil des ministres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EA" w14:textId="77777777" w:rsidR="00F74E13" w:rsidRDefault="009274FC">
            <w:pPr>
              <w:pStyle w:val="P68B1DB1-Normal12"/>
              <w:spacing w:after="0"/>
              <w:ind w:left="57" w:right="57"/>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EB" w14:textId="77777777" w:rsidR="00F74E13" w:rsidRDefault="009274FC">
            <w:pPr>
              <w:pStyle w:val="P68B1DB1-Normal12"/>
              <w:spacing w:after="0"/>
              <w:ind w:left="57" w:right="57"/>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EC" w14:textId="77777777" w:rsidR="00F74E13" w:rsidRDefault="009274FC">
            <w:pPr>
              <w:pStyle w:val="P68B1DB1-Normal12"/>
              <w:spacing w:after="0"/>
              <w:ind w:left="57" w:right="57"/>
              <w:jc w:val="right"/>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ED" w14:textId="77777777" w:rsidR="00F74E13" w:rsidRDefault="009274FC">
            <w:pPr>
              <w:pStyle w:val="P68B1DB1-Normal12"/>
              <w:spacing w:after="0"/>
              <w:ind w:left="57" w:right="57"/>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EE" w14:textId="77777777" w:rsidR="00F74E13" w:rsidRDefault="009274FC">
            <w:pPr>
              <w:pStyle w:val="P68B1DB1-Normal12"/>
              <w:spacing w:after="0"/>
              <w:ind w:left="57" w:right="57"/>
              <w:jc w:val="center"/>
              <w:rPr>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0EF" w14:textId="77777777" w:rsidR="00F74E13" w:rsidRDefault="009274FC">
            <w:pPr>
              <w:pStyle w:val="P68B1DB1-Normal12"/>
              <w:spacing w:after="0" w:line="240" w:lineRule="auto"/>
              <w:ind w:left="57" w:right="57"/>
              <w:jc w:val="both"/>
              <w:rPr>
                <w:noProof/>
              </w:rPr>
            </w:pPr>
            <w:r>
              <w:rPr>
                <w:noProof/>
              </w:rPr>
              <w:t>Le plan national d’éducation à la santé dans les écoles bulgares pour la période 2021-2027 précise les mesures visant à promouvoir l’éducation à la santé dans les écoles, couvrant des sujets tels que la santé génésique, la nutrition et la consommation nocive d’alcool et d’autres substances psychoactives.</w:t>
            </w:r>
          </w:p>
        </w:tc>
      </w:tr>
      <w:tr w:rsidR="00F74E13" w14:paraId="1CEBE0FE"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F1" w14:textId="77777777" w:rsidR="00F74E13" w:rsidRDefault="009274FC">
            <w:pPr>
              <w:pStyle w:val="P68B1DB1-Normal12"/>
              <w:spacing w:after="0"/>
              <w:jc w:val="center"/>
              <w:rPr>
                <w:noProof/>
              </w:rPr>
            </w:pPr>
            <w:r>
              <w:rPr>
                <w:noProof/>
              </w:rPr>
              <w:t>330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F2" w14:textId="77777777" w:rsidR="00F74E13" w:rsidRDefault="009274FC">
            <w:pPr>
              <w:pStyle w:val="P68B1DB1-Normal71"/>
              <w:spacing w:after="0" w:line="240" w:lineRule="auto"/>
              <w:ind w:left="57" w:right="57"/>
              <w:rPr>
                <w:noProof/>
              </w:rPr>
            </w:pPr>
            <w:r>
              <w:rPr>
                <w:noProof/>
              </w:rPr>
              <w:t>C12.I1 :</w:t>
            </w:r>
          </w:p>
          <w:p w14:paraId="1CEBE0F3" w14:textId="77777777" w:rsidR="00F74E13" w:rsidRDefault="009274FC">
            <w:pPr>
              <w:pStyle w:val="P68B1DB1-Normal12"/>
              <w:spacing w:after="0" w:line="240" w:lineRule="auto"/>
              <w:ind w:left="57" w:right="57"/>
              <w:rPr>
                <w:noProof/>
              </w:rPr>
            </w:pPr>
            <w:r>
              <w:rPr>
                <w:noProof/>
              </w:rPr>
              <w:t>Modernisation des installations hospitalières</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0F4" w14:textId="77777777" w:rsidR="00F74E13" w:rsidRDefault="009274FC">
            <w:pPr>
              <w:pStyle w:val="P68B1DB1-Normal12"/>
              <w:spacing w:after="0" w:line="240" w:lineRule="auto"/>
              <w:ind w:left="57" w:right="57"/>
              <w:jc w:val="center"/>
              <w:rPr>
                <w:noProof/>
              </w:rPr>
            </w:pPr>
            <w:r>
              <w:rPr>
                <w:noProof/>
              </w:rPr>
              <w:t xml:space="preserve"> 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0F5" w14:textId="77777777" w:rsidR="00F74E13" w:rsidRDefault="009274FC">
            <w:pPr>
              <w:pStyle w:val="P68B1DB1-Normal12"/>
              <w:spacing w:after="0" w:line="240" w:lineRule="auto"/>
              <w:ind w:left="57" w:right="57"/>
              <w:textAlignment w:val="baseline"/>
              <w:rPr>
                <w:noProof/>
              </w:rPr>
            </w:pPr>
            <w:r>
              <w:rPr>
                <w:noProof/>
              </w:rPr>
              <w:t xml:space="preserve">Installations hospitalières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F6" w14:textId="4F9F8983" w:rsidR="00F74E13" w:rsidRDefault="009274FC">
            <w:pPr>
              <w:pStyle w:val="P68B1DB1-Normal12"/>
              <w:spacing w:after="0" w:line="240" w:lineRule="auto"/>
              <w:ind w:left="57" w:right="57"/>
              <w:rPr>
                <w:noProof/>
              </w:rPr>
            </w:pPr>
            <w:r>
              <w:rPr>
                <w:noProof/>
              </w:rPr>
              <w:t xml:space="preserve">Équipements livrés et installations hospitalières construites et/ou rénovées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F7" w14:textId="77777777" w:rsidR="00F74E13" w:rsidRDefault="00F74E13">
            <w:pPr>
              <w:spacing w:after="0" w:line="240" w:lineRule="auto"/>
              <w:ind w:left="57" w:right="57"/>
              <w:jc w:val="center"/>
              <w:rPr>
                <w:rFonts w:ascii="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0F8" w14:textId="77777777" w:rsidR="00F74E13" w:rsidRDefault="00F74E13">
            <w:pPr>
              <w:spacing w:after="0" w:line="240" w:lineRule="auto"/>
              <w:ind w:left="57" w:right="57"/>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F9" w14:textId="77777777" w:rsidR="00F74E13" w:rsidRDefault="00F74E13">
            <w:pPr>
              <w:spacing w:after="0" w:line="240" w:lineRule="auto"/>
              <w:ind w:left="57" w:right="57"/>
              <w:jc w:val="right"/>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0FA" w14:textId="77777777" w:rsidR="00F74E13" w:rsidRDefault="009274FC">
            <w:pPr>
              <w:pStyle w:val="P68B1DB1-Normal12"/>
              <w:spacing w:after="0" w:line="240" w:lineRule="auto"/>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0FB" w14:textId="77777777" w:rsidR="00F74E13" w:rsidRDefault="009274FC">
            <w:pPr>
              <w:pStyle w:val="P68B1DB1-Normal12"/>
              <w:spacing w:after="0" w:line="240" w:lineRule="auto"/>
              <w:ind w:left="57" w:right="57"/>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7BC90673" w14:textId="77777777" w:rsidR="00F74E13" w:rsidRDefault="009274FC">
            <w:pPr>
              <w:pStyle w:val="P68B1DB1-Normal12"/>
              <w:spacing w:after="0" w:line="240" w:lineRule="auto"/>
              <w:ind w:right="57"/>
              <w:jc w:val="both"/>
              <w:rPr>
                <w:noProof/>
              </w:rPr>
            </w:pPr>
            <w:r>
              <w:rPr>
                <w:noProof/>
              </w:rPr>
              <w:t>- L'équipement doit être livré à 50 établissements hospitaliers;</w:t>
            </w:r>
          </w:p>
          <w:p w14:paraId="1CEBE0FD" w14:textId="042B4B6B" w:rsidR="00F74E13" w:rsidRDefault="009274FC">
            <w:pPr>
              <w:pStyle w:val="P68B1DB1-Normal12"/>
              <w:spacing w:after="0" w:line="240" w:lineRule="auto"/>
              <w:ind w:right="57"/>
              <w:jc w:val="both"/>
              <w:rPr>
                <w:noProof/>
              </w:rPr>
            </w:pPr>
            <w:r>
              <w:rPr>
                <w:noProof/>
              </w:rPr>
              <w:t>- 6 installations hospitalières doivent être construites et/ou rénovées.</w:t>
            </w:r>
          </w:p>
        </w:tc>
      </w:tr>
      <w:tr w:rsidR="00F74E13" w14:paraId="1CEBE10B"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FF" w14:textId="77777777" w:rsidR="00F74E13" w:rsidRDefault="009274FC">
            <w:pPr>
              <w:pStyle w:val="P68B1DB1-Normal12"/>
              <w:spacing w:after="0"/>
              <w:jc w:val="center"/>
              <w:rPr>
                <w:noProof/>
              </w:rPr>
            </w:pPr>
            <w:r>
              <w:rPr>
                <w:noProof/>
              </w:rPr>
              <w:t>332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00" w14:textId="77777777" w:rsidR="00F74E13" w:rsidRDefault="009274FC">
            <w:pPr>
              <w:pStyle w:val="P68B1DB1-Normal71"/>
              <w:spacing w:after="0" w:line="240" w:lineRule="auto"/>
              <w:ind w:left="57" w:right="57"/>
              <w:rPr>
                <w:noProof/>
              </w:rPr>
            </w:pPr>
            <w:r>
              <w:rPr>
                <w:noProof/>
              </w:rPr>
              <w:t>C12.I2 :</w:t>
            </w:r>
          </w:p>
          <w:p w14:paraId="1CEBE101" w14:textId="77777777" w:rsidR="00F74E13" w:rsidRDefault="009274FC">
            <w:pPr>
              <w:pStyle w:val="P68B1DB1-Normal71"/>
              <w:spacing w:after="0" w:line="240" w:lineRule="auto"/>
              <w:ind w:left="57" w:right="57"/>
              <w:rPr>
                <w:noProof/>
              </w:rPr>
            </w:pPr>
            <w:r>
              <w:rPr>
                <w:noProof/>
              </w:rPr>
              <w:t xml:space="preserve">Centres de diagnostic interventionnel et de traitement endovasculaire des maladies cérébrovasculaires </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02" w14:textId="77777777"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03" w14:textId="77777777" w:rsidR="00F74E13" w:rsidRDefault="009274FC">
            <w:pPr>
              <w:pStyle w:val="P68B1DB1-Normal12"/>
              <w:spacing w:after="0" w:line="240" w:lineRule="auto"/>
              <w:ind w:left="57" w:right="57"/>
              <w:rPr>
                <w:noProof/>
              </w:rPr>
            </w:pPr>
            <w:r>
              <w:rPr>
                <w:noProof/>
              </w:rPr>
              <w:t xml:space="preserve">Signature du ou des contrats pour les travaux de construction et/ou de rénovation et pour la fourniture de matériel médical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04" w14:textId="77777777" w:rsidR="00F74E13" w:rsidRDefault="009274FC">
            <w:pPr>
              <w:pStyle w:val="P68B1DB1-Normal12"/>
              <w:spacing w:after="0" w:line="240" w:lineRule="auto"/>
              <w:ind w:left="57" w:right="57"/>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05" w14:textId="77777777" w:rsidR="00F74E13" w:rsidRDefault="009274FC">
            <w:pPr>
              <w:pStyle w:val="P68B1DB1-Normal12"/>
              <w:spacing w:after="0" w:line="240" w:lineRule="auto"/>
              <w:ind w:left="57" w:right="57"/>
              <w:jc w:val="right"/>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06" w14:textId="77777777" w:rsidR="00F74E13" w:rsidRDefault="009274FC">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07" w14:textId="77777777" w:rsidR="00F74E13" w:rsidRDefault="009274FC">
            <w:pPr>
              <w:pStyle w:val="P68B1DB1-Normal12"/>
              <w:spacing w:after="0" w:line="240" w:lineRule="auto"/>
              <w:ind w:left="57" w:right="57"/>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08" w14:textId="77777777" w:rsidR="00F74E13" w:rsidRDefault="009274FC">
            <w:pPr>
              <w:pStyle w:val="P68B1DB1-Normal12"/>
              <w:spacing w:after="0" w:line="240" w:lineRule="auto"/>
              <w:ind w:left="57" w:right="57"/>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09" w14:textId="77777777" w:rsidR="00F74E13" w:rsidRDefault="009274FC">
            <w:pPr>
              <w:pStyle w:val="P68B1DB1-Normal12"/>
              <w:spacing w:after="0" w:line="240" w:lineRule="auto"/>
              <w:ind w:left="57" w:right="57"/>
              <w:jc w:val="center"/>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0A" w14:textId="77777777" w:rsidR="00F74E13" w:rsidRDefault="009274FC">
            <w:pPr>
              <w:pStyle w:val="P68B1DB1-Normal12"/>
              <w:spacing w:after="0" w:line="240" w:lineRule="auto"/>
              <w:ind w:left="57" w:right="57"/>
              <w:jc w:val="both"/>
              <w:rPr>
                <w:noProof/>
              </w:rPr>
            </w:pPr>
            <w:r>
              <w:rPr>
                <w:noProof/>
              </w:rPr>
              <w:t>Le ou les contrats couvriront la construction et/ou la rénovation et la fourniture d’équipements médicaux pour les centres médicaux de diagnostic interventionnel et de traitement des maladies cérébrovasculaires classés dans le groupe 2 du concept de développement de centres de diagnostic interventionnel et de traitement endovasculaire des maladies cérébrovasculaires.</w:t>
            </w:r>
          </w:p>
        </w:tc>
      </w:tr>
      <w:tr w:rsidR="00F74E13" w14:paraId="1CEBE11C"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0C" w14:textId="77777777" w:rsidR="00F74E13" w:rsidRDefault="009274FC">
            <w:pPr>
              <w:pStyle w:val="P68B1DB1-Normal12"/>
              <w:spacing w:after="0"/>
              <w:jc w:val="center"/>
              <w:rPr>
                <w:noProof/>
              </w:rPr>
            </w:pPr>
            <w:r>
              <w:rPr>
                <w:noProof/>
              </w:rPr>
              <w:t>333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0D" w14:textId="77777777" w:rsidR="00F74E13" w:rsidRDefault="009274FC">
            <w:pPr>
              <w:pStyle w:val="P68B1DB1-Normal71"/>
              <w:spacing w:after="0" w:line="240" w:lineRule="auto"/>
              <w:ind w:left="57" w:right="57"/>
              <w:rPr>
                <w:noProof/>
              </w:rPr>
            </w:pPr>
            <w:r>
              <w:rPr>
                <w:noProof/>
              </w:rPr>
              <w:t>C12.I2 :</w:t>
            </w:r>
          </w:p>
          <w:p w14:paraId="1CEBE10E" w14:textId="77777777" w:rsidR="00F74E13" w:rsidRDefault="009274FC">
            <w:pPr>
              <w:pStyle w:val="P68B1DB1-Normal71"/>
              <w:spacing w:after="0" w:line="240" w:lineRule="auto"/>
              <w:ind w:left="57" w:right="57"/>
              <w:rPr>
                <w:noProof/>
              </w:rPr>
            </w:pPr>
            <w:r>
              <w:rPr>
                <w:noProof/>
              </w:rPr>
              <w:t xml:space="preserve">Centres de diagnostic interventionnel et de traitement endovasculaire des maladies cérébrovasculaires </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0F" w14:textId="1BD7EAE5"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10" w14:textId="77777777" w:rsidR="00F74E13" w:rsidRDefault="009274FC">
            <w:pPr>
              <w:pStyle w:val="P68B1DB1-Normal12"/>
              <w:spacing w:after="0" w:line="240" w:lineRule="auto"/>
              <w:ind w:left="57" w:right="57"/>
              <w:rPr>
                <w:noProof/>
              </w:rPr>
            </w:pPr>
            <w:r>
              <w:rPr>
                <w:noProof/>
              </w:rPr>
              <w:t>Centres de maladies cérébrovasculaires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11" w14:textId="455B0D90" w:rsidR="00F74E13" w:rsidRDefault="009274FC">
            <w:pPr>
              <w:pStyle w:val="P68B1DB1-Normal12"/>
              <w:spacing w:after="0" w:line="240" w:lineRule="auto"/>
              <w:ind w:left="57" w:right="57"/>
              <w:rPr>
                <w:noProof/>
              </w:rPr>
            </w:pPr>
            <w:r>
              <w:rPr>
                <w:noProof/>
              </w:rPr>
              <w:t>Construction et/ou rénovation d'équipements et de centres de lutte contre les maladies cérébrovasculaires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12" w14:textId="512413E5" w:rsidR="00F74E13" w:rsidRDefault="00F74E13">
            <w:pPr>
              <w:spacing w:after="0" w:line="240" w:lineRule="auto"/>
              <w:ind w:left="57" w:right="57"/>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13" w14:textId="701C1613" w:rsidR="00F74E13" w:rsidRDefault="00F74E13">
            <w:pPr>
              <w:spacing w:after="0" w:line="240" w:lineRule="auto"/>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14" w14:textId="0087C799" w:rsidR="00F74E13" w:rsidRDefault="00F74E13">
            <w:pPr>
              <w:spacing w:after="0"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15" w14:textId="77777777" w:rsidR="00F74E13" w:rsidRDefault="009274FC">
            <w:pPr>
              <w:pStyle w:val="P68B1DB1-Normal12"/>
              <w:spacing w:after="0" w:line="240" w:lineRule="auto"/>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16" w14:textId="77777777" w:rsidR="00F74E13" w:rsidRDefault="009274FC">
            <w:pPr>
              <w:pStyle w:val="P68B1DB1-Normal12"/>
              <w:spacing w:after="0"/>
              <w:ind w:left="57" w:right="57"/>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348AAEA0" w14:textId="77777777" w:rsidR="00F74E13" w:rsidRDefault="009274FC">
            <w:pPr>
              <w:pStyle w:val="P68B1DB1-Normal12"/>
              <w:spacing w:after="0" w:line="240" w:lineRule="auto"/>
              <w:ind w:right="57"/>
              <w:jc w:val="both"/>
              <w:rPr>
                <w:noProof/>
              </w:rPr>
            </w:pPr>
            <w:r>
              <w:rPr>
                <w:noProof/>
              </w:rPr>
              <w:t>Six centres de diagnostic interventionnel et de traitement endovasculaire des maladies cérébrovasculaires du groupe 2 doivent être construits et/ou rénovés;</w:t>
            </w:r>
          </w:p>
          <w:p w14:paraId="7E3A2FD2" w14:textId="4545839A" w:rsidR="00F74E13" w:rsidRDefault="009274FC">
            <w:pPr>
              <w:pStyle w:val="P68B1DB1-Normal12"/>
              <w:spacing w:after="0" w:line="240" w:lineRule="auto"/>
              <w:ind w:right="57"/>
              <w:jc w:val="both"/>
              <w:rPr>
                <w:noProof/>
              </w:rPr>
            </w:pPr>
            <w:r>
              <w:rPr>
                <w:noProof/>
              </w:rPr>
              <w:t>- les équipements des six centres du groupe 2 seront livrés;</w:t>
            </w:r>
          </w:p>
          <w:p w14:paraId="1CEBE11B" w14:textId="1B4B1C5C" w:rsidR="00F74E13" w:rsidRDefault="009274FC">
            <w:pPr>
              <w:pStyle w:val="P68B1DB1-Normal12"/>
              <w:spacing w:after="0" w:line="240" w:lineRule="auto"/>
              <w:ind w:right="57"/>
              <w:jc w:val="both"/>
              <w:rPr>
                <w:noProof/>
              </w:rPr>
            </w:pPr>
            <w:r>
              <w:rPr>
                <w:noProof/>
              </w:rPr>
              <w:t>- l'équipement de 17 centres du groupe 1 doit être livré.</w:t>
            </w:r>
          </w:p>
        </w:tc>
      </w:tr>
      <w:tr w:rsidR="00F74E13" w14:paraId="1CEBE12B"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1D" w14:textId="77777777" w:rsidR="00F74E13" w:rsidRDefault="009274FC">
            <w:pPr>
              <w:pStyle w:val="P68B1DB1-Normal12"/>
              <w:spacing w:after="0"/>
              <w:jc w:val="center"/>
              <w:rPr>
                <w:noProof/>
              </w:rPr>
            </w:pPr>
            <w:r>
              <w:rPr>
                <w:noProof/>
              </w:rPr>
              <w:t>335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1E" w14:textId="77777777" w:rsidR="00F74E13" w:rsidRDefault="009274FC">
            <w:pPr>
              <w:pStyle w:val="P68B1DB1-Normal71"/>
              <w:spacing w:after="0" w:line="240" w:lineRule="auto"/>
              <w:ind w:left="57" w:right="57"/>
              <w:rPr>
                <w:noProof/>
              </w:rPr>
            </w:pPr>
            <w:r>
              <w:rPr>
                <w:noProof/>
              </w:rPr>
              <w:t>C12.</w:t>
            </w:r>
            <w:r>
              <w:rPr>
                <w:noProof/>
                <w:szCs w:val="20"/>
              </w:rPr>
              <w:t xml:space="preserve"> I3</w:t>
            </w:r>
            <w:r>
              <w:rPr>
                <w:noProof/>
              </w:rPr>
              <w:t>:</w:t>
            </w:r>
          </w:p>
          <w:p w14:paraId="1CEBE11F" w14:textId="77777777" w:rsidR="00F74E13" w:rsidRDefault="009274FC">
            <w:pPr>
              <w:pStyle w:val="P68B1DB1-Normal12"/>
              <w:spacing w:after="0" w:line="240" w:lineRule="auto"/>
              <w:ind w:left="57" w:right="57"/>
              <w:rPr>
                <w:noProof/>
              </w:rPr>
            </w:pPr>
            <w:r>
              <w:rPr>
                <w:noProof/>
              </w:rPr>
              <w:t>Modernisation des soins psychiatriques</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20" w14:textId="6AAECB39" w:rsidR="00F74E13" w:rsidRDefault="009274FC">
            <w:pPr>
              <w:pStyle w:val="P68B1DB1-Normal71"/>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21" w14:textId="79D3B6BC" w:rsidR="00F74E13" w:rsidRDefault="009274FC">
            <w:pPr>
              <w:pStyle w:val="P68B1DB1-Normal12"/>
              <w:spacing w:after="0" w:line="240" w:lineRule="auto"/>
              <w:ind w:left="57" w:right="57"/>
              <w:rPr>
                <w:noProof/>
              </w:rPr>
            </w:pPr>
            <w:r>
              <w:rPr>
                <w:noProof/>
              </w:rPr>
              <w:t>Établissements médicaux fournissant des soins psychiatriques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22" w14:textId="180B488D" w:rsidR="00F74E13" w:rsidRDefault="009274FC">
            <w:pPr>
              <w:pStyle w:val="P68B1DB1-Normal71"/>
              <w:spacing w:after="0" w:line="240" w:lineRule="auto"/>
              <w:ind w:left="57" w:right="57"/>
              <w:rPr>
                <w:noProof/>
              </w:rPr>
            </w:pPr>
            <w:r>
              <w:rPr>
                <w:noProof/>
              </w:rPr>
              <w:t>Rénovation de l'équipement fourni et des installations médicales fournissant des soins psychiatriques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23" w14:textId="50C549D2" w:rsidR="00F74E13" w:rsidRDefault="00F74E13">
            <w:pPr>
              <w:spacing w:after="0" w:line="240" w:lineRule="auto"/>
              <w:ind w:left="57" w:right="57"/>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24" w14:textId="3BADD8B4" w:rsidR="00F74E13" w:rsidRDefault="00F74E13">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25" w14:textId="175F3BF2" w:rsidR="00F74E13" w:rsidRDefault="00F74E13">
            <w:pPr>
              <w:spacing w:after="0"/>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26" w14:textId="77777777" w:rsidR="00F74E13" w:rsidRDefault="009274FC">
            <w:pPr>
              <w:pStyle w:val="P68B1DB1-Normal12"/>
              <w:spacing w:after="0"/>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27" w14:textId="77777777" w:rsidR="00F74E13" w:rsidRDefault="009274FC">
            <w:pPr>
              <w:pStyle w:val="P68B1DB1-Normal12"/>
              <w:spacing w:after="0"/>
              <w:ind w:left="57" w:right="57"/>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28" w14:textId="7219CB80" w:rsidR="00F74E13" w:rsidRDefault="009274FC">
            <w:pPr>
              <w:pStyle w:val="P68B1DB1-ListParagraph16"/>
              <w:spacing w:after="0" w:line="240" w:lineRule="auto"/>
              <w:ind w:left="57" w:right="57"/>
              <w:jc w:val="both"/>
              <w:rPr>
                <w:noProof/>
              </w:rPr>
            </w:pPr>
            <w:r>
              <w:rPr>
                <w:noProof/>
              </w:rPr>
              <w:t>18 établissements médicaux dispensant des soins psychiatriques doivent être rénovés.</w:t>
            </w:r>
          </w:p>
          <w:p w14:paraId="1CEBE12A" w14:textId="5119D797" w:rsidR="00F74E13" w:rsidRDefault="009274FC">
            <w:pPr>
              <w:pStyle w:val="P68B1DB1-ListParagraph16"/>
              <w:spacing w:before="120" w:after="0" w:line="240" w:lineRule="auto"/>
              <w:ind w:left="57" w:right="57"/>
              <w:jc w:val="both"/>
              <w:rPr>
                <w:noProof/>
              </w:rPr>
            </w:pPr>
            <w:r>
              <w:rPr>
                <w:noProof/>
              </w:rPr>
              <w:t>En outre, des équipements pour un total de 25 établissements médicaux fournissant des soins psychiatriques (y compris les 18 susmentionnés) doivent être fournis.</w:t>
            </w:r>
          </w:p>
        </w:tc>
      </w:tr>
      <w:tr w:rsidR="00F74E13" w14:paraId="1CEBE13B"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2C" w14:textId="77777777" w:rsidR="00F74E13" w:rsidRDefault="009274FC">
            <w:pPr>
              <w:pStyle w:val="P68B1DB1-Normal12"/>
              <w:spacing w:after="0"/>
              <w:jc w:val="center"/>
              <w:rPr>
                <w:noProof/>
              </w:rPr>
            </w:pPr>
            <w:r>
              <w:rPr>
                <w:noProof/>
              </w:rPr>
              <w:t>336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2D" w14:textId="77777777" w:rsidR="00F74E13" w:rsidRDefault="009274FC">
            <w:pPr>
              <w:pStyle w:val="P68B1DB1-Normal71"/>
              <w:spacing w:after="0" w:line="240" w:lineRule="auto"/>
              <w:ind w:left="57" w:right="57"/>
              <w:rPr>
                <w:noProof/>
              </w:rPr>
            </w:pPr>
            <w:r>
              <w:rPr>
                <w:noProof/>
              </w:rPr>
              <w:t>C12.I4 :</w:t>
            </w:r>
          </w:p>
          <w:p w14:paraId="1CEBE12E" w14:textId="77777777" w:rsidR="00F74E13" w:rsidRDefault="009274FC">
            <w:pPr>
              <w:pStyle w:val="P68B1DB1-Normal71"/>
              <w:spacing w:after="0" w:line="240" w:lineRule="auto"/>
              <w:ind w:left="57" w:right="57"/>
              <w:rPr>
                <w:noProof/>
              </w:rPr>
            </w:pPr>
            <w:r>
              <w:rPr>
                <w:noProof/>
              </w:rPr>
              <w:t>Mise en place d'un système d'ambulance aérienne</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2F" w14:textId="77777777" w:rsidR="00F74E13" w:rsidRDefault="009274FC">
            <w:pPr>
              <w:pStyle w:val="P68B1DB1-Normal71"/>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30" w14:textId="77777777" w:rsidR="00F74E13" w:rsidRDefault="009274FC">
            <w:pPr>
              <w:pStyle w:val="P68B1DB1-Normal12"/>
              <w:spacing w:after="0" w:line="240" w:lineRule="auto"/>
              <w:ind w:left="57" w:right="57"/>
              <w:rPr>
                <w:noProof/>
              </w:rPr>
            </w:pPr>
            <w:r>
              <w:rPr>
                <w:noProof/>
              </w:rPr>
              <w:t>Signature du ou des contrats pour la livraison d'hélicoptères au système d'ambulance aérienne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31" w14:textId="77777777" w:rsidR="00F74E13" w:rsidRDefault="009274FC">
            <w:pPr>
              <w:pStyle w:val="P68B1DB1-Normal12"/>
              <w:spacing w:after="0" w:line="240" w:lineRule="auto"/>
              <w:ind w:left="57" w:right="57"/>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32" w14:textId="77777777" w:rsidR="00F74E13" w:rsidRDefault="00F74E13">
            <w:pPr>
              <w:spacing w:after="0"/>
              <w:ind w:left="57" w:right="57"/>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33" w14:textId="77777777" w:rsidR="00F74E13" w:rsidRDefault="00F74E13">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34" w14:textId="77777777" w:rsidR="00F74E13" w:rsidRDefault="00F74E13">
            <w:pPr>
              <w:spacing w:after="0"/>
              <w:ind w:left="57" w:right="57"/>
              <w:jc w:val="center"/>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35" w14:textId="77777777" w:rsidR="00F74E13" w:rsidRDefault="009274FC">
            <w:pPr>
              <w:pStyle w:val="P68B1DB1-Normal71"/>
              <w:spacing w:after="0"/>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36" w14:textId="77777777" w:rsidR="00F74E13" w:rsidRDefault="009274FC">
            <w:pPr>
              <w:pStyle w:val="P68B1DB1-Normal12"/>
              <w:spacing w:after="0"/>
              <w:ind w:left="57" w:right="57"/>
              <w:jc w:val="center"/>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37" w14:textId="77777777" w:rsidR="00F74E13" w:rsidRDefault="009274FC">
            <w:pPr>
              <w:pStyle w:val="P68B1DB1-Normal12"/>
              <w:spacing w:after="0" w:line="240" w:lineRule="auto"/>
              <w:ind w:left="57" w:right="57"/>
              <w:jc w:val="both"/>
              <w:rPr>
                <w:noProof/>
              </w:rPr>
            </w:pPr>
            <w:r>
              <w:rPr>
                <w:noProof/>
              </w:rPr>
              <w:t xml:space="preserve">Le ou les contrats couvriront la livraison de sept hélicoptères au système d’ambulance aérienne, qui: </w:t>
            </w:r>
          </w:p>
          <w:p w14:paraId="5B192758" w14:textId="77777777" w:rsidR="00F74E13" w:rsidRDefault="009274FC">
            <w:pPr>
              <w:pStyle w:val="P68B1DB1-ListParagraph16"/>
              <w:numPr>
                <w:ilvl w:val="0"/>
                <w:numId w:val="74"/>
              </w:numPr>
              <w:spacing w:after="0" w:line="240" w:lineRule="auto"/>
              <w:ind w:left="468" w:right="57"/>
              <w:jc w:val="both"/>
              <w:rPr>
                <w:noProof/>
              </w:rPr>
            </w:pPr>
            <w:r>
              <w:rPr>
                <w:noProof/>
              </w:rPr>
              <w:t xml:space="preserve">être classé dans la catégorie A, classe 1 ou 2; </w:t>
            </w:r>
          </w:p>
          <w:p w14:paraId="1CEBE13A" w14:textId="4772F4C5" w:rsidR="00F74E13" w:rsidRDefault="009274FC">
            <w:pPr>
              <w:pStyle w:val="P68B1DB1-ListParagraph16"/>
              <w:numPr>
                <w:ilvl w:val="0"/>
                <w:numId w:val="74"/>
              </w:numPr>
              <w:spacing w:after="0" w:line="240" w:lineRule="auto"/>
              <w:ind w:left="468" w:right="57"/>
              <w:jc w:val="both"/>
              <w:rPr>
                <w:noProof/>
              </w:rPr>
            </w:pPr>
            <w:r>
              <w:rPr>
                <w:noProof/>
              </w:rPr>
              <w:t>comprennent l'équipement médical, ainsi que l'équipement au sol.</w:t>
            </w:r>
          </w:p>
        </w:tc>
      </w:tr>
      <w:tr w:rsidR="00F74E13" w14:paraId="1CEBE14A"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3C" w14:textId="77777777" w:rsidR="00F74E13" w:rsidRDefault="009274FC">
            <w:pPr>
              <w:pStyle w:val="P68B1DB1-Normal12"/>
              <w:spacing w:after="0"/>
              <w:jc w:val="center"/>
              <w:rPr>
                <w:noProof/>
              </w:rPr>
            </w:pPr>
            <w:r>
              <w:rPr>
                <w:noProof/>
              </w:rPr>
              <w:t>337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3D" w14:textId="77777777" w:rsidR="00F74E13" w:rsidRDefault="009274FC">
            <w:pPr>
              <w:pStyle w:val="P68B1DB1-Normal71"/>
              <w:spacing w:after="0" w:line="240" w:lineRule="auto"/>
              <w:ind w:left="57" w:right="57"/>
              <w:rPr>
                <w:noProof/>
              </w:rPr>
            </w:pPr>
            <w:r>
              <w:rPr>
                <w:noProof/>
              </w:rPr>
              <w:t>C12.I4 :</w:t>
            </w:r>
          </w:p>
          <w:p w14:paraId="1CEBE13E" w14:textId="77777777" w:rsidR="00F74E13" w:rsidRDefault="009274FC">
            <w:pPr>
              <w:pStyle w:val="P68B1DB1-Normal71"/>
              <w:spacing w:after="0" w:line="240" w:lineRule="auto"/>
              <w:ind w:left="57" w:right="57"/>
              <w:rPr>
                <w:noProof/>
              </w:rPr>
            </w:pPr>
            <w:r>
              <w:rPr>
                <w:noProof/>
              </w:rPr>
              <w:t>Mise en place d'un système d'ambulance aérienne</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3F" w14:textId="77777777" w:rsidR="00F74E13" w:rsidRDefault="009274FC">
            <w:pPr>
              <w:pStyle w:val="P68B1DB1-Normal71"/>
              <w:spacing w:after="0" w:line="240" w:lineRule="auto"/>
              <w:ind w:left="57" w:right="57"/>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40" w14:textId="6CFAC1EE" w:rsidR="00F74E13" w:rsidRDefault="009274FC">
            <w:pPr>
              <w:pStyle w:val="P68B1DB1-Normal12"/>
              <w:spacing w:after="0" w:line="240" w:lineRule="auto"/>
              <w:ind w:left="57" w:right="57"/>
              <w:rPr>
                <w:noProof/>
              </w:rPr>
            </w:pPr>
            <w:r>
              <w:rPr>
                <w:noProof/>
              </w:rPr>
              <w:t>Livraison d'hélicoptères au système d'ambulance aérienne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41" w14:textId="77777777" w:rsidR="00F74E13" w:rsidRDefault="00F74E13">
            <w:pPr>
              <w:spacing w:after="0" w:line="240" w:lineRule="auto"/>
              <w:ind w:left="57" w:right="57"/>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42" w14:textId="77777777" w:rsidR="00F74E13" w:rsidRDefault="009274FC">
            <w:pPr>
              <w:pStyle w:val="P68B1DB1-Normal71"/>
              <w:spacing w:after="0"/>
              <w:ind w:left="57" w:right="57"/>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43" w14:textId="77777777" w:rsidR="00F74E13" w:rsidRDefault="009274FC">
            <w:pPr>
              <w:pStyle w:val="P68B1DB1-Normal71"/>
              <w:spacing w:after="0"/>
              <w:ind w:left="57" w:right="57"/>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44" w14:textId="6AEEBDC5" w:rsidR="00F74E13" w:rsidRDefault="009274FC">
            <w:pPr>
              <w:pStyle w:val="P68B1DB1-Normal12"/>
              <w:spacing w:after="0"/>
              <w:ind w:left="57" w:right="57"/>
              <w:jc w:val="center"/>
              <w:rPr>
                <w:noProof/>
              </w:rPr>
            </w:pPr>
            <w:r>
              <w:rPr>
                <w:noProof/>
              </w:rPr>
              <w:t>7</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45" w14:textId="77777777" w:rsidR="00F74E13" w:rsidRDefault="009274FC">
            <w:pPr>
              <w:pStyle w:val="P68B1DB1-Normal71"/>
              <w:spacing w:after="0"/>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46" w14:textId="77777777" w:rsidR="00F74E13" w:rsidRDefault="009274FC">
            <w:pPr>
              <w:pStyle w:val="P68B1DB1-Normal71"/>
              <w:spacing w:after="0"/>
              <w:ind w:left="57" w:right="57"/>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49" w14:textId="0A277A97" w:rsidR="00F74E13" w:rsidRDefault="009274FC">
            <w:pPr>
              <w:pStyle w:val="P68B1DB1-Normal12"/>
              <w:spacing w:after="0" w:line="240" w:lineRule="auto"/>
              <w:ind w:left="57" w:right="57"/>
              <w:jc w:val="both"/>
              <w:rPr>
                <w:noProof/>
              </w:rPr>
            </w:pPr>
            <w:r>
              <w:rPr>
                <w:noProof/>
              </w:rPr>
              <w:t>La ou les preuves de la livraison de sept hélicoptères équipés d’équipements médicaux pour les besoins des services médicaux d’urgence doivent être fournies.</w:t>
            </w:r>
          </w:p>
        </w:tc>
      </w:tr>
      <w:tr w:rsidR="00F74E13" w14:paraId="1CEBE159"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4B" w14:textId="77777777" w:rsidR="00F74E13" w:rsidRDefault="009274FC">
            <w:pPr>
              <w:pStyle w:val="P68B1DB1-Normal12"/>
              <w:spacing w:after="0"/>
              <w:jc w:val="center"/>
              <w:rPr>
                <w:noProof/>
              </w:rPr>
            </w:pPr>
            <w:r>
              <w:rPr>
                <w:noProof/>
              </w:rPr>
              <w:t>339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4C" w14:textId="77777777" w:rsidR="00F74E13" w:rsidRDefault="009274FC">
            <w:pPr>
              <w:pStyle w:val="P68B1DB1-Normal71"/>
              <w:spacing w:after="0" w:line="240" w:lineRule="auto"/>
              <w:ind w:left="57" w:right="57"/>
              <w:rPr>
                <w:noProof/>
              </w:rPr>
            </w:pPr>
            <w:r>
              <w:rPr>
                <w:noProof/>
              </w:rPr>
              <w:t>C12.I5:</w:t>
            </w:r>
          </w:p>
          <w:p w14:paraId="1CEBE14D" w14:textId="77777777" w:rsidR="00F74E13" w:rsidRDefault="009274FC">
            <w:pPr>
              <w:pStyle w:val="P68B1DB1-Normal71"/>
              <w:spacing w:after="0" w:line="240" w:lineRule="auto"/>
              <w:ind w:left="57" w:right="57"/>
              <w:rPr>
                <w:noProof/>
              </w:rPr>
            </w:pPr>
            <w:r>
              <w:rPr>
                <w:noProof/>
              </w:rPr>
              <w:t>Plateforme numérique nationale pour le diagnostic médical</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4E" w14:textId="77777777" w:rsidR="00F74E13" w:rsidRDefault="009274FC">
            <w:pPr>
              <w:pStyle w:val="P68B1DB1-Normal71"/>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4F" w14:textId="77777777" w:rsidR="00F74E13" w:rsidRDefault="009274FC">
            <w:pPr>
              <w:pStyle w:val="P68B1DB1-Normal12"/>
              <w:spacing w:after="0" w:line="240" w:lineRule="auto"/>
              <w:ind w:left="57" w:right="57"/>
              <w:rPr>
                <w:noProof/>
              </w:rPr>
            </w:pPr>
            <w:r>
              <w:rPr>
                <w:noProof/>
              </w:rPr>
              <w:t>Signature du ou des contrats pour le développement de la plateforme numérique nationale pour le diagnostic médical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50" w14:textId="77777777" w:rsidR="00F74E13" w:rsidRDefault="009274FC">
            <w:pPr>
              <w:pStyle w:val="P68B1DB1-Normal12"/>
              <w:spacing w:after="0" w:line="240" w:lineRule="auto"/>
              <w:ind w:left="57" w:right="57"/>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51" w14:textId="77777777" w:rsidR="00F74E13" w:rsidRDefault="00F74E13">
            <w:pPr>
              <w:spacing w:after="0"/>
              <w:ind w:left="57" w:right="57"/>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52" w14:textId="77777777" w:rsidR="00F74E13" w:rsidRDefault="00F74E13">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53" w14:textId="77777777" w:rsidR="00F74E13" w:rsidRDefault="00F74E13">
            <w:pPr>
              <w:spacing w:after="0"/>
              <w:ind w:left="57" w:right="57"/>
              <w:jc w:val="center"/>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54" w14:textId="77777777" w:rsidR="00F74E13" w:rsidRDefault="009274FC">
            <w:pPr>
              <w:pStyle w:val="P68B1DB1-Normal12"/>
              <w:spacing w:after="0"/>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55" w14:textId="77777777" w:rsidR="00F74E13" w:rsidRDefault="009274FC">
            <w:pPr>
              <w:pStyle w:val="P68B1DB1-Normal12"/>
              <w:spacing w:after="0"/>
              <w:ind w:left="57" w:right="57"/>
              <w:jc w:val="center"/>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56" w14:textId="77777777" w:rsidR="00F74E13" w:rsidRDefault="009274FC">
            <w:pPr>
              <w:pStyle w:val="P68B1DB1-Normal12"/>
              <w:spacing w:after="0" w:line="240" w:lineRule="auto"/>
              <w:ind w:left="57" w:right="57"/>
              <w:jc w:val="both"/>
              <w:rPr>
                <w:noProof/>
              </w:rPr>
            </w:pPr>
            <w:r>
              <w:rPr>
                <w:noProof/>
              </w:rPr>
              <w:t>Le ou les contrats couvriront le développement de la plateforme numérique nationale pour le diagnostic médical avec les éléments suivants:</w:t>
            </w:r>
          </w:p>
          <w:p w14:paraId="60EE899B" w14:textId="77777777" w:rsidR="00F74E13" w:rsidRDefault="009274FC">
            <w:pPr>
              <w:pStyle w:val="P68B1DB1-ListParagraph16"/>
              <w:numPr>
                <w:ilvl w:val="0"/>
                <w:numId w:val="74"/>
              </w:numPr>
              <w:spacing w:after="0" w:line="240" w:lineRule="auto"/>
              <w:ind w:left="468" w:right="57"/>
              <w:jc w:val="both"/>
              <w:rPr>
                <w:noProof/>
              </w:rPr>
            </w:pPr>
            <w:r>
              <w:rPr>
                <w:noProof/>
              </w:rPr>
              <w:t xml:space="preserve">le téléchargement d’images médicales; </w:t>
            </w:r>
          </w:p>
          <w:p w14:paraId="1CEBE158" w14:textId="08D4A5EF" w:rsidR="00F74E13" w:rsidRDefault="009274FC">
            <w:pPr>
              <w:pStyle w:val="P68B1DB1-ListParagraph16"/>
              <w:numPr>
                <w:ilvl w:val="0"/>
                <w:numId w:val="74"/>
              </w:numPr>
              <w:spacing w:after="0" w:line="240" w:lineRule="auto"/>
              <w:ind w:left="468" w:right="57"/>
              <w:jc w:val="both"/>
              <w:rPr>
                <w:noProof/>
              </w:rPr>
            </w:pPr>
            <w:r>
              <w:rPr>
                <w:noProof/>
              </w:rPr>
              <w:t>le traitement des images médicales par un algorithme d'apprentissage automatique.</w:t>
            </w:r>
          </w:p>
        </w:tc>
      </w:tr>
      <w:tr w:rsidR="00F74E13" w14:paraId="1CEBE166"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5A" w14:textId="77777777" w:rsidR="00F74E13" w:rsidRDefault="009274FC">
            <w:pPr>
              <w:pStyle w:val="P68B1DB1-Normal12"/>
              <w:spacing w:after="0"/>
              <w:jc w:val="center"/>
              <w:rPr>
                <w:noProof/>
              </w:rPr>
            </w:pPr>
            <w:r>
              <w:rPr>
                <w:noProof/>
              </w:rPr>
              <w:t>340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5B" w14:textId="77777777" w:rsidR="00F74E13" w:rsidRDefault="009274FC">
            <w:pPr>
              <w:pStyle w:val="P68B1DB1-Normal71"/>
              <w:spacing w:after="0" w:line="240" w:lineRule="auto"/>
              <w:ind w:left="57" w:right="57"/>
              <w:rPr>
                <w:noProof/>
              </w:rPr>
            </w:pPr>
            <w:r>
              <w:rPr>
                <w:noProof/>
              </w:rPr>
              <w:t>C12.I5:</w:t>
            </w:r>
          </w:p>
          <w:p w14:paraId="1CEBE15C" w14:textId="77777777" w:rsidR="00F74E13" w:rsidRDefault="009274FC">
            <w:pPr>
              <w:pStyle w:val="P68B1DB1-Normal71"/>
              <w:spacing w:after="0" w:line="240" w:lineRule="auto"/>
              <w:ind w:left="57" w:right="57"/>
              <w:rPr>
                <w:noProof/>
              </w:rPr>
            </w:pPr>
            <w:r>
              <w:rPr>
                <w:noProof/>
              </w:rPr>
              <w:t>Plateforme numérique nationale pour le diagnostic médical</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5D" w14:textId="77777777" w:rsidR="00F74E13" w:rsidRDefault="009274FC">
            <w:pPr>
              <w:pStyle w:val="P68B1DB1-Normal71"/>
              <w:spacing w:after="0" w:line="240" w:lineRule="auto"/>
              <w:ind w:left="57" w:right="57"/>
              <w:jc w:val="center"/>
              <w:rPr>
                <w:noProof/>
              </w:rPr>
            </w:pPr>
            <w:r>
              <w:rPr>
                <w:noProof/>
              </w:rPr>
              <w:t>Objectif</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5E" w14:textId="77777777" w:rsidR="00F74E13" w:rsidRDefault="009274FC">
            <w:pPr>
              <w:pStyle w:val="P68B1DB1-Normal12"/>
              <w:spacing w:after="0" w:line="240" w:lineRule="auto"/>
              <w:ind w:left="57" w:right="57"/>
              <w:rPr>
                <w:noProof/>
              </w:rPr>
            </w:pPr>
            <w:r>
              <w:rPr>
                <w:noProof/>
              </w:rPr>
              <w:t>Établissements de santé accédant à la plateforme numérique nationale pour le diagnostic médical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5F" w14:textId="77777777" w:rsidR="00F74E13" w:rsidRDefault="00F74E13">
            <w:pPr>
              <w:spacing w:after="0" w:line="240" w:lineRule="auto"/>
              <w:ind w:left="57" w:right="57"/>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60" w14:textId="77777777" w:rsidR="00F74E13" w:rsidRDefault="009274FC">
            <w:pPr>
              <w:pStyle w:val="P68B1DB1-Normal71"/>
              <w:spacing w:after="0" w:line="240" w:lineRule="auto"/>
              <w:ind w:left="57" w:right="57"/>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61" w14:textId="77777777" w:rsidR="00F74E13" w:rsidRDefault="009274FC">
            <w:pPr>
              <w:pStyle w:val="P68B1DB1-Normal71"/>
              <w:spacing w:after="0" w:line="240" w:lineRule="auto"/>
              <w:ind w:left="57" w:right="57"/>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62" w14:textId="77777777" w:rsidR="00F74E13" w:rsidRDefault="009274FC">
            <w:pPr>
              <w:pStyle w:val="P68B1DB1-Normal71"/>
              <w:spacing w:after="0" w:line="240" w:lineRule="auto"/>
              <w:ind w:left="57" w:right="57"/>
              <w:jc w:val="center"/>
              <w:rPr>
                <w:noProof/>
              </w:rPr>
            </w:pPr>
            <w:r>
              <w:rPr>
                <w:noProof/>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63" w14:textId="77777777" w:rsidR="00F74E13" w:rsidRDefault="009274FC">
            <w:pPr>
              <w:pStyle w:val="P68B1DB1-Normal71"/>
              <w:spacing w:after="0" w:line="240" w:lineRule="auto"/>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64" w14:textId="77777777" w:rsidR="00F74E13" w:rsidRDefault="009274FC">
            <w:pPr>
              <w:pStyle w:val="P68B1DB1-Normal71"/>
              <w:spacing w:after="0" w:line="240" w:lineRule="auto"/>
              <w:ind w:left="57" w:right="57"/>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65" w14:textId="407E63E0" w:rsidR="00F74E13" w:rsidRDefault="009274FC">
            <w:pPr>
              <w:pStyle w:val="P68B1DB1-Normal12"/>
              <w:spacing w:after="0" w:line="240" w:lineRule="auto"/>
              <w:ind w:left="57" w:right="57"/>
              <w:jc w:val="both"/>
              <w:rPr>
                <w:noProof/>
              </w:rPr>
            </w:pPr>
            <w:r>
              <w:rPr>
                <w:noProof/>
              </w:rPr>
              <w:t xml:space="preserve">L’accès à la plateforme numérique nationale pour le diagnostic médical est accordé à 20 établissements de soins de santé. </w:t>
            </w:r>
          </w:p>
        </w:tc>
      </w:tr>
      <w:tr w:rsidR="00F74E13" w14:paraId="1CEBE177"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67" w14:textId="77777777" w:rsidR="00F74E13" w:rsidRDefault="009274FC">
            <w:pPr>
              <w:pStyle w:val="P68B1DB1-Normal12"/>
              <w:spacing w:after="0"/>
              <w:jc w:val="center"/>
              <w:rPr>
                <w:noProof/>
              </w:rPr>
            </w:pPr>
            <w:r>
              <w:rPr>
                <w:noProof/>
              </w:rPr>
              <w:t>343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68" w14:textId="77777777" w:rsidR="00F74E13" w:rsidRDefault="009274FC">
            <w:pPr>
              <w:pStyle w:val="P68B1DB1-Normal71"/>
              <w:spacing w:after="0" w:line="240" w:lineRule="auto"/>
              <w:ind w:left="57" w:right="57"/>
              <w:rPr>
                <w:noProof/>
              </w:rPr>
            </w:pPr>
            <w:r>
              <w:rPr>
                <w:noProof/>
              </w:rPr>
              <w:t>C12.I7:</w:t>
            </w:r>
          </w:p>
          <w:p w14:paraId="1CEBE169" w14:textId="77777777" w:rsidR="00F74E13" w:rsidRDefault="009274FC">
            <w:pPr>
              <w:pStyle w:val="P68B1DB1-Normal71"/>
              <w:spacing w:after="0" w:line="240" w:lineRule="auto"/>
              <w:ind w:left="57" w:right="57"/>
              <w:rPr>
                <w:noProof/>
              </w:rPr>
            </w:pPr>
            <w:r>
              <w:rPr>
                <w:noProof/>
              </w:rPr>
              <w:t xml:space="preserve">Développement des soins ambulatoires </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6A" w14:textId="77777777" w:rsidR="00F74E13" w:rsidRDefault="009274FC">
            <w:pPr>
              <w:pStyle w:val="P68B1DB1-Normal71"/>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6B" w14:textId="77777777" w:rsidR="00F74E13" w:rsidRDefault="009274FC">
            <w:pPr>
              <w:pStyle w:val="P68B1DB1-Normal12"/>
              <w:spacing w:after="0" w:line="240" w:lineRule="auto"/>
              <w:ind w:left="57" w:right="57"/>
              <w:rPr>
                <w:noProof/>
              </w:rPr>
            </w:pPr>
            <w:r>
              <w:rPr>
                <w:noProof/>
              </w:rPr>
              <w:t xml:space="preserve">Signature du ou des contrats relatifs aux travaux de construction et/ou de rénovation d’unités ambulatoires ou de conteneurs ambulatoires mobiles ainsi qu’à la fourniture d’équipements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6C" w14:textId="77777777" w:rsidR="00F74E13" w:rsidRDefault="009274FC">
            <w:pPr>
              <w:pStyle w:val="P68B1DB1-Normal12"/>
              <w:spacing w:after="0" w:line="240" w:lineRule="auto"/>
              <w:ind w:left="57" w:right="57"/>
              <w:rPr>
                <w:noProof/>
              </w:rPr>
            </w:pPr>
            <w:r>
              <w:rPr>
                <w:noProof/>
              </w:rPr>
              <w:t>Contrat(s) signé(s)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6D" w14:textId="77777777" w:rsidR="00F74E13" w:rsidRDefault="00F74E13">
            <w:pPr>
              <w:spacing w:after="0" w:line="240" w:lineRule="auto"/>
              <w:ind w:left="57" w:right="57"/>
              <w:jc w:val="center"/>
              <w:rPr>
                <w:rFonts w:ascii="Times New Roman" w:hAnsi="Times New Roman" w:cs="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6E" w14:textId="77777777" w:rsidR="00F74E13" w:rsidRDefault="00F74E13">
            <w:pPr>
              <w:spacing w:after="0" w:line="240" w:lineRule="auto"/>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6F" w14:textId="77777777" w:rsidR="00F74E13" w:rsidRDefault="00F74E13">
            <w:pPr>
              <w:spacing w:after="0" w:line="240" w:lineRule="auto"/>
              <w:ind w:left="57" w:right="57"/>
              <w:jc w:val="center"/>
              <w:rPr>
                <w:rFonts w:ascii="Times New Roman" w:hAnsi="Times New Roman" w:cs="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70" w14:textId="77777777" w:rsidR="00F74E13" w:rsidRDefault="009274FC">
            <w:pPr>
              <w:pStyle w:val="P68B1DB1-Normal71"/>
              <w:spacing w:after="0" w:line="240" w:lineRule="auto"/>
              <w:ind w:left="57" w:right="57"/>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71" w14:textId="77777777" w:rsidR="00F74E13" w:rsidRDefault="009274FC">
            <w:pPr>
              <w:pStyle w:val="P68B1DB1-Normal12"/>
              <w:spacing w:after="0" w:line="240" w:lineRule="auto"/>
              <w:ind w:left="57" w:right="57"/>
              <w:jc w:val="center"/>
              <w:rPr>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4EB9950E" w14:textId="77777777" w:rsidR="00F74E13" w:rsidRDefault="009274FC">
            <w:pPr>
              <w:pStyle w:val="P68B1DB1-Normal12"/>
              <w:spacing w:after="0" w:line="240" w:lineRule="auto"/>
              <w:ind w:left="57" w:right="57"/>
              <w:jc w:val="both"/>
              <w:rPr>
                <w:noProof/>
              </w:rPr>
            </w:pPr>
            <w:r>
              <w:rPr>
                <w:noProof/>
              </w:rPr>
              <w:t>Le ou les contrats couvriront les travaux de construction et/ou de rénovation de 100 unités de soins ambulatoires ou conteneurs ambulatoires mobiles.</w:t>
            </w:r>
          </w:p>
          <w:p w14:paraId="1CEBE174" w14:textId="3FA597B3" w:rsidR="00F74E13" w:rsidRDefault="009274FC">
            <w:pPr>
              <w:pStyle w:val="P68B1DB1-Normal12"/>
              <w:spacing w:before="120" w:after="0" w:line="240" w:lineRule="auto"/>
              <w:ind w:left="57" w:right="57"/>
              <w:jc w:val="both"/>
              <w:rPr>
                <w:noProof/>
              </w:rPr>
            </w:pPr>
            <w:r>
              <w:rPr>
                <w:noProof/>
              </w:rPr>
              <w:t>En outre, le ou les contrats couvrent la fourniture d’une plateforme numérique. La plateforme:</w:t>
            </w:r>
          </w:p>
          <w:p w14:paraId="1CEBE175" w14:textId="77777777" w:rsidR="00F74E13" w:rsidRDefault="009274FC">
            <w:pPr>
              <w:pStyle w:val="P68B1DB1-Normal12"/>
              <w:spacing w:after="0" w:line="240" w:lineRule="auto"/>
              <w:ind w:left="57" w:right="57"/>
              <w:jc w:val="both"/>
              <w:rPr>
                <w:noProof/>
              </w:rPr>
            </w:pPr>
            <w:r>
              <w:rPr>
                <w:noProof/>
              </w:rPr>
              <w:t xml:space="preserve">- permettre la fourniture de services de télémédecine; </w:t>
            </w:r>
          </w:p>
          <w:p w14:paraId="1CEBE176" w14:textId="77777777" w:rsidR="00F74E13" w:rsidRDefault="009274FC">
            <w:pPr>
              <w:pStyle w:val="P68B1DB1-Normal12"/>
              <w:spacing w:after="0" w:line="240" w:lineRule="auto"/>
              <w:ind w:left="57" w:right="57"/>
              <w:jc w:val="both"/>
              <w:rPr>
                <w:noProof/>
              </w:rPr>
            </w:pPr>
            <w:r>
              <w:rPr>
                <w:noProof/>
              </w:rPr>
              <w:t>- inclure des modules pour le diagnostic médical et le traitement.</w:t>
            </w:r>
          </w:p>
        </w:tc>
      </w:tr>
      <w:tr w:rsidR="00F74E13" w14:paraId="1CEBE186" w14:textId="77777777" w:rsidTr="00197066">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78" w14:textId="77777777" w:rsidR="00F74E13" w:rsidRDefault="009274FC">
            <w:pPr>
              <w:pStyle w:val="P68B1DB1-Normal12"/>
              <w:spacing w:after="0"/>
              <w:jc w:val="center"/>
              <w:rPr>
                <w:noProof/>
              </w:rPr>
            </w:pPr>
            <w:r>
              <w:rPr>
                <w:noProof/>
              </w:rPr>
              <w:t>345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79" w14:textId="77777777" w:rsidR="00F74E13" w:rsidRDefault="009274FC">
            <w:pPr>
              <w:pStyle w:val="P68B1DB1-Normal71"/>
              <w:spacing w:after="0" w:line="240" w:lineRule="auto"/>
              <w:ind w:left="57" w:right="57"/>
              <w:rPr>
                <w:noProof/>
              </w:rPr>
            </w:pPr>
            <w:r>
              <w:rPr>
                <w:noProof/>
              </w:rPr>
              <w:t>C12.I7:</w:t>
            </w:r>
          </w:p>
          <w:p w14:paraId="1CEBE17A" w14:textId="77777777" w:rsidR="00F74E13" w:rsidRDefault="009274FC">
            <w:pPr>
              <w:pStyle w:val="P68B1DB1-Normal71"/>
              <w:spacing w:after="0" w:line="240" w:lineRule="auto"/>
              <w:ind w:left="57" w:right="57"/>
              <w:rPr>
                <w:noProof/>
              </w:rPr>
            </w:pPr>
            <w:r>
              <w:rPr>
                <w:noProof/>
              </w:rPr>
              <w:t>Développement des soins ambulatoires</w:t>
            </w:r>
          </w:p>
        </w:tc>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1CEBE17B" w14:textId="4BCA6450" w:rsidR="00F74E13" w:rsidRDefault="009274FC">
            <w:pPr>
              <w:pStyle w:val="P68B1DB1-Normal12"/>
              <w:spacing w:after="0" w:line="240" w:lineRule="auto"/>
              <w:ind w:left="57" w:right="57"/>
              <w:jc w:val="center"/>
              <w:rPr>
                <w:noProof/>
              </w:rPr>
            </w:pPr>
            <w:r>
              <w:rPr>
                <w:noProof/>
              </w:rPr>
              <w:t>Étape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E17C" w14:textId="3AE82F3C" w:rsidR="00F74E13" w:rsidRDefault="009274FC">
            <w:pPr>
              <w:pStyle w:val="P68B1DB1-Normal12"/>
              <w:spacing w:after="0" w:line="240" w:lineRule="auto"/>
              <w:ind w:left="57" w:right="57"/>
              <w:rPr>
                <w:noProof/>
              </w:rPr>
            </w:pPr>
            <w:r>
              <w:rPr>
                <w:noProof/>
              </w:rPr>
              <w:t>Unités de soins ambulatoires et/ou conteneurs ambulatoires mobiles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7D" w14:textId="2E772608" w:rsidR="00F74E13" w:rsidRDefault="009274FC">
            <w:pPr>
              <w:pStyle w:val="P68B1DB1-Normal12"/>
              <w:spacing w:after="0" w:line="240" w:lineRule="auto"/>
              <w:ind w:left="57" w:right="57"/>
              <w:rPr>
                <w:noProof/>
              </w:rPr>
            </w:pPr>
            <w:r>
              <w:rPr>
                <w:noProof/>
              </w:rPr>
              <w:t>Unités ambulatoires construites et/ou rénovées; les conteneurs mobiles et les équipements livrés; plate-forme numérique accessible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7E" w14:textId="2BFAD9FF" w:rsidR="00F74E13" w:rsidRDefault="00F74E13">
            <w:pPr>
              <w:spacing w:after="0"/>
              <w:ind w:left="57" w:right="57"/>
              <w:jc w:val="center"/>
              <w:rPr>
                <w:rFonts w:ascii="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7F" w14:textId="5189E45A" w:rsidR="00F74E13" w:rsidRDefault="00F74E13">
            <w:pPr>
              <w:spacing w:after="0"/>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80" w14:textId="320A2CEF" w:rsidR="00F74E13" w:rsidRDefault="00F74E13">
            <w:pPr>
              <w:spacing w:after="0"/>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81" w14:textId="77777777" w:rsidR="00F74E13" w:rsidRDefault="009274FC">
            <w:pPr>
              <w:pStyle w:val="P68B1DB1-Normal12"/>
              <w:spacing w:after="0"/>
              <w:ind w:left="57" w:right="57"/>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82" w14:textId="77777777" w:rsidR="00F74E13" w:rsidRDefault="009274FC">
            <w:pPr>
              <w:pStyle w:val="P68B1DB1-Normal12"/>
              <w:spacing w:after="0"/>
              <w:ind w:left="57" w:right="57"/>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6EFCE"/>
            <w:noWrap/>
          </w:tcPr>
          <w:p w14:paraId="1CEBE185" w14:textId="18A2DC40" w:rsidR="00F74E13" w:rsidRDefault="009274FC">
            <w:pPr>
              <w:pStyle w:val="P68B1DB1-Normal12"/>
              <w:spacing w:after="0" w:line="240" w:lineRule="auto"/>
              <w:ind w:left="57" w:right="57"/>
              <w:jc w:val="both"/>
              <w:rPr>
                <w:noProof/>
              </w:rPr>
            </w:pPr>
            <w:r>
              <w:rPr>
                <w:noProof/>
              </w:rPr>
              <w:t>Les unités de soins ambulatoires doivent être construites et/ou rénovées, et des conteneurs ambulatoires mobiles doivent être livrés. Au total, ces unités de soins ambulatoires et conteneurs ambulatoires mobiles s’élèvent à 100. En outre, l'équipement doit être livré. Une plateforme numérique est accessible.</w:t>
            </w:r>
          </w:p>
        </w:tc>
      </w:tr>
    </w:tbl>
    <w:p w14:paraId="1CEBE188" w14:textId="77777777" w:rsidR="00F74E13" w:rsidRDefault="00F74E13">
      <w:pPr>
        <w:rPr>
          <w:rFonts w:ascii="Times New Roman" w:eastAsia="Calibri" w:hAnsi="Times New Roman" w:cs="Times New Roman"/>
          <w:noProof/>
        </w:rPr>
        <w:sectPr w:rsidR="00F74E13">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CEBE189" w14:textId="77777777" w:rsidR="00F74E13" w:rsidRDefault="009274FC">
      <w:pPr>
        <w:pStyle w:val="P68B1DB1-Normal72"/>
        <w:keepNext/>
        <w:spacing w:before="360" w:after="120" w:line="240" w:lineRule="auto"/>
        <w:jc w:val="both"/>
        <w:outlineLvl w:val="0"/>
        <w:rPr>
          <w:bCs/>
          <w:noProof/>
        </w:rPr>
      </w:pPr>
      <w:r>
        <w:rPr>
          <w:noProof/>
        </w:rPr>
        <w:t>M. COMPOSANT 13: REPowerEU</w:t>
      </w:r>
    </w:p>
    <w:p w14:paraId="1CEBE18A" w14:textId="77777777" w:rsidR="00F74E13" w:rsidRDefault="009274FC">
      <w:pPr>
        <w:pStyle w:val="P68B1DB1-Normal10"/>
        <w:spacing w:before="120" w:after="0" w:line="240" w:lineRule="auto"/>
        <w:ind w:left="426"/>
        <w:jc w:val="both"/>
        <w:rPr>
          <w:noProof/>
        </w:rPr>
      </w:pPr>
      <w:r>
        <w:rPr>
          <w:noProof/>
        </w:rPr>
        <w:t>L’objectif du volet REPowerEU du plan bulgare pour la reprise et la résilience est de réduire la dépendance à l’égard des combustibles fossiles et d’accélérer la transition écologique dans les secteurs clés de l’économie, tout en mettant l’accent sur le soutien aux groupes vulnérables.</w:t>
      </w:r>
    </w:p>
    <w:p w14:paraId="1CEBE18B" w14:textId="77777777" w:rsidR="00F74E13" w:rsidRDefault="009274FC">
      <w:pPr>
        <w:pStyle w:val="P68B1DB1-Normal10"/>
        <w:spacing w:before="120" w:after="0" w:line="240" w:lineRule="auto"/>
        <w:ind w:left="426"/>
        <w:jc w:val="both"/>
        <w:rPr>
          <w:noProof/>
        </w:rPr>
      </w:pPr>
      <w:r>
        <w:rPr>
          <w:noProof/>
        </w:rPr>
        <w:t xml:space="preserve">Ce volet comprend des réformes visant à établir un cadre de gouvernance pour lutter contre la précarité énergétique et à préparer la libéralisation du marché de détail de l’électricité, ainsi qu’à renforcer la transparence des procédures de raccordement au réseau et à améliorer le fonctionnement du marché de l’équilibrage de l’électricité, ainsi que des mesures permettant de répondre à la demande. Ces réformes sont complétées par des investissements dans un système national d’information pour les ménages en situation de précarité énergétique et les clients vulnérables, des infrastructures de stockage de l’électricité, des installations photovoltaïques et des véhicules électriques pour les installations de services sociaux. </w:t>
      </w:r>
    </w:p>
    <w:p w14:paraId="1CEBE18C" w14:textId="77777777" w:rsidR="00F74E13" w:rsidRDefault="009274FC">
      <w:pPr>
        <w:pStyle w:val="P68B1DB1-Normal73"/>
        <w:spacing w:before="120" w:after="120" w:line="240" w:lineRule="auto"/>
        <w:ind w:left="426"/>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1CEBE18E" w14:textId="77777777" w:rsidR="00F74E13" w:rsidRDefault="009274FC">
      <w:pPr>
        <w:pStyle w:val="P68B1DB1-Normal74"/>
        <w:spacing w:before="120" w:after="120" w:line="240" w:lineRule="auto"/>
        <w:ind w:left="425"/>
        <w:jc w:val="both"/>
        <w:rPr>
          <w:rFonts w:eastAsia="Times New Roman"/>
          <w:noProof/>
        </w:rPr>
      </w:pPr>
      <w:r>
        <w:rPr>
          <w:noProof/>
        </w:rPr>
        <w:t>M.1. Description des réformes et des investissements pour le soutien financier non remboursable</w:t>
      </w:r>
    </w:p>
    <w:p w14:paraId="1CEBE18F" w14:textId="77777777" w:rsidR="00F74E13" w:rsidRDefault="009274FC">
      <w:pPr>
        <w:pStyle w:val="P68B1DB1-Normal27"/>
        <w:spacing w:before="120" w:after="0" w:line="240" w:lineRule="auto"/>
        <w:ind w:left="425"/>
        <w:jc w:val="both"/>
        <w:rPr>
          <w:rFonts w:eastAsia="Times New Roman"/>
          <w:noProof/>
        </w:rPr>
      </w:pPr>
      <w:r>
        <w:rPr>
          <w:noProof/>
        </w:rPr>
        <w:t>Réforme 1 (C13.R1): Cadre de gouvernance pour la précarité énergétique et préparation de la libéralisation du marché de détail</w:t>
      </w:r>
    </w:p>
    <w:p w14:paraId="1CEBE190" w14:textId="77777777" w:rsidR="00F74E13" w:rsidRDefault="009274FC">
      <w:pPr>
        <w:pStyle w:val="P68B1DB1-Normal10"/>
        <w:spacing w:before="120" w:after="0" w:line="240" w:lineRule="auto"/>
        <w:ind w:left="425"/>
        <w:jc w:val="both"/>
        <w:rPr>
          <w:noProof/>
        </w:rPr>
      </w:pPr>
      <w:r>
        <w:rPr>
          <w:noProof/>
        </w:rPr>
        <w:t>L’objectif de cette réforme est de contribuer à lutter contre la précarité énergétique et à protéger les ménages en situation de précarité énergétique et les clients vulnérables, ainsi que de faciliter davantage la libéralisation du marché de détail.</w:t>
      </w:r>
    </w:p>
    <w:p w14:paraId="1CEBE191" w14:textId="77777777" w:rsidR="00F74E13" w:rsidRDefault="009274FC">
      <w:pPr>
        <w:pStyle w:val="P68B1DB1-Normal10"/>
        <w:spacing w:before="120" w:after="120" w:line="240" w:lineRule="auto"/>
        <w:ind w:left="425"/>
        <w:jc w:val="both"/>
        <w:rPr>
          <w:noProof/>
        </w:rPr>
      </w:pPr>
      <w:r>
        <w:rPr>
          <w:noProof/>
        </w:rPr>
        <w:t>La mesure consiste en un ou plusieurs actes juridiques liés à la précarité énergétique.</w:t>
      </w:r>
    </w:p>
    <w:p w14:paraId="1CEBE193" w14:textId="77777777" w:rsidR="00F74E13" w:rsidRDefault="009274FC">
      <w:pPr>
        <w:pStyle w:val="P68B1DB1-Normal27"/>
        <w:spacing w:before="120" w:after="0" w:line="240" w:lineRule="auto"/>
        <w:ind w:left="425"/>
        <w:jc w:val="both"/>
        <w:rPr>
          <w:rFonts w:eastAsia="Times New Roman"/>
          <w:noProof/>
        </w:rPr>
      </w:pPr>
      <w:r>
        <w:rPr>
          <w:noProof/>
        </w:rPr>
        <w:t>Réforme 2 (C13.R2): Transparence des procédures de raccordement pour les nouvelles capacités d’énergie renouvelable et de stockage</w:t>
      </w:r>
    </w:p>
    <w:p w14:paraId="1CEBE194" w14:textId="77777777" w:rsidR="00F74E13" w:rsidRDefault="009274FC">
      <w:pPr>
        <w:pStyle w:val="P68B1DB1-Normal10"/>
        <w:spacing w:before="120" w:after="0" w:line="240" w:lineRule="auto"/>
        <w:ind w:left="425"/>
        <w:jc w:val="both"/>
        <w:rPr>
          <w:noProof/>
        </w:rPr>
      </w:pPr>
      <w:r>
        <w:rPr>
          <w:noProof/>
        </w:rPr>
        <w:t xml:space="preserve">L’objectif de cette réforme est d’accroître la transparence des procédures de raccordement pour les nouvelles capacités renouvelables. </w:t>
      </w:r>
    </w:p>
    <w:p w14:paraId="1CEBE195" w14:textId="3F65FC8B" w:rsidR="00F74E13" w:rsidRDefault="009274FC">
      <w:pPr>
        <w:pStyle w:val="P68B1DB1-Normal10"/>
        <w:spacing w:before="120" w:after="0" w:line="240" w:lineRule="auto"/>
        <w:ind w:left="425"/>
        <w:jc w:val="both"/>
        <w:rPr>
          <w:noProof/>
        </w:rPr>
      </w:pPr>
      <w:r>
        <w:rPr>
          <w:noProof/>
        </w:rPr>
        <w:t>La mesure consiste à rendre accessible une carte de capacité d’hébergement de réseau en ligne.</w:t>
      </w:r>
    </w:p>
    <w:p w14:paraId="1CEBE197" w14:textId="77777777" w:rsidR="00F74E13" w:rsidRDefault="009274FC">
      <w:pPr>
        <w:pStyle w:val="P68B1DB1-Normal27"/>
        <w:spacing w:before="240" w:after="120" w:line="240" w:lineRule="auto"/>
        <w:ind w:left="425"/>
        <w:jc w:val="both"/>
        <w:rPr>
          <w:noProof/>
        </w:rPr>
      </w:pPr>
      <w:r>
        <w:rPr>
          <w:noProof/>
        </w:rPr>
        <w:t>Réforme 3 (C13.R3): Fonctionnement du marché d'équilibrage et réponse de la demande</w:t>
      </w:r>
    </w:p>
    <w:p w14:paraId="1CEBE198" w14:textId="77777777" w:rsidR="00F74E13" w:rsidRDefault="009274FC">
      <w:pPr>
        <w:pStyle w:val="P68B1DB1-Normal51"/>
        <w:spacing w:after="120" w:line="240" w:lineRule="auto"/>
        <w:ind w:left="425"/>
        <w:jc w:val="both"/>
        <w:rPr>
          <w:noProof/>
        </w:rPr>
      </w:pPr>
      <w:r>
        <w:rPr>
          <w:noProof/>
        </w:rPr>
        <w:t xml:space="preserve">L'objectif de cette réforme est de soutenir le fonctionnement du marché d'équilibrage en Bulgarie. </w:t>
      </w:r>
    </w:p>
    <w:p w14:paraId="1CEBE199" w14:textId="69D379D8" w:rsidR="00F74E13" w:rsidRDefault="009274FC">
      <w:pPr>
        <w:pStyle w:val="P68B1DB1-Normal51"/>
        <w:spacing w:line="257" w:lineRule="auto"/>
        <w:ind w:left="426"/>
        <w:jc w:val="both"/>
        <w:rPr>
          <w:noProof/>
        </w:rPr>
      </w:pPr>
      <w:r>
        <w:rPr>
          <w:noProof/>
        </w:rPr>
        <w:t>La mesure consiste en l’adhésion du gestionnaire de réseau de transport ESO EAD à la plateforme pour la coordination internationale de la restauration automatisée des fréquences et de l’exploitation du système stable (PICASSO) et la publication d’un rapport par la commission de régulation de l’énergie et de l’eau.</w:t>
      </w:r>
    </w:p>
    <w:p w14:paraId="1CEBE19B" w14:textId="77777777" w:rsidR="00F74E13" w:rsidRDefault="009274FC">
      <w:pPr>
        <w:pStyle w:val="P68B1DB1-Normal27"/>
        <w:spacing w:before="120" w:after="120" w:line="240" w:lineRule="auto"/>
        <w:ind w:left="426"/>
        <w:jc w:val="both"/>
        <w:rPr>
          <w:rFonts w:eastAsia="Times New Roman"/>
          <w:noProof/>
          <w:color w:val="006100"/>
          <w:sz w:val="22"/>
          <w:szCs w:val="22"/>
        </w:rPr>
      </w:pPr>
      <w:r>
        <w:rPr>
          <w:noProof/>
        </w:rPr>
        <w:t xml:space="preserve">Investissement 1 (C13.I1): Système d'information sur les ménages en situation de précarité énergétique et les clients vulnérables </w:t>
      </w:r>
    </w:p>
    <w:p w14:paraId="1CEBE19C" w14:textId="7868DC2C" w:rsidR="00F74E13" w:rsidRDefault="009274FC">
      <w:pPr>
        <w:pStyle w:val="P68B1DB1-Normal10"/>
        <w:spacing w:before="120" w:after="0" w:line="240" w:lineRule="auto"/>
        <w:ind w:left="425"/>
        <w:jc w:val="both"/>
        <w:rPr>
          <w:noProof/>
        </w:rPr>
      </w:pPr>
      <w:r>
        <w:rPr>
          <w:noProof/>
        </w:rPr>
        <w:t>L'objectif de cet investissement est de faciliter l'identification des ménages en situation de précarité énergétique et des clients vulnérables.</w:t>
      </w:r>
    </w:p>
    <w:p w14:paraId="1CEBE19D" w14:textId="517FC41D" w:rsidR="00F74E13" w:rsidRDefault="009274FC">
      <w:pPr>
        <w:pStyle w:val="P68B1DB1-Normal10"/>
        <w:spacing w:before="120" w:after="120" w:line="240" w:lineRule="auto"/>
        <w:ind w:left="426"/>
        <w:jc w:val="both"/>
        <w:rPr>
          <w:noProof/>
        </w:rPr>
      </w:pPr>
      <w:r>
        <w:rPr>
          <w:noProof/>
        </w:rPr>
        <w:t>L'investissement consiste en un système d'information sur les ménages en situation de précarité énergétique et les clients vulnérables.</w:t>
      </w:r>
    </w:p>
    <w:p w14:paraId="1CEBE19E" w14:textId="77777777" w:rsidR="00F74E13" w:rsidRDefault="00F74E13">
      <w:pPr>
        <w:spacing w:before="120" w:after="120" w:line="240" w:lineRule="auto"/>
        <w:ind w:left="426"/>
        <w:jc w:val="both"/>
        <w:rPr>
          <w:rFonts w:ascii="Times New Roman" w:hAnsi="Times New Roman"/>
          <w:noProof/>
        </w:rPr>
      </w:pPr>
    </w:p>
    <w:p w14:paraId="1CEBE19F" w14:textId="77777777" w:rsidR="00F74E13" w:rsidRDefault="009274FC">
      <w:pPr>
        <w:pStyle w:val="P68B1DB1-Normal9"/>
        <w:spacing w:before="120" w:after="0" w:line="240" w:lineRule="auto"/>
        <w:ind w:left="425"/>
        <w:jc w:val="both"/>
        <w:rPr>
          <w:rFonts w:eastAsia="Calibri" w:cs="Times New Roman"/>
          <w:noProof/>
        </w:rPr>
      </w:pPr>
      <w:r>
        <w:rPr>
          <w:noProof/>
        </w:rPr>
        <w:t>Investissement 2 (C13.I2): Mesure à plus grande échelle: Infrastructure nationale de stockage de l'électricité (RESTORE)</w:t>
      </w:r>
    </w:p>
    <w:p w14:paraId="1CEBE1A0" w14:textId="01477E73" w:rsidR="00F74E13" w:rsidRDefault="009274FC">
      <w:pPr>
        <w:pStyle w:val="P68B1DB1-Normal10"/>
        <w:spacing w:before="120" w:after="0" w:line="240" w:lineRule="auto"/>
        <w:ind w:left="425"/>
        <w:jc w:val="both"/>
        <w:rPr>
          <w:noProof/>
        </w:rPr>
      </w:pPr>
      <w:r>
        <w:rPr>
          <w:noProof/>
        </w:rPr>
        <w:t>L’objectif de cet investissement est de soutenir les installations de stockage d’électricité et de renforcer l’investissement existant 8 du volet 4.</w:t>
      </w:r>
    </w:p>
    <w:p w14:paraId="1CEBE1A1" w14:textId="2ECAC12B" w:rsidR="00F74E13" w:rsidRDefault="009274FC">
      <w:pPr>
        <w:pStyle w:val="P68B1DB1-Normal10"/>
        <w:spacing w:before="120" w:after="120" w:line="240" w:lineRule="auto"/>
        <w:ind w:left="426"/>
        <w:jc w:val="both"/>
        <w:rPr>
          <w:b/>
          <w:noProof/>
          <w:u w:val="single"/>
        </w:rPr>
      </w:pPr>
      <w:r>
        <w:rPr>
          <w:noProof/>
        </w:rPr>
        <w:t>L'investissement consiste en l'installation d'installations de stockage d'électricité.</w:t>
      </w:r>
    </w:p>
    <w:p w14:paraId="1CEBE1A2" w14:textId="70F64907" w:rsidR="00F74E13" w:rsidRDefault="009274FC">
      <w:pPr>
        <w:pStyle w:val="P68B1DB1-whitespace-pre-wrap75"/>
        <w:spacing w:before="120" w:beforeAutospacing="0" w:after="0" w:afterAutospacing="0"/>
        <w:ind w:left="425"/>
        <w:jc w:val="both"/>
        <w:rPr>
          <w:noProof/>
        </w:rPr>
      </w:pPr>
      <w:r>
        <w:rPr>
          <w:noProof/>
        </w:rPr>
        <w:t>Investissement 3 (C13.I3): Installation de systèmes photovoltaïques et fourniture de véhicules électriques</w:t>
      </w:r>
    </w:p>
    <w:p w14:paraId="1CEBE1A3" w14:textId="335C9186" w:rsidR="00F74E13" w:rsidRDefault="009274FC">
      <w:pPr>
        <w:pStyle w:val="P68B1DB1-whitespace-pre-wrap76"/>
        <w:spacing w:before="120" w:beforeAutospacing="0" w:after="0" w:afterAutospacing="0"/>
        <w:ind w:left="425"/>
        <w:jc w:val="both"/>
        <w:rPr>
          <w:noProof/>
        </w:rPr>
      </w:pPr>
      <w:r>
        <w:rPr>
          <w:noProof/>
        </w:rPr>
        <w:t>L’objectif de cet investissement est de soutenir les installations d’énergie renouvelable et les véhicules électriques destinés à être utilisés par les installations de services sociaux.</w:t>
      </w:r>
    </w:p>
    <w:p w14:paraId="1CEBE1A4" w14:textId="33615BB9" w:rsidR="00F74E13" w:rsidRDefault="009274FC">
      <w:pPr>
        <w:pStyle w:val="P68B1DB1-whitespace-pre-wrap76"/>
        <w:spacing w:before="120" w:after="120"/>
        <w:ind w:left="426"/>
        <w:jc w:val="both"/>
        <w:rPr>
          <w:noProof/>
          <w:color w:val="000000"/>
        </w:rPr>
      </w:pPr>
      <w:r>
        <w:rPr>
          <w:noProof/>
        </w:rPr>
        <w:t>La mesure consiste en i) l’installation de systèmes photovoltaïques dans les installations de services sociaux; et ii) la livraison de véhicules électriques.</w:t>
      </w:r>
    </w:p>
    <w:p w14:paraId="1CEBE1A5" w14:textId="3908AA07" w:rsidR="00F74E13" w:rsidRDefault="009274FC">
      <w:pPr>
        <w:pStyle w:val="P68B1DB1-Normal9"/>
        <w:spacing w:before="120" w:after="120" w:line="240" w:lineRule="auto"/>
        <w:ind w:left="426"/>
        <w:jc w:val="both"/>
        <w:rPr>
          <w:noProof/>
        </w:rPr>
      </w:pPr>
      <w:r>
        <w:rPr>
          <w:noProof/>
        </w:rPr>
        <w:t>Investissement 4 (C13.I4): Soutien aux capacités de production d'électricité à partir de sources renouvelables et de stockage de l'électricité</w:t>
      </w:r>
    </w:p>
    <w:p w14:paraId="1CEBE1A6" w14:textId="77777777" w:rsidR="00F74E13" w:rsidRDefault="009274FC">
      <w:pPr>
        <w:pStyle w:val="P68B1DB1-Normal6"/>
        <w:spacing w:before="120" w:after="0" w:line="240" w:lineRule="auto"/>
        <w:ind w:left="425"/>
        <w:jc w:val="both"/>
        <w:rPr>
          <w:noProof/>
        </w:rPr>
      </w:pPr>
      <w:r>
        <w:rPr>
          <w:noProof/>
        </w:rPr>
        <w:t>L’objectif de l’investissement est d’accroître la part de l’énergie propre dans le bouquet énergétique de la Bulgarie.</w:t>
      </w:r>
    </w:p>
    <w:p w14:paraId="1CEBE1A7" w14:textId="1C6F9A43" w:rsidR="00F74E13" w:rsidRDefault="009274FC">
      <w:pPr>
        <w:pStyle w:val="P68B1DB1-Normal6"/>
        <w:spacing w:before="120" w:after="120" w:line="240" w:lineRule="auto"/>
        <w:ind w:left="426"/>
        <w:jc w:val="both"/>
        <w:rPr>
          <w:noProof/>
        </w:rPr>
      </w:pPr>
      <w:r>
        <w:rPr>
          <w:noProof/>
        </w:rPr>
        <w:t>La mesure consiste à soutenir l’installation et le raccordement au réseau de stockage d’électricité colocalisé avec la capacité d’électricité produite à partir de sources renouvelables.</w:t>
      </w:r>
    </w:p>
    <w:p w14:paraId="1CEBE1A8" w14:textId="77777777" w:rsidR="00F74E13" w:rsidRDefault="009274FC">
      <w:pPr>
        <w:pStyle w:val="P68B1DB1-Normal77"/>
        <w:spacing w:before="120" w:after="120" w:line="240" w:lineRule="auto"/>
        <w:jc w:val="both"/>
        <w:rPr>
          <w:noProof/>
        </w:rPr>
      </w:pPr>
      <w:r>
        <w:rPr>
          <w:noProof/>
        </w:rPr>
        <w:br w:type="page"/>
      </w:r>
    </w:p>
    <w:p w14:paraId="1CEBE1A9" w14:textId="77777777" w:rsidR="00F74E13" w:rsidRDefault="00F74E13">
      <w:pPr>
        <w:spacing w:before="120" w:after="120" w:line="240" w:lineRule="auto"/>
        <w:jc w:val="both"/>
        <w:rPr>
          <w:rFonts w:ascii="Times New Roman" w:eastAsia="Times New Roman" w:hAnsi="Times New Roman" w:cs="Times New Roman"/>
          <w:noProof/>
          <w:color w:val="000000"/>
          <w:szCs w:val="22"/>
          <w:u w:val="single"/>
        </w:rPr>
        <w:sectPr w:rsidR="00F74E13">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1CEBE1AA" w14:textId="77777777" w:rsidR="00F74E13" w:rsidRDefault="009274FC">
      <w:pPr>
        <w:pStyle w:val="P68B1DB1-Normal74"/>
        <w:spacing w:before="120" w:after="120" w:line="240" w:lineRule="auto"/>
        <w:jc w:val="center"/>
        <w:rPr>
          <w:rFonts w:eastAsia="Times New Roman"/>
          <w:noProof/>
        </w:rPr>
      </w:pPr>
      <w:r>
        <w:rPr>
          <w:noProof/>
        </w:rPr>
        <w:t>M.2. Étapes, cibles, indicateurs et calendrier pour le suivi et la mise en œuvre du soutien financier non remboursable</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276"/>
        <w:gridCol w:w="1418"/>
        <w:gridCol w:w="1559"/>
        <w:gridCol w:w="1417"/>
        <w:gridCol w:w="1134"/>
        <w:gridCol w:w="993"/>
        <w:gridCol w:w="1134"/>
        <w:gridCol w:w="1134"/>
        <w:gridCol w:w="3543"/>
      </w:tblGrid>
      <w:tr w:rsidR="00F74E13" w14:paraId="1CEBE1B3" w14:textId="77777777" w:rsidTr="00864432">
        <w:trPr>
          <w:trHeight w:val="74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B" w14:textId="77777777" w:rsidR="00F74E13" w:rsidRDefault="009274FC">
            <w:pPr>
              <w:pStyle w:val="P68B1DB1-Normal78"/>
              <w:spacing w:after="0" w:line="240" w:lineRule="auto"/>
              <w:jc w:val="center"/>
              <w:rPr>
                <w:rFonts w:eastAsia="Times New Roman"/>
                <w:noProof/>
              </w:rPr>
            </w:pPr>
            <w:r>
              <w:rPr>
                <w:noProof/>
              </w:rPr>
              <w:t>Seq Nr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C" w14:textId="77777777" w:rsidR="00F74E13" w:rsidRDefault="009274FC">
            <w:pPr>
              <w:pStyle w:val="P68B1DB1-Normal78"/>
              <w:spacing w:after="0" w:line="240" w:lineRule="auto"/>
              <w:jc w:val="center"/>
              <w:rPr>
                <w:rFonts w:eastAsia="Times New Roman"/>
                <w:noProof/>
              </w:rPr>
            </w:pPr>
            <w:r>
              <w:rPr>
                <w:noProof/>
              </w:rPr>
              <w:t>Mesure connexe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D" w14:textId="77777777" w:rsidR="00F74E13" w:rsidRDefault="009274FC">
            <w:pPr>
              <w:pStyle w:val="P68B1DB1-Normal78"/>
              <w:spacing w:after="0" w:line="240" w:lineRule="auto"/>
              <w:jc w:val="center"/>
              <w:rPr>
                <w:rFonts w:eastAsia="Times New Roman"/>
                <w:noProof/>
              </w:rPr>
            </w:pPr>
            <w:r>
              <w:rPr>
                <w:noProof/>
              </w:rPr>
              <w:t>Étape/cible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E" w14:textId="77777777" w:rsidR="00F74E13" w:rsidRDefault="009274FC">
            <w:pPr>
              <w:pStyle w:val="P68B1DB1-Normal78"/>
              <w:spacing w:after="0" w:line="240" w:lineRule="auto"/>
              <w:jc w:val="center"/>
              <w:rPr>
                <w:rFonts w:eastAsia="Times New Roman"/>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F" w14:textId="77777777" w:rsidR="00F74E13" w:rsidRDefault="009274FC">
            <w:pPr>
              <w:pStyle w:val="P68B1DB1-Normal78"/>
              <w:spacing w:after="0" w:line="240" w:lineRule="auto"/>
              <w:jc w:val="center"/>
              <w:rPr>
                <w:rFonts w:eastAsia="Times New Roman"/>
                <w:noProof/>
              </w:rPr>
            </w:pPr>
            <w:r>
              <w:rPr>
                <w:noProof/>
              </w:rPr>
              <w:t>Indicateurs qualitatifs (pour les jalons)</w:t>
            </w:r>
          </w:p>
        </w:tc>
        <w:tc>
          <w:tcPr>
            <w:tcW w:w="354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0" w14:textId="77777777" w:rsidR="00F74E13" w:rsidRDefault="009274FC">
            <w:pPr>
              <w:pStyle w:val="P68B1DB1-Normal78"/>
              <w:spacing w:after="0" w:line="240" w:lineRule="auto"/>
              <w:jc w:val="center"/>
              <w:rPr>
                <w:rFonts w:eastAsia="Times New Roman"/>
                <w:noProof/>
              </w:rPr>
            </w:pPr>
            <w:r>
              <w:rPr>
                <w:noProof/>
              </w:rPr>
              <w:t>Indicateurs quantitatifs (pour les objectifs)</w:t>
            </w:r>
          </w:p>
        </w:tc>
        <w:tc>
          <w:tcPr>
            <w:tcW w:w="22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1" w14:textId="77777777" w:rsidR="00F74E13" w:rsidRDefault="009274FC">
            <w:pPr>
              <w:pStyle w:val="P68B1DB1-Normal78"/>
              <w:spacing w:after="0" w:line="240" w:lineRule="auto"/>
              <w:jc w:val="center"/>
              <w:rPr>
                <w:rFonts w:eastAsia="Times New Roman"/>
                <w:noProof/>
              </w:rPr>
            </w:pPr>
            <w:r>
              <w:rPr>
                <w:noProof/>
              </w:rPr>
              <w:t>Calendrier indicatif d'achèvement</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2" w14:textId="77777777" w:rsidR="00F74E13" w:rsidRDefault="009274FC">
            <w:pPr>
              <w:pStyle w:val="P68B1DB1-Normal78"/>
              <w:spacing w:after="0" w:line="240" w:lineRule="auto"/>
              <w:jc w:val="center"/>
              <w:rPr>
                <w:rFonts w:eastAsia="Times New Roman"/>
                <w:noProof/>
              </w:rPr>
            </w:pPr>
            <w:r>
              <w:rPr>
                <w:noProof/>
              </w:rPr>
              <w:t>Description de chaque jalon et cible</w:t>
            </w:r>
          </w:p>
        </w:tc>
      </w:tr>
      <w:tr w:rsidR="00F74E13" w14:paraId="1CEBE1BF" w14:textId="77777777" w:rsidTr="00864432">
        <w:trPr>
          <w:trHeight w:val="751"/>
          <w:tblHeader/>
          <w:jc w:val="center"/>
        </w:trPr>
        <w:tc>
          <w:tcPr>
            <w:tcW w:w="704" w:type="dxa"/>
            <w:vMerge/>
            <w:vAlign w:val="center"/>
            <w:hideMark/>
          </w:tcPr>
          <w:p w14:paraId="1CEBE1B4" w14:textId="77777777" w:rsidR="00F74E13" w:rsidRDefault="00F74E13">
            <w:pPr>
              <w:spacing w:after="0" w:line="240" w:lineRule="auto"/>
              <w:jc w:val="center"/>
              <w:rPr>
                <w:rFonts w:ascii="Times New Roman" w:eastAsia="Times New Roman" w:hAnsi="Times New Roman" w:cs="Times New Roman"/>
                <w:b/>
                <w:noProof/>
                <w:sz w:val="20"/>
                <w:szCs w:val="20"/>
              </w:rPr>
            </w:pPr>
          </w:p>
        </w:tc>
        <w:tc>
          <w:tcPr>
            <w:tcW w:w="1559" w:type="dxa"/>
            <w:vMerge/>
            <w:vAlign w:val="center"/>
            <w:hideMark/>
          </w:tcPr>
          <w:p w14:paraId="1CEBE1B5" w14:textId="77777777" w:rsidR="00F74E13" w:rsidRDefault="00F74E13">
            <w:pPr>
              <w:spacing w:after="0" w:line="240" w:lineRule="auto"/>
              <w:rPr>
                <w:rFonts w:ascii="Times New Roman" w:eastAsia="Times New Roman" w:hAnsi="Times New Roman" w:cs="Times New Roman"/>
                <w:b/>
                <w:noProof/>
                <w:sz w:val="20"/>
                <w:szCs w:val="20"/>
              </w:rPr>
            </w:pPr>
          </w:p>
        </w:tc>
        <w:tc>
          <w:tcPr>
            <w:tcW w:w="1276" w:type="dxa"/>
            <w:vMerge/>
            <w:vAlign w:val="center"/>
            <w:hideMark/>
          </w:tcPr>
          <w:p w14:paraId="1CEBE1B6" w14:textId="77777777" w:rsidR="00F74E13" w:rsidRDefault="00F74E13">
            <w:pPr>
              <w:spacing w:after="0" w:line="240" w:lineRule="auto"/>
              <w:jc w:val="center"/>
              <w:rPr>
                <w:rFonts w:ascii="Times New Roman" w:eastAsia="Times New Roman" w:hAnsi="Times New Roman" w:cs="Times New Roman"/>
                <w:b/>
                <w:noProof/>
                <w:sz w:val="20"/>
                <w:szCs w:val="20"/>
              </w:rPr>
            </w:pPr>
          </w:p>
        </w:tc>
        <w:tc>
          <w:tcPr>
            <w:tcW w:w="1418" w:type="dxa"/>
            <w:vMerge/>
            <w:vAlign w:val="center"/>
            <w:hideMark/>
          </w:tcPr>
          <w:p w14:paraId="1CEBE1B7" w14:textId="77777777" w:rsidR="00F74E13" w:rsidRDefault="00F74E13">
            <w:pPr>
              <w:spacing w:after="0" w:line="240" w:lineRule="auto"/>
              <w:rPr>
                <w:rFonts w:ascii="Times New Roman" w:eastAsia="Times New Roman" w:hAnsi="Times New Roman" w:cs="Times New Roman"/>
                <w:b/>
                <w:noProof/>
                <w:sz w:val="20"/>
                <w:szCs w:val="20"/>
              </w:rPr>
            </w:pPr>
          </w:p>
        </w:tc>
        <w:tc>
          <w:tcPr>
            <w:tcW w:w="1559" w:type="dxa"/>
            <w:vMerge/>
            <w:vAlign w:val="center"/>
            <w:hideMark/>
          </w:tcPr>
          <w:p w14:paraId="1CEBE1B8" w14:textId="77777777" w:rsidR="00F74E13" w:rsidRDefault="00F74E13">
            <w:pPr>
              <w:spacing w:after="0" w:line="240" w:lineRule="auto"/>
              <w:rPr>
                <w:rFonts w:ascii="Times New Roman" w:eastAsia="Times New Roman" w:hAnsi="Times New Roman" w:cs="Times New Roman"/>
                <w:b/>
                <w:noProof/>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9" w14:textId="77777777" w:rsidR="00F74E13" w:rsidRDefault="009274FC">
            <w:pPr>
              <w:pStyle w:val="P68B1DB1-Normal78"/>
              <w:spacing w:after="0" w:line="240" w:lineRule="auto"/>
              <w:jc w:val="center"/>
              <w:rPr>
                <w:rFonts w:eastAsia="Times New Roman"/>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A" w14:textId="77777777" w:rsidR="00F74E13" w:rsidRDefault="009274FC">
            <w:pPr>
              <w:pStyle w:val="P68B1DB1-Normal78"/>
              <w:spacing w:after="0" w:line="240" w:lineRule="auto"/>
              <w:jc w:val="center"/>
              <w:rPr>
                <w:rFonts w:eastAsia="Times New Roman"/>
                <w:noProof/>
              </w:rPr>
            </w:pPr>
            <w:r>
              <w:rPr>
                <w:noProof/>
              </w:rPr>
              <w:t>Données de référence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B" w14:textId="77777777" w:rsidR="00F74E13" w:rsidRDefault="009274FC">
            <w:pPr>
              <w:pStyle w:val="P68B1DB1-Normal78"/>
              <w:spacing w:after="0" w:line="240" w:lineRule="auto"/>
              <w:jc w:val="center"/>
              <w:rPr>
                <w:rFonts w:eastAsia="Times New Roman"/>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C" w14:textId="77777777" w:rsidR="00F74E13" w:rsidRDefault="009274FC">
            <w:pPr>
              <w:pStyle w:val="P68B1DB1-Normal78"/>
              <w:spacing w:after="0" w:line="240" w:lineRule="auto"/>
              <w:jc w:val="center"/>
              <w:rPr>
                <w:rFonts w:eastAsia="Times New Roman"/>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D" w14:textId="77777777" w:rsidR="00F74E13" w:rsidRDefault="009274FC">
            <w:pPr>
              <w:pStyle w:val="P68B1DB1-Normal78"/>
              <w:spacing w:after="0" w:line="240" w:lineRule="auto"/>
              <w:jc w:val="center"/>
              <w:rPr>
                <w:rFonts w:eastAsia="Times New Roman"/>
                <w:noProof/>
              </w:rPr>
            </w:pPr>
            <w:r>
              <w:rPr>
                <w:noProof/>
              </w:rPr>
              <w:t>Année</w:t>
            </w:r>
          </w:p>
        </w:tc>
        <w:tc>
          <w:tcPr>
            <w:tcW w:w="3543" w:type="dxa"/>
            <w:vMerge/>
            <w:vAlign w:val="center"/>
            <w:hideMark/>
          </w:tcPr>
          <w:p w14:paraId="1CEBE1BE" w14:textId="77777777" w:rsidR="00F74E13" w:rsidRDefault="00F74E13">
            <w:pPr>
              <w:spacing w:after="0" w:line="240" w:lineRule="auto"/>
              <w:jc w:val="both"/>
              <w:rPr>
                <w:rFonts w:ascii="Times New Roman" w:eastAsia="Times New Roman" w:hAnsi="Times New Roman" w:cs="Times New Roman"/>
                <w:b/>
                <w:noProof/>
                <w:sz w:val="20"/>
                <w:szCs w:val="20"/>
              </w:rPr>
            </w:pPr>
          </w:p>
        </w:tc>
      </w:tr>
      <w:tr w:rsidR="00F74E13" w14:paraId="1CEBE1CD"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C0" w14:textId="77777777" w:rsidR="00F74E13" w:rsidRDefault="009274FC">
            <w:pPr>
              <w:pStyle w:val="P68B1DB1-Normal35"/>
              <w:spacing w:after="0" w:line="240" w:lineRule="auto"/>
              <w:jc w:val="center"/>
              <w:rPr>
                <w:noProof/>
              </w:rPr>
            </w:pPr>
            <w:r>
              <w:rPr>
                <w:noProof/>
              </w:rPr>
              <w:t>347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1" w14:textId="77777777" w:rsidR="00F74E13" w:rsidRDefault="009274FC">
            <w:pPr>
              <w:pStyle w:val="P68B1DB1-Normal35"/>
              <w:spacing w:after="0" w:line="240" w:lineRule="auto"/>
              <w:rPr>
                <w:noProof/>
              </w:rPr>
            </w:pPr>
            <w:r>
              <w:rPr>
                <w:noProof/>
              </w:rPr>
              <w:t>C13.R1 : Cadre de gouvernance pour la précarité énergétique et préparation de la libéralisation du marché de détail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C2" w14:textId="77777777" w:rsidR="00F74E13" w:rsidRDefault="009274FC">
            <w:pPr>
              <w:pStyle w:val="P68B1DB1-Normal79"/>
              <w:spacing w:after="0" w:line="240" w:lineRule="auto"/>
              <w:jc w:val="center"/>
              <w:rPr>
                <w:rFonts w:eastAsia="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1C3" w14:textId="77777777" w:rsidR="00F74E13" w:rsidRDefault="009274FC">
            <w:pPr>
              <w:pStyle w:val="P68B1DB1-Normal35"/>
              <w:spacing w:after="0" w:line="240" w:lineRule="auto"/>
              <w:rPr>
                <w:noProof/>
              </w:rPr>
            </w:pPr>
            <w:r>
              <w:rPr>
                <w:noProof/>
              </w:rPr>
              <w:t>Acte(s) juridique(s) désignant et instituant un ou plusieurs organismes responsables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4" w14:textId="77777777" w:rsidR="00F74E13" w:rsidRDefault="009274FC">
            <w:pPr>
              <w:pStyle w:val="P68B1DB1-Normal35"/>
              <w:spacing w:after="0" w:line="240" w:lineRule="auto"/>
              <w:rPr>
                <w:noProof/>
              </w:rPr>
            </w:pPr>
            <w:r>
              <w:rPr>
                <w:noProof/>
              </w:rPr>
              <w:t>Adoption d’un ou de plusieurs actes juridiques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C5"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6"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1C7"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8"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9" w14:textId="77777777" w:rsidR="00F74E13" w:rsidRDefault="009274FC">
            <w:pPr>
              <w:pStyle w:val="P68B1DB1-Normal35"/>
              <w:spacing w:after="0" w:line="240" w:lineRule="auto"/>
              <w:jc w:val="center"/>
              <w:rPr>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4A461A67" w14:textId="77777777" w:rsidR="00F74E13" w:rsidRDefault="009274FC">
            <w:pPr>
              <w:pStyle w:val="P68B1DB1-Normal35"/>
              <w:spacing w:after="0" w:line="240" w:lineRule="auto"/>
              <w:jc w:val="both"/>
              <w:rPr>
                <w:noProof/>
              </w:rPr>
            </w:pPr>
            <w:r>
              <w:rPr>
                <w:noProof/>
              </w:rPr>
              <w:t xml:space="preserve">Acte(s) juridique(s) </w:t>
            </w:r>
          </w:p>
          <w:p w14:paraId="3E3AF225" w14:textId="77777777" w:rsidR="00F74E13" w:rsidRDefault="009274FC">
            <w:pPr>
              <w:pStyle w:val="P68B1DB1-ListParagraph20"/>
              <w:numPr>
                <w:ilvl w:val="0"/>
                <w:numId w:val="75"/>
              </w:numPr>
              <w:spacing w:after="0" w:line="240" w:lineRule="auto"/>
              <w:ind w:left="453"/>
              <w:jc w:val="both"/>
              <w:rPr>
                <w:noProof/>
              </w:rPr>
            </w:pPr>
            <w:r>
              <w:rPr>
                <w:noProof/>
              </w:rPr>
              <w:t>désigner un organisme responsable de la maintenance d’un système d’information sur les ménages en situation de précarité énergétique et les clients vulnérables sur le plan énergétique;</w:t>
            </w:r>
          </w:p>
          <w:p w14:paraId="1CEBE1CC" w14:textId="12861E09" w:rsidR="00F74E13" w:rsidRDefault="009274FC">
            <w:pPr>
              <w:pStyle w:val="P68B1DB1-ListParagraph20"/>
              <w:numPr>
                <w:ilvl w:val="0"/>
                <w:numId w:val="75"/>
              </w:numPr>
              <w:spacing w:after="0" w:line="240" w:lineRule="auto"/>
              <w:ind w:left="453"/>
              <w:jc w:val="both"/>
              <w:rPr>
                <w:noProof/>
              </w:rPr>
            </w:pPr>
            <w:r>
              <w:rPr>
                <w:noProof/>
              </w:rPr>
              <w:t>mettre en place un organisme chargé de concevoir des mesures de lutte contre la précarité énergétique en vue d’une libéralisation du marché de détail de l’électricité. Le ou les actes juridiques précisent que l’organisme responsable élabore un programme de réduction de la précarité énergétique dans les six premiers mois de sa mise en place.</w:t>
            </w:r>
          </w:p>
        </w:tc>
      </w:tr>
      <w:tr w:rsidR="00F74E13" w14:paraId="1CEBE1DC"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CE" w14:textId="77777777" w:rsidR="00F74E13" w:rsidRDefault="009274FC">
            <w:pPr>
              <w:pStyle w:val="P68B1DB1-Normal35"/>
              <w:spacing w:after="0" w:line="240" w:lineRule="auto"/>
              <w:jc w:val="center"/>
              <w:rPr>
                <w:noProof/>
              </w:rPr>
            </w:pPr>
            <w:r>
              <w:rPr>
                <w:noProof/>
              </w:rPr>
              <w:t>348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F" w14:textId="77777777" w:rsidR="00F74E13" w:rsidRDefault="009274FC">
            <w:pPr>
              <w:pStyle w:val="P68B1DB1-Normal35"/>
              <w:spacing w:after="0" w:line="240" w:lineRule="auto"/>
              <w:rPr>
                <w:noProof/>
              </w:rPr>
            </w:pPr>
            <w:r>
              <w:rPr>
                <w:noProof/>
              </w:rPr>
              <w:t>C13.R1 : Cadre de gouvernance pour la précarité énergétique et préparation de la libéralisation du marché de détail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D0" w14:textId="77777777" w:rsidR="00F74E13" w:rsidRDefault="009274FC">
            <w:pPr>
              <w:pStyle w:val="P68B1DB1-Normal79"/>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1D1" w14:textId="77777777" w:rsidR="00F74E13" w:rsidRDefault="009274FC">
            <w:pPr>
              <w:pStyle w:val="P68B1DB1-Normal35"/>
              <w:spacing w:after="0" w:line="240" w:lineRule="auto"/>
              <w:rPr>
                <w:noProof/>
              </w:rPr>
            </w:pPr>
            <w:r>
              <w:rPr>
                <w:noProof/>
              </w:rPr>
              <w:t>Mesures préparatoires à la libéralisation du marché de détail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D2" w14:textId="77777777" w:rsidR="00F74E13" w:rsidRDefault="009274FC">
            <w:pPr>
              <w:pStyle w:val="P68B1DB1-Normal35"/>
              <w:spacing w:after="0" w:line="240" w:lineRule="auto"/>
              <w:rPr>
                <w:noProof/>
              </w:rPr>
            </w:pPr>
            <w:r>
              <w:rPr>
                <w:noProof/>
              </w:rPr>
              <w:t xml:space="preserve">Entrée en vigueur du ou des actes juridiques; l’adoption d’une décision de la commission de régulation de l’énergie et de l’eau; Approbation d'une stratégie de communication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D3"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4"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1D5"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6" w14:textId="77777777" w:rsidR="00F74E13" w:rsidRDefault="009274FC">
            <w:pPr>
              <w:pStyle w:val="P68B1DB1-Normal35"/>
              <w:spacing w:after="0" w:line="240" w:lineRule="auto"/>
              <w:jc w:val="center"/>
              <w:rPr>
                <w:noProof/>
              </w:rPr>
            </w:pPr>
            <w:r>
              <w:rPr>
                <w:noProof/>
              </w:rPr>
              <w:t>T4</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7" w14:textId="77777777" w:rsidR="00F74E13" w:rsidRDefault="009274FC">
            <w:pPr>
              <w:pStyle w:val="P68B1DB1-Normal35"/>
              <w:spacing w:after="0" w:line="240" w:lineRule="auto"/>
              <w:jc w:val="center"/>
              <w:rPr>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F983777" w14:textId="77777777" w:rsidR="00F74E13" w:rsidRDefault="009274FC">
            <w:pPr>
              <w:pStyle w:val="P68B1DB1-Normal35"/>
              <w:spacing w:line="240" w:lineRule="auto"/>
              <w:jc w:val="both"/>
              <w:rPr>
                <w:noProof/>
              </w:rPr>
            </w:pPr>
            <w:r>
              <w:rPr>
                <w:noProof/>
              </w:rPr>
              <w:t>Les mesures préparatoires suivantes sont prises:</w:t>
            </w:r>
          </w:p>
          <w:p w14:paraId="353AD33A" w14:textId="77777777" w:rsidR="00F74E13" w:rsidRDefault="009274FC">
            <w:pPr>
              <w:pStyle w:val="P68B1DB1-ListParagraph20"/>
              <w:numPr>
                <w:ilvl w:val="0"/>
                <w:numId w:val="97"/>
              </w:numPr>
              <w:spacing w:line="240" w:lineRule="auto"/>
              <w:ind w:left="453"/>
              <w:jc w:val="both"/>
              <w:rPr>
                <w:noProof/>
              </w:rPr>
            </w:pPr>
            <w:r>
              <w:rPr>
                <w:noProof/>
              </w:rPr>
              <w:t xml:space="preserve">Entrée en vigueur d’un ou de plusieurs actes juridiques qui prévoient la possibilité d’un mécanisme de compensation ciblé fondé sur le statut des ménages en situation de précarité énergétique et/ou en tant que clients vulnérables. </w:t>
            </w:r>
          </w:p>
          <w:p w14:paraId="1CEBE1DA" w14:textId="62997C1A" w:rsidR="00F74E13" w:rsidRDefault="009274FC">
            <w:pPr>
              <w:pStyle w:val="P68B1DB1-ListParagraph20"/>
              <w:numPr>
                <w:ilvl w:val="0"/>
                <w:numId w:val="97"/>
              </w:numPr>
              <w:spacing w:line="240" w:lineRule="auto"/>
              <w:ind w:left="453"/>
              <w:jc w:val="both"/>
              <w:rPr>
                <w:noProof/>
              </w:rPr>
            </w:pPr>
            <w:r>
              <w:rPr>
                <w:noProof/>
              </w:rPr>
              <w:t xml:space="preserve">Adoption d’une décision de la commission de régulation de l’énergie et de l’eau (EWRC) qui fixe une valeur de base pour l’électricité fournie aux ménages pour une période annuelle. </w:t>
            </w:r>
          </w:p>
          <w:p w14:paraId="1CEBE1DB" w14:textId="77777777" w:rsidR="00F74E13" w:rsidRDefault="009274FC">
            <w:pPr>
              <w:pStyle w:val="P68B1DB1-Normal35"/>
              <w:spacing w:after="0" w:line="240" w:lineRule="auto"/>
              <w:jc w:val="both"/>
              <w:rPr>
                <w:noProof/>
              </w:rPr>
            </w:pPr>
            <w:r>
              <w:rPr>
                <w:noProof/>
              </w:rPr>
              <w:t xml:space="preserve">En outre, l’organisme responsable de la conception des mesures de lutte contre la précarité énergétique élabore une stratégie de communication concernant la libéralisation du marché de détail de l’électricité, y compris sur les mesures visant à protéger les ménages en situation de précarité énergétique et les clients vulnérables, qui est approuvée. </w:t>
            </w:r>
          </w:p>
        </w:tc>
      </w:tr>
      <w:tr w:rsidR="00F74E13" w14:paraId="1CEBE1ED"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DD" w14:textId="10A937A0" w:rsidR="00F74E13" w:rsidRDefault="009274FC">
            <w:pPr>
              <w:pStyle w:val="P68B1DB1-Normal79"/>
              <w:spacing w:after="0" w:line="240" w:lineRule="auto"/>
              <w:jc w:val="center"/>
              <w:rPr>
                <w:noProof/>
              </w:rPr>
            </w:pPr>
            <w:r>
              <w:rPr>
                <w:noProof/>
              </w:rPr>
              <w:t>349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DE" w14:textId="77777777" w:rsidR="00F74E13" w:rsidRDefault="009274FC">
            <w:pPr>
              <w:pStyle w:val="P68B1DB1-Normal79"/>
              <w:spacing w:after="0" w:line="240" w:lineRule="auto"/>
              <w:rPr>
                <w:noProof/>
              </w:rPr>
            </w:pPr>
            <w:r>
              <w:rPr>
                <w:noProof/>
              </w:rPr>
              <w:t>C13.R2 : Transparence des procédures de raccordement pour les nouvelles capacités d’énergie renouvelable et de stockage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DF" w14:textId="77777777" w:rsidR="00F74E13" w:rsidRDefault="009274FC">
            <w:pPr>
              <w:pStyle w:val="P68B1DB1-Normal79"/>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1E0" w14:textId="77777777" w:rsidR="00F74E13" w:rsidRDefault="009274FC">
            <w:pPr>
              <w:pStyle w:val="P68B1DB1-Normal12"/>
              <w:spacing w:after="0" w:line="240" w:lineRule="auto"/>
              <w:rPr>
                <w:rFonts w:eastAsia="Times New Roman"/>
                <w:noProof/>
              </w:rPr>
            </w:pPr>
            <w:r>
              <w:rPr>
                <w:noProof/>
              </w:rPr>
              <w:t>Carte des capacités d’hébergement du réseau</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E1" w14:textId="290D52AC" w:rsidR="00F74E13" w:rsidRDefault="009274FC">
            <w:pPr>
              <w:pStyle w:val="P68B1DB1-Normal35"/>
              <w:spacing w:after="0" w:line="240" w:lineRule="auto"/>
              <w:rPr>
                <w:noProof/>
              </w:rPr>
            </w:pPr>
            <w:r>
              <w:rPr>
                <w:noProof/>
              </w:rPr>
              <w:t>Carte de capacité d'hébergement du réseau accessible en ligne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E2"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E3"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1E4"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E5"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E6" w14:textId="77777777" w:rsidR="00F74E13" w:rsidRDefault="009274FC">
            <w:pPr>
              <w:pStyle w:val="P68B1DB1-Normal35"/>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78449A84" w14:textId="7F295FC1" w:rsidR="00F74E13" w:rsidRDefault="009274FC">
            <w:pPr>
              <w:pStyle w:val="P68B1DB1-Normal35"/>
              <w:spacing w:after="0" w:line="240" w:lineRule="auto"/>
              <w:jc w:val="both"/>
              <w:rPr>
                <w:noProof/>
              </w:rPr>
            </w:pPr>
            <w:r>
              <w:rPr>
                <w:noProof/>
              </w:rPr>
              <w:t xml:space="preserve">La carte de capacité d’hébergement du réseau est accessible en ligne. </w:t>
            </w:r>
          </w:p>
          <w:p w14:paraId="1CEBE1E7" w14:textId="11B3D34B" w:rsidR="00F74E13" w:rsidRDefault="009274FC">
            <w:pPr>
              <w:pStyle w:val="P68B1DB1-Normal35"/>
              <w:spacing w:before="120" w:after="0" w:line="240" w:lineRule="auto"/>
              <w:jc w:val="both"/>
              <w:rPr>
                <w:noProof/>
              </w:rPr>
            </w:pPr>
            <w:r>
              <w:rPr>
                <w:noProof/>
              </w:rPr>
              <w:t>La carte de capacité d’hébergement du réseau contient des informations au niveau des sous-stations 400 kV et 220 kV sur:</w:t>
            </w:r>
          </w:p>
          <w:p w14:paraId="67FFF01B" w14:textId="7F56AF88" w:rsidR="00F74E13" w:rsidRDefault="009274FC">
            <w:pPr>
              <w:pStyle w:val="P68B1DB1-ListParagraph20"/>
              <w:numPr>
                <w:ilvl w:val="0"/>
                <w:numId w:val="76"/>
              </w:numPr>
              <w:spacing w:after="0" w:line="240" w:lineRule="auto"/>
              <w:ind w:left="328" w:hanging="283"/>
              <w:jc w:val="both"/>
              <w:rPr>
                <w:noProof/>
              </w:rPr>
            </w:pPr>
            <w:r>
              <w:rPr>
                <w:noProof/>
              </w:rPr>
              <w:t>la capacité totale de transport pour le raccordement;</w:t>
            </w:r>
          </w:p>
          <w:p w14:paraId="1A16CE5D" w14:textId="1EABDB69" w:rsidR="00F74E13" w:rsidRDefault="009274FC">
            <w:pPr>
              <w:pStyle w:val="P68B1DB1-ListParagraph20"/>
              <w:numPr>
                <w:ilvl w:val="0"/>
                <w:numId w:val="76"/>
              </w:numPr>
              <w:spacing w:after="0" w:line="240" w:lineRule="auto"/>
              <w:ind w:left="328" w:hanging="283"/>
              <w:jc w:val="both"/>
              <w:rPr>
                <w:noProof/>
              </w:rPr>
            </w:pPr>
            <w:r>
              <w:rPr>
                <w:noProof/>
              </w:rPr>
              <w:t>les capacités réservées dans le cadre des procédures de raccordement pour les installations de production, les installations de consommation et les installations de stockage d’électricité;</w:t>
            </w:r>
          </w:p>
          <w:p w14:paraId="3E7CF3C4" w14:textId="44DD7894" w:rsidR="00F74E13" w:rsidRDefault="009274FC">
            <w:pPr>
              <w:pStyle w:val="P68B1DB1-ListParagraph20"/>
              <w:numPr>
                <w:ilvl w:val="0"/>
                <w:numId w:val="76"/>
              </w:numPr>
              <w:spacing w:after="0" w:line="240" w:lineRule="auto"/>
              <w:ind w:left="328" w:hanging="283"/>
              <w:jc w:val="both"/>
              <w:rPr>
                <w:noProof/>
              </w:rPr>
            </w:pPr>
            <w:r>
              <w:rPr>
                <w:noProof/>
              </w:rPr>
              <w:t xml:space="preserve">capacité restante de raccordement; </w:t>
            </w:r>
          </w:p>
          <w:p w14:paraId="1CEBE1EA" w14:textId="170A788E" w:rsidR="00F74E13" w:rsidRDefault="009274FC">
            <w:pPr>
              <w:pStyle w:val="P68B1DB1-ListParagraph20"/>
              <w:numPr>
                <w:ilvl w:val="0"/>
                <w:numId w:val="76"/>
              </w:numPr>
              <w:spacing w:after="0" w:line="240" w:lineRule="auto"/>
              <w:ind w:left="328" w:hanging="283"/>
              <w:jc w:val="both"/>
              <w:rPr>
                <w:noProof/>
              </w:rPr>
            </w:pPr>
            <w:r>
              <w:rPr>
                <w:noProof/>
              </w:rPr>
              <w:t>les investissements prévus dans de nouvelles sous-stations pour les cinq prochaines années.</w:t>
            </w:r>
          </w:p>
          <w:p w14:paraId="1CEBE1EC" w14:textId="7D5C9E72" w:rsidR="00F74E13" w:rsidRDefault="009274FC">
            <w:pPr>
              <w:pStyle w:val="P68B1DB1-Normal35"/>
              <w:spacing w:before="120" w:after="0" w:line="240" w:lineRule="auto"/>
              <w:jc w:val="both"/>
              <w:rPr>
                <w:noProof/>
              </w:rPr>
            </w:pPr>
            <w:r>
              <w:rPr>
                <w:noProof/>
              </w:rPr>
              <w:t>La méthode utilisée pour déterminer la capacité de raccordement restante est mise à disposition en ligne et nécessite la mise à jour de la carte d’hébergement de la capacité du réseau au moins une fois par mois.</w:t>
            </w:r>
          </w:p>
        </w:tc>
      </w:tr>
      <w:tr w:rsidR="00F74E13" w14:paraId="1CEBE1F9"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EE" w14:textId="77777777" w:rsidR="00F74E13" w:rsidRDefault="009274FC">
            <w:pPr>
              <w:pStyle w:val="P68B1DB1-Normal79"/>
              <w:spacing w:after="0" w:line="240" w:lineRule="auto"/>
              <w:jc w:val="center"/>
              <w:rPr>
                <w:noProof/>
              </w:rPr>
            </w:pPr>
            <w:r>
              <w:rPr>
                <w:noProof/>
              </w:rPr>
              <w:t>350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EF" w14:textId="77777777" w:rsidR="00F74E13" w:rsidRDefault="009274FC">
            <w:pPr>
              <w:pStyle w:val="P68B1DB1-Normal79"/>
              <w:spacing w:after="0" w:line="240" w:lineRule="auto"/>
              <w:rPr>
                <w:noProof/>
              </w:rPr>
            </w:pPr>
            <w:r>
              <w:rPr>
                <w:noProof/>
              </w:rPr>
              <w:t>C13.R3 : Fonctionnement du marché d'équilibrage et réponse de la demande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F0" w14:textId="77777777" w:rsidR="00F74E13" w:rsidRDefault="009274FC">
            <w:pPr>
              <w:pStyle w:val="P68B1DB1-Normal79"/>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1F1" w14:textId="77777777" w:rsidR="00F74E13" w:rsidRDefault="009274FC">
            <w:pPr>
              <w:pStyle w:val="P68B1DB1-Normal35"/>
              <w:spacing w:after="0" w:line="240" w:lineRule="auto"/>
              <w:rPr>
                <w:noProof/>
              </w:rPr>
            </w:pPr>
            <w:r>
              <w:rPr>
                <w:noProof/>
              </w:rPr>
              <w:t>Adhésion à la Plateforme PICASSO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2" w14:textId="77777777" w:rsidR="00F74E13" w:rsidRDefault="009274FC">
            <w:pPr>
              <w:pStyle w:val="P68B1DB1-Normal35"/>
              <w:spacing w:after="0" w:line="240" w:lineRule="auto"/>
              <w:rPr>
                <w:noProof/>
              </w:rPr>
            </w:pPr>
            <w:r>
              <w:rPr>
                <w:noProof/>
              </w:rPr>
              <w:t>Adhésion confirmée de l'ESO EAD à la Plateforme PICASSO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F3"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4"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1F5"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6"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7" w14:textId="77777777" w:rsidR="00F74E13" w:rsidRDefault="009274FC">
            <w:pPr>
              <w:pStyle w:val="P68B1DB1-Normal35"/>
              <w:spacing w:after="0" w:line="240" w:lineRule="auto"/>
              <w:jc w:val="center"/>
              <w:rPr>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1F8" w14:textId="77777777" w:rsidR="00F74E13" w:rsidRDefault="009274FC">
            <w:pPr>
              <w:pStyle w:val="P68B1DB1-Normal54"/>
              <w:spacing w:after="0" w:line="240" w:lineRule="auto"/>
              <w:jc w:val="both"/>
              <w:rPr>
                <w:noProof/>
                <w:color w:val="124F1A" w:themeColor="accent3" w:themeShade="BF"/>
              </w:rPr>
            </w:pPr>
            <w:r>
              <w:rPr>
                <w:noProof/>
                <w:color w:val="006100"/>
              </w:rPr>
              <w:t>L’EAD de l’ESO devient membre de la plateforme PICASSO.</w:t>
            </w:r>
            <w:r>
              <w:rPr>
                <w:noProof/>
                <w:color w:val="124F1A" w:themeColor="accent3" w:themeShade="BF"/>
              </w:rPr>
              <w:t xml:space="preserve"> </w:t>
            </w:r>
          </w:p>
        </w:tc>
      </w:tr>
      <w:tr w:rsidR="00F74E13" w14:paraId="1CEBE20A"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FA" w14:textId="77777777" w:rsidR="00F74E13" w:rsidRDefault="009274FC">
            <w:pPr>
              <w:pStyle w:val="P68B1DB1-Normal79"/>
              <w:spacing w:after="0" w:line="240" w:lineRule="auto"/>
              <w:jc w:val="center"/>
              <w:rPr>
                <w:noProof/>
              </w:rPr>
            </w:pPr>
            <w:r>
              <w:rPr>
                <w:noProof/>
              </w:rPr>
              <w:t>351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B" w14:textId="77777777" w:rsidR="00F74E13" w:rsidRDefault="009274FC">
            <w:pPr>
              <w:pStyle w:val="P68B1DB1-Normal79"/>
              <w:spacing w:after="0" w:line="240" w:lineRule="auto"/>
              <w:rPr>
                <w:noProof/>
              </w:rPr>
            </w:pPr>
            <w:r>
              <w:rPr>
                <w:noProof/>
              </w:rPr>
              <w:t>C13.R3 : Fonctionnement du marché d'équilibrage et réponse de la demande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1FC" w14:textId="77777777" w:rsidR="00F74E13" w:rsidRDefault="009274FC">
            <w:pPr>
              <w:pStyle w:val="P68B1DB1-Normal79"/>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1FD" w14:textId="77777777" w:rsidR="00F74E13" w:rsidRDefault="009274FC">
            <w:pPr>
              <w:pStyle w:val="P68B1DB1-Normal35"/>
              <w:spacing w:after="0" w:line="240" w:lineRule="auto"/>
              <w:rPr>
                <w:noProof/>
              </w:rPr>
            </w:pPr>
            <w:r>
              <w:rPr>
                <w:noProof/>
              </w:rPr>
              <w:t xml:space="preserve">Rapport de la Semaine européenne des régions et des villes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E" w14:textId="77777777" w:rsidR="00F74E13" w:rsidRDefault="009274FC">
            <w:pPr>
              <w:pStyle w:val="P68B1DB1-Normal35"/>
              <w:spacing w:after="0" w:line="240" w:lineRule="auto"/>
              <w:rPr>
                <w:noProof/>
              </w:rPr>
            </w:pPr>
            <w:r>
              <w:rPr>
                <w:noProof/>
              </w:rPr>
              <w:t>Publication du rapport de la Semaine européenne des régions et des villes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FF"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0"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201" w14:textId="77777777" w:rsidR="00F74E13" w:rsidRDefault="00F74E13">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2"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3" w14:textId="77777777" w:rsidR="00F74E13" w:rsidRDefault="009274FC">
            <w:pPr>
              <w:pStyle w:val="P68B1DB1-Normal35"/>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204" w14:textId="77777777" w:rsidR="00F74E13" w:rsidRDefault="009274FC">
            <w:pPr>
              <w:pStyle w:val="P68B1DB1-Normal35"/>
              <w:spacing w:after="0" w:line="240" w:lineRule="auto"/>
              <w:jc w:val="both"/>
              <w:rPr>
                <w:noProof/>
              </w:rPr>
            </w:pPr>
            <w:r>
              <w:rPr>
                <w:noProof/>
              </w:rPr>
              <w:t xml:space="preserve">La commission de régulation de l’énergie et de l’eau (EWRC) publie un rapport qui: </w:t>
            </w:r>
          </w:p>
          <w:p w14:paraId="1CEBE205" w14:textId="65377B8A" w:rsidR="00F74E13" w:rsidRDefault="009274FC">
            <w:pPr>
              <w:pStyle w:val="P68B1DB1-Normal35"/>
              <w:numPr>
                <w:ilvl w:val="0"/>
                <w:numId w:val="77"/>
              </w:numPr>
              <w:spacing w:after="0" w:line="240" w:lineRule="auto"/>
              <w:ind w:left="325"/>
              <w:jc w:val="both"/>
              <w:rPr>
                <w:noProof/>
              </w:rPr>
            </w:pPr>
            <w:r>
              <w:rPr>
                <w:noProof/>
              </w:rPr>
              <w:t>évalue les conditions réglementaires de la participation des systèmes de stockage d’énergie et des consommateurs industriels au marché de l’équilibrage.</w:t>
            </w:r>
          </w:p>
          <w:p w14:paraId="1CEBE206" w14:textId="183B7152" w:rsidR="00F74E13" w:rsidRDefault="009274FC">
            <w:pPr>
              <w:pStyle w:val="P68B1DB1-Normal35"/>
              <w:numPr>
                <w:ilvl w:val="0"/>
                <w:numId w:val="77"/>
              </w:numPr>
              <w:spacing w:after="0" w:line="240" w:lineRule="auto"/>
              <w:ind w:left="325"/>
              <w:jc w:val="both"/>
              <w:rPr>
                <w:noProof/>
              </w:rPr>
            </w:pPr>
            <w:r>
              <w:rPr>
                <w:noProof/>
              </w:rPr>
              <w:t>procède à une analyse coûts-avantages pour l’installation de compteurs intelligents pour les ménages et les consommateurs non résidentiels d’une capacité allouée allant jusqu’à 100 kW connectés au réseau de distribution à basse tension.</w:t>
            </w:r>
          </w:p>
          <w:p w14:paraId="1CEBE207" w14:textId="7FED46D6" w:rsidR="00F74E13" w:rsidRDefault="009274FC">
            <w:pPr>
              <w:pStyle w:val="P68B1DB1-Normal35"/>
              <w:numPr>
                <w:ilvl w:val="0"/>
                <w:numId w:val="77"/>
              </w:numPr>
              <w:spacing w:after="0" w:line="240" w:lineRule="auto"/>
              <w:ind w:left="325"/>
              <w:jc w:val="both"/>
              <w:rPr>
                <w:noProof/>
              </w:rPr>
            </w:pPr>
            <w:r>
              <w:rPr>
                <w:noProof/>
              </w:rPr>
              <w:t>définit des mesures visant à supprimer les obstacles à la participation active de la demande, notamment par le déploiement de compteurs intelligents et la participation d’agrégateurs.</w:t>
            </w:r>
          </w:p>
          <w:p w14:paraId="1CEBE209" w14:textId="77777777" w:rsidR="00F74E13" w:rsidRDefault="009274FC">
            <w:pPr>
              <w:pStyle w:val="P68B1DB1-Normal35"/>
              <w:spacing w:before="120" w:after="0" w:line="240" w:lineRule="auto"/>
              <w:ind w:left="-34"/>
              <w:jc w:val="both"/>
              <w:rPr>
                <w:noProof/>
              </w:rPr>
            </w:pPr>
            <w:r>
              <w:rPr>
                <w:noProof/>
              </w:rPr>
              <w:t>Le projet de rapport fait l’objet d’une consultation publique des parties prenantes.</w:t>
            </w:r>
          </w:p>
        </w:tc>
      </w:tr>
      <w:tr w:rsidR="00F74E13" w14:paraId="1CEBE217"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0B" w14:textId="77777777" w:rsidR="00F74E13" w:rsidRDefault="009274FC">
            <w:pPr>
              <w:pStyle w:val="P68B1DB1-Normal35"/>
              <w:spacing w:after="0" w:line="240" w:lineRule="auto"/>
              <w:jc w:val="center"/>
              <w:rPr>
                <w:noProof/>
              </w:rPr>
            </w:pPr>
            <w:r>
              <w:rPr>
                <w:noProof/>
              </w:rPr>
              <w:t>352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0C" w14:textId="77777777" w:rsidR="00F74E13" w:rsidRDefault="009274FC">
            <w:pPr>
              <w:pStyle w:val="P68B1DB1-Normal35"/>
              <w:spacing w:after="0" w:line="240" w:lineRule="auto"/>
              <w:rPr>
                <w:noProof/>
              </w:rPr>
            </w:pPr>
            <w:r>
              <w:rPr>
                <w:noProof/>
              </w:rPr>
              <w:t>C13.I1 : Système d'information sur les ménages en situation de précarité énergétique et les clients vulnérables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20D" w14:textId="77777777" w:rsidR="00F74E13" w:rsidRDefault="009274FC">
            <w:pPr>
              <w:pStyle w:val="P68B1DB1-Normal35"/>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20E" w14:textId="77777777" w:rsidR="00F74E13" w:rsidRDefault="009274FC">
            <w:pPr>
              <w:pStyle w:val="P68B1DB1-Normal21"/>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Système d'information sur les</w:t>
            </w:r>
            <w:r>
              <w:rPr>
                <w:noProof/>
              </w:rPr>
              <w:t xml:space="preserve"> </w:t>
            </w:r>
            <w:r>
              <w:rPr>
                <w:rFonts w:ascii="Times New Roman" w:eastAsia="Times New Roman" w:hAnsi="Times New Roman" w:cs="Times New Roman"/>
                <w:noProof/>
                <w:color w:val="006100"/>
              </w:rPr>
              <w:t>ménages en situation de précarité énergétique et les clients vulnérables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0F" w14:textId="3B7706BE" w:rsidR="00F74E13" w:rsidRDefault="009274FC">
            <w:pPr>
              <w:pStyle w:val="P68B1DB1-Normal35"/>
              <w:spacing w:after="0" w:line="240" w:lineRule="auto"/>
              <w:rPr>
                <w:noProof/>
              </w:rPr>
            </w:pPr>
            <w:r>
              <w:rPr>
                <w:noProof/>
              </w:rPr>
              <w:t>Système d'information sur les ménages en situation de précarité énergétique et les clients vulnérables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10"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1"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212"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3"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4" w14:textId="77777777" w:rsidR="00F74E13" w:rsidRDefault="009274FC">
            <w:pPr>
              <w:pStyle w:val="P68B1DB1-Normal35"/>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216" w14:textId="24B87F1E" w:rsidR="00F74E13" w:rsidRDefault="009274FC">
            <w:pPr>
              <w:pStyle w:val="P68B1DB1-Normal35"/>
              <w:spacing w:after="0" w:line="240" w:lineRule="auto"/>
              <w:jc w:val="both"/>
              <w:rPr>
                <w:noProof/>
              </w:rPr>
            </w:pPr>
            <w:r>
              <w:rPr>
                <w:noProof/>
              </w:rPr>
              <w:t>Protocole(s) d'acceptation d'un système d'information sur les ménages en situation de précarité énergétique et les clients vulnérables.</w:t>
            </w:r>
          </w:p>
        </w:tc>
      </w:tr>
      <w:tr w:rsidR="00F74E13" w14:paraId="1CEBE223"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18" w14:textId="77777777" w:rsidR="00F74E13" w:rsidRDefault="009274FC">
            <w:pPr>
              <w:pStyle w:val="P68B1DB1-Normal35"/>
              <w:spacing w:after="0" w:line="240" w:lineRule="auto"/>
              <w:jc w:val="center"/>
              <w:rPr>
                <w:noProof/>
              </w:rPr>
            </w:pPr>
            <w:r>
              <w:rPr>
                <w:noProof/>
              </w:rPr>
              <w:t>353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19" w14:textId="77777777" w:rsidR="00F74E13" w:rsidRDefault="009274FC">
            <w:pPr>
              <w:pStyle w:val="P68B1DB1-Normal35"/>
              <w:spacing w:after="0" w:line="240" w:lineRule="auto"/>
              <w:rPr>
                <w:noProof/>
              </w:rPr>
            </w:pPr>
            <w:r>
              <w:rPr>
                <w:noProof/>
              </w:rPr>
              <w:t>C13.I2 : Infrastructure nationale de stockage de l'électricité (RESTORE) (mise à l'échelle)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21A" w14:textId="77777777" w:rsidR="00F74E13" w:rsidRDefault="009274FC">
            <w:pPr>
              <w:pStyle w:val="P68B1DB1-Normal35"/>
              <w:spacing w:after="0" w:line="240" w:lineRule="auto"/>
              <w:jc w:val="center"/>
              <w:rPr>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21B" w14:textId="77777777" w:rsidR="00F74E13" w:rsidRDefault="009274FC">
            <w:pPr>
              <w:pStyle w:val="P68B1DB1-Normal35"/>
              <w:spacing w:after="0" w:line="240" w:lineRule="auto"/>
              <w:rPr>
                <w:noProof/>
              </w:rPr>
            </w:pPr>
            <w:r>
              <w:rPr>
                <w:noProof/>
              </w:rPr>
              <w:t>Installations de stockage d'électricité</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1C" w14:textId="77777777" w:rsidR="00F74E13" w:rsidRDefault="00F74E13">
            <w:pPr>
              <w:spacing w:after="0" w:line="240" w:lineRule="auto"/>
              <w:rPr>
                <w:rFonts w:ascii="Times New Roman" w:eastAsia="Times New Roman" w:hAnsi="Times New Roman" w:cs="Times New Roman"/>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1D" w14:textId="77777777" w:rsidR="00F74E13" w:rsidRDefault="009274FC">
            <w:pPr>
              <w:pStyle w:val="P68B1DB1-Normal35"/>
              <w:spacing w:after="0" w:line="240" w:lineRule="auto"/>
              <w:jc w:val="center"/>
              <w:rPr>
                <w:noProof/>
              </w:rPr>
            </w:pPr>
            <w:r>
              <w:rPr>
                <w:noProof/>
              </w:rPr>
              <w:t>Mégawattheures (MWh)</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E" w14:textId="77777777" w:rsidR="00F74E13" w:rsidRDefault="009274FC">
            <w:pPr>
              <w:pStyle w:val="P68B1DB1-Normal35"/>
              <w:spacing w:after="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21F" w14:textId="77777777" w:rsidR="00F74E13" w:rsidRDefault="009274FC">
            <w:pPr>
              <w:pStyle w:val="P68B1DB1-Normal35"/>
              <w:spacing w:after="0" w:line="240" w:lineRule="auto"/>
              <w:jc w:val="center"/>
              <w:rPr>
                <w:noProof/>
              </w:rPr>
            </w:pPr>
            <w:r>
              <w:rPr>
                <w:noProof/>
              </w:rPr>
              <w:t>1 900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0"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1" w14:textId="77777777" w:rsidR="00F74E13" w:rsidRDefault="009274FC">
            <w:pPr>
              <w:pStyle w:val="P68B1DB1-Normal35"/>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222" w14:textId="26AE5F68" w:rsidR="00F74E13" w:rsidRDefault="009274FC">
            <w:pPr>
              <w:pStyle w:val="P68B1DB1-Normal13"/>
              <w:spacing w:after="0" w:line="240" w:lineRule="auto"/>
              <w:jc w:val="both"/>
              <w:rPr>
                <w:rFonts w:eastAsia="Times New Roman" w:cs="Times New Roman"/>
                <w:noProof/>
              </w:rPr>
            </w:pPr>
            <w:r>
              <w:rPr>
                <w:noProof/>
              </w:rPr>
              <w:t>Installation et raccordement au réseau électrique d'installations de stockage d'électricité pour une capacité de 1 900 MWh.</w:t>
            </w:r>
          </w:p>
        </w:tc>
      </w:tr>
      <w:tr w:rsidR="00F74E13" w14:paraId="1CEBE231"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24" w14:textId="77777777" w:rsidR="00F74E13" w:rsidRDefault="009274FC">
            <w:pPr>
              <w:pStyle w:val="P68B1DB1-Normal35"/>
              <w:spacing w:after="0" w:line="240" w:lineRule="auto"/>
              <w:jc w:val="center"/>
              <w:rPr>
                <w:noProof/>
              </w:rPr>
            </w:pPr>
            <w:r>
              <w:rPr>
                <w:noProof/>
              </w:rPr>
              <w:t>354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25" w14:textId="60F62E6A" w:rsidR="00F74E13" w:rsidRDefault="009274FC">
            <w:pPr>
              <w:pStyle w:val="P68B1DB1-Normal35"/>
              <w:spacing w:after="0" w:line="240" w:lineRule="auto"/>
              <w:rPr>
                <w:noProof/>
              </w:rPr>
            </w:pPr>
            <w:r>
              <w:rPr>
                <w:noProof/>
              </w:rPr>
              <w:t xml:space="preserve">C13.I3 : Installation de systèmes photovoltaïques dans les services sociaux et fourniture de véhicules électriques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226" w14:textId="77777777" w:rsidR="00F74E13" w:rsidRDefault="009274FC">
            <w:pPr>
              <w:pStyle w:val="P68B1DB1-Normal35"/>
              <w:spacing w:after="0" w:line="240" w:lineRule="auto"/>
              <w:jc w:val="center"/>
              <w:rPr>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227" w14:textId="0A8ED567" w:rsidR="00F74E13" w:rsidRDefault="009274FC">
            <w:pPr>
              <w:pStyle w:val="P68B1DB1-Normal35"/>
              <w:spacing w:after="0" w:line="240" w:lineRule="auto"/>
              <w:rPr>
                <w:noProof/>
              </w:rPr>
            </w:pPr>
            <w:r>
              <w:rPr>
                <w:noProof/>
              </w:rPr>
              <w:t xml:space="preserve">Installation de systèmes photovoltaïques et livraison de véhicules électriques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28" w14:textId="77777777" w:rsidR="00F74E13" w:rsidRDefault="009274FC">
            <w:pPr>
              <w:pStyle w:val="P68B1DB1-Normal35"/>
              <w:spacing w:after="0" w:line="240" w:lineRule="auto"/>
              <w:rPr>
                <w:noProof/>
              </w:rPr>
            </w:pPr>
            <w:r>
              <w:rPr>
                <w:noProof/>
              </w:rPr>
              <w:t>Délivrance de certificats d'installation ou de livraison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29"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A"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22B" w14:textId="77777777" w:rsidR="00F74E13" w:rsidRDefault="00F74E13">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C" w14:textId="77777777" w:rsidR="00F74E13" w:rsidRDefault="009274FC">
            <w:pPr>
              <w:pStyle w:val="P68B1DB1-Normal35"/>
              <w:spacing w:after="0" w:line="240" w:lineRule="auto"/>
              <w:jc w:val="center"/>
              <w:rPr>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D" w14:textId="77777777" w:rsidR="00F74E13" w:rsidRDefault="009274FC">
            <w:pPr>
              <w:pStyle w:val="P68B1DB1-Normal35"/>
              <w:spacing w:after="0" w:line="240" w:lineRule="auto"/>
              <w:jc w:val="center"/>
              <w:rPr>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22E" w14:textId="77777777" w:rsidR="00F74E13" w:rsidRDefault="009274FC">
            <w:pPr>
              <w:pStyle w:val="P68B1DB1-Normal13"/>
              <w:spacing w:after="0" w:line="240" w:lineRule="auto"/>
              <w:jc w:val="both"/>
              <w:rPr>
                <w:rFonts w:eastAsia="Times New Roman" w:cs="Times New Roman"/>
                <w:noProof/>
              </w:rPr>
            </w:pPr>
            <w:r>
              <w:rPr>
                <w:noProof/>
              </w:rPr>
              <w:t>Un ou plusieurs certificats d’acceptation de l’installation de systèmes photovoltaïques d’une capacité minimale de 15 kW dans 500 installations de services sociaux ont été délivrés.</w:t>
            </w:r>
          </w:p>
          <w:p w14:paraId="1CEBE230" w14:textId="54F16DA6" w:rsidR="00F74E13" w:rsidRDefault="009274FC">
            <w:pPr>
              <w:pStyle w:val="P68B1DB1-Normal35"/>
              <w:spacing w:after="0" w:line="240" w:lineRule="auto"/>
              <w:jc w:val="both"/>
              <w:rPr>
                <w:noProof/>
              </w:rPr>
            </w:pPr>
            <w:r>
              <w:rPr>
                <w:noProof/>
              </w:rPr>
              <w:t>Un ou plusieurs certificats de livraison de 250 véhicules utilitaires légers électriques ont été délivrés.</w:t>
            </w:r>
          </w:p>
        </w:tc>
      </w:tr>
      <w:tr w:rsidR="00F74E13" w14:paraId="1CEBE23E"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32" w14:textId="77777777" w:rsidR="00F74E13" w:rsidRDefault="009274FC">
            <w:pPr>
              <w:pStyle w:val="P68B1DB1-Normal35"/>
              <w:spacing w:line="240" w:lineRule="auto"/>
              <w:jc w:val="center"/>
              <w:rPr>
                <w:noProof/>
              </w:rPr>
            </w:pPr>
            <w:r>
              <w:rPr>
                <w:noProof/>
              </w:rPr>
              <w:t>356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33" w14:textId="77777777" w:rsidR="00F74E13" w:rsidRDefault="009274FC">
            <w:pPr>
              <w:pStyle w:val="P68B1DB1-Normal12"/>
              <w:spacing w:after="0" w:line="240" w:lineRule="auto"/>
              <w:rPr>
                <w:noProof/>
              </w:rPr>
            </w:pPr>
            <w:r>
              <w:rPr>
                <w:noProof/>
              </w:rPr>
              <w:t xml:space="preserve">C13.I4 : </w:t>
            </w:r>
          </w:p>
          <w:p w14:paraId="1CEBE234" w14:textId="77777777" w:rsidR="00F74E13" w:rsidRDefault="009274FC">
            <w:pPr>
              <w:pStyle w:val="P68B1DB1-Normal12"/>
              <w:spacing w:after="0" w:line="240" w:lineRule="auto"/>
              <w:rPr>
                <w:rFonts w:eastAsia="Times New Roman"/>
                <w:noProof/>
              </w:rPr>
            </w:pPr>
            <w:r>
              <w:rPr>
                <w:noProof/>
              </w:rPr>
              <w:t>Soutien aux capacités de production d'électricité à partir de sources renouvelables et de stockage de l'électricité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235" w14:textId="77777777" w:rsidR="00F74E13" w:rsidRDefault="009274FC">
            <w:pPr>
              <w:pStyle w:val="P68B1DB1-Normal12"/>
              <w:spacing w:line="240" w:lineRule="auto"/>
              <w:jc w:val="center"/>
              <w:rPr>
                <w:rFonts w:eastAsia="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236" w14:textId="77777777" w:rsidR="00F74E13" w:rsidRDefault="009274FC">
            <w:pPr>
              <w:pStyle w:val="P68B1DB1-Normal12"/>
              <w:spacing w:line="240" w:lineRule="auto"/>
              <w:rPr>
                <w:rFonts w:eastAsia="Times New Roman"/>
                <w:noProof/>
              </w:rPr>
            </w:pPr>
            <w:r>
              <w:rPr>
                <w:noProof/>
              </w:rPr>
              <w:t>Appel(s) pour la sélection de projets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37" w14:textId="77777777" w:rsidR="00F74E13" w:rsidRDefault="009274FC">
            <w:pPr>
              <w:pStyle w:val="P68B1DB1-Normal12"/>
              <w:spacing w:line="240" w:lineRule="auto"/>
              <w:rPr>
                <w:rFonts w:eastAsia="Times New Roman"/>
                <w:noProof/>
              </w:rPr>
            </w:pPr>
            <w:r>
              <w:rPr>
                <w:noProof/>
              </w:rPr>
              <w:t>Publication du ou des appels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38" w14:textId="77777777" w:rsidR="00F74E13" w:rsidRDefault="00F74E13">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9" w14:textId="77777777" w:rsidR="00F74E13" w:rsidRDefault="00F74E13">
            <w:pPr>
              <w:spacing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23A" w14:textId="77777777" w:rsidR="00F74E13" w:rsidRDefault="00F74E13">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B" w14:textId="77777777" w:rsidR="00F74E13" w:rsidRDefault="009274FC">
            <w:pPr>
              <w:pStyle w:val="P68B1DB1-Normal12"/>
              <w:spacing w:line="240" w:lineRule="auto"/>
              <w:jc w:val="center"/>
              <w:rPr>
                <w:rFonts w:eastAsia="Times New Roman"/>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C" w14:textId="77777777" w:rsidR="00F74E13" w:rsidRDefault="009274FC">
            <w:pPr>
              <w:pStyle w:val="P68B1DB1-Normal12"/>
              <w:spacing w:line="240" w:lineRule="auto"/>
              <w:jc w:val="center"/>
              <w:rPr>
                <w:rFonts w:eastAsia="Times New Roman"/>
                <w:noProof/>
              </w:rPr>
            </w:pPr>
            <w:r>
              <w:rPr>
                <w:noProof/>
              </w:rPr>
              <w:t>2025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23D" w14:textId="77777777" w:rsidR="00F74E13" w:rsidRDefault="009274FC">
            <w:pPr>
              <w:pStyle w:val="P68B1DB1-Normal12"/>
              <w:spacing w:after="0" w:line="240" w:lineRule="auto"/>
              <w:jc w:val="both"/>
              <w:rPr>
                <w:noProof/>
              </w:rPr>
            </w:pPr>
            <w:r>
              <w:rPr>
                <w:noProof/>
              </w:rPr>
              <w:t>Les appels à propositions pour la sélection de projets de construction de capacités de production d’électricité à partir de sources renouvelables (énergie éolienne et solaire) colocalisées avec le stockage d’électricité sont publiés.</w:t>
            </w:r>
          </w:p>
        </w:tc>
      </w:tr>
      <w:tr w:rsidR="00F74E13" w14:paraId="1CEBE24B" w14:textId="77777777" w:rsidTr="00864432">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3F" w14:textId="77777777" w:rsidR="00F74E13" w:rsidRDefault="009274FC">
            <w:pPr>
              <w:pStyle w:val="P68B1DB1-Normal35"/>
              <w:spacing w:line="240" w:lineRule="auto"/>
              <w:jc w:val="center"/>
              <w:rPr>
                <w:noProof/>
              </w:rPr>
            </w:pPr>
            <w:r>
              <w:rPr>
                <w:noProof/>
              </w:rPr>
              <w:t>357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40" w14:textId="77777777" w:rsidR="00F74E13" w:rsidRDefault="009274FC">
            <w:pPr>
              <w:pStyle w:val="P68B1DB1-Normal12"/>
              <w:spacing w:after="0" w:line="240" w:lineRule="auto"/>
              <w:rPr>
                <w:noProof/>
              </w:rPr>
            </w:pPr>
            <w:r>
              <w:rPr>
                <w:noProof/>
              </w:rPr>
              <w:t xml:space="preserve">C13.I4 : </w:t>
            </w:r>
          </w:p>
          <w:p w14:paraId="1CEBE241" w14:textId="77777777" w:rsidR="00F74E13" w:rsidRDefault="009274FC">
            <w:pPr>
              <w:pStyle w:val="P68B1DB1-Normal12"/>
              <w:spacing w:after="0" w:line="240" w:lineRule="auto"/>
              <w:rPr>
                <w:rFonts w:eastAsia="Times New Roman"/>
                <w:noProof/>
              </w:rPr>
            </w:pPr>
            <w:r>
              <w:rPr>
                <w:noProof/>
              </w:rPr>
              <w:t>Soutien aux capacités de production d'électricité à partir de sources renouvelables et de stockage de l'électricité</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E242" w14:textId="2B8D3BEB" w:rsidR="00F74E13" w:rsidRDefault="009274FC">
            <w:pPr>
              <w:pStyle w:val="P68B1DB1-Normal12"/>
              <w:spacing w:line="240" w:lineRule="auto"/>
              <w:jc w:val="center"/>
              <w:rPr>
                <w:rFonts w:eastAsia="Times New Roman"/>
                <w:noProof/>
              </w:rPr>
            </w:pPr>
            <w:r>
              <w:rPr>
                <w:noProof/>
              </w:rPr>
              <w:t>Étape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CEBE243" w14:textId="249D81DF" w:rsidR="00F74E13" w:rsidRDefault="009274FC">
            <w:pPr>
              <w:pStyle w:val="P68B1DB1-Normal12"/>
              <w:spacing w:line="240" w:lineRule="auto"/>
              <w:rPr>
                <w:rFonts w:eastAsia="Times New Roman"/>
                <w:noProof/>
              </w:rPr>
            </w:pPr>
            <w:r>
              <w:rPr>
                <w:noProof/>
              </w:rPr>
              <w:t>Stockage d’électricité colocalisé avec la capacité d’électricité produite à partir de sources renouvelables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44" w14:textId="2D181EB2" w:rsidR="00F74E13" w:rsidRDefault="009274FC">
            <w:pPr>
              <w:pStyle w:val="P68B1DB1-Normal35"/>
              <w:spacing w:line="240" w:lineRule="auto"/>
              <w:rPr>
                <w:noProof/>
              </w:rPr>
            </w:pPr>
            <w:r>
              <w:rPr>
                <w:noProof/>
              </w:rPr>
              <w:t>Installation et raccordement au réseau</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45" w14:textId="115E5102" w:rsidR="00F74E13" w:rsidRDefault="00F74E13">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6" w14:textId="6A5671FF" w:rsidR="00F74E13" w:rsidRDefault="00F74E13">
            <w:pPr>
              <w:spacing w:line="240" w:lineRule="auto"/>
              <w:jc w:val="center"/>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E247" w14:textId="11602D4A" w:rsidR="00F74E13" w:rsidRDefault="00F74E13">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8" w14:textId="77777777" w:rsidR="00F74E13" w:rsidRDefault="009274FC">
            <w:pPr>
              <w:pStyle w:val="P68B1DB1-Normal12"/>
              <w:spacing w:line="240" w:lineRule="auto"/>
              <w:jc w:val="center"/>
              <w:rPr>
                <w:rFonts w:eastAsia="Times New Roman"/>
                <w:noProof/>
              </w:rPr>
            </w:pPr>
            <w:r>
              <w:rPr>
                <w:noProof/>
              </w:rPr>
              <w:t>T2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9" w14:textId="77777777" w:rsidR="00F74E13" w:rsidRDefault="009274FC">
            <w:pPr>
              <w:pStyle w:val="P68B1DB1-Normal12"/>
              <w:spacing w:line="240" w:lineRule="auto"/>
              <w:jc w:val="center"/>
              <w:rPr>
                <w:rFonts w:eastAsia="Times New Roman"/>
                <w:noProof/>
              </w:rPr>
            </w:pPr>
            <w:r>
              <w:rPr>
                <w:noProof/>
              </w:rPr>
              <w:t>2026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1CEBE24A" w14:textId="29941B04" w:rsidR="00F74E13" w:rsidRDefault="009274FC">
            <w:pPr>
              <w:pStyle w:val="P68B1DB1-Normal13"/>
              <w:spacing w:line="240" w:lineRule="auto"/>
              <w:jc w:val="both"/>
              <w:rPr>
                <w:rFonts w:cs="Times New Roman"/>
                <w:noProof/>
              </w:rPr>
            </w:pPr>
            <w:r>
              <w:rPr>
                <w:noProof/>
              </w:rPr>
              <w:t>Installation et raccordement au réseau d’au moins 350 MW de stockage d’électricité, colocalisés avec 1 425 MW de capacité d’électricité produite à partir de sources renouvelables.</w:t>
            </w:r>
          </w:p>
        </w:tc>
      </w:tr>
    </w:tbl>
    <w:p w14:paraId="1CEBE24C" w14:textId="77777777" w:rsidR="00F74E13" w:rsidRDefault="00F74E13">
      <w:pPr>
        <w:rPr>
          <w:noProof/>
        </w:rPr>
      </w:pPr>
    </w:p>
    <w:p w14:paraId="1CEBE24D" w14:textId="77777777" w:rsidR="00F74E13" w:rsidRDefault="00F74E13">
      <w:pPr>
        <w:pageBreakBefore/>
        <w:numPr>
          <w:ilvl w:val="0"/>
          <w:numId w:val="78"/>
        </w:numPr>
        <w:spacing w:before="120" w:after="120" w:line="240" w:lineRule="auto"/>
        <w:ind w:left="851" w:hanging="851"/>
        <w:jc w:val="both"/>
        <w:rPr>
          <w:rFonts w:ascii="Times New Roman" w:hAnsi="Times New Roman"/>
          <w:b/>
          <w:noProof/>
        </w:rPr>
        <w:sectPr w:rsidR="00F74E13">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1134" w:right="1134" w:bottom="1134" w:left="1134" w:header="567" w:footer="567" w:gutter="0"/>
          <w:cols w:space="720"/>
          <w:docGrid w:linePitch="360"/>
        </w:sectPr>
      </w:pPr>
    </w:p>
    <w:p w14:paraId="1CEBE24E" w14:textId="77777777" w:rsidR="00F74E13" w:rsidRDefault="009274FC">
      <w:pPr>
        <w:pStyle w:val="P68B1DB1-Normal80"/>
        <w:pageBreakBefore/>
        <w:spacing w:before="120" w:after="120" w:line="240" w:lineRule="auto"/>
        <w:jc w:val="both"/>
        <w:rPr>
          <w:noProof/>
        </w:rPr>
      </w:pPr>
      <w:r>
        <w:rPr>
          <w:noProof/>
        </w:rPr>
        <w:t xml:space="preserve">2. Coût total estimé du plan pour la reprise et la résilience </w:t>
      </w:r>
    </w:p>
    <w:p w14:paraId="1CEBE24F" w14:textId="77777777" w:rsidR="00F74E13" w:rsidRDefault="009274FC">
      <w:pPr>
        <w:pStyle w:val="P68B1DB1-Normal6"/>
        <w:spacing w:before="120" w:after="120" w:line="240" w:lineRule="auto"/>
        <w:jc w:val="both"/>
        <w:rPr>
          <w:noProof/>
        </w:rPr>
      </w:pPr>
      <w:r>
        <w:rPr>
          <w:noProof/>
        </w:rPr>
        <w:t>Le coût total du plan pour la reprise et la résilience de la Bulgarie est estimé à 12 075 546 451 BGN, soit 6 174 106 145 EUR sur la base du taux de référence BGN de la BCE du 15</w:t>
      </w:r>
      <w:r>
        <w:rPr>
          <w:noProof/>
          <w:color w:val="006100"/>
          <w:sz w:val="20"/>
          <w:szCs w:val="20"/>
        </w:rPr>
        <w:t> </w:t>
      </w:r>
      <w:r>
        <w:rPr>
          <w:noProof/>
        </w:rPr>
        <w:t>octobre</w:t>
      </w:r>
      <w:r>
        <w:rPr>
          <w:noProof/>
          <w:color w:val="006100"/>
          <w:sz w:val="20"/>
          <w:szCs w:val="20"/>
        </w:rPr>
        <w:t> </w:t>
      </w:r>
      <w:r>
        <w:rPr>
          <w:noProof/>
        </w:rPr>
        <w:t>2021.</w:t>
      </w:r>
    </w:p>
    <w:p w14:paraId="1CEBE250" w14:textId="77777777" w:rsidR="00F74E13" w:rsidRDefault="009274FC">
      <w:pPr>
        <w:pStyle w:val="P68B1DB1-Normal6"/>
        <w:spacing w:before="120" w:after="120" w:line="240" w:lineRule="auto"/>
        <w:jc w:val="both"/>
        <w:rPr>
          <w:noProof/>
        </w:rPr>
      </w:pPr>
      <w:r>
        <w:rPr>
          <w:noProof/>
        </w:rPr>
        <w:t>Le coût total du chapitre REPowerEU est estimé à</w:t>
      </w:r>
      <w:r>
        <w:rPr>
          <w:noProof/>
          <w:color w:val="006100"/>
          <w:sz w:val="20"/>
          <w:szCs w:val="20"/>
        </w:rPr>
        <w:t> </w:t>
      </w:r>
      <w:r>
        <w:rPr>
          <w:noProof/>
        </w:rPr>
        <w:t>498 208 098 EUR. En particulier, le coût total estimé des mesures visées à l’article 21 quater, paragraphe 3, point a), du règlement (UE) 2023/435 est de</w:t>
      </w:r>
      <w:r>
        <w:rPr>
          <w:noProof/>
          <w:color w:val="006100"/>
          <w:sz w:val="20"/>
          <w:szCs w:val="20"/>
        </w:rPr>
        <w:t> </w:t>
      </w:r>
      <w:r>
        <w:rPr>
          <w:noProof/>
        </w:rPr>
        <w:t>0 EUR, tandis que le coût des autres mesures du chapitre REPowerEU est de</w:t>
      </w:r>
      <w:r>
        <w:rPr>
          <w:noProof/>
          <w:color w:val="006100"/>
          <w:sz w:val="20"/>
          <w:szCs w:val="20"/>
        </w:rPr>
        <w:t> </w:t>
      </w:r>
      <w:r>
        <w:rPr>
          <w:noProof/>
        </w:rPr>
        <w:t>498 208 098 EUR.</w:t>
      </w:r>
    </w:p>
    <w:p w14:paraId="1CEBE252" w14:textId="77777777" w:rsidR="00F74E13" w:rsidRDefault="009274FC">
      <w:pPr>
        <w:pStyle w:val="P68B1DB1-Normal80"/>
        <w:spacing w:before="240" w:after="120" w:line="240" w:lineRule="auto"/>
        <w:jc w:val="both"/>
        <w:rPr>
          <w:noProof/>
        </w:rPr>
      </w:pPr>
      <w:r>
        <w:rPr>
          <w:noProof/>
        </w:rPr>
        <w:t xml:space="preserve">SECTION 2: SOUTIEN FINANCIER </w:t>
      </w:r>
    </w:p>
    <w:p w14:paraId="1CEBE253" w14:textId="77777777" w:rsidR="00F74E13" w:rsidRDefault="009274FC">
      <w:pPr>
        <w:pStyle w:val="P68B1DB1-NumPar181"/>
        <w:numPr>
          <w:ilvl w:val="0"/>
          <w:numId w:val="79"/>
        </w:numPr>
        <w:rPr>
          <w:bCs/>
          <w:noProof/>
        </w:rPr>
      </w:pPr>
      <w:r>
        <w:rPr>
          <w:noProof/>
        </w:rPr>
        <w:t xml:space="preserve">Contribution financière </w:t>
      </w:r>
    </w:p>
    <w:p w14:paraId="1CEBE254" w14:textId="77777777" w:rsidR="00F74E13" w:rsidRDefault="009274FC">
      <w:pPr>
        <w:pStyle w:val="P68B1DB1-Normal6"/>
        <w:spacing w:before="120" w:after="120" w:line="240" w:lineRule="auto"/>
        <w:ind w:left="850"/>
        <w:jc w:val="both"/>
        <w:rPr>
          <w:noProof/>
        </w:rPr>
      </w:pPr>
      <w:r>
        <w:rPr>
          <w:noProof/>
        </w:rPr>
        <w:t>Les tranches visées à l'article 2, paragraphe 2, sont organisées de la manière suivante:</w:t>
      </w:r>
    </w:p>
    <w:p w14:paraId="1CEBE256" w14:textId="77777777" w:rsidR="00F74E13" w:rsidRDefault="009274FC">
      <w:pPr>
        <w:pStyle w:val="P68B1DB1-Normal6"/>
        <w:numPr>
          <w:ilvl w:val="1"/>
          <w:numId w:val="78"/>
        </w:numPr>
        <w:spacing w:before="120" w:after="120" w:line="240" w:lineRule="auto"/>
        <w:jc w:val="both"/>
        <w:rPr>
          <w:noProof/>
        </w:rPr>
      </w:pPr>
      <w:r>
        <w:rPr>
          <w:noProof/>
        </w:rPr>
        <w:t>Première tranche (soutien non remboursable)</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828"/>
        <w:gridCol w:w="1294"/>
        <w:gridCol w:w="3138"/>
      </w:tblGrid>
      <w:tr w:rsidR="00F74E13" w14:paraId="1CEBE25B" w14:textId="77777777">
        <w:trPr>
          <w:trHeight w:val="906"/>
          <w:tblHeader/>
          <w:jc w:val="center"/>
        </w:trPr>
        <w:tc>
          <w:tcPr>
            <w:tcW w:w="1437" w:type="dxa"/>
            <w:vMerge w:val="restart"/>
            <w:shd w:val="clear" w:color="auto" w:fill="BDD7EE"/>
            <w:vAlign w:val="center"/>
            <w:hideMark/>
          </w:tcPr>
          <w:p w14:paraId="1CEBE257" w14:textId="77777777" w:rsidR="00F74E13" w:rsidRDefault="009274FC">
            <w:pPr>
              <w:pStyle w:val="P68B1DB1-Normal11"/>
              <w:spacing w:after="0" w:line="240" w:lineRule="auto"/>
              <w:jc w:val="center"/>
              <w:rPr>
                <w:noProof/>
              </w:rPr>
            </w:pPr>
            <w:r>
              <w:rPr>
                <w:noProof/>
              </w:rPr>
              <w:t>Numéro séquentiel</w:t>
            </w:r>
          </w:p>
        </w:tc>
        <w:tc>
          <w:tcPr>
            <w:tcW w:w="3828" w:type="dxa"/>
            <w:vMerge w:val="restart"/>
            <w:shd w:val="clear" w:color="auto" w:fill="BDD7EE"/>
            <w:vAlign w:val="center"/>
            <w:hideMark/>
          </w:tcPr>
          <w:p w14:paraId="1CEBE258" w14:textId="77777777" w:rsidR="00F74E13" w:rsidRDefault="009274FC">
            <w:pPr>
              <w:pStyle w:val="P68B1DB1-Normal11"/>
              <w:spacing w:after="0" w:line="240" w:lineRule="auto"/>
              <w:jc w:val="center"/>
              <w:rPr>
                <w:noProof/>
              </w:rPr>
            </w:pPr>
            <w:r>
              <w:rPr>
                <w:noProof/>
              </w:rPr>
              <w:t>Mesure connexe (réforme ou investissement)</w:t>
            </w:r>
          </w:p>
        </w:tc>
        <w:tc>
          <w:tcPr>
            <w:tcW w:w="1275" w:type="dxa"/>
            <w:vMerge w:val="restart"/>
            <w:shd w:val="clear" w:color="auto" w:fill="BDD7EE"/>
            <w:vAlign w:val="center"/>
            <w:hideMark/>
          </w:tcPr>
          <w:p w14:paraId="1CEBE259" w14:textId="77777777" w:rsidR="00F74E13" w:rsidRDefault="009274FC">
            <w:pPr>
              <w:pStyle w:val="P68B1DB1-Normal11"/>
              <w:spacing w:after="0" w:line="240" w:lineRule="auto"/>
              <w:jc w:val="center"/>
              <w:rPr>
                <w:noProof/>
              </w:rPr>
            </w:pPr>
            <w:r>
              <w:rPr>
                <w:noProof/>
              </w:rPr>
              <w:t>Étape/cible</w:t>
            </w:r>
          </w:p>
        </w:tc>
        <w:tc>
          <w:tcPr>
            <w:tcW w:w="3138" w:type="dxa"/>
            <w:vMerge w:val="restart"/>
            <w:shd w:val="clear" w:color="auto" w:fill="BDD7EE"/>
            <w:vAlign w:val="center"/>
            <w:hideMark/>
          </w:tcPr>
          <w:p w14:paraId="1CEBE25A" w14:textId="77777777" w:rsidR="00F74E13" w:rsidRDefault="009274FC">
            <w:pPr>
              <w:pStyle w:val="P68B1DB1-Normal11"/>
              <w:spacing w:after="0" w:line="240" w:lineRule="auto"/>
              <w:jc w:val="center"/>
              <w:rPr>
                <w:noProof/>
              </w:rPr>
            </w:pPr>
            <w:r>
              <w:rPr>
                <w:noProof/>
              </w:rPr>
              <w:t>Nom</w:t>
            </w:r>
          </w:p>
        </w:tc>
      </w:tr>
      <w:tr w:rsidR="00F74E13" w14:paraId="1CEBE260" w14:textId="77777777">
        <w:trPr>
          <w:trHeight w:val="501"/>
          <w:jc w:val="center"/>
        </w:trPr>
        <w:tc>
          <w:tcPr>
            <w:tcW w:w="1437" w:type="dxa"/>
            <w:vMerge/>
            <w:vAlign w:val="center"/>
            <w:hideMark/>
          </w:tcPr>
          <w:p w14:paraId="1CEBE25C" w14:textId="77777777" w:rsidR="00F74E13" w:rsidRDefault="00F74E13">
            <w:pPr>
              <w:spacing w:after="0" w:line="240" w:lineRule="auto"/>
              <w:jc w:val="center"/>
              <w:rPr>
                <w:rFonts w:ascii="Times New Roman" w:hAnsi="Times New Roman"/>
                <w:b/>
                <w:noProof/>
                <w:sz w:val="20"/>
              </w:rPr>
            </w:pPr>
          </w:p>
        </w:tc>
        <w:tc>
          <w:tcPr>
            <w:tcW w:w="3828" w:type="dxa"/>
            <w:vMerge/>
            <w:vAlign w:val="center"/>
            <w:hideMark/>
          </w:tcPr>
          <w:p w14:paraId="1CEBE25D" w14:textId="77777777" w:rsidR="00F74E13" w:rsidRDefault="00F74E13">
            <w:pPr>
              <w:spacing w:after="0" w:line="240" w:lineRule="auto"/>
              <w:jc w:val="both"/>
              <w:rPr>
                <w:rFonts w:ascii="Times New Roman" w:hAnsi="Times New Roman"/>
                <w:b/>
                <w:noProof/>
                <w:sz w:val="20"/>
              </w:rPr>
            </w:pPr>
          </w:p>
        </w:tc>
        <w:tc>
          <w:tcPr>
            <w:tcW w:w="1275" w:type="dxa"/>
            <w:vMerge/>
            <w:vAlign w:val="center"/>
            <w:hideMark/>
          </w:tcPr>
          <w:p w14:paraId="1CEBE25E" w14:textId="77777777" w:rsidR="00F74E13" w:rsidRDefault="00F74E13">
            <w:pPr>
              <w:spacing w:after="0" w:line="240" w:lineRule="auto"/>
              <w:jc w:val="center"/>
              <w:rPr>
                <w:rFonts w:ascii="Times New Roman" w:hAnsi="Times New Roman"/>
                <w:b/>
                <w:noProof/>
                <w:sz w:val="20"/>
              </w:rPr>
            </w:pPr>
          </w:p>
        </w:tc>
        <w:tc>
          <w:tcPr>
            <w:tcW w:w="3138" w:type="dxa"/>
            <w:vMerge/>
            <w:vAlign w:val="center"/>
            <w:hideMark/>
          </w:tcPr>
          <w:p w14:paraId="1CEBE25F" w14:textId="77777777" w:rsidR="00F74E13" w:rsidRDefault="00F74E13">
            <w:pPr>
              <w:spacing w:after="0" w:line="240" w:lineRule="auto"/>
              <w:jc w:val="both"/>
              <w:rPr>
                <w:rFonts w:ascii="Times New Roman" w:hAnsi="Times New Roman"/>
                <w:b/>
                <w:noProof/>
                <w:sz w:val="20"/>
              </w:rPr>
            </w:pPr>
          </w:p>
        </w:tc>
      </w:tr>
      <w:tr w:rsidR="00F74E13" w14:paraId="1CEBE265" w14:textId="77777777">
        <w:trPr>
          <w:trHeight w:val="302"/>
          <w:jc w:val="center"/>
        </w:trPr>
        <w:tc>
          <w:tcPr>
            <w:tcW w:w="1437" w:type="dxa"/>
            <w:shd w:val="clear" w:color="auto" w:fill="C6EFCE"/>
            <w:noWrap/>
          </w:tcPr>
          <w:p w14:paraId="1CEBE261" w14:textId="77777777" w:rsidR="00F74E13" w:rsidRDefault="009274FC">
            <w:pPr>
              <w:pStyle w:val="P68B1DB1-Normal15"/>
              <w:spacing w:after="0" w:line="240" w:lineRule="auto"/>
              <w:jc w:val="center"/>
              <w:rPr>
                <w:noProof/>
              </w:rPr>
            </w:pPr>
            <w:r>
              <w:rPr>
                <w:noProof/>
              </w:rPr>
              <w:t>1</w:t>
            </w:r>
          </w:p>
        </w:tc>
        <w:tc>
          <w:tcPr>
            <w:tcW w:w="3828" w:type="dxa"/>
            <w:shd w:val="clear" w:color="auto" w:fill="C6EFCE"/>
            <w:noWrap/>
          </w:tcPr>
          <w:p w14:paraId="1CEBE262" w14:textId="77777777" w:rsidR="00F74E13" w:rsidRDefault="009274FC">
            <w:pPr>
              <w:pStyle w:val="P68B1DB1-Normal15"/>
              <w:spacing w:after="0"/>
              <w:jc w:val="both"/>
              <w:rPr>
                <w:noProof/>
              </w:rPr>
            </w:pPr>
            <w:r>
              <w:rPr>
                <w:noProof/>
              </w:rPr>
              <w:t xml:space="preserve">C1.R1 </w:t>
            </w:r>
            <w:r>
              <w:rPr>
                <w:noProof/>
                <w:szCs w:val="20"/>
              </w:rPr>
              <w:t>Réforme de l'enseignement préscolaire et scolaire et de l'enseignement et de la formation professionnels</w:t>
            </w:r>
          </w:p>
        </w:tc>
        <w:tc>
          <w:tcPr>
            <w:tcW w:w="1275" w:type="dxa"/>
            <w:shd w:val="clear" w:color="auto" w:fill="C6EFCE"/>
            <w:noWrap/>
          </w:tcPr>
          <w:p w14:paraId="1CEBE263"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64" w14:textId="4127B570" w:rsidR="00F74E13" w:rsidRDefault="009274FC">
            <w:pPr>
              <w:pStyle w:val="P68B1DB1-Normal15"/>
              <w:spacing w:after="0" w:line="240" w:lineRule="auto"/>
              <w:rPr>
                <w:noProof/>
              </w:rPr>
            </w:pPr>
            <w:r>
              <w:rPr>
                <w:noProof/>
              </w:rPr>
              <w:t>Entrée en vigueur des modifications apportées à la loi sur l'enseignement préscolaire et scolaire et au droit dérivé</w:t>
            </w:r>
          </w:p>
        </w:tc>
      </w:tr>
      <w:tr w:rsidR="00F74E13" w14:paraId="1CEBE26A" w14:textId="77777777">
        <w:trPr>
          <w:trHeight w:val="302"/>
          <w:jc w:val="center"/>
        </w:trPr>
        <w:tc>
          <w:tcPr>
            <w:tcW w:w="1437" w:type="dxa"/>
            <w:shd w:val="clear" w:color="auto" w:fill="C6EFCE"/>
            <w:noWrap/>
          </w:tcPr>
          <w:p w14:paraId="1CEBE266" w14:textId="77777777" w:rsidR="00F74E13" w:rsidRDefault="009274FC">
            <w:pPr>
              <w:pStyle w:val="P68B1DB1-Normal15"/>
              <w:spacing w:after="0" w:line="240" w:lineRule="auto"/>
              <w:jc w:val="center"/>
              <w:rPr>
                <w:noProof/>
              </w:rPr>
            </w:pPr>
            <w:r>
              <w:rPr>
                <w:noProof/>
              </w:rPr>
              <w:t>5</w:t>
            </w:r>
          </w:p>
        </w:tc>
        <w:tc>
          <w:tcPr>
            <w:tcW w:w="3828" w:type="dxa"/>
            <w:shd w:val="clear" w:color="auto" w:fill="C6EFCE"/>
            <w:noWrap/>
          </w:tcPr>
          <w:p w14:paraId="1CEBE267" w14:textId="77777777" w:rsidR="00F74E13" w:rsidRDefault="009274FC">
            <w:pPr>
              <w:pStyle w:val="P68B1DB1-Normal15"/>
              <w:spacing w:after="0"/>
              <w:jc w:val="both"/>
              <w:rPr>
                <w:noProof/>
              </w:rPr>
            </w:pPr>
            <w:r>
              <w:rPr>
                <w:noProof/>
              </w:rPr>
              <w:t>C1.R2 Réforme de l'enseignement supérieur</w:t>
            </w:r>
          </w:p>
        </w:tc>
        <w:tc>
          <w:tcPr>
            <w:tcW w:w="1275" w:type="dxa"/>
            <w:shd w:val="clear" w:color="auto" w:fill="C6EFCE"/>
            <w:noWrap/>
          </w:tcPr>
          <w:p w14:paraId="1CEBE268"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69" w14:textId="77777777" w:rsidR="00F74E13" w:rsidRDefault="009274FC">
            <w:pPr>
              <w:pStyle w:val="P68B1DB1-Normal15"/>
              <w:spacing w:after="0" w:line="240" w:lineRule="auto"/>
              <w:rPr>
                <w:noProof/>
              </w:rPr>
            </w:pPr>
            <w:r>
              <w:rPr>
                <w:noProof/>
              </w:rPr>
              <w:t>Entrée en vigueur des amendements à la loi sur l'enseignement supérieur</w:t>
            </w:r>
          </w:p>
        </w:tc>
      </w:tr>
      <w:tr w:rsidR="00F74E13" w14:paraId="1CEBE26F" w14:textId="77777777">
        <w:trPr>
          <w:trHeight w:val="302"/>
          <w:jc w:val="center"/>
        </w:trPr>
        <w:tc>
          <w:tcPr>
            <w:tcW w:w="1437" w:type="dxa"/>
            <w:shd w:val="clear" w:color="auto" w:fill="C6EFCE"/>
            <w:noWrap/>
          </w:tcPr>
          <w:p w14:paraId="1CEBE26B" w14:textId="77777777" w:rsidR="00F74E13" w:rsidRDefault="009274FC">
            <w:pPr>
              <w:pStyle w:val="P68B1DB1-Normal15"/>
              <w:spacing w:after="0" w:line="240" w:lineRule="auto"/>
              <w:jc w:val="center"/>
              <w:rPr>
                <w:noProof/>
              </w:rPr>
            </w:pPr>
            <w:r>
              <w:rPr>
                <w:noProof/>
              </w:rPr>
              <w:t>6</w:t>
            </w:r>
          </w:p>
        </w:tc>
        <w:tc>
          <w:tcPr>
            <w:tcW w:w="3828" w:type="dxa"/>
            <w:shd w:val="clear" w:color="auto" w:fill="C6EFCE"/>
            <w:noWrap/>
          </w:tcPr>
          <w:p w14:paraId="1CEBE26C" w14:textId="77777777" w:rsidR="00F74E13" w:rsidRDefault="009274FC">
            <w:pPr>
              <w:pStyle w:val="P68B1DB1-Normal15"/>
              <w:spacing w:after="0"/>
              <w:jc w:val="both"/>
              <w:rPr>
                <w:noProof/>
              </w:rPr>
            </w:pPr>
            <w:r>
              <w:rPr>
                <w:noProof/>
              </w:rPr>
              <w:t>C1.R2 Réforme de l'enseignement supérieur</w:t>
            </w:r>
          </w:p>
        </w:tc>
        <w:tc>
          <w:tcPr>
            <w:tcW w:w="1275" w:type="dxa"/>
            <w:shd w:val="clear" w:color="auto" w:fill="C6EFCE"/>
            <w:noWrap/>
          </w:tcPr>
          <w:p w14:paraId="1CEBE26D"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6E" w14:textId="77777777" w:rsidR="00F74E13" w:rsidRDefault="009274FC">
            <w:pPr>
              <w:pStyle w:val="P68B1DB1-Normal15"/>
              <w:spacing w:after="0" w:line="240" w:lineRule="auto"/>
              <w:jc w:val="both"/>
              <w:rPr>
                <w:noProof/>
              </w:rPr>
            </w:pPr>
            <w:r>
              <w:rPr>
                <w:noProof/>
              </w:rPr>
              <w:t>Carte nationale de l'enseignement supérieur</w:t>
            </w:r>
          </w:p>
        </w:tc>
      </w:tr>
      <w:tr w:rsidR="00F74E13" w14:paraId="1CEBE274" w14:textId="77777777">
        <w:trPr>
          <w:trHeight w:val="302"/>
          <w:jc w:val="center"/>
        </w:trPr>
        <w:tc>
          <w:tcPr>
            <w:tcW w:w="1437" w:type="dxa"/>
            <w:shd w:val="clear" w:color="auto" w:fill="C6EFCE"/>
            <w:noWrap/>
          </w:tcPr>
          <w:p w14:paraId="1CEBE270" w14:textId="77777777" w:rsidR="00F74E13" w:rsidRDefault="009274FC">
            <w:pPr>
              <w:pStyle w:val="P68B1DB1-Normal15"/>
              <w:spacing w:after="0" w:line="240" w:lineRule="auto"/>
              <w:jc w:val="center"/>
              <w:rPr>
                <w:noProof/>
              </w:rPr>
            </w:pPr>
            <w:r>
              <w:rPr>
                <w:noProof/>
              </w:rPr>
              <w:t>35</w:t>
            </w:r>
          </w:p>
        </w:tc>
        <w:tc>
          <w:tcPr>
            <w:tcW w:w="3828" w:type="dxa"/>
            <w:shd w:val="clear" w:color="auto" w:fill="C6EFCE"/>
            <w:noWrap/>
            <w:vAlign w:val="center"/>
          </w:tcPr>
          <w:p w14:paraId="1CEBE271" w14:textId="77777777" w:rsidR="00F74E13" w:rsidRDefault="009274FC">
            <w:pPr>
              <w:pStyle w:val="P68B1DB1-Normal15"/>
              <w:spacing w:after="0"/>
              <w:jc w:val="both"/>
              <w:rPr>
                <w:noProof/>
              </w:rPr>
            </w:pPr>
            <w:r>
              <w:rPr>
                <w:noProof/>
              </w:rPr>
              <w:t xml:space="preserve">C3.R1 </w:t>
            </w:r>
            <w:r>
              <w:rPr>
                <w:noProof/>
                <w:szCs w:val="20"/>
              </w:rPr>
              <w:t>Cadre juridique pour attirer les investissements industriels et développer les écosystèmes industriels</w:t>
            </w:r>
          </w:p>
        </w:tc>
        <w:tc>
          <w:tcPr>
            <w:tcW w:w="1275" w:type="dxa"/>
            <w:shd w:val="clear" w:color="auto" w:fill="C6EFCE"/>
            <w:noWrap/>
            <w:vAlign w:val="center"/>
          </w:tcPr>
          <w:p w14:paraId="1CEBE272"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73" w14:textId="77777777" w:rsidR="00F74E13" w:rsidRDefault="009274FC">
            <w:pPr>
              <w:pStyle w:val="P68B1DB1-Normal15"/>
              <w:spacing w:after="0" w:line="240" w:lineRule="auto"/>
              <w:jc w:val="both"/>
              <w:rPr>
                <w:noProof/>
              </w:rPr>
            </w:pPr>
            <w:r>
              <w:rPr>
                <w:noProof/>
              </w:rPr>
              <w:t>Entrée en vigueur de la nouvelle loi sur les parcs industriels</w:t>
            </w:r>
          </w:p>
        </w:tc>
      </w:tr>
      <w:tr w:rsidR="00F74E13" w14:paraId="1CEBE279" w14:textId="77777777">
        <w:trPr>
          <w:trHeight w:val="302"/>
          <w:jc w:val="center"/>
        </w:trPr>
        <w:tc>
          <w:tcPr>
            <w:tcW w:w="1437" w:type="dxa"/>
            <w:shd w:val="clear" w:color="auto" w:fill="C6EFCE"/>
            <w:noWrap/>
          </w:tcPr>
          <w:p w14:paraId="1CEBE275" w14:textId="77777777" w:rsidR="00F74E13" w:rsidRDefault="009274FC">
            <w:pPr>
              <w:pStyle w:val="P68B1DB1-Normal15"/>
              <w:spacing w:after="0" w:line="240" w:lineRule="auto"/>
              <w:jc w:val="center"/>
              <w:rPr>
                <w:noProof/>
              </w:rPr>
            </w:pPr>
            <w:r>
              <w:rPr>
                <w:noProof/>
              </w:rPr>
              <w:t>113</w:t>
            </w:r>
          </w:p>
        </w:tc>
        <w:tc>
          <w:tcPr>
            <w:tcW w:w="3828" w:type="dxa"/>
            <w:shd w:val="clear" w:color="auto" w:fill="C6EFCE"/>
            <w:noWrap/>
          </w:tcPr>
          <w:p w14:paraId="1CEBE276" w14:textId="77777777" w:rsidR="00F74E13" w:rsidRDefault="009274FC">
            <w:pPr>
              <w:pStyle w:val="P68B1DB1-Normal15"/>
              <w:spacing w:after="0" w:line="240" w:lineRule="auto"/>
              <w:rPr>
                <w:noProof/>
              </w:rPr>
            </w:pPr>
            <w:r>
              <w:rPr>
                <w:noProof/>
              </w:rPr>
              <w:t>C4.R9 Feuille de route pour la neutralité climatique</w:t>
            </w:r>
          </w:p>
        </w:tc>
        <w:tc>
          <w:tcPr>
            <w:tcW w:w="1275" w:type="dxa"/>
            <w:shd w:val="clear" w:color="auto" w:fill="C6EFCE"/>
            <w:noWrap/>
          </w:tcPr>
          <w:p w14:paraId="1CEBE277"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78" w14:textId="77777777" w:rsidR="00F74E13" w:rsidRDefault="009274FC">
            <w:pPr>
              <w:pStyle w:val="P68B1DB1-Normal15"/>
              <w:spacing w:after="0" w:line="240" w:lineRule="auto"/>
              <w:rPr>
                <w:noProof/>
              </w:rPr>
            </w:pPr>
            <w:r>
              <w:rPr>
                <w:noProof/>
              </w:rPr>
              <w:t>Entrée en vigueur de la décision du gouvernement instituant la Commission pour la transition énergétique verte</w:t>
            </w:r>
          </w:p>
        </w:tc>
      </w:tr>
      <w:tr w:rsidR="00F74E13" w14:paraId="1CEBE27E" w14:textId="77777777">
        <w:trPr>
          <w:trHeight w:val="302"/>
          <w:jc w:val="center"/>
        </w:trPr>
        <w:tc>
          <w:tcPr>
            <w:tcW w:w="1437" w:type="dxa"/>
            <w:shd w:val="clear" w:color="auto" w:fill="C6EFCE"/>
            <w:noWrap/>
          </w:tcPr>
          <w:p w14:paraId="1CEBE27A" w14:textId="77777777" w:rsidR="00F74E13" w:rsidRDefault="009274FC">
            <w:pPr>
              <w:pStyle w:val="P68B1DB1-Normal15"/>
              <w:spacing w:after="0" w:line="240" w:lineRule="auto"/>
              <w:jc w:val="center"/>
              <w:rPr>
                <w:noProof/>
              </w:rPr>
            </w:pPr>
            <w:r>
              <w:rPr>
                <w:noProof/>
              </w:rPr>
              <w:t>137</w:t>
            </w:r>
          </w:p>
        </w:tc>
        <w:tc>
          <w:tcPr>
            <w:tcW w:w="3828" w:type="dxa"/>
            <w:shd w:val="clear" w:color="auto" w:fill="C6EFCE"/>
            <w:noWrap/>
          </w:tcPr>
          <w:p w14:paraId="1CEBE27B" w14:textId="77777777" w:rsidR="00F74E13" w:rsidRDefault="009274FC">
            <w:pPr>
              <w:pStyle w:val="P68B1DB1-Normal15"/>
              <w:spacing w:after="0" w:line="240" w:lineRule="auto"/>
              <w:jc w:val="both"/>
              <w:rPr>
                <w:noProof/>
              </w:rPr>
            </w:pPr>
            <w:r>
              <w:rPr>
                <w:noProof/>
              </w:rPr>
              <w:t>C7.R2 Affectation du spectre des radiofréquences</w:t>
            </w:r>
          </w:p>
        </w:tc>
        <w:tc>
          <w:tcPr>
            <w:tcW w:w="1275" w:type="dxa"/>
            <w:shd w:val="clear" w:color="auto" w:fill="C6EFCE"/>
            <w:noWrap/>
          </w:tcPr>
          <w:p w14:paraId="1CEBE27C" w14:textId="77777777" w:rsidR="00F74E13" w:rsidRDefault="009274FC">
            <w:pPr>
              <w:pStyle w:val="P68B1DB1-Normal15"/>
              <w:spacing w:after="0" w:line="276" w:lineRule="auto"/>
              <w:jc w:val="center"/>
              <w:rPr>
                <w:noProof/>
              </w:rPr>
            </w:pPr>
            <w:r>
              <w:rPr>
                <w:noProof/>
              </w:rPr>
              <w:t>Étape</w:t>
            </w:r>
          </w:p>
        </w:tc>
        <w:tc>
          <w:tcPr>
            <w:tcW w:w="3138" w:type="dxa"/>
            <w:shd w:val="clear" w:color="auto" w:fill="C6EFCE"/>
            <w:noWrap/>
          </w:tcPr>
          <w:p w14:paraId="1CEBE27D" w14:textId="77777777" w:rsidR="00F74E13" w:rsidRDefault="009274FC">
            <w:pPr>
              <w:pStyle w:val="P68B1DB1-Normal15"/>
              <w:spacing w:after="0" w:line="240" w:lineRule="auto"/>
              <w:rPr>
                <w:noProof/>
              </w:rPr>
            </w:pPr>
            <w:r>
              <w:rPr>
                <w:noProof/>
              </w:rPr>
              <w:t>Entrée en vigueur du décret sur la réduction des redevances du spectre</w:t>
            </w:r>
          </w:p>
        </w:tc>
      </w:tr>
      <w:tr w:rsidR="00F74E13" w14:paraId="1CEBE283" w14:textId="77777777">
        <w:trPr>
          <w:trHeight w:val="302"/>
          <w:jc w:val="center"/>
        </w:trPr>
        <w:tc>
          <w:tcPr>
            <w:tcW w:w="1437" w:type="dxa"/>
            <w:shd w:val="clear" w:color="auto" w:fill="C6EFCE"/>
            <w:noWrap/>
          </w:tcPr>
          <w:p w14:paraId="1CEBE27F" w14:textId="77777777" w:rsidR="00F74E13" w:rsidRDefault="009274FC">
            <w:pPr>
              <w:pStyle w:val="P68B1DB1-Normal15"/>
              <w:spacing w:after="0" w:line="240" w:lineRule="auto"/>
              <w:jc w:val="center"/>
              <w:rPr>
                <w:noProof/>
              </w:rPr>
            </w:pPr>
            <w:r>
              <w:rPr>
                <w:noProof/>
              </w:rPr>
              <w:t>140</w:t>
            </w:r>
          </w:p>
        </w:tc>
        <w:tc>
          <w:tcPr>
            <w:tcW w:w="3828" w:type="dxa"/>
            <w:shd w:val="clear" w:color="auto" w:fill="C6EFCE"/>
            <w:noWrap/>
          </w:tcPr>
          <w:p w14:paraId="1CEBE280" w14:textId="77777777" w:rsidR="00F74E13" w:rsidRDefault="009274FC">
            <w:pPr>
              <w:pStyle w:val="P68B1DB1-Normal15"/>
              <w:spacing w:after="0" w:line="240" w:lineRule="auto"/>
              <w:jc w:val="both"/>
              <w:rPr>
                <w:noProof/>
              </w:rPr>
            </w:pPr>
            <w:r>
              <w:rPr>
                <w:noProof/>
              </w:rPr>
              <w:t>C7.R3 Créer un environnement favorable à l'investissement</w:t>
            </w:r>
          </w:p>
        </w:tc>
        <w:tc>
          <w:tcPr>
            <w:tcW w:w="1275" w:type="dxa"/>
            <w:shd w:val="clear" w:color="auto" w:fill="C6EFCE"/>
            <w:noWrap/>
          </w:tcPr>
          <w:p w14:paraId="1CEBE281"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82" w14:textId="77777777" w:rsidR="00F74E13" w:rsidRDefault="009274FC">
            <w:pPr>
              <w:pStyle w:val="P68B1DB1-Normal15"/>
              <w:spacing w:after="0" w:line="240" w:lineRule="auto"/>
              <w:rPr>
                <w:noProof/>
              </w:rPr>
            </w:pPr>
            <w:r>
              <w:rPr>
                <w:noProof/>
              </w:rPr>
              <w:t>Entrée en vigueur des modifications législatives mettant en œuvre les recommandations de la boîte à outils pour la connectivité</w:t>
            </w:r>
          </w:p>
        </w:tc>
      </w:tr>
      <w:tr w:rsidR="00F74E13" w14:paraId="1CEBE288" w14:textId="77777777">
        <w:trPr>
          <w:trHeight w:val="302"/>
          <w:jc w:val="center"/>
        </w:trPr>
        <w:tc>
          <w:tcPr>
            <w:tcW w:w="1437" w:type="dxa"/>
            <w:shd w:val="clear" w:color="auto" w:fill="C6EFCE"/>
            <w:noWrap/>
          </w:tcPr>
          <w:p w14:paraId="1CEBE284" w14:textId="77777777" w:rsidR="00F74E13" w:rsidRDefault="009274FC">
            <w:pPr>
              <w:pStyle w:val="P68B1DB1-Normal15"/>
              <w:spacing w:after="0" w:line="240" w:lineRule="auto"/>
              <w:jc w:val="center"/>
              <w:rPr>
                <w:noProof/>
              </w:rPr>
            </w:pPr>
            <w:r>
              <w:rPr>
                <w:noProof/>
              </w:rPr>
              <w:t>148</w:t>
            </w:r>
          </w:p>
        </w:tc>
        <w:tc>
          <w:tcPr>
            <w:tcW w:w="3828" w:type="dxa"/>
            <w:shd w:val="clear" w:color="auto" w:fill="C6EFCE"/>
            <w:noWrap/>
          </w:tcPr>
          <w:p w14:paraId="1CEBE285" w14:textId="77777777" w:rsidR="00F74E13" w:rsidRDefault="009274FC">
            <w:pPr>
              <w:pStyle w:val="P68B1DB1-Normal15"/>
              <w:spacing w:after="0" w:line="240" w:lineRule="auto"/>
              <w:jc w:val="both"/>
              <w:rPr>
                <w:noProof/>
              </w:rPr>
            </w:pPr>
            <w:r>
              <w:rPr>
                <w:noProof/>
              </w:rPr>
              <w:t>Système C7.I2 TETRA et réseau de relais radio</w:t>
            </w:r>
          </w:p>
        </w:tc>
        <w:tc>
          <w:tcPr>
            <w:tcW w:w="1275" w:type="dxa"/>
            <w:shd w:val="clear" w:color="auto" w:fill="C6EFCE"/>
            <w:noWrap/>
          </w:tcPr>
          <w:p w14:paraId="1CEBE286"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87" w14:textId="77777777" w:rsidR="00F74E13" w:rsidRDefault="009274FC">
            <w:pPr>
              <w:pStyle w:val="P68B1DB1-Normal15"/>
              <w:spacing w:after="0" w:line="240" w:lineRule="auto"/>
              <w:rPr>
                <w:noProof/>
              </w:rPr>
            </w:pPr>
            <w:r>
              <w:rPr>
                <w:noProof/>
              </w:rPr>
              <w:t>Attribution de contrats pour le développement du système TETRA et du réseau de relais radio</w:t>
            </w:r>
          </w:p>
        </w:tc>
      </w:tr>
      <w:tr w:rsidR="00F74E13" w14:paraId="1CEBE28D" w14:textId="77777777">
        <w:trPr>
          <w:trHeight w:val="302"/>
          <w:jc w:val="center"/>
        </w:trPr>
        <w:tc>
          <w:tcPr>
            <w:tcW w:w="1437" w:type="dxa"/>
            <w:shd w:val="clear" w:color="auto" w:fill="C6EFCE"/>
            <w:noWrap/>
          </w:tcPr>
          <w:p w14:paraId="1CEBE289" w14:textId="77777777" w:rsidR="00F74E13" w:rsidRDefault="009274FC">
            <w:pPr>
              <w:pStyle w:val="P68B1DB1-Normal15"/>
              <w:spacing w:after="0" w:line="240" w:lineRule="auto"/>
              <w:jc w:val="center"/>
              <w:rPr>
                <w:noProof/>
              </w:rPr>
            </w:pPr>
            <w:r>
              <w:rPr>
                <w:noProof/>
              </w:rPr>
              <w:t>161</w:t>
            </w:r>
          </w:p>
        </w:tc>
        <w:tc>
          <w:tcPr>
            <w:tcW w:w="3828" w:type="dxa"/>
            <w:shd w:val="clear" w:color="auto" w:fill="C6EFCE"/>
            <w:noWrap/>
          </w:tcPr>
          <w:p w14:paraId="1CEBE28A" w14:textId="77777777" w:rsidR="00F74E13" w:rsidRDefault="009274FC">
            <w:pPr>
              <w:pStyle w:val="P68B1DB1-Normal15"/>
              <w:spacing w:after="0" w:line="240" w:lineRule="auto"/>
              <w:jc w:val="both"/>
              <w:rPr>
                <w:noProof/>
              </w:rPr>
            </w:pPr>
            <w:r>
              <w:rPr>
                <w:noProof/>
              </w:rPr>
              <w:t>C8.R1 Cadre stratégique des transports</w:t>
            </w:r>
          </w:p>
        </w:tc>
        <w:tc>
          <w:tcPr>
            <w:tcW w:w="1275" w:type="dxa"/>
            <w:shd w:val="clear" w:color="auto" w:fill="C6EFCE"/>
            <w:noWrap/>
          </w:tcPr>
          <w:p w14:paraId="1CEBE28B"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8C" w14:textId="77777777" w:rsidR="00F74E13" w:rsidRDefault="009274FC">
            <w:pPr>
              <w:pStyle w:val="P68B1DB1-Normal15"/>
              <w:spacing w:after="0" w:line="240" w:lineRule="auto"/>
              <w:rPr>
                <w:noProof/>
              </w:rPr>
            </w:pPr>
            <w:r>
              <w:rPr>
                <w:noProof/>
              </w:rPr>
              <w:t>Entrée en vigueur du plan national pour le développement du transport combiné en Bulgarie d’ici à 2030</w:t>
            </w:r>
          </w:p>
        </w:tc>
      </w:tr>
      <w:tr w:rsidR="00F74E13" w14:paraId="1CEBE292" w14:textId="77777777">
        <w:trPr>
          <w:trHeight w:val="302"/>
          <w:jc w:val="center"/>
        </w:trPr>
        <w:tc>
          <w:tcPr>
            <w:tcW w:w="1437" w:type="dxa"/>
            <w:shd w:val="clear" w:color="auto" w:fill="C6EFCE"/>
            <w:noWrap/>
          </w:tcPr>
          <w:p w14:paraId="1CEBE28E" w14:textId="77777777" w:rsidR="00F74E13" w:rsidRDefault="009274FC">
            <w:pPr>
              <w:pStyle w:val="P68B1DB1-Normal15"/>
              <w:spacing w:after="0" w:line="240" w:lineRule="auto"/>
              <w:jc w:val="center"/>
              <w:rPr>
                <w:noProof/>
              </w:rPr>
            </w:pPr>
            <w:r>
              <w:rPr>
                <w:noProof/>
              </w:rPr>
              <w:t>169</w:t>
            </w:r>
          </w:p>
        </w:tc>
        <w:tc>
          <w:tcPr>
            <w:tcW w:w="3828" w:type="dxa"/>
            <w:shd w:val="clear" w:color="auto" w:fill="C6EFCE"/>
            <w:noWrap/>
          </w:tcPr>
          <w:p w14:paraId="1CEBE28F" w14:textId="77777777" w:rsidR="00F74E13" w:rsidRDefault="009274FC">
            <w:pPr>
              <w:pStyle w:val="P68B1DB1-Normal15"/>
              <w:spacing w:after="0" w:line="240" w:lineRule="auto"/>
              <w:jc w:val="both"/>
              <w:rPr>
                <w:noProof/>
              </w:rPr>
            </w:pPr>
            <w:r>
              <w:rPr>
                <w:noProof/>
              </w:rPr>
              <w:t>C8.R2 Sécurité routière</w:t>
            </w:r>
          </w:p>
        </w:tc>
        <w:tc>
          <w:tcPr>
            <w:tcW w:w="1275" w:type="dxa"/>
            <w:shd w:val="clear" w:color="auto" w:fill="C6EFCE"/>
            <w:noWrap/>
          </w:tcPr>
          <w:p w14:paraId="1CEBE290"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91" w14:textId="77777777" w:rsidR="00F74E13" w:rsidRDefault="009274FC">
            <w:pPr>
              <w:pStyle w:val="P68B1DB1-Normal15"/>
              <w:spacing w:after="0" w:line="240" w:lineRule="auto"/>
              <w:jc w:val="both"/>
              <w:rPr>
                <w:noProof/>
              </w:rPr>
            </w:pPr>
            <w:r>
              <w:rPr>
                <w:noProof/>
              </w:rPr>
              <w:t>Nouvelle stratégie de sécurité routière et son plan d'action</w:t>
            </w:r>
          </w:p>
        </w:tc>
      </w:tr>
      <w:tr w:rsidR="00F74E13" w14:paraId="1CEBE297" w14:textId="77777777">
        <w:trPr>
          <w:trHeight w:val="302"/>
          <w:jc w:val="center"/>
        </w:trPr>
        <w:tc>
          <w:tcPr>
            <w:tcW w:w="1437" w:type="dxa"/>
            <w:shd w:val="clear" w:color="auto" w:fill="C6EFCE"/>
            <w:noWrap/>
          </w:tcPr>
          <w:p w14:paraId="1CEBE293" w14:textId="77777777" w:rsidR="00F74E13" w:rsidRDefault="009274FC">
            <w:pPr>
              <w:pStyle w:val="P68B1DB1-Normal15"/>
              <w:spacing w:after="0" w:line="240" w:lineRule="auto"/>
              <w:jc w:val="center"/>
              <w:rPr>
                <w:noProof/>
              </w:rPr>
            </w:pPr>
            <w:r>
              <w:rPr>
                <w:noProof/>
              </w:rPr>
              <w:t>199</w:t>
            </w:r>
          </w:p>
        </w:tc>
        <w:tc>
          <w:tcPr>
            <w:tcW w:w="3828" w:type="dxa"/>
            <w:shd w:val="clear" w:color="auto" w:fill="C6EFCE"/>
            <w:noWrap/>
          </w:tcPr>
          <w:p w14:paraId="1CEBE294" w14:textId="77777777" w:rsidR="00F74E13" w:rsidRDefault="009274FC">
            <w:pPr>
              <w:pStyle w:val="P68B1DB1-Normal15"/>
              <w:spacing w:after="0" w:line="240" w:lineRule="auto"/>
              <w:jc w:val="both"/>
              <w:rPr>
                <w:noProof/>
              </w:rPr>
            </w:pPr>
            <w:r>
              <w:rPr>
                <w:noProof/>
              </w:rPr>
              <w:t>C8.I6 Ligne 3 du métro de Sofia</w:t>
            </w:r>
          </w:p>
        </w:tc>
        <w:tc>
          <w:tcPr>
            <w:tcW w:w="1275" w:type="dxa"/>
            <w:shd w:val="clear" w:color="auto" w:fill="C6EFCE"/>
            <w:noWrap/>
          </w:tcPr>
          <w:p w14:paraId="1CEBE295"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96" w14:textId="77777777" w:rsidR="00F74E13" w:rsidRDefault="009274FC">
            <w:pPr>
              <w:pStyle w:val="P68B1DB1-Normal35"/>
              <w:spacing w:after="0" w:line="240" w:lineRule="auto"/>
              <w:rPr>
                <w:noProof/>
              </w:rPr>
            </w:pPr>
            <w:r>
              <w:rPr>
                <w:noProof/>
              </w:rPr>
              <w:t>Contrats relatifs à la construction de nouveaux tronçons de la ligne 3 du métro de Sofia à la suite d’un appel d’offres ouvert et concurrentiel</w:t>
            </w:r>
          </w:p>
        </w:tc>
      </w:tr>
      <w:tr w:rsidR="00F74E13" w14:paraId="1CEBE29C" w14:textId="77777777">
        <w:trPr>
          <w:trHeight w:val="302"/>
          <w:jc w:val="center"/>
        </w:trPr>
        <w:tc>
          <w:tcPr>
            <w:tcW w:w="1437" w:type="dxa"/>
            <w:shd w:val="clear" w:color="auto" w:fill="C6EFCE"/>
            <w:noWrap/>
            <w:hideMark/>
          </w:tcPr>
          <w:p w14:paraId="1CEBE298" w14:textId="77777777" w:rsidR="00F74E13" w:rsidRDefault="009274FC">
            <w:pPr>
              <w:pStyle w:val="P68B1DB1-Normal15"/>
              <w:spacing w:after="0" w:line="240" w:lineRule="auto"/>
              <w:jc w:val="center"/>
              <w:rPr>
                <w:noProof/>
              </w:rPr>
            </w:pPr>
            <w:r>
              <w:rPr>
                <w:noProof/>
              </w:rPr>
              <w:t>207</w:t>
            </w:r>
          </w:p>
        </w:tc>
        <w:tc>
          <w:tcPr>
            <w:tcW w:w="3828" w:type="dxa"/>
            <w:shd w:val="clear" w:color="auto" w:fill="C6EFCE"/>
            <w:noWrap/>
            <w:hideMark/>
          </w:tcPr>
          <w:p w14:paraId="1CEBE299" w14:textId="77777777" w:rsidR="00F74E13" w:rsidRDefault="009274FC">
            <w:pPr>
              <w:pStyle w:val="P68B1DB1-Normal15"/>
              <w:spacing w:after="0" w:line="240" w:lineRule="auto"/>
              <w:jc w:val="both"/>
              <w:rPr>
                <w:noProof/>
              </w:rPr>
            </w:pPr>
            <w:r>
              <w:rPr>
                <w:noProof/>
              </w:rPr>
              <w:t>C9.R1 Une nouvelle approche régionale impliquant directement les communautés locales dans la gestion des fonds et instruments européens</w:t>
            </w:r>
          </w:p>
        </w:tc>
        <w:tc>
          <w:tcPr>
            <w:tcW w:w="1275" w:type="dxa"/>
            <w:shd w:val="clear" w:color="auto" w:fill="C6EFCE"/>
            <w:noWrap/>
            <w:hideMark/>
          </w:tcPr>
          <w:p w14:paraId="1CEBE29A"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hideMark/>
          </w:tcPr>
          <w:p w14:paraId="1CEBE29B" w14:textId="77777777" w:rsidR="00F74E13" w:rsidRDefault="009274FC">
            <w:pPr>
              <w:pStyle w:val="P68B1DB1-Normal15"/>
              <w:spacing w:after="0" w:line="240" w:lineRule="auto"/>
              <w:rPr>
                <w:rFonts w:eastAsia="MS Mincho" w:cs="Arial"/>
                <w:noProof/>
                <w:szCs w:val="20"/>
              </w:rPr>
            </w:pPr>
            <w:r>
              <w:rPr>
                <w:noProof/>
              </w:rPr>
              <w:t>Modifications du cadre réglementaire relatif à la gestion du financement de l’UE</w:t>
            </w:r>
          </w:p>
        </w:tc>
      </w:tr>
      <w:tr w:rsidR="00F74E13" w14:paraId="1CEBE2A1" w14:textId="77777777">
        <w:trPr>
          <w:trHeight w:val="302"/>
          <w:jc w:val="center"/>
        </w:trPr>
        <w:tc>
          <w:tcPr>
            <w:tcW w:w="1437" w:type="dxa"/>
            <w:shd w:val="clear" w:color="auto" w:fill="C6EFCE"/>
            <w:noWrap/>
          </w:tcPr>
          <w:p w14:paraId="1CEBE29D" w14:textId="77777777" w:rsidR="00F74E13" w:rsidRDefault="009274FC">
            <w:pPr>
              <w:pStyle w:val="P68B1DB1-Normal15"/>
              <w:spacing w:after="0" w:line="240" w:lineRule="auto"/>
              <w:jc w:val="center"/>
              <w:rPr>
                <w:noProof/>
              </w:rPr>
            </w:pPr>
            <w:r>
              <w:rPr>
                <w:noProof/>
              </w:rPr>
              <w:t>213</w:t>
            </w:r>
          </w:p>
        </w:tc>
        <w:tc>
          <w:tcPr>
            <w:tcW w:w="3828" w:type="dxa"/>
            <w:shd w:val="clear" w:color="auto" w:fill="C6EFCE"/>
            <w:noWrap/>
          </w:tcPr>
          <w:p w14:paraId="1CEBE29E" w14:textId="77777777" w:rsidR="00F74E13" w:rsidRDefault="009274FC">
            <w:pPr>
              <w:pStyle w:val="P68B1DB1-Normal35"/>
              <w:spacing w:after="0" w:line="240" w:lineRule="auto"/>
              <w:jc w:val="both"/>
              <w:rPr>
                <w:noProof/>
              </w:rPr>
            </w:pPr>
            <w:r>
              <w:rPr>
                <w:noProof/>
              </w:rPr>
              <w:t>C10.R1 Réforme du système judiciaire</w:t>
            </w:r>
          </w:p>
        </w:tc>
        <w:tc>
          <w:tcPr>
            <w:tcW w:w="1275" w:type="dxa"/>
            <w:shd w:val="clear" w:color="auto" w:fill="C6EFCE"/>
            <w:noWrap/>
          </w:tcPr>
          <w:p w14:paraId="1CEBE29F"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A0" w14:textId="77777777" w:rsidR="00F74E13" w:rsidRDefault="009274FC">
            <w:pPr>
              <w:pStyle w:val="P68B1DB1-Normal15"/>
              <w:spacing w:after="0" w:line="240" w:lineRule="auto"/>
              <w:rPr>
                <w:noProof/>
              </w:rPr>
            </w:pPr>
            <w:r>
              <w:rPr>
                <w:noProof/>
              </w:rPr>
              <w:t>Adoption d'une feuille de route par le Conseil des ministres pour la mise en œuvre des arrêts de la Cour européenne des droits de l'homme</w:t>
            </w:r>
          </w:p>
        </w:tc>
      </w:tr>
      <w:tr w:rsidR="00F74E13" w14:paraId="1CEBE2A6" w14:textId="77777777">
        <w:trPr>
          <w:trHeight w:val="300"/>
          <w:jc w:val="center"/>
        </w:trPr>
        <w:tc>
          <w:tcPr>
            <w:tcW w:w="1437" w:type="dxa"/>
            <w:shd w:val="clear" w:color="auto" w:fill="C6EFCE"/>
            <w:noWrap/>
            <w:hideMark/>
          </w:tcPr>
          <w:p w14:paraId="1CEBE2A2" w14:textId="77777777" w:rsidR="00F74E13" w:rsidRDefault="009274FC">
            <w:pPr>
              <w:pStyle w:val="P68B1DB1-Normal15"/>
              <w:spacing w:after="0" w:line="240" w:lineRule="auto"/>
              <w:jc w:val="center"/>
              <w:rPr>
                <w:noProof/>
              </w:rPr>
            </w:pPr>
            <w:r>
              <w:rPr>
                <w:noProof/>
              </w:rPr>
              <w:t>238</w:t>
            </w:r>
          </w:p>
        </w:tc>
        <w:tc>
          <w:tcPr>
            <w:tcW w:w="3828" w:type="dxa"/>
            <w:shd w:val="clear" w:color="auto" w:fill="C6EFCE"/>
            <w:noWrap/>
            <w:hideMark/>
          </w:tcPr>
          <w:p w14:paraId="1CEBE2A3" w14:textId="77777777" w:rsidR="00F74E13" w:rsidRDefault="009274FC">
            <w:pPr>
              <w:pStyle w:val="P68B1DB1-Normal15"/>
              <w:spacing w:after="0" w:line="240" w:lineRule="auto"/>
              <w:jc w:val="both"/>
              <w:rPr>
                <w:noProof/>
              </w:rPr>
            </w:pPr>
            <w:r>
              <w:rPr>
                <w:noProof/>
              </w:rPr>
              <w:t xml:space="preserve">C10.R8 Mesures concernant le cadre de lutte contre le blanchiment de capitaux </w:t>
            </w:r>
          </w:p>
        </w:tc>
        <w:tc>
          <w:tcPr>
            <w:tcW w:w="1275" w:type="dxa"/>
            <w:shd w:val="clear" w:color="auto" w:fill="C6EFCE"/>
            <w:noWrap/>
            <w:hideMark/>
          </w:tcPr>
          <w:p w14:paraId="1CEBE2A4"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hideMark/>
          </w:tcPr>
          <w:p w14:paraId="1CEBE2A5" w14:textId="77777777" w:rsidR="00F74E13" w:rsidRDefault="009274FC">
            <w:pPr>
              <w:pStyle w:val="P68B1DB1-Normal15"/>
              <w:spacing w:after="0" w:line="240" w:lineRule="auto"/>
              <w:rPr>
                <w:noProof/>
              </w:rPr>
            </w:pPr>
            <w:r>
              <w:rPr>
                <w:noProof/>
              </w:rPr>
              <w:t>Adoption du plan d’action visant à atténuer les risques de blanchiment de capitaux et de financement du terrorisme recensés dans l’évaluation nationale des risques</w:t>
            </w:r>
          </w:p>
        </w:tc>
      </w:tr>
      <w:tr w:rsidR="00F74E13" w14:paraId="1CEBE2AB" w14:textId="77777777">
        <w:trPr>
          <w:trHeight w:val="302"/>
          <w:jc w:val="center"/>
        </w:trPr>
        <w:tc>
          <w:tcPr>
            <w:tcW w:w="1437" w:type="dxa"/>
            <w:shd w:val="clear" w:color="auto" w:fill="C6EFCE"/>
            <w:noWrap/>
            <w:hideMark/>
          </w:tcPr>
          <w:p w14:paraId="1CEBE2A7" w14:textId="77777777" w:rsidR="00F74E13" w:rsidRDefault="009274FC">
            <w:pPr>
              <w:pStyle w:val="P68B1DB1-Normal15"/>
              <w:spacing w:after="0" w:line="240" w:lineRule="auto"/>
              <w:jc w:val="center"/>
              <w:rPr>
                <w:noProof/>
              </w:rPr>
            </w:pPr>
            <w:r>
              <w:rPr>
                <w:noProof/>
              </w:rPr>
              <w:t>241</w:t>
            </w:r>
          </w:p>
        </w:tc>
        <w:tc>
          <w:tcPr>
            <w:tcW w:w="3828" w:type="dxa"/>
            <w:shd w:val="clear" w:color="auto" w:fill="C6EFCE"/>
            <w:noWrap/>
            <w:hideMark/>
          </w:tcPr>
          <w:p w14:paraId="1CEBE2A8" w14:textId="77777777" w:rsidR="00F74E13" w:rsidRDefault="009274FC">
            <w:pPr>
              <w:pStyle w:val="P68B1DB1-Normal15"/>
              <w:spacing w:after="0" w:line="240" w:lineRule="auto"/>
              <w:jc w:val="both"/>
              <w:rPr>
                <w:noProof/>
              </w:rPr>
            </w:pPr>
            <w:r>
              <w:rPr>
                <w:noProof/>
              </w:rPr>
              <w:t>C10.R9 Améliorer la qualité du processus législatif</w:t>
            </w:r>
          </w:p>
        </w:tc>
        <w:tc>
          <w:tcPr>
            <w:tcW w:w="1275" w:type="dxa"/>
            <w:shd w:val="clear" w:color="auto" w:fill="C6EFCE"/>
            <w:noWrap/>
            <w:hideMark/>
          </w:tcPr>
          <w:p w14:paraId="1CEBE2A9" w14:textId="77777777" w:rsidR="00F74E13" w:rsidRDefault="009274FC">
            <w:pPr>
              <w:pStyle w:val="P68B1DB1-Normal35"/>
              <w:spacing w:after="0" w:line="240" w:lineRule="auto"/>
              <w:jc w:val="center"/>
              <w:rPr>
                <w:noProof/>
              </w:rPr>
            </w:pPr>
            <w:r>
              <w:rPr>
                <w:noProof/>
              </w:rPr>
              <w:t>Étape</w:t>
            </w:r>
          </w:p>
        </w:tc>
        <w:tc>
          <w:tcPr>
            <w:tcW w:w="3138" w:type="dxa"/>
            <w:shd w:val="clear" w:color="auto" w:fill="C6EFCE"/>
            <w:noWrap/>
            <w:hideMark/>
          </w:tcPr>
          <w:p w14:paraId="1CEBE2AA" w14:textId="77777777" w:rsidR="00F74E13" w:rsidRDefault="009274FC">
            <w:pPr>
              <w:pStyle w:val="P68B1DB1-Normal15"/>
              <w:spacing w:after="0" w:line="240" w:lineRule="auto"/>
              <w:jc w:val="both"/>
              <w:rPr>
                <w:noProof/>
              </w:rPr>
            </w:pPr>
            <w:r>
              <w:rPr>
                <w:noProof/>
              </w:rPr>
              <w:t xml:space="preserve">Entrée en vigueur des règles d'organisation et d'activité de l'Assemblée nationale </w:t>
            </w:r>
          </w:p>
        </w:tc>
      </w:tr>
      <w:tr w:rsidR="00F74E13" w14:paraId="1CEBE2B0" w14:textId="77777777">
        <w:trPr>
          <w:trHeight w:val="302"/>
          <w:jc w:val="center"/>
        </w:trPr>
        <w:tc>
          <w:tcPr>
            <w:tcW w:w="1437" w:type="dxa"/>
            <w:shd w:val="clear" w:color="auto" w:fill="C6EFCE"/>
            <w:noWrap/>
          </w:tcPr>
          <w:p w14:paraId="1CEBE2AC" w14:textId="77777777" w:rsidR="00F74E13" w:rsidRDefault="009274FC">
            <w:pPr>
              <w:pStyle w:val="P68B1DB1-Normal15"/>
              <w:spacing w:after="0" w:line="240" w:lineRule="auto"/>
              <w:jc w:val="center"/>
              <w:rPr>
                <w:noProof/>
              </w:rPr>
            </w:pPr>
            <w:r>
              <w:rPr>
                <w:noProof/>
              </w:rPr>
              <w:t>279</w:t>
            </w:r>
          </w:p>
        </w:tc>
        <w:tc>
          <w:tcPr>
            <w:tcW w:w="3828" w:type="dxa"/>
            <w:shd w:val="clear" w:color="auto" w:fill="C6EFCE"/>
            <w:noWrap/>
          </w:tcPr>
          <w:p w14:paraId="1CEBE2AD" w14:textId="77777777" w:rsidR="00F74E13" w:rsidRDefault="009274FC">
            <w:pPr>
              <w:pStyle w:val="P68B1DB1-Normal15"/>
              <w:spacing w:after="0" w:line="240" w:lineRule="auto"/>
              <w:jc w:val="both"/>
              <w:rPr>
                <w:noProof/>
              </w:rPr>
            </w:pPr>
            <w:r>
              <w:rPr>
                <w:noProof/>
                <w:szCs w:val="20"/>
              </w:rPr>
              <w:t>C10.I11 Environnement informationnel</w:t>
            </w:r>
            <w:r>
              <w:rPr>
                <w:noProof/>
              </w:rPr>
              <w:t xml:space="preserve"> et administratif pour le plan pour la reprise et la résilience</w:t>
            </w:r>
          </w:p>
        </w:tc>
        <w:tc>
          <w:tcPr>
            <w:tcW w:w="1275" w:type="dxa"/>
            <w:shd w:val="clear" w:color="auto" w:fill="C6EFCE"/>
            <w:noWrap/>
          </w:tcPr>
          <w:p w14:paraId="1CEBE2AE"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AF" w14:textId="028D1AAF" w:rsidR="00F74E13" w:rsidRDefault="009274FC">
            <w:pPr>
              <w:pStyle w:val="P68B1DB1-Normal15"/>
              <w:spacing w:after="0" w:line="240" w:lineRule="auto"/>
              <w:rPr>
                <w:noProof/>
              </w:rPr>
            </w:pPr>
            <w:r>
              <w:rPr>
                <w:noProof/>
              </w:rPr>
              <w:t xml:space="preserve">Mise à disposition d’un système de </w:t>
            </w:r>
            <w:r>
              <w:rPr>
                <w:noProof/>
                <w:szCs w:val="20"/>
              </w:rPr>
              <w:t>répertoire</w:t>
            </w:r>
            <w:r>
              <w:rPr>
                <w:noProof/>
              </w:rPr>
              <w:t xml:space="preserve"> pour le suivi de la mise en œuvre du PRR</w:t>
            </w:r>
          </w:p>
        </w:tc>
      </w:tr>
      <w:tr w:rsidR="00F74E13" w14:paraId="1CEBE2B5" w14:textId="77777777">
        <w:trPr>
          <w:trHeight w:val="302"/>
          <w:jc w:val="center"/>
        </w:trPr>
        <w:tc>
          <w:tcPr>
            <w:tcW w:w="1437" w:type="dxa"/>
            <w:shd w:val="clear" w:color="auto" w:fill="C6EFCE"/>
            <w:noWrap/>
          </w:tcPr>
          <w:p w14:paraId="1CEBE2B1" w14:textId="77777777" w:rsidR="00F74E13" w:rsidRDefault="009274FC">
            <w:pPr>
              <w:pStyle w:val="P68B1DB1-Normal15"/>
              <w:spacing w:after="0" w:line="240" w:lineRule="auto"/>
              <w:jc w:val="center"/>
              <w:rPr>
                <w:noProof/>
              </w:rPr>
            </w:pPr>
            <w:r>
              <w:rPr>
                <w:noProof/>
              </w:rPr>
              <w:t>280</w:t>
            </w:r>
          </w:p>
        </w:tc>
        <w:tc>
          <w:tcPr>
            <w:tcW w:w="3828" w:type="dxa"/>
            <w:shd w:val="clear" w:color="auto" w:fill="C6EFCE"/>
            <w:noWrap/>
          </w:tcPr>
          <w:p w14:paraId="1CEBE2B2" w14:textId="77777777" w:rsidR="00F74E13" w:rsidRDefault="009274FC">
            <w:pPr>
              <w:pStyle w:val="P68B1DB1-Normal15"/>
              <w:spacing w:after="0" w:line="240" w:lineRule="auto"/>
              <w:jc w:val="both"/>
              <w:rPr>
                <w:noProof/>
              </w:rPr>
            </w:pPr>
            <w:r>
              <w:rPr>
                <w:noProof/>
                <w:szCs w:val="20"/>
              </w:rPr>
              <w:t>C10.I11 Environnement informationnel</w:t>
            </w:r>
            <w:r>
              <w:rPr>
                <w:noProof/>
              </w:rPr>
              <w:t xml:space="preserve"> et administratif pour le plan pour la reprise et la résilience</w:t>
            </w:r>
          </w:p>
        </w:tc>
        <w:tc>
          <w:tcPr>
            <w:tcW w:w="1275" w:type="dxa"/>
            <w:shd w:val="clear" w:color="auto" w:fill="C6EFCE"/>
            <w:noWrap/>
          </w:tcPr>
          <w:p w14:paraId="1CEBE2B3" w14:textId="77777777" w:rsidR="00F74E13" w:rsidRDefault="009274FC">
            <w:pPr>
              <w:pStyle w:val="P68B1DB1-Normal15"/>
              <w:spacing w:after="0" w:line="240" w:lineRule="auto"/>
              <w:jc w:val="center"/>
              <w:rPr>
                <w:noProof/>
              </w:rPr>
            </w:pPr>
            <w:r>
              <w:rPr>
                <w:noProof/>
              </w:rPr>
              <w:t>Objectif</w:t>
            </w:r>
          </w:p>
        </w:tc>
        <w:tc>
          <w:tcPr>
            <w:tcW w:w="3138" w:type="dxa"/>
            <w:shd w:val="clear" w:color="auto" w:fill="C6EFCE"/>
            <w:noWrap/>
          </w:tcPr>
          <w:p w14:paraId="1CEBE2B4" w14:textId="77777777" w:rsidR="00F74E13" w:rsidRDefault="009274FC">
            <w:pPr>
              <w:pStyle w:val="P68B1DB1-Normal15"/>
              <w:spacing w:after="0" w:line="240" w:lineRule="auto"/>
              <w:jc w:val="both"/>
              <w:rPr>
                <w:noProof/>
              </w:rPr>
            </w:pPr>
            <w:r>
              <w:rPr>
                <w:noProof/>
              </w:rPr>
              <w:t>Mise à jour des guides vidéo pour couvrir intégralement tous les processus opérationnels du système d’information sur le PRR</w:t>
            </w:r>
          </w:p>
        </w:tc>
      </w:tr>
      <w:tr w:rsidR="00F74E13" w14:paraId="1CEBE2BA" w14:textId="77777777">
        <w:trPr>
          <w:trHeight w:val="302"/>
          <w:jc w:val="center"/>
        </w:trPr>
        <w:tc>
          <w:tcPr>
            <w:tcW w:w="1437" w:type="dxa"/>
            <w:shd w:val="clear" w:color="auto" w:fill="C6EFCE"/>
            <w:noWrap/>
          </w:tcPr>
          <w:p w14:paraId="1CEBE2B6" w14:textId="77777777" w:rsidR="00F74E13" w:rsidRDefault="009274FC">
            <w:pPr>
              <w:pStyle w:val="P68B1DB1-Normal15"/>
              <w:spacing w:after="0" w:line="240" w:lineRule="auto"/>
              <w:jc w:val="center"/>
              <w:rPr>
                <w:noProof/>
              </w:rPr>
            </w:pPr>
            <w:r>
              <w:rPr>
                <w:noProof/>
              </w:rPr>
              <w:t>281</w:t>
            </w:r>
          </w:p>
        </w:tc>
        <w:tc>
          <w:tcPr>
            <w:tcW w:w="3828" w:type="dxa"/>
            <w:shd w:val="clear" w:color="auto" w:fill="C6EFCE"/>
            <w:noWrap/>
          </w:tcPr>
          <w:p w14:paraId="1CEBE2B7" w14:textId="77777777" w:rsidR="00F74E13" w:rsidRDefault="009274FC">
            <w:pPr>
              <w:pStyle w:val="P68B1DB1-Normal15"/>
              <w:spacing w:after="0" w:line="240" w:lineRule="auto"/>
              <w:jc w:val="both"/>
              <w:rPr>
                <w:noProof/>
              </w:rPr>
            </w:pPr>
            <w:r>
              <w:rPr>
                <w:noProof/>
                <w:szCs w:val="20"/>
              </w:rPr>
              <w:t>C10.I11 Environnement informationnel</w:t>
            </w:r>
            <w:r>
              <w:rPr>
                <w:noProof/>
              </w:rPr>
              <w:t xml:space="preserve"> et administratif pour le plan pour la reprise et la résilience</w:t>
            </w:r>
          </w:p>
        </w:tc>
        <w:tc>
          <w:tcPr>
            <w:tcW w:w="1275" w:type="dxa"/>
            <w:shd w:val="clear" w:color="auto" w:fill="C6EFCE"/>
            <w:noWrap/>
          </w:tcPr>
          <w:p w14:paraId="1CEBE2B8"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B9" w14:textId="77777777" w:rsidR="00F74E13" w:rsidRDefault="009274FC">
            <w:pPr>
              <w:pStyle w:val="P68B1DB1-Normal15"/>
              <w:spacing w:after="0" w:line="240" w:lineRule="auto"/>
              <w:rPr>
                <w:noProof/>
              </w:rPr>
            </w:pPr>
            <w:r>
              <w:rPr>
                <w:noProof/>
              </w:rPr>
              <w:t>Entrée en vigueur de l’acte établissant le système de gestion et de contrôle du PRR</w:t>
            </w:r>
          </w:p>
        </w:tc>
      </w:tr>
      <w:tr w:rsidR="00F74E13" w14:paraId="1CEBE2BF" w14:textId="77777777">
        <w:trPr>
          <w:trHeight w:val="302"/>
          <w:jc w:val="center"/>
        </w:trPr>
        <w:tc>
          <w:tcPr>
            <w:tcW w:w="1437" w:type="dxa"/>
            <w:shd w:val="clear" w:color="auto" w:fill="C6EFCE"/>
            <w:noWrap/>
          </w:tcPr>
          <w:p w14:paraId="1CEBE2BB" w14:textId="77777777" w:rsidR="00F74E13" w:rsidRDefault="009274FC">
            <w:pPr>
              <w:pStyle w:val="P68B1DB1-Normal15"/>
              <w:spacing w:after="0" w:line="240" w:lineRule="auto"/>
              <w:jc w:val="center"/>
              <w:rPr>
                <w:noProof/>
              </w:rPr>
            </w:pPr>
            <w:r>
              <w:rPr>
                <w:noProof/>
              </w:rPr>
              <w:t>282</w:t>
            </w:r>
          </w:p>
        </w:tc>
        <w:tc>
          <w:tcPr>
            <w:tcW w:w="3828" w:type="dxa"/>
            <w:shd w:val="clear" w:color="auto" w:fill="C6EFCE"/>
            <w:noWrap/>
          </w:tcPr>
          <w:p w14:paraId="1CEBE2BC" w14:textId="77777777" w:rsidR="00F74E13" w:rsidRDefault="009274FC">
            <w:pPr>
              <w:pStyle w:val="P68B1DB1-Normal15"/>
              <w:spacing w:after="0" w:line="240" w:lineRule="auto"/>
              <w:jc w:val="both"/>
              <w:rPr>
                <w:noProof/>
              </w:rPr>
            </w:pPr>
            <w:r>
              <w:rPr>
                <w:noProof/>
                <w:szCs w:val="20"/>
              </w:rPr>
              <w:t>C10.I11 Environnement informationnel</w:t>
            </w:r>
            <w:r>
              <w:rPr>
                <w:noProof/>
              </w:rPr>
              <w:t xml:space="preserve"> et administratif pour la mise en œuvre du plan pour la reprise et la résilience</w:t>
            </w:r>
          </w:p>
        </w:tc>
        <w:tc>
          <w:tcPr>
            <w:tcW w:w="1275" w:type="dxa"/>
            <w:shd w:val="clear" w:color="auto" w:fill="C6EFCE"/>
            <w:noWrap/>
          </w:tcPr>
          <w:p w14:paraId="1CEBE2BD"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BE" w14:textId="77777777" w:rsidR="00F74E13" w:rsidRDefault="009274FC">
            <w:pPr>
              <w:pStyle w:val="P68B1DB1-Normal13"/>
              <w:spacing w:after="0" w:line="240" w:lineRule="auto"/>
              <w:rPr>
                <w:noProof/>
              </w:rPr>
            </w:pPr>
            <w:r>
              <w:rPr>
                <w:noProof/>
              </w:rPr>
              <w:t>une analyse approuvée de la charge de travail pour la direction des fonds nationaux et l’unité centrale de coordination, l’entrée en vigueur des modifications des règlements structurels pour l’agence exécutive «Audit des fonds de l’UE» et la mise en œuvre des recommandations correspondantes;</w:t>
            </w:r>
          </w:p>
        </w:tc>
      </w:tr>
      <w:tr w:rsidR="00F74E13" w14:paraId="1CEBE2C4" w14:textId="77777777">
        <w:trPr>
          <w:trHeight w:val="302"/>
          <w:jc w:val="center"/>
        </w:trPr>
        <w:tc>
          <w:tcPr>
            <w:tcW w:w="1437" w:type="dxa"/>
            <w:shd w:val="clear" w:color="auto" w:fill="C6EFCE"/>
            <w:noWrap/>
          </w:tcPr>
          <w:p w14:paraId="1CEBE2C0" w14:textId="77777777" w:rsidR="00F74E13" w:rsidRDefault="009274FC">
            <w:pPr>
              <w:pStyle w:val="P68B1DB1-Normal15"/>
              <w:spacing w:after="0" w:line="240" w:lineRule="auto"/>
              <w:jc w:val="center"/>
              <w:rPr>
                <w:noProof/>
              </w:rPr>
            </w:pPr>
            <w:r>
              <w:rPr>
                <w:noProof/>
              </w:rPr>
              <w:t>286</w:t>
            </w:r>
          </w:p>
        </w:tc>
        <w:tc>
          <w:tcPr>
            <w:tcW w:w="3828" w:type="dxa"/>
            <w:shd w:val="clear" w:color="auto" w:fill="C6EFCE"/>
            <w:noWrap/>
          </w:tcPr>
          <w:p w14:paraId="1CEBE2C1" w14:textId="77777777" w:rsidR="00F74E13" w:rsidRDefault="009274FC">
            <w:pPr>
              <w:pStyle w:val="P68B1DB1-Normal15"/>
              <w:spacing w:after="0" w:line="240" w:lineRule="auto"/>
              <w:jc w:val="both"/>
              <w:rPr>
                <w:noProof/>
              </w:rPr>
            </w:pPr>
            <w:r>
              <w:rPr>
                <w:noProof/>
              </w:rPr>
              <w:t xml:space="preserve">C11.R1 Réforme du régime de revenu minimum </w:t>
            </w:r>
          </w:p>
        </w:tc>
        <w:tc>
          <w:tcPr>
            <w:tcW w:w="1275" w:type="dxa"/>
            <w:shd w:val="clear" w:color="auto" w:fill="C6EFCE"/>
            <w:noWrap/>
          </w:tcPr>
          <w:p w14:paraId="1CEBE2C2"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C3" w14:textId="77777777" w:rsidR="00F74E13" w:rsidRDefault="009274FC">
            <w:pPr>
              <w:pStyle w:val="P68B1DB1-Normal15"/>
              <w:spacing w:after="0" w:line="240" w:lineRule="auto"/>
              <w:rPr>
                <w:noProof/>
              </w:rPr>
            </w:pPr>
            <w:r>
              <w:rPr>
                <w:noProof/>
              </w:rPr>
              <w:t>Entrée en vigueur des modifications du droit dérivé de la loi sur l'assistance sociale</w:t>
            </w:r>
          </w:p>
        </w:tc>
      </w:tr>
      <w:tr w:rsidR="00F74E13" w14:paraId="1CEBE2C9" w14:textId="77777777">
        <w:trPr>
          <w:trHeight w:val="302"/>
          <w:jc w:val="center"/>
        </w:trPr>
        <w:tc>
          <w:tcPr>
            <w:tcW w:w="1437" w:type="dxa"/>
            <w:shd w:val="clear" w:color="auto" w:fill="C6EFCE"/>
            <w:noWrap/>
          </w:tcPr>
          <w:p w14:paraId="1CEBE2C5" w14:textId="77777777" w:rsidR="00F74E13" w:rsidRDefault="009274FC">
            <w:pPr>
              <w:pStyle w:val="P68B1DB1-Normal15"/>
              <w:spacing w:after="0" w:line="240" w:lineRule="auto"/>
              <w:jc w:val="center"/>
              <w:rPr>
                <w:noProof/>
              </w:rPr>
            </w:pPr>
            <w:r>
              <w:rPr>
                <w:noProof/>
              </w:rPr>
              <w:t>290</w:t>
            </w:r>
          </w:p>
        </w:tc>
        <w:tc>
          <w:tcPr>
            <w:tcW w:w="3828" w:type="dxa"/>
            <w:shd w:val="clear" w:color="auto" w:fill="C6EFCE"/>
            <w:noWrap/>
          </w:tcPr>
          <w:p w14:paraId="1CEBE2C6" w14:textId="77777777" w:rsidR="00F74E13" w:rsidRDefault="009274FC">
            <w:pPr>
              <w:pStyle w:val="P68B1DB1-Normal15"/>
              <w:spacing w:after="0" w:line="240" w:lineRule="auto"/>
              <w:jc w:val="both"/>
              <w:rPr>
                <w:noProof/>
              </w:rPr>
            </w:pPr>
            <w:r>
              <w:rPr>
                <w:noProof/>
              </w:rPr>
              <w:t>C11.R2 Réforme des services sociaux</w:t>
            </w:r>
          </w:p>
        </w:tc>
        <w:tc>
          <w:tcPr>
            <w:tcW w:w="1275" w:type="dxa"/>
            <w:shd w:val="clear" w:color="auto" w:fill="C6EFCE"/>
            <w:noWrap/>
          </w:tcPr>
          <w:p w14:paraId="1CEBE2C7"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C8" w14:textId="77777777" w:rsidR="00F74E13" w:rsidRDefault="009274FC">
            <w:pPr>
              <w:pStyle w:val="P68B1DB1-Normal15"/>
              <w:spacing w:after="0" w:line="240" w:lineRule="auto"/>
              <w:jc w:val="both"/>
              <w:rPr>
                <w:noProof/>
              </w:rPr>
            </w:pPr>
            <w:r>
              <w:rPr>
                <w:noProof/>
              </w:rPr>
              <w:t>Entrée en vigueur de l'ordonnance sur la qualité des services sociaux</w:t>
            </w:r>
          </w:p>
        </w:tc>
      </w:tr>
      <w:tr w:rsidR="00F74E13" w14:paraId="1CEBE2CE" w14:textId="77777777">
        <w:trPr>
          <w:trHeight w:val="302"/>
          <w:jc w:val="center"/>
        </w:trPr>
        <w:tc>
          <w:tcPr>
            <w:tcW w:w="1437" w:type="dxa"/>
            <w:shd w:val="clear" w:color="auto" w:fill="C6EFCE"/>
            <w:noWrap/>
          </w:tcPr>
          <w:p w14:paraId="1CEBE2CA" w14:textId="77777777" w:rsidR="00F74E13" w:rsidRDefault="009274FC">
            <w:pPr>
              <w:pStyle w:val="P68B1DB1-Normal15"/>
              <w:spacing w:after="0" w:line="240" w:lineRule="auto"/>
              <w:jc w:val="center"/>
              <w:rPr>
                <w:noProof/>
              </w:rPr>
            </w:pPr>
            <w:r>
              <w:rPr>
                <w:noProof/>
              </w:rPr>
              <w:t>315</w:t>
            </w:r>
          </w:p>
        </w:tc>
        <w:tc>
          <w:tcPr>
            <w:tcW w:w="3828" w:type="dxa"/>
            <w:shd w:val="clear" w:color="auto" w:fill="C6EFCE"/>
            <w:noWrap/>
          </w:tcPr>
          <w:p w14:paraId="1CEBE2CB" w14:textId="77777777" w:rsidR="00F74E13" w:rsidRDefault="009274FC">
            <w:pPr>
              <w:pStyle w:val="P68B1DB1-Normal22"/>
              <w:spacing w:after="0"/>
              <w:jc w:val="both"/>
              <w:rPr>
                <w:rFonts w:ascii="Times New Roman" w:hAnsi="Times New Roman"/>
                <w:noProof/>
              </w:rPr>
            </w:pPr>
            <w:r>
              <w:rPr>
                <w:rFonts w:ascii="Times New Roman" w:hAnsi="Times New Roman"/>
                <w:noProof/>
              </w:rPr>
              <w:t xml:space="preserve">C12.R1 </w:t>
            </w:r>
            <w:r>
              <w:rPr>
                <w:rFonts w:ascii="Times New Roman" w:hAnsi="Times New Roman" w:cs="Times New Roman"/>
                <w:noProof/>
                <w:szCs w:val="20"/>
              </w:rPr>
              <w:t>Modernisation</w:t>
            </w:r>
            <w:r>
              <w:rPr>
                <w:rFonts w:ascii="Times New Roman" w:hAnsi="Times New Roman"/>
                <w:noProof/>
              </w:rPr>
              <w:t xml:space="preserve"> du cadre stratégique du secteur de la santé</w:t>
            </w:r>
          </w:p>
        </w:tc>
        <w:tc>
          <w:tcPr>
            <w:tcW w:w="1275" w:type="dxa"/>
            <w:shd w:val="clear" w:color="auto" w:fill="C6EFCE"/>
            <w:noWrap/>
          </w:tcPr>
          <w:p w14:paraId="1CEBE2CC" w14:textId="77777777" w:rsidR="00F74E13" w:rsidRDefault="009274FC">
            <w:pPr>
              <w:pStyle w:val="P68B1DB1-Normal15"/>
              <w:spacing w:after="0" w:line="240" w:lineRule="auto"/>
              <w:jc w:val="center"/>
              <w:rPr>
                <w:noProof/>
              </w:rPr>
            </w:pPr>
            <w:r>
              <w:rPr>
                <w:noProof/>
              </w:rPr>
              <w:t>Étape</w:t>
            </w:r>
          </w:p>
        </w:tc>
        <w:tc>
          <w:tcPr>
            <w:tcW w:w="3138" w:type="dxa"/>
            <w:shd w:val="clear" w:color="auto" w:fill="C6EFCE"/>
            <w:noWrap/>
          </w:tcPr>
          <w:p w14:paraId="1CEBE2CD" w14:textId="77777777" w:rsidR="00F74E13" w:rsidRDefault="009274FC">
            <w:pPr>
              <w:pStyle w:val="P68B1DB1-Normal15"/>
              <w:spacing w:after="0" w:line="240" w:lineRule="auto"/>
              <w:jc w:val="both"/>
              <w:rPr>
                <w:noProof/>
              </w:rPr>
            </w:pPr>
            <w:r>
              <w:rPr>
                <w:noProof/>
              </w:rPr>
              <w:t>Stratégie nationale pour la santé mentale des citoyens de la République de Bulgarie 2021-2030 et plan d’action pour la mise en œuvre de la stratégie</w:t>
            </w:r>
          </w:p>
        </w:tc>
      </w:tr>
      <w:tr w:rsidR="00F74E13" w14:paraId="1CEBE2D3" w14:textId="77777777">
        <w:trPr>
          <w:trHeight w:val="302"/>
          <w:jc w:val="center"/>
        </w:trPr>
        <w:tc>
          <w:tcPr>
            <w:tcW w:w="1437" w:type="dxa"/>
            <w:shd w:val="clear" w:color="auto" w:fill="C6EFCE"/>
            <w:noWrap/>
          </w:tcPr>
          <w:p w14:paraId="1CEBE2CF" w14:textId="77777777" w:rsidR="00F74E13" w:rsidRDefault="00F74E13">
            <w:pPr>
              <w:spacing w:after="0" w:line="240" w:lineRule="auto"/>
              <w:jc w:val="center"/>
              <w:rPr>
                <w:rFonts w:ascii="Times New Roman" w:hAnsi="Times New Roman"/>
                <w:noProof/>
                <w:color w:val="006100"/>
                <w:sz w:val="20"/>
              </w:rPr>
            </w:pPr>
          </w:p>
        </w:tc>
        <w:tc>
          <w:tcPr>
            <w:tcW w:w="3828" w:type="dxa"/>
            <w:shd w:val="clear" w:color="auto" w:fill="C6EFCE"/>
            <w:noWrap/>
            <w:vAlign w:val="bottom"/>
          </w:tcPr>
          <w:p w14:paraId="1CEBE2D0" w14:textId="77777777" w:rsidR="00F74E13" w:rsidRDefault="00F74E13">
            <w:pPr>
              <w:spacing w:after="0" w:line="240" w:lineRule="auto"/>
              <w:jc w:val="both"/>
              <w:rPr>
                <w:rFonts w:ascii="Times New Roman" w:hAnsi="Times New Roman"/>
                <w:noProof/>
                <w:color w:val="006100"/>
                <w:sz w:val="20"/>
              </w:rPr>
            </w:pPr>
          </w:p>
        </w:tc>
        <w:tc>
          <w:tcPr>
            <w:tcW w:w="1275" w:type="dxa"/>
            <w:shd w:val="clear" w:color="auto" w:fill="C6EFCE"/>
            <w:noWrap/>
            <w:vAlign w:val="bottom"/>
          </w:tcPr>
          <w:p w14:paraId="1CEBE2D1" w14:textId="77777777" w:rsidR="00F74E13" w:rsidRDefault="009274FC">
            <w:pPr>
              <w:pStyle w:val="P68B1DB1-Normal15"/>
              <w:spacing w:after="0" w:line="240" w:lineRule="auto"/>
              <w:jc w:val="center"/>
              <w:rPr>
                <w:noProof/>
              </w:rPr>
            </w:pPr>
            <w:r>
              <w:rPr>
                <w:noProof/>
              </w:rPr>
              <w:t>Montant des acomptes provisionnels</w:t>
            </w:r>
          </w:p>
        </w:tc>
        <w:tc>
          <w:tcPr>
            <w:tcW w:w="3138" w:type="dxa"/>
            <w:shd w:val="clear" w:color="auto" w:fill="C6EFCE"/>
            <w:noWrap/>
            <w:vAlign w:val="bottom"/>
          </w:tcPr>
          <w:p w14:paraId="1CEBE2D2" w14:textId="77777777" w:rsidR="00F74E13" w:rsidRDefault="009274FC">
            <w:pPr>
              <w:pStyle w:val="P68B1DB1-Normal15"/>
              <w:spacing w:after="0" w:line="240" w:lineRule="auto"/>
              <w:jc w:val="both"/>
              <w:rPr>
                <w:noProof/>
              </w:rPr>
            </w:pPr>
            <w:r>
              <w:rPr>
                <w:noProof/>
              </w:rPr>
              <w:t>1 368 912 911 EUR</w:t>
            </w:r>
          </w:p>
        </w:tc>
      </w:tr>
    </w:tbl>
    <w:p w14:paraId="1CEBE2D4" w14:textId="77777777" w:rsidR="00F74E13" w:rsidRDefault="00F74E13">
      <w:pPr>
        <w:spacing w:before="120" w:after="120" w:line="240" w:lineRule="auto"/>
        <w:ind w:left="850"/>
        <w:jc w:val="both"/>
        <w:rPr>
          <w:rFonts w:ascii="Times New Roman" w:eastAsia="Calibri" w:hAnsi="Times New Roman" w:cs="Times New Roman"/>
          <w:noProof/>
        </w:rPr>
      </w:pPr>
    </w:p>
    <w:p w14:paraId="1CEBE2D5" w14:textId="77777777" w:rsidR="00F74E13" w:rsidRDefault="009274FC">
      <w:pPr>
        <w:pStyle w:val="P68B1DB1-Normal10"/>
        <w:rPr>
          <w:noProof/>
        </w:rPr>
      </w:pPr>
      <w:r>
        <w:rPr>
          <w:noProof/>
        </w:rPr>
        <w:br w:type="page"/>
      </w:r>
    </w:p>
    <w:p w14:paraId="1CEBE2D6" w14:textId="5A1E874B" w:rsidR="00F74E13" w:rsidRDefault="009274FC">
      <w:pPr>
        <w:pStyle w:val="P68B1DB1-Normal82"/>
        <w:numPr>
          <w:ilvl w:val="1"/>
          <w:numId w:val="78"/>
        </w:numPr>
        <w:spacing w:before="120" w:after="120" w:line="240" w:lineRule="auto"/>
        <w:jc w:val="both"/>
        <w:rPr>
          <w:noProof/>
        </w:rPr>
      </w:pPr>
      <w:r>
        <w:rPr>
          <w:noProof/>
        </w:rPr>
        <w:t>Deuxième tranche (soutien non remboursable):</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1"/>
        <w:gridCol w:w="3835"/>
        <w:gridCol w:w="1418"/>
        <w:gridCol w:w="3465"/>
        <w:gridCol w:w="16"/>
      </w:tblGrid>
      <w:tr w:rsidR="00F74E13" w14:paraId="1CEBE2DB" w14:textId="77777777">
        <w:trPr>
          <w:gridAfter w:val="1"/>
          <w:wAfter w:w="11" w:type="dxa"/>
          <w:trHeight w:val="906"/>
          <w:tblHeader/>
          <w:jc w:val="center"/>
        </w:trPr>
        <w:tc>
          <w:tcPr>
            <w:tcW w:w="1091" w:type="dxa"/>
            <w:vMerge w:val="restart"/>
            <w:shd w:val="clear" w:color="auto" w:fill="BDD7EE"/>
            <w:vAlign w:val="center"/>
            <w:hideMark/>
          </w:tcPr>
          <w:p w14:paraId="1CEBE2D7" w14:textId="77777777" w:rsidR="00F74E13" w:rsidRDefault="009274FC">
            <w:pPr>
              <w:pStyle w:val="P68B1DB1-Normal11"/>
              <w:spacing w:after="0" w:line="240" w:lineRule="auto"/>
              <w:jc w:val="center"/>
              <w:rPr>
                <w:noProof/>
              </w:rPr>
            </w:pPr>
            <w:r>
              <w:rPr>
                <w:noProof/>
              </w:rPr>
              <w:t>Numéro séquentiel</w:t>
            </w:r>
          </w:p>
        </w:tc>
        <w:tc>
          <w:tcPr>
            <w:tcW w:w="3835" w:type="dxa"/>
            <w:vMerge w:val="restart"/>
            <w:shd w:val="clear" w:color="auto" w:fill="BDD7EE"/>
            <w:vAlign w:val="center"/>
            <w:hideMark/>
          </w:tcPr>
          <w:p w14:paraId="1CEBE2D8" w14:textId="77777777" w:rsidR="00F74E13" w:rsidRDefault="009274FC">
            <w:pPr>
              <w:pStyle w:val="P68B1DB1-Normal11"/>
              <w:spacing w:after="0" w:line="240" w:lineRule="auto"/>
              <w:jc w:val="center"/>
              <w:rPr>
                <w:noProof/>
              </w:rPr>
            </w:pPr>
            <w:r>
              <w:rPr>
                <w:noProof/>
              </w:rPr>
              <w:t>Mesure connexe (réforme ou investissement)</w:t>
            </w:r>
          </w:p>
        </w:tc>
        <w:tc>
          <w:tcPr>
            <w:tcW w:w="1418" w:type="dxa"/>
            <w:vMerge w:val="restart"/>
            <w:shd w:val="clear" w:color="auto" w:fill="BDD7EE"/>
            <w:vAlign w:val="center"/>
            <w:hideMark/>
          </w:tcPr>
          <w:p w14:paraId="1CEBE2D9" w14:textId="77777777" w:rsidR="00F74E13" w:rsidRDefault="009274FC">
            <w:pPr>
              <w:pStyle w:val="P68B1DB1-Normal11"/>
              <w:spacing w:after="0" w:line="240" w:lineRule="auto"/>
              <w:jc w:val="center"/>
              <w:rPr>
                <w:noProof/>
              </w:rPr>
            </w:pPr>
            <w:r>
              <w:rPr>
                <w:noProof/>
              </w:rPr>
              <w:t>Étape/cible</w:t>
            </w:r>
          </w:p>
        </w:tc>
        <w:tc>
          <w:tcPr>
            <w:tcW w:w="3465" w:type="dxa"/>
            <w:vMerge w:val="restart"/>
            <w:shd w:val="clear" w:color="auto" w:fill="BDD7EE"/>
            <w:vAlign w:val="center"/>
            <w:hideMark/>
          </w:tcPr>
          <w:p w14:paraId="1CEBE2DA" w14:textId="77777777" w:rsidR="00F74E13" w:rsidRDefault="009274FC">
            <w:pPr>
              <w:pStyle w:val="P68B1DB1-Normal11"/>
              <w:spacing w:after="0" w:line="240" w:lineRule="auto"/>
              <w:ind w:left="57" w:right="57"/>
              <w:jc w:val="center"/>
              <w:rPr>
                <w:noProof/>
              </w:rPr>
            </w:pPr>
            <w:r>
              <w:rPr>
                <w:noProof/>
              </w:rPr>
              <w:t>Nom</w:t>
            </w:r>
          </w:p>
        </w:tc>
      </w:tr>
      <w:tr w:rsidR="00F74E13" w14:paraId="1CEBE2E0" w14:textId="77777777">
        <w:trPr>
          <w:gridAfter w:val="1"/>
          <w:wAfter w:w="11" w:type="dxa"/>
          <w:trHeight w:val="557"/>
          <w:jc w:val="center"/>
        </w:trPr>
        <w:tc>
          <w:tcPr>
            <w:tcW w:w="1091" w:type="dxa"/>
            <w:vMerge/>
            <w:vAlign w:val="center"/>
            <w:hideMark/>
          </w:tcPr>
          <w:p w14:paraId="1CEBE2DC" w14:textId="77777777" w:rsidR="00F74E13" w:rsidRDefault="00F74E13">
            <w:pPr>
              <w:spacing w:after="0" w:line="240" w:lineRule="auto"/>
              <w:jc w:val="center"/>
              <w:rPr>
                <w:rFonts w:ascii="Times New Roman" w:hAnsi="Times New Roman"/>
                <w:b/>
                <w:noProof/>
                <w:sz w:val="20"/>
              </w:rPr>
            </w:pPr>
          </w:p>
        </w:tc>
        <w:tc>
          <w:tcPr>
            <w:tcW w:w="3835" w:type="dxa"/>
            <w:vMerge/>
            <w:vAlign w:val="center"/>
            <w:hideMark/>
          </w:tcPr>
          <w:p w14:paraId="1CEBE2DD" w14:textId="77777777" w:rsidR="00F74E13" w:rsidRDefault="00F74E13">
            <w:pPr>
              <w:spacing w:after="0" w:line="240" w:lineRule="auto"/>
              <w:rPr>
                <w:rFonts w:ascii="Times New Roman" w:hAnsi="Times New Roman"/>
                <w:b/>
                <w:noProof/>
                <w:sz w:val="20"/>
              </w:rPr>
            </w:pPr>
          </w:p>
        </w:tc>
        <w:tc>
          <w:tcPr>
            <w:tcW w:w="1418" w:type="dxa"/>
            <w:vMerge/>
            <w:vAlign w:val="center"/>
            <w:hideMark/>
          </w:tcPr>
          <w:p w14:paraId="1CEBE2DE" w14:textId="77777777" w:rsidR="00F74E13" w:rsidRDefault="00F74E13">
            <w:pPr>
              <w:spacing w:after="0" w:line="240" w:lineRule="auto"/>
              <w:jc w:val="center"/>
              <w:rPr>
                <w:rFonts w:ascii="Times New Roman" w:hAnsi="Times New Roman"/>
                <w:b/>
                <w:noProof/>
                <w:sz w:val="20"/>
              </w:rPr>
            </w:pPr>
          </w:p>
        </w:tc>
        <w:tc>
          <w:tcPr>
            <w:tcW w:w="3465" w:type="dxa"/>
            <w:vMerge/>
            <w:vAlign w:val="center"/>
            <w:hideMark/>
          </w:tcPr>
          <w:p w14:paraId="1CEBE2DF" w14:textId="77777777" w:rsidR="00F74E13" w:rsidRDefault="00F74E13">
            <w:pPr>
              <w:spacing w:after="0" w:line="240" w:lineRule="auto"/>
              <w:ind w:left="57" w:right="57"/>
              <w:jc w:val="both"/>
              <w:rPr>
                <w:rFonts w:ascii="Times New Roman" w:hAnsi="Times New Roman"/>
                <w:b/>
                <w:noProof/>
                <w:sz w:val="20"/>
              </w:rPr>
            </w:pPr>
          </w:p>
        </w:tc>
      </w:tr>
      <w:tr w:rsidR="00F74E13" w14:paraId="1CEBE2E5" w14:textId="77777777">
        <w:trPr>
          <w:gridAfter w:val="1"/>
          <w:wAfter w:w="11" w:type="dxa"/>
          <w:trHeight w:val="971"/>
          <w:jc w:val="center"/>
        </w:trPr>
        <w:tc>
          <w:tcPr>
            <w:tcW w:w="1091" w:type="dxa"/>
            <w:shd w:val="clear" w:color="auto" w:fill="C6EFCE"/>
            <w:noWrap/>
          </w:tcPr>
          <w:p w14:paraId="1CEBE2E1" w14:textId="77777777" w:rsidR="00F74E13" w:rsidRDefault="009274FC">
            <w:pPr>
              <w:pStyle w:val="P68B1DB1-Normal15"/>
              <w:spacing w:after="0" w:line="240" w:lineRule="auto"/>
              <w:jc w:val="center"/>
              <w:rPr>
                <w:noProof/>
              </w:rPr>
            </w:pPr>
            <w:r>
              <w:rPr>
                <w:noProof/>
              </w:rPr>
              <w:t>2</w:t>
            </w:r>
          </w:p>
        </w:tc>
        <w:tc>
          <w:tcPr>
            <w:tcW w:w="3835" w:type="dxa"/>
            <w:shd w:val="clear" w:color="auto" w:fill="C6EFCE"/>
            <w:noWrap/>
          </w:tcPr>
          <w:p w14:paraId="1CEBE2E2" w14:textId="77777777" w:rsidR="00F74E13" w:rsidRDefault="009274FC">
            <w:pPr>
              <w:pStyle w:val="P68B1DB1-Normal15"/>
              <w:spacing w:after="0"/>
              <w:ind w:left="34"/>
              <w:rPr>
                <w:noProof/>
              </w:rPr>
            </w:pPr>
            <w:r>
              <w:rPr>
                <w:noProof/>
              </w:rPr>
              <w:t xml:space="preserve">C1.R1 Réforme de l'enseignement préscolaire et scolaire et de l'enseignement </w:t>
            </w:r>
            <w:r>
              <w:rPr>
                <w:noProof/>
                <w:szCs w:val="20"/>
              </w:rPr>
              <w:t>et de la formation professionnels</w:t>
            </w:r>
          </w:p>
        </w:tc>
        <w:tc>
          <w:tcPr>
            <w:tcW w:w="1418" w:type="dxa"/>
            <w:shd w:val="clear" w:color="auto" w:fill="C6EFCE"/>
            <w:noWrap/>
          </w:tcPr>
          <w:p w14:paraId="1CEBE2E3"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2E4" w14:textId="77777777" w:rsidR="00F74E13" w:rsidRDefault="009274FC">
            <w:pPr>
              <w:pStyle w:val="P68B1DB1-Normal15"/>
              <w:spacing w:after="0" w:line="240" w:lineRule="auto"/>
              <w:ind w:left="57" w:right="57"/>
              <w:jc w:val="both"/>
              <w:rPr>
                <w:noProof/>
              </w:rPr>
            </w:pPr>
            <w:r>
              <w:rPr>
                <w:noProof/>
              </w:rPr>
              <w:t>Entrée en vigueur des modifications apportées à la loi sur la promotion de l'emploi</w:t>
            </w:r>
          </w:p>
        </w:tc>
      </w:tr>
      <w:tr w:rsidR="00F74E13" w14:paraId="1CEBE2EA" w14:textId="77777777">
        <w:trPr>
          <w:gridAfter w:val="1"/>
          <w:wAfter w:w="11" w:type="dxa"/>
          <w:trHeight w:val="1126"/>
          <w:jc w:val="center"/>
        </w:trPr>
        <w:tc>
          <w:tcPr>
            <w:tcW w:w="1091" w:type="dxa"/>
            <w:shd w:val="clear" w:color="auto" w:fill="C6EFCE"/>
            <w:noWrap/>
          </w:tcPr>
          <w:p w14:paraId="1CEBE2E6" w14:textId="77777777" w:rsidR="00F74E13" w:rsidRDefault="009274FC">
            <w:pPr>
              <w:pStyle w:val="P68B1DB1-Normal15"/>
              <w:spacing w:after="0" w:line="240" w:lineRule="auto"/>
              <w:jc w:val="center"/>
              <w:rPr>
                <w:noProof/>
              </w:rPr>
            </w:pPr>
            <w:r>
              <w:rPr>
                <w:noProof/>
              </w:rPr>
              <w:t>3</w:t>
            </w:r>
          </w:p>
        </w:tc>
        <w:tc>
          <w:tcPr>
            <w:tcW w:w="3835" w:type="dxa"/>
            <w:shd w:val="clear" w:color="auto" w:fill="C6EFCE"/>
            <w:noWrap/>
          </w:tcPr>
          <w:p w14:paraId="1CEBE2E7" w14:textId="77777777" w:rsidR="00F74E13" w:rsidRDefault="009274FC">
            <w:pPr>
              <w:pStyle w:val="P68B1DB1-Normal15"/>
              <w:spacing w:after="0"/>
              <w:ind w:left="34"/>
              <w:rPr>
                <w:noProof/>
              </w:rPr>
            </w:pPr>
            <w:r>
              <w:rPr>
                <w:noProof/>
              </w:rPr>
              <w:t xml:space="preserve">C1.R1 Réforme de l'enseignement préscolaire et scolaire et de l'enseignement </w:t>
            </w:r>
            <w:r>
              <w:rPr>
                <w:noProof/>
                <w:szCs w:val="20"/>
              </w:rPr>
              <w:t>et de la formation professionnels</w:t>
            </w:r>
          </w:p>
        </w:tc>
        <w:tc>
          <w:tcPr>
            <w:tcW w:w="1418" w:type="dxa"/>
            <w:shd w:val="clear" w:color="auto" w:fill="C6EFCE"/>
            <w:noWrap/>
          </w:tcPr>
          <w:p w14:paraId="1CEBE2E8"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2E9" w14:textId="77777777" w:rsidR="00F74E13" w:rsidRDefault="009274FC">
            <w:pPr>
              <w:pStyle w:val="P68B1DB1-Normal15"/>
              <w:spacing w:after="0" w:line="240" w:lineRule="auto"/>
              <w:ind w:left="57" w:right="57"/>
              <w:jc w:val="both"/>
              <w:rPr>
                <w:noProof/>
              </w:rPr>
            </w:pPr>
            <w:r>
              <w:rPr>
                <w:noProof/>
              </w:rPr>
              <w:t>Plan d’action pour la mise en œuvre du cadre stratégique pour le développement de l’éducation, de la formation et de l’apprentissage en République de Bulgarie (2021-2030)</w:t>
            </w:r>
          </w:p>
        </w:tc>
      </w:tr>
      <w:tr w:rsidR="00F74E13" w14:paraId="1CEBE2EF" w14:textId="77777777">
        <w:trPr>
          <w:gridAfter w:val="1"/>
          <w:wAfter w:w="11" w:type="dxa"/>
          <w:trHeight w:val="1270"/>
          <w:jc w:val="center"/>
        </w:trPr>
        <w:tc>
          <w:tcPr>
            <w:tcW w:w="1091" w:type="dxa"/>
            <w:shd w:val="clear" w:color="auto" w:fill="C6EFCE"/>
            <w:noWrap/>
          </w:tcPr>
          <w:p w14:paraId="1CEBE2EB" w14:textId="77777777" w:rsidR="00F74E13" w:rsidRDefault="009274FC">
            <w:pPr>
              <w:pStyle w:val="P68B1DB1-Normal15"/>
              <w:spacing w:after="0" w:line="240" w:lineRule="auto"/>
              <w:jc w:val="center"/>
              <w:rPr>
                <w:noProof/>
              </w:rPr>
            </w:pPr>
            <w:r>
              <w:rPr>
                <w:noProof/>
              </w:rPr>
              <w:t>7</w:t>
            </w:r>
          </w:p>
        </w:tc>
        <w:tc>
          <w:tcPr>
            <w:tcW w:w="3835" w:type="dxa"/>
            <w:shd w:val="clear" w:color="auto" w:fill="C6EFCE"/>
            <w:noWrap/>
          </w:tcPr>
          <w:p w14:paraId="1CEBE2EC" w14:textId="77777777" w:rsidR="00F74E13" w:rsidRDefault="009274FC">
            <w:pPr>
              <w:pStyle w:val="P68B1DB1-Normal15"/>
              <w:spacing w:after="0"/>
              <w:ind w:left="34"/>
              <w:rPr>
                <w:noProof/>
              </w:rPr>
            </w:pPr>
            <w:r>
              <w:rPr>
                <w:noProof/>
              </w:rPr>
              <w:t>C1.R2 Réforme de l'enseignement supérieur</w:t>
            </w:r>
          </w:p>
        </w:tc>
        <w:tc>
          <w:tcPr>
            <w:tcW w:w="1418" w:type="dxa"/>
            <w:shd w:val="clear" w:color="auto" w:fill="C6EFCE"/>
            <w:noWrap/>
          </w:tcPr>
          <w:p w14:paraId="1CEBE2ED"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2EE" w14:textId="77777777" w:rsidR="00F74E13" w:rsidRDefault="009274FC">
            <w:pPr>
              <w:pStyle w:val="P68B1DB1-Normal15"/>
              <w:spacing w:after="0" w:line="240" w:lineRule="auto"/>
              <w:ind w:left="57" w:right="57"/>
              <w:jc w:val="both"/>
              <w:rPr>
                <w:noProof/>
              </w:rPr>
            </w:pPr>
            <w:r>
              <w:rPr>
                <w:noProof/>
              </w:rPr>
              <w:t>Plan d’action pour la mise en œuvre de la stratégie pour le développement de l’enseignement supérieur en République de Bulgarie (2021-2030)</w:t>
            </w:r>
          </w:p>
        </w:tc>
      </w:tr>
      <w:tr w:rsidR="00F74E13" w14:paraId="1CEBE2F4" w14:textId="77777777">
        <w:trPr>
          <w:gridAfter w:val="1"/>
          <w:wAfter w:w="11" w:type="dxa"/>
          <w:trHeight w:val="693"/>
          <w:jc w:val="center"/>
        </w:trPr>
        <w:tc>
          <w:tcPr>
            <w:tcW w:w="1091" w:type="dxa"/>
            <w:shd w:val="clear" w:color="auto" w:fill="C6EFCE"/>
            <w:noWrap/>
          </w:tcPr>
          <w:p w14:paraId="1CEBE2F0" w14:textId="77777777" w:rsidR="00F74E13" w:rsidRDefault="009274FC">
            <w:pPr>
              <w:pStyle w:val="P68B1DB1-Normal15"/>
              <w:spacing w:after="0" w:line="240" w:lineRule="auto"/>
              <w:jc w:val="center"/>
              <w:rPr>
                <w:noProof/>
              </w:rPr>
            </w:pPr>
            <w:r>
              <w:rPr>
                <w:noProof/>
              </w:rPr>
              <w:t>8</w:t>
            </w:r>
          </w:p>
        </w:tc>
        <w:tc>
          <w:tcPr>
            <w:tcW w:w="3835" w:type="dxa"/>
            <w:shd w:val="clear" w:color="auto" w:fill="C6EFCE"/>
            <w:noWrap/>
          </w:tcPr>
          <w:p w14:paraId="1CEBE2F1" w14:textId="77777777" w:rsidR="00F74E13" w:rsidRDefault="009274FC">
            <w:pPr>
              <w:pStyle w:val="P68B1DB1-Normal15"/>
              <w:spacing w:after="0"/>
              <w:ind w:left="34"/>
              <w:rPr>
                <w:noProof/>
              </w:rPr>
            </w:pPr>
            <w:r>
              <w:rPr>
                <w:noProof/>
              </w:rPr>
              <w:t>C1.I1 Centres STEM et innovation dans l'éducation</w:t>
            </w:r>
          </w:p>
        </w:tc>
        <w:tc>
          <w:tcPr>
            <w:tcW w:w="1418" w:type="dxa"/>
            <w:shd w:val="clear" w:color="auto" w:fill="C6EFCE"/>
            <w:noWrap/>
          </w:tcPr>
          <w:p w14:paraId="1CEBE2F2"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2F3" w14:textId="110EF6B3" w:rsidR="00F74E13" w:rsidRDefault="009274FC">
            <w:pPr>
              <w:pStyle w:val="P68B1DB1-Normal15"/>
              <w:spacing w:after="0" w:line="240" w:lineRule="auto"/>
              <w:ind w:left="57" w:right="57"/>
              <w:jc w:val="both"/>
              <w:rPr>
                <w:noProof/>
              </w:rPr>
            </w:pPr>
            <w:r>
              <w:rPr>
                <w:noProof/>
              </w:rPr>
              <w:t>Création du centre national STEM</w:t>
            </w:r>
          </w:p>
        </w:tc>
      </w:tr>
      <w:tr w:rsidR="00F74E13" w14:paraId="1CEBE2F9" w14:textId="77777777">
        <w:trPr>
          <w:gridAfter w:val="1"/>
          <w:wAfter w:w="11" w:type="dxa"/>
          <w:trHeight w:val="703"/>
          <w:jc w:val="center"/>
        </w:trPr>
        <w:tc>
          <w:tcPr>
            <w:tcW w:w="1091" w:type="dxa"/>
            <w:shd w:val="clear" w:color="auto" w:fill="C6EFCE"/>
            <w:noWrap/>
          </w:tcPr>
          <w:p w14:paraId="1CEBE2F5" w14:textId="77777777" w:rsidR="00F74E13" w:rsidRDefault="009274FC">
            <w:pPr>
              <w:pStyle w:val="P68B1DB1-Normal15"/>
              <w:spacing w:after="0" w:line="240" w:lineRule="auto"/>
              <w:jc w:val="center"/>
              <w:rPr>
                <w:noProof/>
              </w:rPr>
            </w:pPr>
            <w:r>
              <w:rPr>
                <w:noProof/>
              </w:rPr>
              <w:t>321</w:t>
            </w:r>
          </w:p>
        </w:tc>
        <w:tc>
          <w:tcPr>
            <w:tcW w:w="3835" w:type="dxa"/>
            <w:shd w:val="clear" w:color="auto" w:fill="C6EFCE"/>
            <w:noWrap/>
          </w:tcPr>
          <w:p w14:paraId="1CEBE2F6" w14:textId="77777777" w:rsidR="00F74E13" w:rsidRDefault="009274FC">
            <w:pPr>
              <w:pStyle w:val="P68B1DB1-Normal15"/>
              <w:spacing w:after="0"/>
              <w:ind w:left="34"/>
              <w:rPr>
                <w:noProof/>
              </w:rPr>
            </w:pPr>
            <w:r>
              <w:rPr>
                <w:noProof/>
              </w:rPr>
              <w:t>C12.R2 Développement de l'e-santé et du système national d'information sanitaire</w:t>
            </w:r>
          </w:p>
        </w:tc>
        <w:tc>
          <w:tcPr>
            <w:tcW w:w="1418" w:type="dxa"/>
            <w:shd w:val="clear" w:color="auto" w:fill="C6EFCE"/>
            <w:noWrap/>
          </w:tcPr>
          <w:p w14:paraId="1CEBE2F7"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2F8" w14:textId="77777777" w:rsidR="00F74E13" w:rsidRDefault="009274FC">
            <w:pPr>
              <w:pStyle w:val="P68B1DB1-Normal15"/>
              <w:spacing w:after="0" w:line="240" w:lineRule="auto"/>
              <w:ind w:left="57" w:right="57"/>
              <w:jc w:val="both"/>
              <w:rPr>
                <w:noProof/>
              </w:rPr>
            </w:pPr>
            <w:r>
              <w:rPr>
                <w:noProof/>
              </w:rPr>
              <w:t>Entrée en vigueur des modifications du cadre réglementaire en matière de santé en ligne</w:t>
            </w:r>
          </w:p>
        </w:tc>
      </w:tr>
      <w:tr w:rsidR="00F74E13" w14:paraId="1CEBE2FE" w14:textId="77777777">
        <w:trPr>
          <w:gridAfter w:val="1"/>
          <w:wAfter w:w="11" w:type="dxa"/>
          <w:trHeight w:val="982"/>
          <w:jc w:val="center"/>
        </w:trPr>
        <w:tc>
          <w:tcPr>
            <w:tcW w:w="1091" w:type="dxa"/>
            <w:shd w:val="clear" w:color="auto" w:fill="C6EFCE"/>
            <w:noWrap/>
          </w:tcPr>
          <w:p w14:paraId="1CEBE2FA" w14:textId="77777777" w:rsidR="00F74E13" w:rsidRDefault="009274FC">
            <w:pPr>
              <w:pStyle w:val="P68B1DB1-Normal15"/>
              <w:spacing w:after="0" w:line="240" w:lineRule="auto"/>
              <w:jc w:val="center"/>
              <w:rPr>
                <w:noProof/>
              </w:rPr>
            </w:pPr>
            <w:r>
              <w:rPr>
                <w:noProof/>
              </w:rPr>
              <w:t>40</w:t>
            </w:r>
          </w:p>
        </w:tc>
        <w:tc>
          <w:tcPr>
            <w:tcW w:w="3835" w:type="dxa"/>
            <w:shd w:val="clear" w:color="auto" w:fill="C6EFCE"/>
            <w:noWrap/>
          </w:tcPr>
          <w:p w14:paraId="1CEBE2FB" w14:textId="77777777" w:rsidR="00F74E13" w:rsidRDefault="009274FC">
            <w:pPr>
              <w:pStyle w:val="P68B1DB1-Normal15"/>
              <w:spacing w:after="0" w:line="240" w:lineRule="auto"/>
              <w:ind w:left="34"/>
              <w:rPr>
                <w:noProof/>
              </w:rPr>
            </w:pPr>
            <w:r>
              <w:rPr>
                <w:noProof/>
              </w:rPr>
              <w:t>C3.I2.1.a Instrument de garantie pour la croissance</w:t>
            </w:r>
          </w:p>
        </w:tc>
        <w:tc>
          <w:tcPr>
            <w:tcW w:w="1418" w:type="dxa"/>
            <w:shd w:val="clear" w:color="auto" w:fill="C6EFCE"/>
            <w:noWrap/>
          </w:tcPr>
          <w:p w14:paraId="1CEBE2FC"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2FD" w14:textId="77777777" w:rsidR="00F74E13" w:rsidRDefault="009274FC">
            <w:pPr>
              <w:pStyle w:val="P68B1DB1-Normal13"/>
              <w:spacing w:after="0" w:line="240" w:lineRule="auto"/>
              <w:ind w:left="57" w:right="57"/>
              <w:jc w:val="both"/>
              <w:rPr>
                <w:noProof/>
              </w:rPr>
            </w:pPr>
            <w:r>
              <w:rPr>
                <w:noProof/>
              </w:rPr>
              <w:t>Signature de la convention de contribution entre la Commission européenne et le gouvernement bulgare</w:t>
            </w:r>
          </w:p>
        </w:tc>
      </w:tr>
      <w:tr w:rsidR="00F74E13" w14:paraId="1CEBE303" w14:textId="77777777">
        <w:trPr>
          <w:gridAfter w:val="1"/>
          <w:wAfter w:w="11" w:type="dxa"/>
          <w:trHeight w:val="302"/>
          <w:jc w:val="center"/>
        </w:trPr>
        <w:tc>
          <w:tcPr>
            <w:tcW w:w="1091" w:type="dxa"/>
            <w:shd w:val="clear" w:color="auto" w:fill="C6EFCE"/>
            <w:noWrap/>
          </w:tcPr>
          <w:p w14:paraId="1CEBE2FF" w14:textId="77777777" w:rsidR="00F74E13" w:rsidRDefault="009274FC">
            <w:pPr>
              <w:pStyle w:val="P68B1DB1-Normal15"/>
              <w:spacing w:after="0" w:line="240" w:lineRule="auto"/>
              <w:jc w:val="center"/>
              <w:rPr>
                <w:noProof/>
              </w:rPr>
            </w:pPr>
            <w:r>
              <w:rPr>
                <w:noProof/>
              </w:rPr>
              <w:t>43</w:t>
            </w:r>
          </w:p>
        </w:tc>
        <w:tc>
          <w:tcPr>
            <w:tcW w:w="3835" w:type="dxa"/>
            <w:shd w:val="clear" w:color="auto" w:fill="C6EFCE"/>
            <w:noWrap/>
          </w:tcPr>
          <w:p w14:paraId="1CEBE300" w14:textId="77777777" w:rsidR="00F74E13" w:rsidRDefault="009274FC">
            <w:pPr>
              <w:pStyle w:val="P68B1DB1-Normal15"/>
              <w:spacing w:after="0" w:line="240" w:lineRule="auto"/>
              <w:ind w:left="34"/>
              <w:rPr>
                <w:noProof/>
              </w:rPr>
            </w:pPr>
            <w:r>
              <w:rPr>
                <w:noProof/>
              </w:rPr>
              <w:t>C3.I2.1.b Instruments de fonds propres pour la croissance</w:t>
            </w:r>
          </w:p>
        </w:tc>
        <w:tc>
          <w:tcPr>
            <w:tcW w:w="1418" w:type="dxa"/>
            <w:shd w:val="clear" w:color="auto" w:fill="C6EFCE"/>
            <w:noWrap/>
          </w:tcPr>
          <w:p w14:paraId="1CEBE301"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vAlign w:val="center"/>
          </w:tcPr>
          <w:p w14:paraId="1CEBE302" w14:textId="77777777" w:rsidR="00F74E13" w:rsidRDefault="009274FC">
            <w:pPr>
              <w:pStyle w:val="P68B1DB1-Normal15"/>
              <w:spacing w:after="0" w:line="240" w:lineRule="auto"/>
              <w:ind w:left="57" w:right="57"/>
              <w:jc w:val="both"/>
              <w:rPr>
                <w:noProof/>
              </w:rPr>
            </w:pPr>
            <w:r>
              <w:rPr>
                <w:noProof/>
              </w:rPr>
              <w:t>Signature de la convention de financement entre le Fonds européen d'investissement et le gouvernement bulgare</w:t>
            </w:r>
          </w:p>
        </w:tc>
      </w:tr>
      <w:tr w:rsidR="00F74E13" w14:paraId="1CEBE308" w14:textId="77777777">
        <w:trPr>
          <w:gridAfter w:val="1"/>
          <w:wAfter w:w="11" w:type="dxa"/>
          <w:trHeight w:val="302"/>
          <w:jc w:val="center"/>
        </w:trPr>
        <w:tc>
          <w:tcPr>
            <w:tcW w:w="1091" w:type="dxa"/>
            <w:shd w:val="clear" w:color="auto" w:fill="C6EFCE"/>
            <w:noWrap/>
          </w:tcPr>
          <w:p w14:paraId="1CEBE304" w14:textId="77777777" w:rsidR="00F74E13" w:rsidRDefault="009274FC">
            <w:pPr>
              <w:pStyle w:val="P68B1DB1-Normal15"/>
              <w:spacing w:after="0" w:line="240" w:lineRule="auto"/>
              <w:jc w:val="center"/>
              <w:rPr>
                <w:noProof/>
              </w:rPr>
            </w:pPr>
            <w:r>
              <w:rPr>
                <w:noProof/>
              </w:rPr>
              <w:t>46</w:t>
            </w:r>
          </w:p>
        </w:tc>
        <w:tc>
          <w:tcPr>
            <w:tcW w:w="3835" w:type="dxa"/>
            <w:shd w:val="clear" w:color="auto" w:fill="C6EFCE"/>
            <w:noWrap/>
          </w:tcPr>
          <w:p w14:paraId="1CEBE305" w14:textId="77777777" w:rsidR="00F74E13" w:rsidRDefault="009274FC">
            <w:pPr>
              <w:pStyle w:val="P68B1DB1-Normal15"/>
              <w:spacing w:after="0" w:line="240" w:lineRule="auto"/>
              <w:ind w:left="34"/>
              <w:rPr>
                <w:noProof/>
              </w:rPr>
            </w:pPr>
            <w:r>
              <w:rPr>
                <w:noProof/>
              </w:rPr>
              <w:t xml:space="preserve">C3.I2.1.c Programme de subventions pour la modernisation technologique </w:t>
            </w:r>
          </w:p>
        </w:tc>
        <w:tc>
          <w:tcPr>
            <w:tcW w:w="1418" w:type="dxa"/>
            <w:shd w:val="clear" w:color="auto" w:fill="C6EFCE"/>
            <w:noWrap/>
            <w:vAlign w:val="center"/>
          </w:tcPr>
          <w:p w14:paraId="1CEBE306"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vAlign w:val="center"/>
          </w:tcPr>
          <w:p w14:paraId="1CEBE307" w14:textId="061AE03C" w:rsidR="00F74E13" w:rsidRDefault="009274FC">
            <w:pPr>
              <w:pStyle w:val="P68B1DB1-Normal15"/>
              <w:spacing w:after="0" w:line="240" w:lineRule="auto"/>
              <w:ind w:left="57" w:right="57"/>
              <w:jc w:val="both"/>
              <w:rPr>
                <w:noProof/>
              </w:rPr>
            </w:pPr>
            <w:r>
              <w:rPr>
                <w:noProof/>
              </w:rPr>
              <w:t>Procédures de sélection achevées</w:t>
            </w:r>
          </w:p>
        </w:tc>
      </w:tr>
      <w:tr w:rsidR="00F74E13" w14:paraId="1CEBE30D" w14:textId="77777777">
        <w:trPr>
          <w:gridAfter w:val="1"/>
          <w:wAfter w:w="11" w:type="dxa"/>
          <w:trHeight w:val="302"/>
          <w:jc w:val="center"/>
        </w:trPr>
        <w:tc>
          <w:tcPr>
            <w:tcW w:w="1091" w:type="dxa"/>
            <w:shd w:val="clear" w:color="auto" w:fill="C6EFCE"/>
            <w:noWrap/>
          </w:tcPr>
          <w:p w14:paraId="1CEBE309" w14:textId="77777777" w:rsidR="00F74E13" w:rsidRDefault="009274FC">
            <w:pPr>
              <w:pStyle w:val="P68B1DB1-Normal15"/>
              <w:spacing w:after="0" w:line="240" w:lineRule="auto"/>
              <w:jc w:val="center"/>
              <w:rPr>
                <w:noProof/>
              </w:rPr>
            </w:pPr>
            <w:r>
              <w:rPr>
                <w:noProof/>
              </w:rPr>
              <w:t>48</w:t>
            </w:r>
          </w:p>
        </w:tc>
        <w:tc>
          <w:tcPr>
            <w:tcW w:w="3835" w:type="dxa"/>
            <w:shd w:val="clear" w:color="auto" w:fill="C6EFCE"/>
            <w:noWrap/>
          </w:tcPr>
          <w:p w14:paraId="1CEBE30A" w14:textId="77777777" w:rsidR="00F74E13" w:rsidRDefault="009274FC">
            <w:pPr>
              <w:pStyle w:val="P68B1DB1-Normal15"/>
              <w:spacing w:after="0" w:line="240" w:lineRule="auto"/>
              <w:ind w:left="34"/>
              <w:rPr>
                <w:noProof/>
              </w:rPr>
            </w:pPr>
            <w:r>
              <w:rPr>
                <w:noProof/>
              </w:rPr>
              <w:t>C3.I2.1.d Programme de subventions pour les technologies de l'information et de la communication et la cybersécurité dans les petites et moyennes entreprises</w:t>
            </w:r>
          </w:p>
        </w:tc>
        <w:tc>
          <w:tcPr>
            <w:tcW w:w="1418" w:type="dxa"/>
            <w:shd w:val="clear" w:color="auto" w:fill="C6EFCE"/>
            <w:noWrap/>
            <w:vAlign w:val="center"/>
          </w:tcPr>
          <w:p w14:paraId="1CEBE30B"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vAlign w:val="center"/>
          </w:tcPr>
          <w:p w14:paraId="1CEBE30C" w14:textId="501921E8" w:rsidR="00F74E13" w:rsidRDefault="009274FC">
            <w:pPr>
              <w:pStyle w:val="P68B1DB1-Normal15"/>
              <w:spacing w:after="0" w:line="240" w:lineRule="auto"/>
              <w:ind w:left="57" w:right="57"/>
              <w:jc w:val="both"/>
              <w:rPr>
                <w:noProof/>
              </w:rPr>
            </w:pPr>
            <w:r>
              <w:rPr>
                <w:noProof/>
              </w:rPr>
              <w:t>Procédures de sélection achevées</w:t>
            </w:r>
          </w:p>
        </w:tc>
      </w:tr>
      <w:tr w:rsidR="00F74E13" w14:paraId="1CEBE312" w14:textId="77777777">
        <w:trPr>
          <w:gridAfter w:val="1"/>
          <w:wAfter w:w="11" w:type="dxa"/>
          <w:trHeight w:val="302"/>
          <w:jc w:val="center"/>
        </w:trPr>
        <w:tc>
          <w:tcPr>
            <w:tcW w:w="1091" w:type="dxa"/>
            <w:shd w:val="clear" w:color="auto" w:fill="C6EFCE"/>
            <w:noWrap/>
          </w:tcPr>
          <w:p w14:paraId="1CEBE30E" w14:textId="77777777" w:rsidR="00F74E13" w:rsidRDefault="009274FC">
            <w:pPr>
              <w:pStyle w:val="P68B1DB1-Normal15"/>
              <w:spacing w:after="0" w:line="240" w:lineRule="auto"/>
              <w:jc w:val="center"/>
              <w:rPr>
                <w:noProof/>
              </w:rPr>
            </w:pPr>
            <w:r>
              <w:rPr>
                <w:noProof/>
              </w:rPr>
              <w:t>50</w:t>
            </w:r>
          </w:p>
        </w:tc>
        <w:tc>
          <w:tcPr>
            <w:tcW w:w="3835" w:type="dxa"/>
            <w:shd w:val="clear" w:color="auto" w:fill="C6EFCE"/>
            <w:noWrap/>
          </w:tcPr>
          <w:p w14:paraId="1CEBE30F" w14:textId="77777777" w:rsidR="00F74E13" w:rsidRDefault="009274FC">
            <w:pPr>
              <w:pStyle w:val="P68B1DB1-Normal15"/>
              <w:spacing w:after="0" w:line="240" w:lineRule="auto"/>
              <w:ind w:left="34"/>
              <w:rPr>
                <w:noProof/>
              </w:rPr>
            </w:pPr>
            <w:r>
              <w:rPr>
                <w:noProof/>
              </w:rPr>
              <w:t>C3.I2.1.e Réservoir d'innovation (Instruments de fonds propres pour l'innovation)</w:t>
            </w:r>
          </w:p>
        </w:tc>
        <w:tc>
          <w:tcPr>
            <w:tcW w:w="1418" w:type="dxa"/>
            <w:shd w:val="clear" w:color="auto" w:fill="C6EFCE"/>
            <w:noWrap/>
            <w:vAlign w:val="center"/>
          </w:tcPr>
          <w:p w14:paraId="1CEBE310"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vAlign w:val="center"/>
          </w:tcPr>
          <w:p w14:paraId="1CEBE311" w14:textId="77777777" w:rsidR="00F74E13" w:rsidRDefault="009274FC">
            <w:pPr>
              <w:pStyle w:val="P68B1DB1-Normal15"/>
              <w:spacing w:after="0" w:line="240" w:lineRule="auto"/>
              <w:ind w:left="57" w:right="57"/>
              <w:jc w:val="both"/>
              <w:rPr>
                <w:noProof/>
              </w:rPr>
            </w:pPr>
            <w:r>
              <w:rPr>
                <w:noProof/>
              </w:rPr>
              <w:t>Signature de la convention de financement entre le Fonds européen d'investissement et le gouvernement bulgare</w:t>
            </w:r>
          </w:p>
        </w:tc>
      </w:tr>
      <w:tr w:rsidR="00F74E13" w14:paraId="1CEBE317" w14:textId="77777777">
        <w:trPr>
          <w:gridAfter w:val="1"/>
          <w:wAfter w:w="11" w:type="dxa"/>
          <w:trHeight w:val="302"/>
          <w:jc w:val="center"/>
        </w:trPr>
        <w:tc>
          <w:tcPr>
            <w:tcW w:w="1091" w:type="dxa"/>
            <w:shd w:val="clear" w:color="auto" w:fill="C6EFCE"/>
            <w:noWrap/>
          </w:tcPr>
          <w:p w14:paraId="1CEBE313" w14:textId="77777777" w:rsidR="00F74E13" w:rsidRDefault="009274FC">
            <w:pPr>
              <w:pStyle w:val="P68B1DB1-Normal15"/>
              <w:spacing w:after="0" w:line="240" w:lineRule="auto"/>
              <w:jc w:val="center"/>
              <w:rPr>
                <w:noProof/>
              </w:rPr>
            </w:pPr>
            <w:r>
              <w:rPr>
                <w:noProof/>
              </w:rPr>
              <w:t>56</w:t>
            </w:r>
          </w:p>
        </w:tc>
        <w:tc>
          <w:tcPr>
            <w:tcW w:w="3835" w:type="dxa"/>
            <w:shd w:val="clear" w:color="auto" w:fill="C6EFCE"/>
            <w:noWrap/>
          </w:tcPr>
          <w:p w14:paraId="1CEBE314" w14:textId="77777777" w:rsidR="00F74E13" w:rsidRDefault="009274FC">
            <w:pPr>
              <w:pStyle w:val="P68B1DB1-Normal15"/>
              <w:spacing w:after="0" w:line="240" w:lineRule="auto"/>
              <w:ind w:left="34"/>
              <w:rPr>
                <w:noProof/>
              </w:rPr>
            </w:pPr>
            <w:r>
              <w:rPr>
                <w:noProof/>
              </w:rPr>
              <w:t>C3.I2.2.b Instrument de garantie pour l'efficacité énergétique et les énergies renouvelables</w:t>
            </w:r>
          </w:p>
        </w:tc>
        <w:tc>
          <w:tcPr>
            <w:tcW w:w="1418" w:type="dxa"/>
            <w:shd w:val="clear" w:color="auto" w:fill="C6EFCE"/>
            <w:noWrap/>
            <w:vAlign w:val="center"/>
          </w:tcPr>
          <w:p w14:paraId="1CEBE315"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vAlign w:val="center"/>
          </w:tcPr>
          <w:p w14:paraId="1CEBE316" w14:textId="77777777" w:rsidR="00F74E13" w:rsidRDefault="009274FC">
            <w:pPr>
              <w:pStyle w:val="P68B1DB1-Normal15"/>
              <w:spacing w:after="0" w:line="240" w:lineRule="auto"/>
              <w:ind w:left="57" w:right="57"/>
              <w:jc w:val="both"/>
              <w:rPr>
                <w:noProof/>
              </w:rPr>
            </w:pPr>
            <w:r>
              <w:rPr>
                <w:noProof/>
              </w:rPr>
              <w:t>Signature de la convention de contribution entre la Commission européenne et le gouvernement de la République de Bulgarie</w:t>
            </w:r>
          </w:p>
        </w:tc>
      </w:tr>
      <w:tr w:rsidR="00F74E13" w14:paraId="1CEBE31C" w14:textId="77777777">
        <w:trPr>
          <w:gridAfter w:val="1"/>
          <w:wAfter w:w="11" w:type="dxa"/>
          <w:trHeight w:val="302"/>
          <w:jc w:val="center"/>
        </w:trPr>
        <w:tc>
          <w:tcPr>
            <w:tcW w:w="1091" w:type="dxa"/>
            <w:shd w:val="clear" w:color="auto" w:fill="C6EFCE"/>
            <w:noWrap/>
          </w:tcPr>
          <w:p w14:paraId="1CEBE318" w14:textId="77777777" w:rsidR="00F74E13" w:rsidRDefault="009274FC">
            <w:pPr>
              <w:pStyle w:val="P68B1DB1-Normal15"/>
              <w:spacing w:after="0" w:line="240" w:lineRule="auto"/>
              <w:jc w:val="center"/>
              <w:rPr>
                <w:noProof/>
              </w:rPr>
            </w:pPr>
            <w:r>
              <w:rPr>
                <w:noProof/>
              </w:rPr>
              <w:t>61</w:t>
            </w:r>
          </w:p>
        </w:tc>
        <w:tc>
          <w:tcPr>
            <w:tcW w:w="3835" w:type="dxa"/>
            <w:shd w:val="clear" w:color="auto" w:fill="C6EFCE"/>
            <w:noWrap/>
          </w:tcPr>
          <w:p w14:paraId="1CEBE319" w14:textId="77777777" w:rsidR="00F74E13" w:rsidRDefault="009274FC">
            <w:pPr>
              <w:pStyle w:val="P68B1DB1-Normal15"/>
              <w:spacing w:after="0" w:line="240" w:lineRule="auto"/>
              <w:ind w:left="34"/>
              <w:rPr>
                <w:noProof/>
              </w:rPr>
            </w:pPr>
            <w:r>
              <w:rPr>
                <w:noProof/>
              </w:rPr>
              <w:t>C3.2.3.a Instruments de fonds propres pour les investissements en faveur de la neutralité climatique et de la transformation numérique</w:t>
            </w:r>
          </w:p>
        </w:tc>
        <w:tc>
          <w:tcPr>
            <w:tcW w:w="1418" w:type="dxa"/>
            <w:shd w:val="clear" w:color="auto" w:fill="C6EFCE"/>
            <w:noWrap/>
            <w:vAlign w:val="center"/>
          </w:tcPr>
          <w:p w14:paraId="1CEBE31A"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vAlign w:val="center"/>
          </w:tcPr>
          <w:p w14:paraId="1CEBE31B" w14:textId="77777777" w:rsidR="00F74E13" w:rsidRDefault="009274FC">
            <w:pPr>
              <w:pStyle w:val="P68B1DB1-Normal15"/>
              <w:spacing w:after="0" w:line="240" w:lineRule="auto"/>
              <w:ind w:left="57" w:right="57"/>
              <w:jc w:val="both"/>
              <w:rPr>
                <w:noProof/>
              </w:rPr>
            </w:pPr>
            <w:r>
              <w:rPr>
                <w:noProof/>
              </w:rPr>
              <w:t>Signature d'une convention de financement entre la République de Bulgarie et le Fonds européen d'investissement</w:t>
            </w:r>
          </w:p>
        </w:tc>
      </w:tr>
      <w:tr w:rsidR="00F74E13" w14:paraId="1CEBE321" w14:textId="77777777">
        <w:trPr>
          <w:gridAfter w:val="1"/>
          <w:wAfter w:w="11" w:type="dxa"/>
          <w:trHeight w:val="302"/>
          <w:jc w:val="center"/>
        </w:trPr>
        <w:tc>
          <w:tcPr>
            <w:tcW w:w="1091" w:type="dxa"/>
            <w:shd w:val="clear" w:color="auto" w:fill="C6EFCE"/>
            <w:noWrap/>
          </w:tcPr>
          <w:p w14:paraId="1CEBE31D" w14:textId="77777777" w:rsidR="00F74E13" w:rsidRDefault="009274FC">
            <w:pPr>
              <w:pStyle w:val="P68B1DB1-Normal15"/>
              <w:spacing w:after="0" w:line="240" w:lineRule="auto"/>
              <w:jc w:val="center"/>
              <w:rPr>
                <w:noProof/>
              </w:rPr>
            </w:pPr>
            <w:r>
              <w:rPr>
                <w:noProof/>
              </w:rPr>
              <w:t>63</w:t>
            </w:r>
          </w:p>
        </w:tc>
        <w:tc>
          <w:tcPr>
            <w:tcW w:w="3835" w:type="dxa"/>
            <w:shd w:val="clear" w:color="auto" w:fill="C6EFCE"/>
            <w:noWrap/>
          </w:tcPr>
          <w:p w14:paraId="1CEBE31E" w14:textId="77777777" w:rsidR="00F74E13" w:rsidRDefault="009274FC">
            <w:pPr>
              <w:pStyle w:val="P68B1DB1-Normal15"/>
              <w:spacing w:after="0" w:line="240" w:lineRule="auto"/>
              <w:ind w:left="34"/>
              <w:rPr>
                <w:noProof/>
              </w:rPr>
            </w:pPr>
            <w:r>
              <w:rPr>
                <w:noProof/>
              </w:rPr>
              <w:t>C4.R1 Création d’un Fonds national pour la décarbonation</w:t>
            </w:r>
          </w:p>
        </w:tc>
        <w:tc>
          <w:tcPr>
            <w:tcW w:w="1418" w:type="dxa"/>
            <w:shd w:val="clear" w:color="auto" w:fill="C6EFCE"/>
            <w:noWrap/>
          </w:tcPr>
          <w:p w14:paraId="1CEBE31F"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20" w14:textId="77777777" w:rsidR="00F74E13" w:rsidRDefault="009274FC">
            <w:pPr>
              <w:pStyle w:val="P68B1DB1-Normal15"/>
              <w:spacing w:after="0" w:line="240" w:lineRule="auto"/>
              <w:ind w:left="57" w:right="57"/>
              <w:jc w:val="both"/>
              <w:rPr>
                <w:noProof/>
              </w:rPr>
            </w:pPr>
            <w:r>
              <w:rPr>
                <w:noProof/>
              </w:rPr>
              <w:t>Évaluation du cadre réglementaire national en matière d’efficacité énergétique publiée par un groupe d’experts indépendants</w:t>
            </w:r>
          </w:p>
        </w:tc>
      </w:tr>
      <w:tr w:rsidR="00F74E13" w14:paraId="1CEBE326" w14:textId="77777777">
        <w:trPr>
          <w:gridAfter w:val="1"/>
          <w:wAfter w:w="11" w:type="dxa"/>
          <w:trHeight w:val="302"/>
          <w:jc w:val="center"/>
        </w:trPr>
        <w:tc>
          <w:tcPr>
            <w:tcW w:w="1091" w:type="dxa"/>
            <w:shd w:val="clear" w:color="auto" w:fill="C6EFCE"/>
            <w:noWrap/>
          </w:tcPr>
          <w:p w14:paraId="1CEBE322" w14:textId="77777777" w:rsidR="00F74E13" w:rsidRDefault="009274FC">
            <w:pPr>
              <w:pStyle w:val="P68B1DB1-Normal15"/>
              <w:spacing w:after="0" w:line="240" w:lineRule="auto"/>
              <w:jc w:val="center"/>
              <w:rPr>
                <w:noProof/>
              </w:rPr>
            </w:pPr>
            <w:r>
              <w:rPr>
                <w:noProof/>
              </w:rPr>
              <w:t>66</w:t>
            </w:r>
          </w:p>
        </w:tc>
        <w:tc>
          <w:tcPr>
            <w:tcW w:w="3835" w:type="dxa"/>
            <w:shd w:val="clear" w:color="auto" w:fill="C6EFCE"/>
            <w:noWrap/>
          </w:tcPr>
          <w:p w14:paraId="1CEBE323" w14:textId="77777777" w:rsidR="00F74E13" w:rsidRDefault="009274FC">
            <w:pPr>
              <w:pStyle w:val="P68B1DB1-Normal15"/>
              <w:spacing w:after="0" w:line="240" w:lineRule="auto"/>
              <w:ind w:left="34"/>
              <w:rPr>
                <w:noProof/>
              </w:rPr>
            </w:pPr>
            <w:r>
              <w:rPr>
                <w:noProof/>
              </w:rPr>
              <w:t>C4.R3 Définition de la «précarité énergétique» et des critères d’identification des ménages en situation de précarité énergétique et des consommateurs vulnérables</w:t>
            </w:r>
          </w:p>
        </w:tc>
        <w:tc>
          <w:tcPr>
            <w:tcW w:w="1418" w:type="dxa"/>
            <w:shd w:val="clear" w:color="auto" w:fill="C6EFCE"/>
            <w:noWrap/>
          </w:tcPr>
          <w:p w14:paraId="1CEBE324"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25" w14:textId="43F0A82E" w:rsidR="00F74E13" w:rsidRDefault="009274FC">
            <w:pPr>
              <w:pStyle w:val="P68B1DB1-Normal33"/>
              <w:spacing w:after="0" w:line="240" w:lineRule="auto"/>
              <w:ind w:left="57" w:right="57"/>
              <w:jc w:val="both"/>
              <w:rPr>
                <w:noProof/>
                <w:color w:val="006100"/>
              </w:rPr>
            </w:pPr>
            <w:r>
              <w:rPr>
                <w:noProof/>
                <w:color w:val="006100"/>
              </w:rPr>
              <w:t>Entrée en vigueur des modifications de la loi sur l’énergie et du droit dérivé concernant</w:t>
            </w:r>
            <w:r>
              <w:rPr>
                <w:noProof/>
              </w:rPr>
              <w:t xml:space="preserve"> </w:t>
            </w:r>
            <w:r>
              <w:rPr>
                <w:noProof/>
                <w:color w:val="006100"/>
              </w:rPr>
              <w:t>la «précarité énergétique»</w:t>
            </w:r>
          </w:p>
        </w:tc>
      </w:tr>
      <w:tr w:rsidR="00F74E13" w14:paraId="1CEBE32B" w14:textId="77777777">
        <w:trPr>
          <w:gridAfter w:val="1"/>
          <w:wAfter w:w="11" w:type="dxa"/>
          <w:trHeight w:val="302"/>
          <w:jc w:val="center"/>
        </w:trPr>
        <w:tc>
          <w:tcPr>
            <w:tcW w:w="1091" w:type="dxa"/>
            <w:shd w:val="clear" w:color="auto" w:fill="C6EFCE"/>
            <w:noWrap/>
          </w:tcPr>
          <w:p w14:paraId="1CEBE327" w14:textId="77777777" w:rsidR="00F74E13" w:rsidRDefault="009274FC">
            <w:pPr>
              <w:pStyle w:val="P68B1DB1-Normal15"/>
              <w:spacing w:after="0" w:line="240" w:lineRule="auto"/>
              <w:jc w:val="center"/>
              <w:rPr>
                <w:noProof/>
              </w:rPr>
            </w:pPr>
            <w:r>
              <w:rPr>
                <w:noProof/>
              </w:rPr>
              <w:t>67</w:t>
            </w:r>
          </w:p>
        </w:tc>
        <w:tc>
          <w:tcPr>
            <w:tcW w:w="3835" w:type="dxa"/>
            <w:shd w:val="clear" w:color="auto" w:fill="C6EFCE"/>
            <w:noWrap/>
          </w:tcPr>
          <w:p w14:paraId="1CEBE328" w14:textId="77777777" w:rsidR="00F74E13" w:rsidRDefault="009274FC">
            <w:pPr>
              <w:pStyle w:val="P68B1DB1-Normal15"/>
              <w:spacing w:after="0" w:line="240" w:lineRule="auto"/>
              <w:ind w:left="34"/>
              <w:rPr>
                <w:noProof/>
              </w:rPr>
            </w:pPr>
            <w:r>
              <w:rPr>
                <w:noProof/>
              </w:rPr>
              <w:t>C4.R2 Faciliter les investissements dans les rénovations d'efficacité énergétique dans les bâtiments résidentiels</w:t>
            </w:r>
          </w:p>
        </w:tc>
        <w:tc>
          <w:tcPr>
            <w:tcW w:w="1418" w:type="dxa"/>
            <w:shd w:val="clear" w:color="auto" w:fill="C6EFCE"/>
            <w:noWrap/>
          </w:tcPr>
          <w:p w14:paraId="1CEBE329"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2A" w14:textId="77777777" w:rsidR="00F74E13" w:rsidRDefault="009274FC">
            <w:pPr>
              <w:pStyle w:val="P68B1DB1-Normal15"/>
              <w:spacing w:after="0" w:line="240" w:lineRule="auto"/>
              <w:ind w:left="57" w:right="57"/>
              <w:jc w:val="both"/>
              <w:rPr>
                <w:noProof/>
              </w:rPr>
            </w:pPr>
            <w:r>
              <w:rPr>
                <w:noProof/>
              </w:rPr>
              <w:t>Entrée en vigueur des modifications apportées à la Loi sur l'administration de la gestion de la propriété des condominiums</w:t>
            </w:r>
          </w:p>
        </w:tc>
      </w:tr>
      <w:tr w:rsidR="00F74E13" w14:paraId="1CEBE330" w14:textId="77777777">
        <w:trPr>
          <w:gridAfter w:val="1"/>
          <w:wAfter w:w="11" w:type="dxa"/>
          <w:trHeight w:val="302"/>
          <w:jc w:val="center"/>
        </w:trPr>
        <w:tc>
          <w:tcPr>
            <w:tcW w:w="1091" w:type="dxa"/>
            <w:shd w:val="clear" w:color="auto" w:fill="C6EFCE"/>
            <w:noWrap/>
          </w:tcPr>
          <w:p w14:paraId="1CEBE32C" w14:textId="77777777" w:rsidR="00F74E13" w:rsidRDefault="009274FC">
            <w:pPr>
              <w:pStyle w:val="P68B1DB1-Normal15"/>
              <w:spacing w:after="0" w:line="240" w:lineRule="auto"/>
              <w:jc w:val="center"/>
              <w:rPr>
                <w:noProof/>
              </w:rPr>
            </w:pPr>
            <w:r>
              <w:rPr>
                <w:noProof/>
              </w:rPr>
              <w:t>68</w:t>
            </w:r>
          </w:p>
        </w:tc>
        <w:tc>
          <w:tcPr>
            <w:tcW w:w="3835" w:type="dxa"/>
            <w:shd w:val="clear" w:color="auto" w:fill="C6EFCE"/>
            <w:noWrap/>
          </w:tcPr>
          <w:p w14:paraId="1CEBE32D" w14:textId="77777777" w:rsidR="00F74E13" w:rsidRDefault="009274FC">
            <w:pPr>
              <w:pStyle w:val="P68B1DB1-Normal15"/>
              <w:spacing w:after="0" w:line="240" w:lineRule="auto"/>
              <w:ind w:left="34"/>
              <w:rPr>
                <w:noProof/>
              </w:rPr>
            </w:pPr>
            <w:r>
              <w:rPr>
                <w:noProof/>
              </w:rPr>
              <w:t>C4.I1 Soutien à la rénovation du parc immobilier.</w:t>
            </w:r>
          </w:p>
        </w:tc>
        <w:tc>
          <w:tcPr>
            <w:tcW w:w="1418" w:type="dxa"/>
            <w:shd w:val="clear" w:color="auto" w:fill="C6EFCE"/>
            <w:noWrap/>
          </w:tcPr>
          <w:p w14:paraId="1CEBE32E"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2F" w14:textId="77777777" w:rsidR="00F74E13" w:rsidRDefault="009274FC">
            <w:pPr>
              <w:pStyle w:val="P68B1DB1-Normal15"/>
              <w:spacing w:after="0" w:line="240" w:lineRule="auto"/>
              <w:ind w:left="57" w:right="57"/>
              <w:jc w:val="both"/>
              <w:rPr>
                <w:noProof/>
              </w:rPr>
            </w:pPr>
            <w:r>
              <w:rPr>
                <w:noProof/>
              </w:rPr>
              <w:t xml:space="preserve">Mise en place d’un régime national d’aide à la rénovation visant à améliorer l’efficacité énergétique des bâtiments résidentiels et non résidentiels </w:t>
            </w:r>
            <w:r>
              <w:rPr>
                <w:noProof/>
              </w:rPr>
              <w:br/>
            </w:r>
          </w:p>
        </w:tc>
      </w:tr>
      <w:tr w:rsidR="00F74E13" w14:paraId="1CEBE337" w14:textId="77777777">
        <w:trPr>
          <w:gridAfter w:val="1"/>
          <w:wAfter w:w="11" w:type="dxa"/>
          <w:trHeight w:val="302"/>
          <w:jc w:val="center"/>
        </w:trPr>
        <w:tc>
          <w:tcPr>
            <w:tcW w:w="1091" w:type="dxa"/>
            <w:shd w:val="clear" w:color="auto" w:fill="C6EFCE"/>
            <w:noWrap/>
          </w:tcPr>
          <w:p w14:paraId="1CEBE331" w14:textId="77777777" w:rsidR="00F74E13" w:rsidRDefault="009274FC">
            <w:pPr>
              <w:pStyle w:val="P68B1DB1-Normal15"/>
              <w:spacing w:after="0" w:line="240" w:lineRule="auto"/>
              <w:jc w:val="center"/>
              <w:rPr>
                <w:noProof/>
              </w:rPr>
            </w:pPr>
            <w:r>
              <w:rPr>
                <w:noProof/>
              </w:rPr>
              <w:t>69</w:t>
            </w:r>
          </w:p>
        </w:tc>
        <w:tc>
          <w:tcPr>
            <w:tcW w:w="3835" w:type="dxa"/>
            <w:shd w:val="clear" w:color="auto" w:fill="C6EFCE"/>
            <w:noWrap/>
          </w:tcPr>
          <w:p w14:paraId="1CEBE332" w14:textId="77777777" w:rsidR="00F74E13" w:rsidRDefault="009274FC">
            <w:pPr>
              <w:pStyle w:val="P68B1DB1-Normal15"/>
              <w:spacing w:after="0" w:line="240" w:lineRule="auto"/>
              <w:ind w:left="34"/>
              <w:rPr>
                <w:noProof/>
                <w:u w:val="single"/>
              </w:rPr>
            </w:pPr>
            <w:r>
              <w:rPr>
                <w:noProof/>
              </w:rPr>
              <w:t>C4.I1 Soutien à la rénovation du parc immobilier</w:t>
            </w:r>
          </w:p>
          <w:p w14:paraId="1CEBE334" w14:textId="77777777" w:rsidR="00F74E13" w:rsidRDefault="009274FC">
            <w:pPr>
              <w:pStyle w:val="P68B1DB1-Normal15"/>
              <w:spacing w:before="120" w:after="0" w:line="240" w:lineRule="auto"/>
              <w:ind w:left="34"/>
              <w:rPr>
                <w:noProof/>
              </w:rPr>
            </w:pPr>
            <w:r>
              <w:rPr>
                <w:noProof/>
              </w:rPr>
              <w:t>Sous-mesure 1: Rénovation de bâtiments résidentiels</w:t>
            </w:r>
          </w:p>
        </w:tc>
        <w:tc>
          <w:tcPr>
            <w:tcW w:w="1418" w:type="dxa"/>
            <w:shd w:val="clear" w:color="auto" w:fill="C6EFCE"/>
            <w:noWrap/>
          </w:tcPr>
          <w:p w14:paraId="1CEBE335"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36" w14:textId="77777777" w:rsidR="00F74E13" w:rsidRDefault="009274FC">
            <w:pPr>
              <w:pStyle w:val="P68B1DB1-Normal15"/>
              <w:spacing w:after="0" w:line="240" w:lineRule="auto"/>
              <w:ind w:left="57" w:right="57"/>
              <w:jc w:val="both"/>
              <w:rPr>
                <w:noProof/>
              </w:rPr>
            </w:pPr>
            <w:r>
              <w:rPr>
                <w:noProof/>
              </w:rPr>
              <w:t>Appel à propositions pour la rénovation de l'efficacité énergétique des bâtiments résidentiels</w:t>
            </w:r>
          </w:p>
        </w:tc>
      </w:tr>
      <w:tr w:rsidR="00F74E13" w14:paraId="1CEBE340" w14:textId="77777777">
        <w:trPr>
          <w:gridAfter w:val="1"/>
          <w:wAfter w:w="11" w:type="dxa"/>
          <w:trHeight w:val="302"/>
          <w:jc w:val="center"/>
        </w:trPr>
        <w:tc>
          <w:tcPr>
            <w:tcW w:w="1091" w:type="dxa"/>
            <w:shd w:val="clear" w:color="auto" w:fill="C6EFCE"/>
            <w:noWrap/>
          </w:tcPr>
          <w:p w14:paraId="1CEBE338" w14:textId="77777777" w:rsidR="00F74E13" w:rsidRDefault="009274FC">
            <w:pPr>
              <w:pStyle w:val="P68B1DB1-Normal15"/>
              <w:spacing w:after="0" w:line="240" w:lineRule="auto"/>
              <w:jc w:val="center"/>
              <w:rPr>
                <w:noProof/>
              </w:rPr>
            </w:pPr>
            <w:r>
              <w:rPr>
                <w:noProof/>
              </w:rPr>
              <w:t>72</w:t>
            </w:r>
          </w:p>
        </w:tc>
        <w:tc>
          <w:tcPr>
            <w:tcW w:w="3835" w:type="dxa"/>
            <w:shd w:val="clear" w:color="auto" w:fill="C6EFCE"/>
            <w:noWrap/>
          </w:tcPr>
          <w:p w14:paraId="1CEBE339" w14:textId="77777777" w:rsidR="00F74E13" w:rsidRDefault="009274FC">
            <w:pPr>
              <w:pStyle w:val="P68B1DB1-Normal15"/>
              <w:spacing w:after="0" w:line="240" w:lineRule="auto"/>
              <w:ind w:left="34"/>
              <w:rPr>
                <w:noProof/>
              </w:rPr>
            </w:pPr>
            <w:r>
              <w:rPr>
                <w:noProof/>
              </w:rPr>
              <w:t>C4.I1 Soutien à la rénovation du parc immobilier</w:t>
            </w:r>
          </w:p>
          <w:p w14:paraId="1CEBE33B" w14:textId="77777777" w:rsidR="00F74E13" w:rsidRDefault="009274FC">
            <w:pPr>
              <w:pStyle w:val="P68B1DB1-Normal15"/>
              <w:spacing w:before="120" w:after="0" w:line="240" w:lineRule="auto"/>
              <w:ind w:left="34"/>
              <w:rPr>
                <w:noProof/>
              </w:rPr>
            </w:pPr>
            <w:r>
              <w:rPr>
                <w:noProof/>
              </w:rPr>
              <w:t xml:space="preserve">Sous-mesure 2: Rénovation de bâtiments non résidentiels, y compris les bâtiments publics et </w:t>
            </w:r>
          </w:p>
          <w:p w14:paraId="1CEBE33D" w14:textId="6F369F63" w:rsidR="00F74E13" w:rsidRDefault="009274FC">
            <w:pPr>
              <w:pStyle w:val="P68B1DB1-Normal15"/>
              <w:spacing w:before="120" w:after="0" w:line="240" w:lineRule="auto"/>
              <w:ind w:left="34"/>
              <w:rPr>
                <w:noProof/>
              </w:rPr>
            </w:pPr>
            <w:r>
              <w:rPr>
                <w:noProof/>
              </w:rPr>
              <w:t>Sous-mesure 3: Rénovation de bâtiments non résidentiels dans l'industrie manufacturière, le commerce et les services</w:t>
            </w:r>
          </w:p>
        </w:tc>
        <w:tc>
          <w:tcPr>
            <w:tcW w:w="1418" w:type="dxa"/>
            <w:shd w:val="clear" w:color="auto" w:fill="C6EFCE"/>
            <w:noWrap/>
          </w:tcPr>
          <w:p w14:paraId="1CEBE33E"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3F" w14:textId="77777777" w:rsidR="00F74E13" w:rsidRDefault="009274FC">
            <w:pPr>
              <w:pStyle w:val="P68B1DB1-Normal15"/>
              <w:spacing w:after="0" w:line="240" w:lineRule="auto"/>
              <w:ind w:left="57" w:right="57"/>
              <w:jc w:val="both"/>
              <w:rPr>
                <w:noProof/>
              </w:rPr>
            </w:pPr>
            <w:r>
              <w:rPr>
                <w:noProof/>
              </w:rPr>
              <w:t>Appels à propositions pour la rénovation énergétique des bâtiments non résidentiels</w:t>
            </w:r>
          </w:p>
        </w:tc>
      </w:tr>
      <w:tr w:rsidR="00F74E13" w14:paraId="1CEBE345" w14:textId="77777777">
        <w:trPr>
          <w:gridAfter w:val="1"/>
          <w:wAfter w:w="11" w:type="dxa"/>
          <w:trHeight w:val="302"/>
          <w:jc w:val="center"/>
        </w:trPr>
        <w:tc>
          <w:tcPr>
            <w:tcW w:w="1091" w:type="dxa"/>
            <w:shd w:val="clear" w:color="auto" w:fill="C6EFCE"/>
            <w:noWrap/>
          </w:tcPr>
          <w:p w14:paraId="1CEBE341" w14:textId="77777777" w:rsidR="00F74E13" w:rsidRDefault="009274FC">
            <w:pPr>
              <w:pStyle w:val="P68B1DB1-Normal15"/>
              <w:spacing w:after="0" w:line="240" w:lineRule="auto"/>
              <w:jc w:val="center"/>
              <w:rPr>
                <w:noProof/>
              </w:rPr>
            </w:pPr>
            <w:r>
              <w:rPr>
                <w:noProof/>
              </w:rPr>
              <w:t>82</w:t>
            </w:r>
          </w:p>
        </w:tc>
        <w:tc>
          <w:tcPr>
            <w:tcW w:w="3835" w:type="dxa"/>
            <w:shd w:val="clear" w:color="auto" w:fill="C6EFCE"/>
            <w:noWrap/>
          </w:tcPr>
          <w:p w14:paraId="1CEBE342" w14:textId="77777777" w:rsidR="00F74E13" w:rsidRDefault="009274FC">
            <w:pPr>
              <w:pStyle w:val="P68B1DB1-Normal15"/>
              <w:spacing w:after="0" w:line="240" w:lineRule="auto"/>
              <w:ind w:left="34"/>
              <w:rPr>
                <w:noProof/>
              </w:rPr>
            </w:pPr>
            <w:r>
              <w:rPr>
                <w:noProof/>
              </w:rPr>
              <w:t>C4.R4 Stimuler l'efficacité énergétique et les projets d'énergies renouvelables grâce aux factures d'énergie</w:t>
            </w:r>
          </w:p>
        </w:tc>
        <w:tc>
          <w:tcPr>
            <w:tcW w:w="1418" w:type="dxa"/>
            <w:shd w:val="clear" w:color="auto" w:fill="C6EFCE"/>
            <w:noWrap/>
          </w:tcPr>
          <w:p w14:paraId="1CEBE343"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44"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Entrée en vigueur des </w:t>
            </w:r>
            <w:r>
              <w:rPr>
                <w:rFonts w:ascii="Times New Roman" w:hAnsi="Times New Roman" w:cs="Times New Roman"/>
                <w:noProof/>
                <w:szCs w:val="20"/>
              </w:rPr>
              <w:t>actes juridiques relatifs à l'amélioration  de</w:t>
            </w:r>
            <w:r>
              <w:rPr>
                <w:rFonts w:ascii="Times New Roman" w:hAnsi="Times New Roman"/>
                <w:noProof/>
              </w:rPr>
              <w:t xml:space="preserve"> l'efficacité énergétique dans le cadre du modèle des sociétés de services énergétiques (ESCO).</w:t>
            </w:r>
          </w:p>
        </w:tc>
      </w:tr>
      <w:tr w:rsidR="00F74E13" w14:paraId="1CEBE34A" w14:textId="77777777">
        <w:trPr>
          <w:gridAfter w:val="1"/>
          <w:wAfter w:w="11" w:type="dxa"/>
          <w:trHeight w:val="302"/>
          <w:jc w:val="center"/>
        </w:trPr>
        <w:tc>
          <w:tcPr>
            <w:tcW w:w="1091" w:type="dxa"/>
            <w:shd w:val="clear" w:color="auto" w:fill="C6EFCE"/>
            <w:noWrap/>
          </w:tcPr>
          <w:p w14:paraId="1CEBE346" w14:textId="77777777" w:rsidR="00F74E13" w:rsidRDefault="009274FC">
            <w:pPr>
              <w:pStyle w:val="P68B1DB1-Normal15"/>
              <w:spacing w:after="0" w:line="240" w:lineRule="auto"/>
              <w:jc w:val="center"/>
              <w:rPr>
                <w:noProof/>
              </w:rPr>
            </w:pPr>
            <w:r>
              <w:rPr>
                <w:noProof/>
              </w:rPr>
              <w:t>85</w:t>
            </w:r>
          </w:p>
        </w:tc>
        <w:tc>
          <w:tcPr>
            <w:tcW w:w="3835" w:type="dxa"/>
            <w:shd w:val="clear" w:color="auto" w:fill="C6EFCE"/>
            <w:noWrap/>
          </w:tcPr>
          <w:p w14:paraId="1CEBE347" w14:textId="77777777" w:rsidR="00F74E13" w:rsidRDefault="009274FC">
            <w:pPr>
              <w:pStyle w:val="P68B1DB1-Normal15"/>
              <w:spacing w:after="0" w:line="240" w:lineRule="auto"/>
              <w:ind w:left="34"/>
              <w:rPr>
                <w:noProof/>
              </w:rPr>
            </w:pPr>
            <w:r>
              <w:rPr>
                <w:noProof/>
              </w:rPr>
              <w:t>C4.I4 Transformation numérique du réseau de transport d'électricité</w:t>
            </w:r>
          </w:p>
        </w:tc>
        <w:tc>
          <w:tcPr>
            <w:tcW w:w="1418" w:type="dxa"/>
            <w:shd w:val="clear" w:color="auto" w:fill="C6EFCE"/>
            <w:noWrap/>
          </w:tcPr>
          <w:p w14:paraId="1CEBE348"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49" w14:textId="1D8D9E90"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Contrats </w:t>
            </w:r>
            <w:r>
              <w:rPr>
                <w:rFonts w:ascii="Times New Roman" w:hAnsi="Times New Roman" w:cs="Times New Roman"/>
                <w:noProof/>
                <w:szCs w:val="20"/>
              </w:rPr>
              <w:t xml:space="preserve"> signés</w:t>
            </w:r>
            <w:r>
              <w:rPr>
                <w:rFonts w:ascii="Times New Roman" w:hAnsi="Times New Roman"/>
                <w:noProof/>
              </w:rPr>
              <w:t xml:space="preserve"> </w:t>
            </w:r>
            <w:r>
              <w:rPr>
                <w:rFonts w:ascii="Times New Roman" w:hAnsi="Times New Roman" w:cs="Times New Roman"/>
                <w:noProof/>
                <w:szCs w:val="20"/>
              </w:rPr>
              <w:t xml:space="preserve">ou début des travaux </w:t>
            </w:r>
            <w:r>
              <w:rPr>
                <w:rFonts w:ascii="Times New Roman" w:hAnsi="Times New Roman"/>
                <w:noProof/>
              </w:rPr>
              <w:t xml:space="preserve">de </w:t>
            </w:r>
            <w:r>
              <w:rPr>
                <w:rFonts w:ascii="Times New Roman" w:hAnsi="Times New Roman" w:cs="Times New Roman"/>
                <w:noProof/>
                <w:szCs w:val="20"/>
              </w:rPr>
              <w:t xml:space="preserve">modernisation </w:t>
            </w:r>
            <w:r>
              <w:rPr>
                <w:rFonts w:ascii="Times New Roman" w:hAnsi="Times New Roman"/>
                <w:noProof/>
              </w:rPr>
              <w:t>des réseaux de transport nationaux</w:t>
            </w:r>
          </w:p>
        </w:tc>
      </w:tr>
      <w:tr w:rsidR="00F74E13" w14:paraId="1CEBE34F" w14:textId="77777777">
        <w:trPr>
          <w:gridAfter w:val="1"/>
          <w:wAfter w:w="11" w:type="dxa"/>
          <w:trHeight w:val="302"/>
          <w:jc w:val="center"/>
        </w:trPr>
        <w:tc>
          <w:tcPr>
            <w:tcW w:w="1091" w:type="dxa"/>
            <w:shd w:val="clear" w:color="auto" w:fill="C6EFCE"/>
            <w:noWrap/>
          </w:tcPr>
          <w:p w14:paraId="1CEBE34B" w14:textId="77777777" w:rsidR="00F74E13" w:rsidRDefault="009274FC">
            <w:pPr>
              <w:pStyle w:val="P68B1DB1-Normal15"/>
              <w:spacing w:after="0" w:line="240" w:lineRule="auto"/>
              <w:jc w:val="center"/>
              <w:rPr>
                <w:noProof/>
              </w:rPr>
            </w:pPr>
            <w:r>
              <w:rPr>
                <w:noProof/>
              </w:rPr>
              <w:t>79</w:t>
            </w:r>
          </w:p>
        </w:tc>
        <w:tc>
          <w:tcPr>
            <w:tcW w:w="3835" w:type="dxa"/>
            <w:shd w:val="clear" w:color="auto" w:fill="C6EFCE"/>
            <w:noWrap/>
          </w:tcPr>
          <w:p w14:paraId="1CEBE34C" w14:textId="77777777" w:rsidR="00F74E13" w:rsidRDefault="009274FC">
            <w:pPr>
              <w:pStyle w:val="P68B1DB1-Normal15"/>
              <w:spacing w:after="0" w:line="240" w:lineRule="auto"/>
              <w:ind w:left="34"/>
              <w:rPr>
                <w:noProof/>
              </w:rPr>
            </w:pPr>
            <w:r>
              <w:rPr>
                <w:noProof/>
              </w:rPr>
              <w:t>C4.I3 Soutien aux systèmes d'éclairage public économes en énergie</w:t>
            </w:r>
          </w:p>
        </w:tc>
        <w:tc>
          <w:tcPr>
            <w:tcW w:w="1418" w:type="dxa"/>
            <w:shd w:val="clear" w:color="auto" w:fill="C6EFCE"/>
            <w:noWrap/>
          </w:tcPr>
          <w:p w14:paraId="1CEBE34D"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4E" w14:textId="77777777" w:rsidR="00F74E13" w:rsidRDefault="009274FC">
            <w:pPr>
              <w:pStyle w:val="P68B1DB1-Normal15"/>
              <w:spacing w:after="0"/>
              <w:ind w:left="57" w:right="57"/>
              <w:jc w:val="both"/>
              <w:rPr>
                <w:noProof/>
              </w:rPr>
            </w:pPr>
            <w:r>
              <w:rPr>
                <w:noProof/>
              </w:rPr>
              <w:t>Signature de contrats de subvention pour la rénovation de systèmes d’éclairage public (appel 1)</w:t>
            </w:r>
          </w:p>
        </w:tc>
      </w:tr>
      <w:tr w:rsidR="00F74E13" w14:paraId="1CEBE354" w14:textId="77777777">
        <w:trPr>
          <w:gridAfter w:val="1"/>
          <w:wAfter w:w="11" w:type="dxa"/>
          <w:trHeight w:val="302"/>
          <w:jc w:val="center"/>
        </w:trPr>
        <w:tc>
          <w:tcPr>
            <w:tcW w:w="1091" w:type="dxa"/>
            <w:shd w:val="clear" w:color="auto" w:fill="C6EFCE"/>
            <w:noWrap/>
          </w:tcPr>
          <w:p w14:paraId="1CEBE350" w14:textId="77777777" w:rsidR="00F74E13" w:rsidRDefault="009274FC">
            <w:pPr>
              <w:pStyle w:val="P68B1DB1-Normal15"/>
              <w:spacing w:after="0" w:line="240" w:lineRule="auto"/>
              <w:jc w:val="center"/>
              <w:rPr>
                <w:noProof/>
              </w:rPr>
            </w:pPr>
            <w:r>
              <w:rPr>
                <w:noProof/>
              </w:rPr>
              <w:t>29</w:t>
            </w:r>
          </w:p>
        </w:tc>
        <w:tc>
          <w:tcPr>
            <w:tcW w:w="3835" w:type="dxa"/>
            <w:shd w:val="clear" w:color="auto" w:fill="C6EFCE"/>
            <w:noWrap/>
          </w:tcPr>
          <w:p w14:paraId="1CEBE351" w14:textId="77777777" w:rsidR="00F74E13" w:rsidRDefault="009274FC">
            <w:pPr>
              <w:pStyle w:val="P68B1DB1-Normal15"/>
              <w:spacing w:after="0" w:line="240" w:lineRule="auto"/>
              <w:ind w:left="34"/>
              <w:rPr>
                <w:noProof/>
              </w:rPr>
            </w:pPr>
            <w:r>
              <w:rPr>
                <w:noProof/>
              </w:rPr>
              <w:t xml:space="preserve">C2.I1 Programme de </w:t>
            </w:r>
            <w:r>
              <w:rPr>
                <w:noProof/>
                <w:szCs w:val="20"/>
              </w:rPr>
              <w:t>soutien</w:t>
            </w:r>
            <w:r>
              <w:rPr>
                <w:noProof/>
              </w:rPr>
              <w:t xml:space="preserve"> à la recherche et à l'innovation</w:t>
            </w:r>
          </w:p>
        </w:tc>
        <w:tc>
          <w:tcPr>
            <w:tcW w:w="1418" w:type="dxa"/>
            <w:shd w:val="clear" w:color="auto" w:fill="C6EFCE"/>
            <w:noWrap/>
          </w:tcPr>
          <w:p w14:paraId="1CEBE352" w14:textId="77777777" w:rsidR="00F74E13" w:rsidRDefault="009274FC">
            <w:pPr>
              <w:pStyle w:val="P68B1DB1-Normal15"/>
              <w:spacing w:after="0" w:line="240" w:lineRule="auto"/>
              <w:jc w:val="center"/>
              <w:rPr>
                <w:noProof/>
              </w:rPr>
            </w:pPr>
            <w:r>
              <w:rPr>
                <w:noProof/>
              </w:rPr>
              <w:t xml:space="preserve">Objectif </w:t>
            </w:r>
          </w:p>
        </w:tc>
        <w:tc>
          <w:tcPr>
            <w:tcW w:w="3465" w:type="dxa"/>
            <w:shd w:val="clear" w:color="auto" w:fill="C6EFCE"/>
            <w:noWrap/>
          </w:tcPr>
          <w:p w14:paraId="1CEBE353" w14:textId="0270B2D9" w:rsidR="00F74E13" w:rsidRDefault="009274FC">
            <w:pPr>
              <w:pStyle w:val="P68B1DB1-Normal15"/>
              <w:spacing w:after="0"/>
              <w:ind w:left="57" w:right="57"/>
              <w:jc w:val="both"/>
              <w:rPr>
                <w:noProof/>
              </w:rPr>
            </w:pPr>
            <w:r>
              <w:rPr>
                <w:noProof/>
              </w:rPr>
              <w:t>Signature de contrats avec des établissements d'enseignement supérieur de la recherche</w:t>
            </w:r>
          </w:p>
        </w:tc>
      </w:tr>
      <w:tr w:rsidR="00F74E13" w14:paraId="1CEBE359" w14:textId="77777777">
        <w:trPr>
          <w:gridAfter w:val="1"/>
          <w:wAfter w:w="11" w:type="dxa"/>
          <w:trHeight w:val="302"/>
          <w:jc w:val="center"/>
        </w:trPr>
        <w:tc>
          <w:tcPr>
            <w:tcW w:w="1091" w:type="dxa"/>
            <w:shd w:val="clear" w:color="auto" w:fill="C6EFCE"/>
            <w:noWrap/>
          </w:tcPr>
          <w:p w14:paraId="1CEBE355" w14:textId="77777777" w:rsidR="00F74E13" w:rsidRDefault="009274FC">
            <w:pPr>
              <w:pStyle w:val="P68B1DB1-Normal15"/>
              <w:spacing w:after="0" w:line="240" w:lineRule="auto"/>
              <w:jc w:val="center"/>
              <w:rPr>
                <w:noProof/>
              </w:rPr>
            </w:pPr>
            <w:r>
              <w:rPr>
                <w:noProof/>
              </w:rPr>
              <w:t>92</w:t>
            </w:r>
          </w:p>
        </w:tc>
        <w:tc>
          <w:tcPr>
            <w:tcW w:w="3835" w:type="dxa"/>
            <w:shd w:val="clear" w:color="auto" w:fill="C6EFCE"/>
            <w:noWrap/>
          </w:tcPr>
          <w:p w14:paraId="1CEBE356" w14:textId="77777777" w:rsidR="00F74E13" w:rsidRDefault="009274FC">
            <w:pPr>
              <w:pStyle w:val="P68B1DB1-Normal15"/>
              <w:spacing w:after="0" w:line="240" w:lineRule="auto"/>
              <w:ind w:left="34"/>
              <w:rPr>
                <w:noProof/>
              </w:rPr>
            </w:pPr>
            <w:r>
              <w:rPr>
                <w:noProof/>
              </w:rPr>
              <w:t>C4.R8 Libéralisation du marché de l'électricité</w:t>
            </w:r>
          </w:p>
        </w:tc>
        <w:tc>
          <w:tcPr>
            <w:tcW w:w="1418" w:type="dxa"/>
            <w:shd w:val="clear" w:color="auto" w:fill="C6EFCE"/>
            <w:noWrap/>
          </w:tcPr>
          <w:p w14:paraId="1CEBE357"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58" w14:textId="77777777" w:rsidR="00F74E13" w:rsidRDefault="009274FC">
            <w:pPr>
              <w:pStyle w:val="P68B1DB1-Normal15"/>
              <w:spacing w:after="0" w:line="240" w:lineRule="auto"/>
              <w:ind w:left="57" w:right="57"/>
              <w:jc w:val="both"/>
              <w:rPr>
                <w:noProof/>
              </w:rPr>
            </w:pPr>
            <w:r>
              <w:rPr>
                <w:noProof/>
              </w:rPr>
              <w:t>Intégration du marché de l'électricité</w:t>
            </w:r>
          </w:p>
        </w:tc>
      </w:tr>
      <w:tr w:rsidR="00F74E13" w14:paraId="1CEBE35E" w14:textId="77777777">
        <w:trPr>
          <w:gridAfter w:val="1"/>
          <w:wAfter w:w="11" w:type="dxa"/>
          <w:trHeight w:val="302"/>
          <w:jc w:val="center"/>
        </w:trPr>
        <w:tc>
          <w:tcPr>
            <w:tcW w:w="1091" w:type="dxa"/>
            <w:shd w:val="clear" w:color="auto" w:fill="C6EFCE"/>
            <w:noWrap/>
          </w:tcPr>
          <w:p w14:paraId="1CEBE35A" w14:textId="77777777" w:rsidR="00F74E13" w:rsidRDefault="009274FC">
            <w:pPr>
              <w:pStyle w:val="P68B1DB1-Normal15"/>
              <w:spacing w:after="0" w:line="240" w:lineRule="auto"/>
              <w:jc w:val="center"/>
              <w:rPr>
                <w:noProof/>
              </w:rPr>
            </w:pPr>
            <w:r>
              <w:rPr>
                <w:noProof/>
              </w:rPr>
              <w:t>83</w:t>
            </w:r>
          </w:p>
        </w:tc>
        <w:tc>
          <w:tcPr>
            <w:tcW w:w="3835" w:type="dxa"/>
            <w:shd w:val="clear" w:color="auto" w:fill="C6EFCE"/>
            <w:noWrap/>
          </w:tcPr>
          <w:p w14:paraId="1CEBE35B" w14:textId="77777777" w:rsidR="00F74E13" w:rsidRDefault="009274FC">
            <w:pPr>
              <w:pStyle w:val="P68B1DB1-Normal33"/>
              <w:spacing w:after="0" w:line="240" w:lineRule="auto"/>
              <w:ind w:left="34"/>
              <w:rPr>
                <w:noProof/>
                <w:color w:val="006100"/>
              </w:rPr>
            </w:pPr>
            <w:r>
              <w:rPr>
                <w:noProof/>
                <w:color w:val="006100"/>
              </w:rPr>
              <w:t xml:space="preserve">C4.R5 </w:t>
            </w:r>
            <w:r>
              <w:rPr>
                <w:noProof/>
                <w:color w:val="006100"/>
                <w:szCs w:val="20"/>
              </w:rPr>
              <w:t>Guichets uniques</w:t>
            </w:r>
            <w:r>
              <w:rPr>
                <w:noProof/>
                <w:szCs w:val="20"/>
              </w:rPr>
              <w:t xml:space="preserve"> </w:t>
            </w:r>
            <w:r>
              <w:rPr>
                <w:noProof/>
                <w:color w:val="006100"/>
                <w:szCs w:val="20"/>
              </w:rPr>
              <w:t>pour la</w:t>
            </w:r>
            <w:r>
              <w:rPr>
                <w:noProof/>
                <w:szCs w:val="20"/>
              </w:rPr>
              <w:t xml:space="preserve"> rénovation de l'efficacité énergétique</w:t>
            </w:r>
            <w:r>
              <w:rPr>
                <w:noProof/>
                <w:color w:val="006100"/>
                <w:szCs w:val="20"/>
              </w:rPr>
              <w:t xml:space="preserve"> </w:t>
            </w:r>
          </w:p>
        </w:tc>
        <w:tc>
          <w:tcPr>
            <w:tcW w:w="1418" w:type="dxa"/>
            <w:shd w:val="clear" w:color="auto" w:fill="C6EFCE"/>
            <w:noWrap/>
          </w:tcPr>
          <w:p w14:paraId="1CEBE35C"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5D" w14:textId="3889E2E8" w:rsidR="00F74E13" w:rsidRDefault="009274FC">
            <w:pPr>
              <w:pStyle w:val="P68B1DB1-Normal15"/>
              <w:spacing w:after="0" w:line="240" w:lineRule="auto"/>
              <w:ind w:left="57" w:right="57"/>
              <w:jc w:val="both"/>
              <w:rPr>
                <w:noProof/>
              </w:rPr>
            </w:pPr>
            <w:r>
              <w:rPr>
                <w:noProof/>
              </w:rPr>
              <w:t>Mise en place de guichets uniques pilotes pour la rénovation énergétique</w:t>
            </w:r>
          </w:p>
        </w:tc>
      </w:tr>
      <w:tr w:rsidR="00F74E13" w14:paraId="1CEBE364" w14:textId="77777777">
        <w:trPr>
          <w:gridAfter w:val="1"/>
          <w:wAfter w:w="11" w:type="dxa"/>
          <w:trHeight w:val="302"/>
          <w:jc w:val="center"/>
        </w:trPr>
        <w:tc>
          <w:tcPr>
            <w:tcW w:w="1091" w:type="dxa"/>
            <w:shd w:val="clear" w:color="auto" w:fill="C6EFCE"/>
            <w:noWrap/>
          </w:tcPr>
          <w:p w14:paraId="1CEBE35F" w14:textId="77777777" w:rsidR="00F74E13" w:rsidRDefault="009274FC">
            <w:pPr>
              <w:pStyle w:val="P68B1DB1-Normal15"/>
              <w:spacing w:after="0" w:line="240" w:lineRule="auto"/>
              <w:jc w:val="center"/>
              <w:rPr>
                <w:noProof/>
              </w:rPr>
            </w:pPr>
            <w:r>
              <w:rPr>
                <w:noProof/>
              </w:rPr>
              <w:t>91</w:t>
            </w:r>
          </w:p>
        </w:tc>
        <w:tc>
          <w:tcPr>
            <w:tcW w:w="3835" w:type="dxa"/>
            <w:shd w:val="clear" w:color="auto" w:fill="C6EFCE"/>
            <w:noWrap/>
          </w:tcPr>
          <w:p w14:paraId="1CEBE361" w14:textId="5D08CF0E" w:rsidR="00F74E13" w:rsidRDefault="009274FC">
            <w:pPr>
              <w:pStyle w:val="P68B1DB1-Normal15"/>
              <w:spacing w:after="0" w:line="240" w:lineRule="auto"/>
              <w:ind w:left="34"/>
              <w:rPr>
                <w:noProof/>
              </w:rPr>
            </w:pPr>
            <w:r>
              <w:rPr>
                <w:noProof/>
              </w:rPr>
              <w:t>C4.R8 Libéralisation du marché de l'électricité</w:t>
            </w:r>
          </w:p>
        </w:tc>
        <w:tc>
          <w:tcPr>
            <w:tcW w:w="1418" w:type="dxa"/>
            <w:shd w:val="clear" w:color="auto" w:fill="C6EFCE"/>
            <w:noWrap/>
          </w:tcPr>
          <w:p w14:paraId="1CEBE362"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63"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cs="Times New Roman"/>
                <w:noProof/>
                <w:szCs w:val="20"/>
              </w:rPr>
              <w:t xml:space="preserve"> </w:t>
            </w:r>
            <w:r>
              <w:rPr>
                <w:rFonts w:ascii="Times New Roman" w:hAnsi="Times New Roman"/>
                <w:noProof/>
              </w:rPr>
              <w:t xml:space="preserve">Entrée en vigueur des </w:t>
            </w:r>
            <w:r>
              <w:rPr>
                <w:rFonts w:ascii="Times New Roman" w:hAnsi="Times New Roman" w:cs="Times New Roman"/>
                <w:noProof/>
                <w:szCs w:val="20"/>
              </w:rPr>
              <w:t>actes juridiques</w:t>
            </w:r>
          </w:p>
        </w:tc>
      </w:tr>
      <w:tr w:rsidR="00F74E13" w14:paraId="1CEBE369" w14:textId="77777777">
        <w:trPr>
          <w:gridAfter w:val="1"/>
          <w:wAfter w:w="11" w:type="dxa"/>
          <w:trHeight w:val="302"/>
          <w:jc w:val="center"/>
        </w:trPr>
        <w:tc>
          <w:tcPr>
            <w:tcW w:w="1091" w:type="dxa"/>
            <w:shd w:val="clear" w:color="auto" w:fill="C6EFCE"/>
            <w:noWrap/>
          </w:tcPr>
          <w:p w14:paraId="1CEBE365" w14:textId="77777777" w:rsidR="00F74E13" w:rsidRDefault="009274FC">
            <w:pPr>
              <w:pStyle w:val="P68B1DB1-Normal15"/>
              <w:spacing w:after="0" w:line="240" w:lineRule="auto"/>
              <w:jc w:val="center"/>
              <w:rPr>
                <w:noProof/>
              </w:rPr>
            </w:pPr>
            <w:r>
              <w:rPr>
                <w:noProof/>
              </w:rPr>
              <w:t>105</w:t>
            </w:r>
          </w:p>
        </w:tc>
        <w:tc>
          <w:tcPr>
            <w:tcW w:w="3835" w:type="dxa"/>
            <w:shd w:val="clear" w:color="auto" w:fill="C6EFCE"/>
            <w:noWrap/>
          </w:tcPr>
          <w:p w14:paraId="1CEBE366" w14:textId="77777777" w:rsidR="00F74E13" w:rsidRDefault="009274FC">
            <w:pPr>
              <w:pStyle w:val="P68B1DB1-Normal22"/>
              <w:spacing w:after="0" w:line="240" w:lineRule="auto"/>
              <w:ind w:left="34"/>
              <w:rPr>
                <w:rFonts w:ascii="Times New Roman" w:hAnsi="Times New Roman"/>
                <w:noProof/>
              </w:rPr>
            </w:pPr>
            <w:r>
              <w:rPr>
                <w:rFonts w:ascii="Times New Roman" w:hAnsi="Times New Roman"/>
                <w:noProof/>
              </w:rPr>
              <w:t>C4.I7 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1418" w:type="dxa"/>
            <w:shd w:val="clear" w:color="auto" w:fill="C6EFCE"/>
            <w:noWrap/>
          </w:tcPr>
          <w:p w14:paraId="1CEBE367"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68"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Entrée en vigueur d'actes </w:t>
            </w:r>
            <w:r>
              <w:rPr>
                <w:rFonts w:ascii="Times New Roman" w:hAnsi="Times New Roman" w:cs="Times New Roman"/>
                <w:noProof/>
                <w:szCs w:val="20"/>
              </w:rPr>
              <w:t>juridiques concernant</w:t>
            </w:r>
            <w:r>
              <w:rPr>
                <w:rFonts w:ascii="Times New Roman" w:hAnsi="Times New Roman"/>
                <w:noProof/>
              </w:rPr>
              <w:t xml:space="preserve"> l'utilisation d'énergies </w:t>
            </w:r>
            <w:r>
              <w:rPr>
                <w:rFonts w:ascii="Times New Roman" w:hAnsi="Times New Roman" w:cs="Times New Roman"/>
                <w:noProof/>
                <w:szCs w:val="20"/>
              </w:rPr>
              <w:t xml:space="preserve">renouvelables provenant de </w:t>
            </w:r>
            <w:r>
              <w:rPr>
                <w:rFonts w:ascii="Times New Roman" w:hAnsi="Times New Roman"/>
                <w:noProof/>
              </w:rPr>
              <w:t xml:space="preserve"> </w:t>
            </w:r>
            <w:r>
              <w:rPr>
                <w:rFonts w:ascii="Times New Roman" w:hAnsi="Times New Roman" w:cs="Times New Roman"/>
                <w:noProof/>
                <w:szCs w:val="20"/>
              </w:rPr>
              <w:t>sources</w:t>
            </w:r>
            <w:r>
              <w:rPr>
                <w:rFonts w:ascii="Times New Roman" w:hAnsi="Times New Roman"/>
                <w:noProof/>
              </w:rPr>
              <w:t xml:space="preserve"> géothermiques</w:t>
            </w:r>
          </w:p>
        </w:tc>
      </w:tr>
      <w:tr w:rsidR="00F74E13" w14:paraId="1CEBE36E" w14:textId="77777777">
        <w:trPr>
          <w:gridAfter w:val="1"/>
          <w:wAfter w:w="11" w:type="dxa"/>
          <w:trHeight w:val="302"/>
          <w:jc w:val="center"/>
        </w:trPr>
        <w:tc>
          <w:tcPr>
            <w:tcW w:w="1091" w:type="dxa"/>
            <w:shd w:val="clear" w:color="auto" w:fill="C6EFCE"/>
            <w:noWrap/>
          </w:tcPr>
          <w:p w14:paraId="1CEBE36A" w14:textId="77777777" w:rsidR="00F74E13" w:rsidRDefault="009274FC">
            <w:pPr>
              <w:pStyle w:val="P68B1DB1-Normal15"/>
              <w:spacing w:after="0" w:line="240" w:lineRule="auto"/>
              <w:jc w:val="center"/>
              <w:rPr>
                <w:noProof/>
              </w:rPr>
            </w:pPr>
            <w:r>
              <w:rPr>
                <w:noProof/>
              </w:rPr>
              <w:t>114</w:t>
            </w:r>
          </w:p>
        </w:tc>
        <w:tc>
          <w:tcPr>
            <w:tcW w:w="3835" w:type="dxa"/>
            <w:shd w:val="clear" w:color="auto" w:fill="C6EFCE"/>
            <w:noWrap/>
          </w:tcPr>
          <w:p w14:paraId="1CEBE36B" w14:textId="77777777" w:rsidR="00F74E13" w:rsidRDefault="009274FC">
            <w:pPr>
              <w:pStyle w:val="P68B1DB1-Normal15"/>
              <w:spacing w:after="0" w:line="240" w:lineRule="auto"/>
              <w:ind w:left="34"/>
              <w:rPr>
                <w:noProof/>
              </w:rPr>
            </w:pPr>
            <w:r>
              <w:rPr>
                <w:noProof/>
              </w:rPr>
              <w:t>C4.R9 Feuille de route pour la neutralité climatique</w:t>
            </w:r>
          </w:p>
        </w:tc>
        <w:tc>
          <w:tcPr>
            <w:tcW w:w="1418" w:type="dxa"/>
            <w:shd w:val="clear" w:color="auto" w:fill="C6EFCE"/>
            <w:noWrap/>
          </w:tcPr>
          <w:p w14:paraId="1CEBE36C"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6D"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cs="Times New Roman"/>
                <w:noProof/>
                <w:szCs w:val="20"/>
              </w:rPr>
              <w:t>Adoption</w:t>
            </w:r>
            <w:r>
              <w:rPr>
                <w:rFonts w:ascii="Times New Roman" w:hAnsi="Times New Roman"/>
                <w:noProof/>
              </w:rPr>
              <w:t xml:space="preserve"> par le </w:t>
            </w:r>
            <w:r>
              <w:rPr>
                <w:rFonts w:ascii="Times New Roman" w:hAnsi="Times New Roman" w:cs="Times New Roman"/>
                <w:noProof/>
                <w:szCs w:val="20"/>
              </w:rPr>
              <w:t>Conseil des ministres</w:t>
            </w:r>
            <w:r>
              <w:rPr>
                <w:rFonts w:ascii="Times New Roman" w:hAnsi="Times New Roman"/>
                <w:noProof/>
              </w:rPr>
              <w:t xml:space="preserve"> d'une </w:t>
            </w:r>
            <w:r>
              <w:rPr>
                <w:rFonts w:ascii="Times New Roman" w:hAnsi="Times New Roman" w:cs="Times New Roman"/>
                <w:noProof/>
                <w:szCs w:val="20"/>
              </w:rPr>
              <w:t xml:space="preserve">décision relative à une </w:t>
            </w:r>
            <w:r>
              <w:rPr>
                <w:rFonts w:ascii="Times New Roman" w:hAnsi="Times New Roman"/>
                <w:noProof/>
              </w:rPr>
              <w:t>feuille de route pour la neutralité climatique</w:t>
            </w:r>
          </w:p>
        </w:tc>
      </w:tr>
      <w:tr w:rsidR="00F74E13" w14:paraId="1CEBE373" w14:textId="77777777">
        <w:trPr>
          <w:gridAfter w:val="1"/>
          <w:wAfter w:w="11" w:type="dxa"/>
          <w:trHeight w:val="302"/>
          <w:jc w:val="center"/>
        </w:trPr>
        <w:tc>
          <w:tcPr>
            <w:tcW w:w="1091" w:type="dxa"/>
            <w:shd w:val="clear" w:color="auto" w:fill="C6EFCE"/>
            <w:noWrap/>
          </w:tcPr>
          <w:p w14:paraId="1CEBE36F" w14:textId="77777777" w:rsidR="00F74E13" w:rsidRDefault="009274FC">
            <w:pPr>
              <w:pStyle w:val="P68B1DB1-Normal15"/>
              <w:spacing w:after="0" w:line="240" w:lineRule="auto"/>
              <w:jc w:val="center"/>
              <w:rPr>
                <w:noProof/>
              </w:rPr>
            </w:pPr>
            <w:r>
              <w:rPr>
                <w:noProof/>
              </w:rPr>
              <w:t>95</w:t>
            </w:r>
          </w:p>
        </w:tc>
        <w:tc>
          <w:tcPr>
            <w:tcW w:w="3835" w:type="dxa"/>
            <w:shd w:val="clear" w:color="auto" w:fill="C6EFCE"/>
            <w:noWrap/>
          </w:tcPr>
          <w:p w14:paraId="1CEBE370" w14:textId="77777777" w:rsidR="00F74E13" w:rsidRDefault="009274FC">
            <w:pPr>
              <w:pStyle w:val="P68B1DB1-Normal15"/>
              <w:spacing w:after="0"/>
              <w:ind w:left="34"/>
              <w:rPr>
                <w:noProof/>
              </w:rPr>
            </w:pPr>
            <w:r>
              <w:rPr>
                <w:noProof/>
              </w:rPr>
              <w:t>C4.R6 Accroître la production d'électricité à partir de sources renouvelables</w:t>
            </w:r>
          </w:p>
        </w:tc>
        <w:tc>
          <w:tcPr>
            <w:tcW w:w="1418" w:type="dxa"/>
            <w:shd w:val="clear" w:color="auto" w:fill="C6EFCE"/>
            <w:noWrap/>
          </w:tcPr>
          <w:p w14:paraId="1CEBE371"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72"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Entrée en vigueur des </w:t>
            </w:r>
            <w:r>
              <w:rPr>
                <w:rFonts w:ascii="Times New Roman" w:eastAsia="Times New Roman" w:hAnsi="Times New Roman" w:cs="Times New Roman"/>
                <w:noProof/>
                <w:szCs w:val="20"/>
              </w:rPr>
              <w:t>actes juridiques</w:t>
            </w:r>
          </w:p>
        </w:tc>
      </w:tr>
      <w:tr w:rsidR="00F74E13" w14:paraId="1CEBE378" w14:textId="77777777">
        <w:trPr>
          <w:gridAfter w:val="1"/>
          <w:wAfter w:w="11" w:type="dxa"/>
          <w:trHeight w:val="302"/>
          <w:jc w:val="center"/>
        </w:trPr>
        <w:tc>
          <w:tcPr>
            <w:tcW w:w="1091" w:type="dxa"/>
            <w:shd w:val="clear" w:color="auto" w:fill="C6EFCE"/>
            <w:noWrap/>
          </w:tcPr>
          <w:p w14:paraId="1CEBE374" w14:textId="77777777" w:rsidR="00F74E13" w:rsidRDefault="009274FC">
            <w:pPr>
              <w:pStyle w:val="P68B1DB1-Normal15"/>
              <w:spacing w:after="0" w:line="240" w:lineRule="auto"/>
              <w:jc w:val="center"/>
              <w:rPr>
                <w:noProof/>
              </w:rPr>
            </w:pPr>
            <w:r>
              <w:rPr>
                <w:noProof/>
              </w:rPr>
              <w:t>97</w:t>
            </w:r>
          </w:p>
        </w:tc>
        <w:tc>
          <w:tcPr>
            <w:tcW w:w="3835" w:type="dxa"/>
            <w:shd w:val="clear" w:color="auto" w:fill="C6EFCE"/>
            <w:noWrap/>
          </w:tcPr>
          <w:p w14:paraId="1CEBE375" w14:textId="77777777" w:rsidR="00F74E13" w:rsidRDefault="009274FC">
            <w:pPr>
              <w:pStyle w:val="P68B1DB1-Normal15"/>
              <w:spacing w:after="0"/>
              <w:ind w:left="34"/>
              <w:rPr>
                <w:noProof/>
              </w:rPr>
            </w:pPr>
            <w:r>
              <w:rPr>
                <w:noProof/>
              </w:rPr>
              <w:t>C4.I8 Infrastructure nationale de stockage de l'électricité (RESTORE)</w:t>
            </w:r>
          </w:p>
        </w:tc>
        <w:tc>
          <w:tcPr>
            <w:tcW w:w="1418" w:type="dxa"/>
            <w:shd w:val="clear" w:color="auto" w:fill="C6EFCE"/>
            <w:noWrap/>
          </w:tcPr>
          <w:p w14:paraId="1CEBE376"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77" w14:textId="77777777" w:rsidR="00F74E13" w:rsidRDefault="009274FC">
            <w:pPr>
              <w:pStyle w:val="P68B1DB1-Normal15"/>
              <w:spacing w:after="0" w:line="240" w:lineRule="auto"/>
              <w:ind w:left="57" w:right="57"/>
              <w:jc w:val="both"/>
              <w:rPr>
                <w:noProof/>
              </w:rPr>
            </w:pPr>
            <w:r>
              <w:rPr>
                <w:noProof/>
              </w:rPr>
              <w:t>Modification du cadre législatif national visant à soutenir le déploiement rapide du stockage de l’électricité</w:t>
            </w:r>
          </w:p>
        </w:tc>
      </w:tr>
      <w:tr w:rsidR="00F74E13" w14:paraId="1CEBE37D" w14:textId="77777777">
        <w:trPr>
          <w:gridAfter w:val="1"/>
          <w:wAfter w:w="11" w:type="dxa"/>
          <w:trHeight w:val="302"/>
          <w:jc w:val="center"/>
        </w:trPr>
        <w:tc>
          <w:tcPr>
            <w:tcW w:w="1091" w:type="dxa"/>
            <w:shd w:val="clear" w:color="auto" w:fill="C6EFCE"/>
            <w:noWrap/>
          </w:tcPr>
          <w:p w14:paraId="1CEBE379" w14:textId="77777777" w:rsidR="00F74E13" w:rsidRDefault="009274FC">
            <w:pPr>
              <w:pStyle w:val="P68B1DB1-Normal15"/>
              <w:spacing w:after="0" w:line="240" w:lineRule="auto"/>
              <w:jc w:val="center"/>
              <w:rPr>
                <w:noProof/>
              </w:rPr>
            </w:pPr>
            <w:r>
              <w:rPr>
                <w:noProof/>
              </w:rPr>
              <w:t>76</w:t>
            </w:r>
          </w:p>
        </w:tc>
        <w:tc>
          <w:tcPr>
            <w:tcW w:w="3835" w:type="dxa"/>
            <w:shd w:val="clear" w:color="auto" w:fill="C6EFCE"/>
            <w:noWrap/>
          </w:tcPr>
          <w:p w14:paraId="1CEBE37A" w14:textId="77777777" w:rsidR="00F74E13" w:rsidRDefault="009274FC">
            <w:pPr>
              <w:pStyle w:val="P68B1DB1-Normal15"/>
              <w:spacing w:after="0" w:line="240" w:lineRule="auto"/>
              <w:ind w:left="34"/>
              <w:rPr>
                <w:noProof/>
              </w:rPr>
            </w:pPr>
            <w:r>
              <w:rPr>
                <w:noProof/>
              </w:rPr>
              <w:t xml:space="preserve">C4.I2 Soutien aux énergies renouvelables pour les ménages </w:t>
            </w:r>
          </w:p>
        </w:tc>
        <w:tc>
          <w:tcPr>
            <w:tcW w:w="1418" w:type="dxa"/>
            <w:shd w:val="clear" w:color="auto" w:fill="C6EFCE"/>
            <w:noWrap/>
          </w:tcPr>
          <w:p w14:paraId="1CEBE37B"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7C" w14:textId="1CD2C157" w:rsidR="00F74E13" w:rsidRDefault="009274FC">
            <w:pPr>
              <w:pStyle w:val="P68B1DB1-Normal15"/>
              <w:spacing w:after="0" w:line="240" w:lineRule="auto"/>
              <w:ind w:left="57" w:right="57"/>
              <w:jc w:val="both"/>
              <w:rPr>
                <w:noProof/>
              </w:rPr>
            </w:pPr>
            <w:r>
              <w:rPr>
                <w:noProof/>
              </w:rPr>
              <w:t>Mise en place d'un régime national de soutien aux énergies renouvelables pour les ménages</w:t>
            </w:r>
          </w:p>
        </w:tc>
      </w:tr>
      <w:tr w:rsidR="00F74E13" w14:paraId="1CEBE382" w14:textId="77777777">
        <w:trPr>
          <w:gridAfter w:val="1"/>
          <w:wAfter w:w="11" w:type="dxa"/>
          <w:trHeight w:val="302"/>
          <w:jc w:val="center"/>
        </w:trPr>
        <w:tc>
          <w:tcPr>
            <w:tcW w:w="1091" w:type="dxa"/>
            <w:shd w:val="clear" w:color="auto" w:fill="C6EFCE"/>
            <w:noWrap/>
            <w:hideMark/>
          </w:tcPr>
          <w:p w14:paraId="1CEBE37E" w14:textId="77777777" w:rsidR="00F74E13" w:rsidRDefault="009274FC">
            <w:pPr>
              <w:pStyle w:val="P68B1DB1-Normal15"/>
              <w:spacing w:after="0" w:line="240" w:lineRule="auto"/>
              <w:jc w:val="center"/>
              <w:rPr>
                <w:noProof/>
              </w:rPr>
            </w:pPr>
            <w:r>
              <w:rPr>
                <w:noProof/>
              </w:rPr>
              <w:t>126</w:t>
            </w:r>
          </w:p>
        </w:tc>
        <w:tc>
          <w:tcPr>
            <w:tcW w:w="3835" w:type="dxa"/>
            <w:shd w:val="clear" w:color="auto" w:fill="C6EFCE"/>
            <w:noWrap/>
            <w:hideMark/>
          </w:tcPr>
          <w:p w14:paraId="1CEBE37F" w14:textId="77777777" w:rsidR="00F74E13" w:rsidRDefault="009274FC">
            <w:pPr>
              <w:pStyle w:val="P68B1DB1-Normal33"/>
              <w:spacing w:after="0" w:line="240" w:lineRule="auto"/>
              <w:ind w:left="34"/>
              <w:rPr>
                <w:noProof/>
                <w:color w:val="006100"/>
              </w:rPr>
            </w:pPr>
            <w:r>
              <w:rPr>
                <w:noProof/>
                <w:color w:val="006100"/>
              </w:rPr>
              <w:t>C5.R1</w:t>
            </w:r>
            <w:r>
              <w:rPr>
                <w:noProof/>
                <w:color w:val="1F497D"/>
              </w:rPr>
              <w:t xml:space="preserve"> </w:t>
            </w:r>
            <w:r>
              <w:rPr>
                <w:noProof/>
                <w:color w:val="006100"/>
              </w:rPr>
              <w:t>Établissement de la structure de gouvernance du réseau Natura 2000</w:t>
            </w:r>
            <w:r>
              <w:rPr>
                <w:noProof/>
                <w:color w:val="1F497D"/>
              </w:rPr>
              <w:t xml:space="preserve"> </w:t>
            </w:r>
          </w:p>
        </w:tc>
        <w:tc>
          <w:tcPr>
            <w:tcW w:w="1418" w:type="dxa"/>
            <w:shd w:val="clear" w:color="auto" w:fill="C6EFCE"/>
            <w:noWrap/>
            <w:hideMark/>
          </w:tcPr>
          <w:p w14:paraId="1CEBE380"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hideMark/>
          </w:tcPr>
          <w:p w14:paraId="1CEBE381" w14:textId="77777777" w:rsidR="00F74E13" w:rsidRDefault="009274FC">
            <w:pPr>
              <w:pStyle w:val="P68B1DB1-Normal15"/>
              <w:spacing w:after="0" w:line="240" w:lineRule="auto"/>
              <w:ind w:left="57" w:right="57"/>
              <w:jc w:val="both"/>
              <w:rPr>
                <w:noProof/>
              </w:rPr>
            </w:pPr>
            <w:r>
              <w:rPr>
                <w:noProof/>
              </w:rPr>
              <w:t>Modifications de la loi sur la biodiversité</w:t>
            </w:r>
          </w:p>
        </w:tc>
      </w:tr>
      <w:tr w:rsidR="00F74E13" w14:paraId="1CEBE388" w14:textId="77777777">
        <w:trPr>
          <w:trHeight w:val="302"/>
          <w:jc w:val="center"/>
        </w:trPr>
        <w:tc>
          <w:tcPr>
            <w:tcW w:w="1091" w:type="dxa"/>
            <w:shd w:val="clear" w:color="auto" w:fill="C6EFCE"/>
            <w:noWrap/>
            <w:hideMark/>
          </w:tcPr>
          <w:p w14:paraId="1CEBE383" w14:textId="77777777" w:rsidR="00F74E13" w:rsidRDefault="009274FC">
            <w:pPr>
              <w:pStyle w:val="P68B1DB1-Normal15"/>
              <w:spacing w:after="0" w:line="240" w:lineRule="auto"/>
              <w:jc w:val="center"/>
              <w:rPr>
                <w:noProof/>
              </w:rPr>
            </w:pPr>
            <w:r>
              <w:rPr>
                <w:noProof/>
              </w:rPr>
              <w:t>138</w:t>
            </w:r>
          </w:p>
        </w:tc>
        <w:tc>
          <w:tcPr>
            <w:tcW w:w="3835" w:type="dxa"/>
            <w:shd w:val="clear" w:color="auto" w:fill="C6EFCE"/>
            <w:noWrap/>
          </w:tcPr>
          <w:p w14:paraId="1CEBE384" w14:textId="77777777" w:rsidR="00F74E13" w:rsidRDefault="009274FC">
            <w:pPr>
              <w:pStyle w:val="P68B1DB1-Normal15"/>
              <w:spacing w:after="0" w:line="240" w:lineRule="auto"/>
              <w:ind w:left="34"/>
              <w:rPr>
                <w:noProof/>
              </w:rPr>
            </w:pPr>
            <w:r>
              <w:rPr>
                <w:noProof/>
              </w:rPr>
              <w:t>C7.R2 Affectation du spectre des radiofréquences</w:t>
            </w:r>
          </w:p>
        </w:tc>
        <w:tc>
          <w:tcPr>
            <w:tcW w:w="1418" w:type="dxa"/>
            <w:shd w:val="clear" w:color="auto" w:fill="C6EFCE"/>
            <w:noWrap/>
          </w:tcPr>
          <w:p w14:paraId="1CEBE385"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86" w14:textId="029E5911" w:rsidR="00F74E13" w:rsidRDefault="009274FC">
            <w:pPr>
              <w:pStyle w:val="P68B1DB1-Normal22"/>
              <w:spacing w:after="0" w:line="240" w:lineRule="auto"/>
              <w:ind w:left="57" w:right="57"/>
              <w:jc w:val="both"/>
              <w:rPr>
                <w:rFonts w:ascii="Times New Roman" w:hAnsi="Times New Roman"/>
                <w:noProof/>
              </w:rPr>
            </w:pPr>
            <w:r>
              <w:rPr>
                <w:rFonts w:ascii="Times New Roman" w:eastAsia="Times New Roman" w:hAnsi="Times New Roman" w:cs="Times New Roman"/>
                <w:noProof/>
                <w:szCs w:val="20"/>
              </w:rPr>
              <w:t>Notification</w:t>
            </w:r>
            <w:r>
              <w:rPr>
                <w:rFonts w:ascii="Times New Roman" w:hAnsi="Times New Roman"/>
                <w:noProof/>
              </w:rPr>
              <w:t xml:space="preserve"> de l'attribution </w:t>
            </w:r>
            <w:r>
              <w:rPr>
                <w:rFonts w:ascii="Times New Roman" w:eastAsia="Times New Roman" w:hAnsi="Times New Roman" w:cs="Times New Roman"/>
                <w:noProof/>
                <w:szCs w:val="20"/>
              </w:rPr>
              <w:t>des droits d'utilisation aux opérateurs dans</w:t>
            </w:r>
            <w:r>
              <w:rPr>
                <w:rFonts w:ascii="Times New Roman" w:hAnsi="Times New Roman"/>
                <w:noProof/>
              </w:rPr>
              <w:t xml:space="preserve"> la bande de </w:t>
            </w:r>
            <w:r>
              <w:rPr>
                <w:rFonts w:ascii="Times New Roman" w:eastAsia="Times New Roman" w:hAnsi="Times New Roman" w:cs="Times New Roman"/>
                <w:noProof/>
                <w:szCs w:val="20"/>
              </w:rPr>
              <w:t xml:space="preserve">fréquences </w:t>
            </w:r>
            <w:r>
              <w:rPr>
                <w:rFonts w:ascii="Times New Roman" w:hAnsi="Times New Roman"/>
                <w:noProof/>
              </w:rPr>
              <w:t>26 GHz</w:t>
            </w:r>
          </w:p>
        </w:tc>
        <w:tc>
          <w:tcPr>
            <w:tcW w:w="11" w:type="dxa"/>
            <w:vAlign w:val="bottom"/>
          </w:tcPr>
          <w:p w14:paraId="1CEBE387" w14:textId="77777777" w:rsidR="00F74E13" w:rsidRDefault="00F74E13">
            <w:pPr>
              <w:jc w:val="both"/>
              <w:rPr>
                <w:noProof/>
                <w:sz w:val="22"/>
              </w:rPr>
            </w:pPr>
          </w:p>
        </w:tc>
      </w:tr>
      <w:tr w:rsidR="00F74E13" w14:paraId="1CEBE38D" w14:textId="77777777">
        <w:trPr>
          <w:gridAfter w:val="1"/>
          <w:wAfter w:w="11" w:type="dxa"/>
          <w:trHeight w:val="302"/>
          <w:jc w:val="center"/>
        </w:trPr>
        <w:tc>
          <w:tcPr>
            <w:tcW w:w="1091" w:type="dxa"/>
            <w:shd w:val="clear" w:color="auto" w:fill="C6EFCE"/>
            <w:noWrap/>
          </w:tcPr>
          <w:p w14:paraId="1CEBE389" w14:textId="77777777" w:rsidR="00F74E13" w:rsidRDefault="009274FC">
            <w:pPr>
              <w:pStyle w:val="P68B1DB1-Normal15"/>
              <w:spacing w:after="0" w:line="240" w:lineRule="auto"/>
              <w:jc w:val="center"/>
              <w:rPr>
                <w:noProof/>
              </w:rPr>
            </w:pPr>
            <w:r>
              <w:rPr>
                <w:noProof/>
              </w:rPr>
              <w:t>162</w:t>
            </w:r>
          </w:p>
        </w:tc>
        <w:tc>
          <w:tcPr>
            <w:tcW w:w="3835" w:type="dxa"/>
            <w:shd w:val="clear" w:color="auto" w:fill="C6EFCE"/>
            <w:noWrap/>
          </w:tcPr>
          <w:p w14:paraId="1CEBE38A" w14:textId="77777777" w:rsidR="00F74E13" w:rsidRDefault="009274FC">
            <w:pPr>
              <w:pStyle w:val="P68B1DB1-Normal15"/>
              <w:spacing w:after="0" w:line="240" w:lineRule="auto"/>
              <w:ind w:left="34"/>
              <w:rPr>
                <w:noProof/>
              </w:rPr>
            </w:pPr>
            <w:r>
              <w:rPr>
                <w:noProof/>
              </w:rPr>
              <w:t>C8.R1 Cadre stratégique des transports</w:t>
            </w:r>
          </w:p>
        </w:tc>
        <w:tc>
          <w:tcPr>
            <w:tcW w:w="1418" w:type="dxa"/>
            <w:shd w:val="clear" w:color="auto" w:fill="C6EFCE"/>
            <w:noWrap/>
          </w:tcPr>
          <w:p w14:paraId="1CEBE38B" w14:textId="77777777" w:rsidR="00F74E13" w:rsidRDefault="009274FC">
            <w:pPr>
              <w:pStyle w:val="P68B1DB1-Normal15"/>
              <w:spacing w:after="0" w:line="240" w:lineRule="auto"/>
              <w:jc w:val="center"/>
              <w:rPr>
                <w:noProof/>
              </w:rPr>
            </w:pPr>
            <w:r>
              <w:rPr>
                <w:noProof/>
              </w:rPr>
              <w:t>Objectif</w:t>
            </w:r>
          </w:p>
        </w:tc>
        <w:tc>
          <w:tcPr>
            <w:tcW w:w="3465" w:type="dxa"/>
            <w:shd w:val="clear" w:color="auto" w:fill="C6EFCE"/>
            <w:noWrap/>
          </w:tcPr>
          <w:p w14:paraId="1CEBE38C" w14:textId="77777777" w:rsidR="00F74E13" w:rsidRDefault="009274FC">
            <w:pPr>
              <w:pStyle w:val="P68B1DB1-Normal15"/>
              <w:spacing w:after="0" w:line="240" w:lineRule="auto"/>
              <w:ind w:left="57" w:right="57"/>
              <w:jc w:val="both"/>
              <w:rPr>
                <w:noProof/>
              </w:rPr>
            </w:pPr>
            <w:r>
              <w:rPr>
                <w:noProof/>
              </w:rPr>
              <w:t>Renforcement de la capacité de gestion et de mise en œuvre des projets ferroviaires RTE-T</w:t>
            </w:r>
          </w:p>
        </w:tc>
      </w:tr>
      <w:tr w:rsidR="00F74E13" w14:paraId="1CEBE392" w14:textId="77777777">
        <w:trPr>
          <w:gridAfter w:val="1"/>
          <w:wAfter w:w="11" w:type="dxa"/>
          <w:trHeight w:val="302"/>
          <w:jc w:val="center"/>
        </w:trPr>
        <w:tc>
          <w:tcPr>
            <w:tcW w:w="1091" w:type="dxa"/>
            <w:shd w:val="clear" w:color="auto" w:fill="C6EFCE"/>
            <w:noWrap/>
          </w:tcPr>
          <w:p w14:paraId="1CEBE38E" w14:textId="77777777" w:rsidR="00F74E13" w:rsidRDefault="009274FC">
            <w:pPr>
              <w:pStyle w:val="P68B1DB1-Normal15"/>
              <w:spacing w:after="0" w:line="240" w:lineRule="auto"/>
              <w:jc w:val="center"/>
              <w:rPr>
                <w:noProof/>
              </w:rPr>
            </w:pPr>
            <w:r>
              <w:rPr>
                <w:noProof/>
              </w:rPr>
              <w:t>173</w:t>
            </w:r>
          </w:p>
        </w:tc>
        <w:tc>
          <w:tcPr>
            <w:tcW w:w="3835" w:type="dxa"/>
            <w:shd w:val="clear" w:color="auto" w:fill="C6EFCE"/>
            <w:noWrap/>
          </w:tcPr>
          <w:p w14:paraId="1CEBE38F" w14:textId="77777777" w:rsidR="00F74E13" w:rsidRDefault="009274FC">
            <w:pPr>
              <w:pStyle w:val="P68B1DB1-Normal15"/>
              <w:spacing w:after="0" w:line="240" w:lineRule="auto"/>
              <w:ind w:left="34"/>
              <w:rPr>
                <w:noProof/>
              </w:rPr>
            </w:pPr>
            <w:r>
              <w:rPr>
                <w:noProof/>
              </w:rPr>
              <w:t xml:space="preserve">C8.R3 Mobilité urbaine durable </w:t>
            </w:r>
          </w:p>
        </w:tc>
        <w:tc>
          <w:tcPr>
            <w:tcW w:w="1418" w:type="dxa"/>
            <w:shd w:val="clear" w:color="auto" w:fill="C6EFCE"/>
            <w:noWrap/>
          </w:tcPr>
          <w:p w14:paraId="1CEBE390"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91" w14:textId="77777777" w:rsidR="00F74E13" w:rsidRDefault="009274FC">
            <w:pPr>
              <w:pStyle w:val="P68B1DB1-Normal15"/>
              <w:spacing w:after="0" w:line="240" w:lineRule="auto"/>
              <w:ind w:left="57" w:right="57"/>
              <w:jc w:val="both"/>
              <w:rPr>
                <w:noProof/>
              </w:rPr>
            </w:pPr>
            <w:r>
              <w:rPr>
                <w:noProof/>
              </w:rPr>
              <w:t>Intégration de la mobilité urbaine durable dans les stratégies territoriales et la planification du développement</w:t>
            </w:r>
          </w:p>
        </w:tc>
      </w:tr>
      <w:tr w:rsidR="00F74E13" w14:paraId="1CEBE397" w14:textId="77777777">
        <w:trPr>
          <w:gridAfter w:val="1"/>
          <w:wAfter w:w="11" w:type="dxa"/>
          <w:trHeight w:val="302"/>
          <w:jc w:val="center"/>
        </w:trPr>
        <w:tc>
          <w:tcPr>
            <w:tcW w:w="1091" w:type="dxa"/>
            <w:shd w:val="clear" w:color="auto" w:fill="C6EFCE"/>
            <w:noWrap/>
          </w:tcPr>
          <w:p w14:paraId="1CEBE393" w14:textId="77777777" w:rsidR="00F74E13" w:rsidRDefault="009274FC">
            <w:pPr>
              <w:pStyle w:val="P68B1DB1-Normal15"/>
              <w:spacing w:after="0" w:line="240" w:lineRule="auto"/>
              <w:jc w:val="center"/>
              <w:rPr>
                <w:noProof/>
              </w:rPr>
            </w:pPr>
            <w:r>
              <w:rPr>
                <w:noProof/>
              </w:rPr>
              <w:t>214</w:t>
            </w:r>
          </w:p>
        </w:tc>
        <w:tc>
          <w:tcPr>
            <w:tcW w:w="3835" w:type="dxa"/>
            <w:shd w:val="clear" w:color="auto" w:fill="C6EFCE"/>
            <w:noWrap/>
          </w:tcPr>
          <w:p w14:paraId="1CEBE394" w14:textId="77777777" w:rsidR="00F74E13" w:rsidRDefault="009274FC">
            <w:pPr>
              <w:pStyle w:val="P68B1DB1-Normal15"/>
              <w:spacing w:after="0" w:line="240" w:lineRule="auto"/>
              <w:ind w:left="34"/>
              <w:rPr>
                <w:noProof/>
              </w:rPr>
            </w:pPr>
            <w:r>
              <w:rPr>
                <w:noProof/>
              </w:rPr>
              <w:t>C10.R1 Réforme du système judiciaire</w:t>
            </w:r>
          </w:p>
        </w:tc>
        <w:tc>
          <w:tcPr>
            <w:tcW w:w="1418" w:type="dxa"/>
            <w:shd w:val="clear" w:color="auto" w:fill="C6EFCE"/>
            <w:noWrap/>
          </w:tcPr>
          <w:p w14:paraId="1CEBE395"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96" w14:textId="77777777" w:rsidR="00F74E13" w:rsidRDefault="009274FC">
            <w:pPr>
              <w:pStyle w:val="P68B1DB1-Normal15"/>
              <w:spacing w:after="0" w:line="240" w:lineRule="auto"/>
              <w:ind w:left="57" w:right="57"/>
              <w:jc w:val="both"/>
              <w:rPr>
                <w:noProof/>
              </w:rPr>
            </w:pPr>
            <w:r>
              <w:rPr>
                <w:noProof/>
              </w:rPr>
              <w:t>Entrée en vigueur des modifications législatives apportées à la loi sur l'entraide judiciaire</w:t>
            </w:r>
          </w:p>
        </w:tc>
      </w:tr>
      <w:tr w:rsidR="00F74E13" w14:paraId="1CEBE39C" w14:textId="77777777">
        <w:trPr>
          <w:gridAfter w:val="1"/>
          <w:wAfter w:w="11" w:type="dxa"/>
          <w:trHeight w:val="302"/>
          <w:jc w:val="center"/>
        </w:trPr>
        <w:tc>
          <w:tcPr>
            <w:tcW w:w="1091" w:type="dxa"/>
            <w:shd w:val="clear" w:color="auto" w:fill="C6EFCE"/>
            <w:noWrap/>
          </w:tcPr>
          <w:p w14:paraId="1CEBE398" w14:textId="77777777" w:rsidR="00F74E13" w:rsidRDefault="009274FC">
            <w:pPr>
              <w:pStyle w:val="P68B1DB1-Normal15"/>
              <w:spacing w:after="0" w:line="240" w:lineRule="auto"/>
              <w:jc w:val="center"/>
              <w:rPr>
                <w:noProof/>
              </w:rPr>
            </w:pPr>
            <w:r>
              <w:rPr>
                <w:noProof/>
              </w:rPr>
              <w:t>217</w:t>
            </w:r>
          </w:p>
        </w:tc>
        <w:tc>
          <w:tcPr>
            <w:tcW w:w="3835" w:type="dxa"/>
            <w:shd w:val="clear" w:color="auto" w:fill="C6EFCE"/>
            <w:noWrap/>
          </w:tcPr>
          <w:p w14:paraId="1CEBE399" w14:textId="77777777" w:rsidR="00F74E13" w:rsidRDefault="009274FC">
            <w:pPr>
              <w:pStyle w:val="P68B1DB1-Normal22"/>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418" w:type="dxa"/>
            <w:shd w:val="clear" w:color="auto" w:fill="C6EFCE"/>
            <w:noWrap/>
          </w:tcPr>
          <w:p w14:paraId="1CEBE39A"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9B" w14:textId="0FCB9195"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Entrée en vigueur de </w:t>
            </w:r>
            <w:r>
              <w:rPr>
                <w:rFonts w:ascii="Times New Roman" w:eastAsia="Times New Roman" w:hAnsi="Times New Roman" w:cs="Times New Roman"/>
                <w:noProof/>
                <w:szCs w:val="20"/>
              </w:rPr>
              <w:t xml:space="preserve">la loi sur la protection des personnes signalant des infractions ou divulguant publiquement des informations sur des infractions et des modifications </w:t>
            </w:r>
            <w:r>
              <w:rPr>
                <w:rFonts w:ascii="Times New Roman" w:hAnsi="Times New Roman"/>
                <w:noProof/>
              </w:rPr>
              <w:t>du cadre juridique relatif à la dénonciation des dysfonctionnements</w:t>
            </w:r>
          </w:p>
        </w:tc>
      </w:tr>
      <w:tr w:rsidR="00F74E13" w14:paraId="1CEBE3A1" w14:textId="77777777">
        <w:trPr>
          <w:gridAfter w:val="1"/>
          <w:wAfter w:w="11" w:type="dxa"/>
          <w:trHeight w:val="302"/>
          <w:jc w:val="center"/>
        </w:trPr>
        <w:tc>
          <w:tcPr>
            <w:tcW w:w="1091" w:type="dxa"/>
            <w:shd w:val="clear" w:color="auto" w:fill="C6EFCE"/>
            <w:noWrap/>
          </w:tcPr>
          <w:p w14:paraId="1CEBE39D" w14:textId="77777777" w:rsidR="00F74E13" w:rsidRDefault="009274FC">
            <w:pPr>
              <w:pStyle w:val="P68B1DB1-Normal15"/>
              <w:spacing w:after="0" w:line="240" w:lineRule="auto"/>
              <w:jc w:val="center"/>
              <w:rPr>
                <w:noProof/>
              </w:rPr>
            </w:pPr>
            <w:r>
              <w:rPr>
                <w:noProof/>
              </w:rPr>
              <w:t>219</w:t>
            </w:r>
          </w:p>
        </w:tc>
        <w:tc>
          <w:tcPr>
            <w:tcW w:w="3835" w:type="dxa"/>
            <w:shd w:val="clear" w:color="auto" w:fill="C6EFCE"/>
            <w:noWrap/>
          </w:tcPr>
          <w:p w14:paraId="1CEBE39E" w14:textId="77777777" w:rsidR="00F74E13" w:rsidRDefault="009274FC">
            <w:pPr>
              <w:pStyle w:val="P68B1DB1-Normal22"/>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418" w:type="dxa"/>
            <w:shd w:val="clear" w:color="auto" w:fill="C6EFCE"/>
            <w:noWrap/>
          </w:tcPr>
          <w:p w14:paraId="1CEBE39F"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A0" w14:textId="77777777" w:rsidR="00F74E13" w:rsidRDefault="009274FC">
            <w:pPr>
              <w:pStyle w:val="P68B1DB1-Normal15"/>
              <w:spacing w:after="0" w:line="240" w:lineRule="auto"/>
              <w:ind w:left="57" w:right="57"/>
              <w:jc w:val="both"/>
              <w:rPr>
                <w:noProof/>
              </w:rPr>
            </w:pPr>
            <w:r>
              <w:rPr>
                <w:noProof/>
              </w:rPr>
              <w:t>Améliorer le rôle de l'Inspection au sein du Conseil supérieur de la magistrature dans la prévention et la lutte contre la corruption dans le système judiciaire</w:t>
            </w:r>
          </w:p>
        </w:tc>
      </w:tr>
      <w:tr w:rsidR="00F74E13" w14:paraId="1CEBE3A6" w14:textId="77777777">
        <w:trPr>
          <w:gridAfter w:val="1"/>
          <w:wAfter w:w="11" w:type="dxa"/>
          <w:trHeight w:val="302"/>
          <w:jc w:val="center"/>
        </w:trPr>
        <w:tc>
          <w:tcPr>
            <w:tcW w:w="1091" w:type="dxa"/>
            <w:shd w:val="clear" w:color="auto" w:fill="C6EFCE"/>
            <w:noWrap/>
          </w:tcPr>
          <w:p w14:paraId="1CEBE3A2" w14:textId="77777777" w:rsidR="00F74E13" w:rsidRDefault="009274FC">
            <w:pPr>
              <w:pStyle w:val="P68B1DB1-Normal15"/>
              <w:spacing w:after="0" w:line="240" w:lineRule="auto"/>
              <w:jc w:val="center"/>
              <w:rPr>
                <w:noProof/>
              </w:rPr>
            </w:pPr>
            <w:r>
              <w:rPr>
                <w:noProof/>
              </w:rPr>
              <w:t>227</w:t>
            </w:r>
          </w:p>
        </w:tc>
        <w:tc>
          <w:tcPr>
            <w:tcW w:w="3835" w:type="dxa"/>
            <w:shd w:val="clear" w:color="auto" w:fill="C6EFCE"/>
            <w:noWrap/>
          </w:tcPr>
          <w:p w14:paraId="1CEBE3A3" w14:textId="77777777" w:rsidR="00F74E13" w:rsidRDefault="009274FC">
            <w:pPr>
              <w:pStyle w:val="P68B1DB1-Normal22"/>
              <w:spacing w:after="0" w:line="240" w:lineRule="auto"/>
              <w:ind w:left="34"/>
              <w:rPr>
                <w:rFonts w:ascii="Times New Roman" w:hAnsi="Times New Roman"/>
                <w:noProof/>
              </w:rPr>
            </w:pPr>
            <w:r>
              <w:rPr>
                <w:rFonts w:ascii="Times New Roman" w:hAnsi="Times New Roman"/>
                <w:noProof/>
              </w:rPr>
              <w:t>C10.R3</w:t>
            </w:r>
            <w:r>
              <w:rPr>
                <w:rFonts w:ascii="Times New Roman" w:eastAsia="Times New Roman" w:hAnsi="Times New Roman" w:cs="Times New Roman"/>
                <w:noProof/>
                <w:szCs w:val="20"/>
              </w:rPr>
              <w:t xml:space="preserve"> Actes juridiques relatifs au cadre  de</w:t>
            </w:r>
            <w:r>
              <w:rPr>
                <w:rFonts w:ascii="Times New Roman" w:hAnsi="Times New Roman"/>
                <w:noProof/>
              </w:rPr>
              <w:t xml:space="preserve"> médiation</w:t>
            </w:r>
          </w:p>
        </w:tc>
        <w:tc>
          <w:tcPr>
            <w:tcW w:w="1418" w:type="dxa"/>
            <w:shd w:val="clear" w:color="auto" w:fill="C6EFCE"/>
            <w:noWrap/>
          </w:tcPr>
          <w:p w14:paraId="1CEBE3A4"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A5"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Entrée en vigueur des actes juridiques </w:t>
            </w:r>
            <w:r>
              <w:rPr>
                <w:rFonts w:ascii="Times New Roman" w:eastAsia="Times New Roman" w:hAnsi="Times New Roman" w:cs="Times New Roman"/>
                <w:noProof/>
                <w:szCs w:val="20"/>
              </w:rPr>
              <w:t xml:space="preserve">relatifs au cadre de </w:t>
            </w:r>
            <w:r>
              <w:rPr>
                <w:rFonts w:ascii="Times New Roman" w:hAnsi="Times New Roman"/>
                <w:noProof/>
              </w:rPr>
              <w:t>médiation</w:t>
            </w:r>
          </w:p>
        </w:tc>
      </w:tr>
      <w:tr w:rsidR="00F74E13" w14:paraId="1CEBE3AB" w14:textId="77777777">
        <w:trPr>
          <w:gridAfter w:val="1"/>
          <w:wAfter w:w="11" w:type="dxa"/>
          <w:trHeight w:val="302"/>
          <w:jc w:val="center"/>
        </w:trPr>
        <w:tc>
          <w:tcPr>
            <w:tcW w:w="1091" w:type="dxa"/>
            <w:shd w:val="clear" w:color="auto" w:fill="C6EFCE"/>
            <w:noWrap/>
          </w:tcPr>
          <w:p w14:paraId="1CEBE3A7" w14:textId="77777777" w:rsidR="00F74E13" w:rsidRDefault="009274FC">
            <w:pPr>
              <w:pStyle w:val="P68B1DB1-Normal15"/>
              <w:spacing w:after="0" w:line="240" w:lineRule="auto"/>
              <w:jc w:val="center"/>
              <w:rPr>
                <w:noProof/>
              </w:rPr>
            </w:pPr>
            <w:r>
              <w:rPr>
                <w:noProof/>
              </w:rPr>
              <w:t>228</w:t>
            </w:r>
          </w:p>
        </w:tc>
        <w:tc>
          <w:tcPr>
            <w:tcW w:w="3835" w:type="dxa"/>
            <w:shd w:val="clear" w:color="auto" w:fill="C6EFCE"/>
            <w:noWrap/>
          </w:tcPr>
          <w:p w14:paraId="1CEBE3A8" w14:textId="77777777" w:rsidR="00F74E13" w:rsidRDefault="009274FC">
            <w:pPr>
              <w:pStyle w:val="P68B1DB1-Normal15"/>
              <w:spacing w:after="0" w:line="240" w:lineRule="auto"/>
              <w:ind w:left="34"/>
              <w:rPr>
                <w:noProof/>
              </w:rPr>
            </w:pPr>
            <w:r>
              <w:rPr>
                <w:noProof/>
              </w:rPr>
              <w:t>C10.R4 Mesures concernant le cadre de l'insolvabilité</w:t>
            </w:r>
          </w:p>
        </w:tc>
        <w:tc>
          <w:tcPr>
            <w:tcW w:w="1418" w:type="dxa"/>
            <w:shd w:val="clear" w:color="auto" w:fill="C6EFCE"/>
            <w:noWrap/>
          </w:tcPr>
          <w:p w14:paraId="1CEBE3A9"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AA"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Entrée en vigueur des </w:t>
            </w:r>
            <w:r>
              <w:rPr>
                <w:rFonts w:ascii="Times New Roman" w:eastAsia="Times New Roman" w:hAnsi="Times New Roman" w:cs="Times New Roman"/>
                <w:noProof/>
                <w:szCs w:val="20"/>
              </w:rPr>
              <w:t>actes juridiques</w:t>
            </w:r>
            <w:r>
              <w:rPr>
                <w:rFonts w:ascii="Times New Roman" w:hAnsi="Times New Roman"/>
                <w:noProof/>
              </w:rPr>
              <w:t xml:space="preserve"> relatifs aux </w:t>
            </w:r>
            <w:r>
              <w:rPr>
                <w:rFonts w:ascii="Times New Roman" w:eastAsia="Times New Roman" w:hAnsi="Times New Roman" w:cs="Times New Roman"/>
                <w:noProof/>
                <w:szCs w:val="20"/>
              </w:rPr>
              <w:t>procédures d'insolvabilité et de restructuration</w:t>
            </w:r>
          </w:p>
        </w:tc>
      </w:tr>
      <w:tr w:rsidR="00F74E13" w14:paraId="1CEBE3B0" w14:textId="77777777">
        <w:trPr>
          <w:gridAfter w:val="1"/>
          <w:wAfter w:w="11" w:type="dxa"/>
          <w:trHeight w:val="302"/>
          <w:jc w:val="center"/>
        </w:trPr>
        <w:tc>
          <w:tcPr>
            <w:tcW w:w="1091" w:type="dxa"/>
            <w:shd w:val="clear" w:color="auto" w:fill="C6EFCE"/>
            <w:noWrap/>
          </w:tcPr>
          <w:p w14:paraId="1CEBE3AC" w14:textId="77777777" w:rsidR="00F74E13" w:rsidRDefault="009274FC">
            <w:pPr>
              <w:pStyle w:val="P68B1DB1-Normal15"/>
              <w:spacing w:after="0" w:line="240" w:lineRule="auto"/>
              <w:jc w:val="center"/>
              <w:rPr>
                <w:noProof/>
              </w:rPr>
            </w:pPr>
            <w:r>
              <w:rPr>
                <w:noProof/>
              </w:rPr>
              <w:t>231</w:t>
            </w:r>
          </w:p>
        </w:tc>
        <w:tc>
          <w:tcPr>
            <w:tcW w:w="3835" w:type="dxa"/>
            <w:shd w:val="clear" w:color="auto" w:fill="C6EFCE"/>
            <w:noWrap/>
          </w:tcPr>
          <w:p w14:paraId="1CEBE3AD" w14:textId="77777777" w:rsidR="00F74E13" w:rsidRDefault="009274FC">
            <w:pPr>
              <w:pStyle w:val="P68B1DB1-Normal15"/>
              <w:spacing w:after="0" w:line="240" w:lineRule="auto"/>
              <w:ind w:left="34"/>
              <w:rPr>
                <w:noProof/>
              </w:rPr>
            </w:pPr>
            <w:r>
              <w:rPr>
                <w:noProof/>
              </w:rPr>
              <w:t>C10.R6 Réforme du registre pour libérer le potentiel de l'administration en ligne</w:t>
            </w:r>
          </w:p>
        </w:tc>
        <w:tc>
          <w:tcPr>
            <w:tcW w:w="1418" w:type="dxa"/>
            <w:shd w:val="clear" w:color="auto" w:fill="C6EFCE"/>
            <w:noWrap/>
          </w:tcPr>
          <w:p w14:paraId="1CEBE3AE"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AF" w14:textId="77777777" w:rsidR="00F74E13" w:rsidRDefault="009274FC">
            <w:pPr>
              <w:pStyle w:val="P68B1DB1-Normal15"/>
              <w:spacing w:after="0" w:line="240" w:lineRule="auto"/>
              <w:ind w:left="57" w:right="57"/>
              <w:jc w:val="both"/>
              <w:rPr>
                <w:noProof/>
              </w:rPr>
            </w:pPr>
            <w:r>
              <w:rPr>
                <w:noProof/>
              </w:rPr>
              <w:t>Entrée en vigueur des modifications de la loi sur la gouvernance électronique</w:t>
            </w:r>
          </w:p>
        </w:tc>
      </w:tr>
      <w:tr w:rsidR="00F74E13" w14:paraId="1CEBE3B5" w14:textId="77777777">
        <w:trPr>
          <w:gridAfter w:val="1"/>
          <w:wAfter w:w="11" w:type="dxa"/>
          <w:trHeight w:val="302"/>
          <w:jc w:val="center"/>
        </w:trPr>
        <w:tc>
          <w:tcPr>
            <w:tcW w:w="1091" w:type="dxa"/>
            <w:shd w:val="clear" w:color="auto" w:fill="C6EFCE"/>
            <w:noWrap/>
          </w:tcPr>
          <w:p w14:paraId="1CEBE3B1" w14:textId="77777777" w:rsidR="00F74E13" w:rsidRDefault="009274FC">
            <w:pPr>
              <w:pStyle w:val="P68B1DB1-Normal15"/>
              <w:spacing w:after="0" w:line="240" w:lineRule="auto"/>
              <w:jc w:val="center"/>
              <w:rPr>
                <w:noProof/>
              </w:rPr>
            </w:pPr>
            <w:r>
              <w:rPr>
                <w:noProof/>
              </w:rPr>
              <w:t>232</w:t>
            </w:r>
          </w:p>
        </w:tc>
        <w:tc>
          <w:tcPr>
            <w:tcW w:w="3835" w:type="dxa"/>
            <w:shd w:val="clear" w:color="auto" w:fill="C6EFCE"/>
            <w:noWrap/>
          </w:tcPr>
          <w:p w14:paraId="1CEBE3B2" w14:textId="77777777" w:rsidR="00F74E13" w:rsidRDefault="009274FC">
            <w:pPr>
              <w:pStyle w:val="P68B1DB1-Normal15"/>
              <w:spacing w:after="0" w:line="240" w:lineRule="auto"/>
              <w:ind w:left="34"/>
              <w:rPr>
                <w:noProof/>
              </w:rPr>
            </w:pPr>
            <w:r>
              <w:rPr>
                <w:noProof/>
              </w:rPr>
              <w:t>C10.R6 Réforme du registre pour libérer le potentiel de l'administration en ligne</w:t>
            </w:r>
          </w:p>
        </w:tc>
        <w:tc>
          <w:tcPr>
            <w:tcW w:w="1418" w:type="dxa"/>
            <w:shd w:val="clear" w:color="auto" w:fill="C6EFCE"/>
            <w:noWrap/>
          </w:tcPr>
          <w:p w14:paraId="1CEBE3B3"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B4" w14:textId="77777777" w:rsidR="00F74E13" w:rsidRDefault="009274FC">
            <w:pPr>
              <w:pStyle w:val="P68B1DB1-Normal15"/>
              <w:spacing w:after="0" w:line="240" w:lineRule="auto"/>
              <w:ind w:left="57" w:right="57"/>
              <w:jc w:val="both"/>
              <w:rPr>
                <w:noProof/>
              </w:rPr>
            </w:pPr>
            <w:r>
              <w:rPr>
                <w:noProof/>
              </w:rPr>
              <w:t>Entrée en vigueur des amendements à la loi sur le cadastre et le registre foncier</w:t>
            </w:r>
          </w:p>
        </w:tc>
      </w:tr>
      <w:tr w:rsidR="00F74E13" w14:paraId="1CEBE3BA" w14:textId="77777777">
        <w:trPr>
          <w:gridAfter w:val="1"/>
          <w:wAfter w:w="11" w:type="dxa"/>
          <w:trHeight w:val="302"/>
          <w:jc w:val="center"/>
        </w:trPr>
        <w:tc>
          <w:tcPr>
            <w:tcW w:w="1091" w:type="dxa"/>
            <w:shd w:val="clear" w:color="auto" w:fill="C6EFCE"/>
            <w:noWrap/>
          </w:tcPr>
          <w:p w14:paraId="1CEBE3B6" w14:textId="77777777" w:rsidR="00F74E13" w:rsidRDefault="009274FC">
            <w:pPr>
              <w:pStyle w:val="P68B1DB1-Normal15"/>
              <w:spacing w:after="0" w:line="240" w:lineRule="auto"/>
              <w:jc w:val="center"/>
              <w:rPr>
                <w:noProof/>
              </w:rPr>
            </w:pPr>
            <w:r>
              <w:rPr>
                <w:noProof/>
              </w:rPr>
              <w:t>234</w:t>
            </w:r>
          </w:p>
        </w:tc>
        <w:tc>
          <w:tcPr>
            <w:tcW w:w="3835" w:type="dxa"/>
            <w:shd w:val="clear" w:color="auto" w:fill="C6EFCE"/>
            <w:noWrap/>
          </w:tcPr>
          <w:p w14:paraId="1CEBE3B7" w14:textId="77777777" w:rsidR="00F74E13" w:rsidRDefault="009274FC">
            <w:pPr>
              <w:pStyle w:val="P68B1DB1-Normal15"/>
              <w:spacing w:after="0" w:line="240" w:lineRule="auto"/>
              <w:ind w:left="34"/>
              <w:rPr>
                <w:noProof/>
              </w:rPr>
            </w:pPr>
            <w:r>
              <w:rPr>
                <w:noProof/>
              </w:rPr>
              <w:t>C10.R7 Cadre de gouvernance pour les entreprises publiques</w:t>
            </w:r>
          </w:p>
        </w:tc>
        <w:tc>
          <w:tcPr>
            <w:tcW w:w="1418" w:type="dxa"/>
            <w:shd w:val="clear" w:color="auto" w:fill="C6EFCE"/>
            <w:noWrap/>
          </w:tcPr>
          <w:p w14:paraId="1CEBE3B8"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B9" w14:textId="77777777" w:rsidR="00F74E13" w:rsidRDefault="009274FC">
            <w:pPr>
              <w:pStyle w:val="P68B1DB1-Normal15"/>
              <w:spacing w:after="0" w:line="240" w:lineRule="auto"/>
              <w:ind w:left="57" w:right="57"/>
              <w:jc w:val="both"/>
              <w:rPr>
                <w:noProof/>
              </w:rPr>
            </w:pPr>
            <w:r>
              <w:rPr>
                <w:noProof/>
              </w:rPr>
              <w:t>Adoption d'une politique de propriété publique</w:t>
            </w:r>
          </w:p>
        </w:tc>
      </w:tr>
      <w:tr w:rsidR="00F74E13" w14:paraId="1CEBE3BF" w14:textId="77777777">
        <w:trPr>
          <w:gridAfter w:val="1"/>
          <w:wAfter w:w="11" w:type="dxa"/>
          <w:trHeight w:val="302"/>
          <w:jc w:val="center"/>
        </w:trPr>
        <w:tc>
          <w:tcPr>
            <w:tcW w:w="1091" w:type="dxa"/>
            <w:shd w:val="clear" w:color="auto" w:fill="C6EFCE"/>
            <w:noWrap/>
          </w:tcPr>
          <w:p w14:paraId="1CEBE3BB" w14:textId="77777777" w:rsidR="00F74E13" w:rsidRDefault="009274FC">
            <w:pPr>
              <w:pStyle w:val="P68B1DB1-Normal15"/>
              <w:spacing w:after="0" w:line="240" w:lineRule="auto"/>
              <w:jc w:val="center"/>
              <w:rPr>
                <w:noProof/>
              </w:rPr>
            </w:pPr>
            <w:r>
              <w:rPr>
                <w:noProof/>
              </w:rPr>
              <w:t>239</w:t>
            </w:r>
          </w:p>
        </w:tc>
        <w:tc>
          <w:tcPr>
            <w:tcW w:w="3835" w:type="dxa"/>
            <w:shd w:val="clear" w:color="auto" w:fill="C6EFCE"/>
            <w:noWrap/>
          </w:tcPr>
          <w:p w14:paraId="1CEBE3BC" w14:textId="77777777" w:rsidR="00F74E13" w:rsidRDefault="009274FC">
            <w:pPr>
              <w:pStyle w:val="P68B1DB1-Normal15"/>
              <w:spacing w:after="0" w:line="240" w:lineRule="auto"/>
              <w:ind w:left="34"/>
              <w:rPr>
                <w:noProof/>
              </w:rPr>
            </w:pPr>
            <w:r>
              <w:rPr>
                <w:noProof/>
              </w:rPr>
              <w:t xml:space="preserve">C10.R8 Mesures concernant le cadre de lutte contre le blanchiment de capitaux </w:t>
            </w:r>
          </w:p>
        </w:tc>
        <w:tc>
          <w:tcPr>
            <w:tcW w:w="1418" w:type="dxa"/>
            <w:shd w:val="clear" w:color="auto" w:fill="C6EFCE"/>
            <w:noWrap/>
          </w:tcPr>
          <w:p w14:paraId="1CEBE3BD"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BE" w14:textId="0F9CC1A6" w:rsidR="00F74E13" w:rsidRDefault="009274FC">
            <w:pPr>
              <w:pStyle w:val="P68B1DB1-Normal15"/>
              <w:spacing w:after="0" w:line="240" w:lineRule="auto"/>
              <w:ind w:left="57" w:right="57"/>
              <w:jc w:val="both"/>
              <w:rPr>
                <w:noProof/>
              </w:rPr>
            </w:pPr>
            <w:r>
              <w:rPr>
                <w:noProof/>
              </w:rPr>
              <w:t>Adoption d’une mise à jour de l’évaluation nationale des risques de blanchiment de capitaux et de financement du terrorisme</w:t>
            </w:r>
          </w:p>
        </w:tc>
      </w:tr>
      <w:tr w:rsidR="00F74E13" w14:paraId="1CEBE3C4" w14:textId="77777777">
        <w:trPr>
          <w:gridAfter w:val="1"/>
          <w:wAfter w:w="11" w:type="dxa"/>
          <w:trHeight w:val="302"/>
          <w:jc w:val="center"/>
        </w:trPr>
        <w:tc>
          <w:tcPr>
            <w:tcW w:w="1091" w:type="dxa"/>
            <w:shd w:val="clear" w:color="auto" w:fill="C6EFCE"/>
            <w:noWrap/>
          </w:tcPr>
          <w:p w14:paraId="1CEBE3C0" w14:textId="77777777" w:rsidR="00F74E13" w:rsidRDefault="009274FC">
            <w:pPr>
              <w:pStyle w:val="P68B1DB1-Normal15"/>
              <w:spacing w:after="0" w:line="240" w:lineRule="auto"/>
              <w:jc w:val="center"/>
              <w:rPr>
                <w:noProof/>
              </w:rPr>
            </w:pPr>
            <w:r>
              <w:rPr>
                <w:noProof/>
              </w:rPr>
              <w:t>242</w:t>
            </w:r>
          </w:p>
        </w:tc>
        <w:tc>
          <w:tcPr>
            <w:tcW w:w="3835" w:type="dxa"/>
            <w:shd w:val="clear" w:color="auto" w:fill="C6EFCE"/>
            <w:noWrap/>
          </w:tcPr>
          <w:p w14:paraId="1CEBE3C1" w14:textId="77777777" w:rsidR="00F74E13" w:rsidRDefault="009274FC">
            <w:pPr>
              <w:pStyle w:val="P68B1DB1-Normal15"/>
              <w:spacing w:after="0" w:line="240" w:lineRule="auto"/>
              <w:ind w:left="34"/>
              <w:rPr>
                <w:noProof/>
              </w:rPr>
            </w:pPr>
            <w:r>
              <w:rPr>
                <w:noProof/>
              </w:rPr>
              <w:t>C10.R10 Marchés publics</w:t>
            </w:r>
          </w:p>
        </w:tc>
        <w:tc>
          <w:tcPr>
            <w:tcW w:w="1418" w:type="dxa"/>
            <w:shd w:val="clear" w:color="auto" w:fill="C6EFCE"/>
            <w:noWrap/>
          </w:tcPr>
          <w:p w14:paraId="1CEBE3C2"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C3" w14:textId="77777777" w:rsidR="00F74E13" w:rsidRDefault="009274FC">
            <w:pPr>
              <w:pStyle w:val="P68B1DB1-Normal15"/>
              <w:spacing w:after="0" w:line="240" w:lineRule="auto"/>
              <w:ind w:left="57" w:right="57"/>
              <w:jc w:val="both"/>
              <w:rPr>
                <w:noProof/>
              </w:rPr>
            </w:pPr>
            <w:r>
              <w:rPr>
                <w:noProof/>
              </w:rPr>
              <w:t>Entrée en vigueur des modifications législatives apportées à la loi sur les marchés publics afin de réduire le nombre de marchés sans appel d’offres et d’offres à appel unique</w:t>
            </w:r>
          </w:p>
        </w:tc>
      </w:tr>
      <w:tr w:rsidR="00F74E13" w14:paraId="1CEBE3CA" w14:textId="77777777">
        <w:trPr>
          <w:gridAfter w:val="1"/>
          <w:wAfter w:w="11" w:type="dxa"/>
          <w:trHeight w:val="302"/>
          <w:jc w:val="center"/>
        </w:trPr>
        <w:tc>
          <w:tcPr>
            <w:tcW w:w="1091" w:type="dxa"/>
            <w:shd w:val="clear" w:color="auto" w:fill="C6EFCE"/>
            <w:noWrap/>
          </w:tcPr>
          <w:p w14:paraId="1CEBE3C5" w14:textId="77777777" w:rsidR="00F74E13" w:rsidRDefault="009274FC">
            <w:pPr>
              <w:pStyle w:val="P68B1DB1-Normal15"/>
              <w:spacing w:after="0" w:line="240" w:lineRule="auto"/>
              <w:jc w:val="center"/>
              <w:rPr>
                <w:noProof/>
              </w:rPr>
            </w:pPr>
            <w:r>
              <w:rPr>
                <w:noProof/>
              </w:rPr>
              <w:t>235</w:t>
            </w:r>
          </w:p>
          <w:p w14:paraId="1CEBE3C6" w14:textId="77777777" w:rsidR="00F74E13" w:rsidRDefault="00F74E13">
            <w:pPr>
              <w:spacing w:after="0" w:line="240" w:lineRule="auto"/>
              <w:jc w:val="center"/>
              <w:rPr>
                <w:rFonts w:ascii="Times New Roman" w:hAnsi="Times New Roman"/>
                <w:noProof/>
                <w:color w:val="006100"/>
                <w:sz w:val="20"/>
              </w:rPr>
            </w:pPr>
          </w:p>
        </w:tc>
        <w:tc>
          <w:tcPr>
            <w:tcW w:w="3835" w:type="dxa"/>
            <w:shd w:val="clear" w:color="auto" w:fill="C6EFCE"/>
            <w:noWrap/>
          </w:tcPr>
          <w:p w14:paraId="1CEBE3C7" w14:textId="77777777" w:rsidR="00F74E13" w:rsidRDefault="009274FC">
            <w:pPr>
              <w:pStyle w:val="P68B1DB1-Normal15"/>
              <w:spacing w:after="0" w:line="240" w:lineRule="auto"/>
              <w:ind w:left="34"/>
              <w:rPr>
                <w:noProof/>
              </w:rPr>
            </w:pPr>
            <w:r>
              <w:rPr>
                <w:noProof/>
              </w:rPr>
              <w:t>C10.R7 Cadre de gouvernance pour les entreprises publiques</w:t>
            </w:r>
          </w:p>
        </w:tc>
        <w:tc>
          <w:tcPr>
            <w:tcW w:w="1418" w:type="dxa"/>
            <w:shd w:val="clear" w:color="auto" w:fill="C6EFCE"/>
            <w:noWrap/>
          </w:tcPr>
          <w:p w14:paraId="1CEBE3C8"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C9" w14:textId="77777777" w:rsidR="00F74E13" w:rsidRDefault="009274FC">
            <w:pPr>
              <w:pStyle w:val="P68B1DB1-Normal15"/>
              <w:spacing w:after="0" w:line="240" w:lineRule="auto"/>
              <w:ind w:left="57" w:right="57"/>
              <w:jc w:val="both"/>
              <w:rPr>
                <w:noProof/>
              </w:rPr>
            </w:pPr>
            <w:r>
              <w:rPr>
                <w:noProof/>
              </w:rPr>
              <w:t>Adoption du rapport de synthèse annuel sur la performance des entreprises publiques</w:t>
            </w:r>
          </w:p>
        </w:tc>
      </w:tr>
      <w:tr w:rsidR="00F74E13" w14:paraId="1CEBE3CF" w14:textId="77777777">
        <w:trPr>
          <w:gridAfter w:val="1"/>
          <w:wAfter w:w="11" w:type="dxa"/>
          <w:trHeight w:val="302"/>
          <w:jc w:val="center"/>
        </w:trPr>
        <w:tc>
          <w:tcPr>
            <w:tcW w:w="1091" w:type="dxa"/>
            <w:shd w:val="clear" w:color="auto" w:fill="C6EFCE"/>
            <w:noWrap/>
          </w:tcPr>
          <w:p w14:paraId="1CEBE3CB" w14:textId="77777777" w:rsidR="00F74E13" w:rsidRDefault="009274FC">
            <w:pPr>
              <w:pStyle w:val="P68B1DB1-Normal15"/>
              <w:spacing w:after="0" w:line="240" w:lineRule="auto"/>
              <w:jc w:val="center"/>
              <w:rPr>
                <w:noProof/>
              </w:rPr>
            </w:pPr>
            <w:r>
              <w:rPr>
                <w:noProof/>
              </w:rPr>
              <w:t>251</w:t>
            </w:r>
          </w:p>
        </w:tc>
        <w:tc>
          <w:tcPr>
            <w:tcW w:w="3835" w:type="dxa"/>
            <w:shd w:val="clear" w:color="auto" w:fill="C6EFCE"/>
            <w:noWrap/>
          </w:tcPr>
          <w:p w14:paraId="1CEBE3CC" w14:textId="77777777" w:rsidR="00F74E13" w:rsidRDefault="009274FC">
            <w:pPr>
              <w:pStyle w:val="P68B1DB1-Normal15"/>
              <w:spacing w:after="0" w:line="240" w:lineRule="auto"/>
              <w:ind w:left="34"/>
              <w:rPr>
                <w:noProof/>
              </w:rPr>
            </w:pPr>
            <w:r>
              <w:rPr>
                <w:noProof/>
              </w:rPr>
              <w:t>C10.R11 Bulgarie entrepreneuriale</w:t>
            </w:r>
          </w:p>
        </w:tc>
        <w:tc>
          <w:tcPr>
            <w:tcW w:w="1418" w:type="dxa"/>
            <w:shd w:val="clear" w:color="auto" w:fill="C6EFCE"/>
            <w:noWrap/>
          </w:tcPr>
          <w:p w14:paraId="1CEBE3CD"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CE" w14:textId="77777777" w:rsidR="00F74E13" w:rsidRDefault="009274FC">
            <w:pPr>
              <w:pStyle w:val="P68B1DB1-Normal15"/>
              <w:spacing w:after="0" w:line="240" w:lineRule="auto"/>
              <w:ind w:left="57" w:right="57"/>
              <w:jc w:val="both"/>
              <w:rPr>
                <w:noProof/>
              </w:rPr>
            </w:pPr>
            <w:r>
              <w:rPr>
                <w:noProof/>
              </w:rPr>
              <w:t>Introduction d'une procédure et d'exigences pour la délivrance et la révocation d'un visa pour les entrepreneurs en démarrage</w:t>
            </w:r>
          </w:p>
        </w:tc>
      </w:tr>
      <w:tr w:rsidR="00F74E13" w14:paraId="1CEBE3D4" w14:textId="77777777">
        <w:trPr>
          <w:gridAfter w:val="1"/>
          <w:wAfter w:w="11" w:type="dxa"/>
          <w:trHeight w:val="302"/>
          <w:jc w:val="center"/>
        </w:trPr>
        <w:tc>
          <w:tcPr>
            <w:tcW w:w="1091" w:type="dxa"/>
            <w:shd w:val="clear" w:color="auto" w:fill="C6EFCE"/>
            <w:noWrap/>
          </w:tcPr>
          <w:p w14:paraId="1CEBE3D0" w14:textId="77777777" w:rsidR="00F74E13" w:rsidRDefault="009274FC">
            <w:pPr>
              <w:pStyle w:val="P68B1DB1-Normal15"/>
              <w:spacing w:after="0" w:line="240" w:lineRule="auto"/>
              <w:jc w:val="center"/>
              <w:rPr>
                <w:noProof/>
              </w:rPr>
            </w:pPr>
            <w:r>
              <w:rPr>
                <w:noProof/>
              </w:rPr>
              <w:t>252</w:t>
            </w:r>
          </w:p>
        </w:tc>
        <w:tc>
          <w:tcPr>
            <w:tcW w:w="3835" w:type="dxa"/>
            <w:shd w:val="clear" w:color="auto" w:fill="C6EFCE"/>
            <w:noWrap/>
          </w:tcPr>
          <w:p w14:paraId="1CEBE3D1" w14:textId="77777777" w:rsidR="00F74E13" w:rsidRDefault="009274FC">
            <w:pPr>
              <w:pStyle w:val="P68B1DB1-Normal15"/>
              <w:spacing w:after="0" w:line="240" w:lineRule="auto"/>
              <w:ind w:left="34"/>
              <w:rPr>
                <w:noProof/>
              </w:rPr>
            </w:pPr>
            <w:r>
              <w:rPr>
                <w:noProof/>
              </w:rPr>
              <w:t>C10.R11 Bulgarie entrepreneuriale</w:t>
            </w:r>
          </w:p>
        </w:tc>
        <w:tc>
          <w:tcPr>
            <w:tcW w:w="1418" w:type="dxa"/>
            <w:shd w:val="clear" w:color="auto" w:fill="C6EFCE"/>
            <w:noWrap/>
          </w:tcPr>
          <w:p w14:paraId="1CEBE3D2"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D3" w14:textId="0BBDB07C" w:rsidR="00F74E13" w:rsidRDefault="009274FC">
            <w:pPr>
              <w:pStyle w:val="P68B1DB1-Normal15"/>
              <w:spacing w:after="0" w:line="240" w:lineRule="auto"/>
              <w:ind w:left="57" w:right="57"/>
              <w:jc w:val="both"/>
              <w:rPr>
                <w:noProof/>
              </w:rPr>
            </w:pPr>
            <w:r>
              <w:rPr>
                <w:noProof/>
              </w:rPr>
              <w:t>Entrée en vigueur de la loi sur la faillite personnelle</w:t>
            </w:r>
          </w:p>
        </w:tc>
      </w:tr>
      <w:tr w:rsidR="00F74E13" w14:paraId="1CEBE3D9" w14:textId="77777777">
        <w:trPr>
          <w:gridAfter w:val="1"/>
          <w:wAfter w:w="11" w:type="dxa"/>
          <w:trHeight w:val="302"/>
          <w:jc w:val="center"/>
        </w:trPr>
        <w:tc>
          <w:tcPr>
            <w:tcW w:w="1091" w:type="dxa"/>
            <w:shd w:val="clear" w:color="auto" w:fill="C6EFCE"/>
            <w:noWrap/>
          </w:tcPr>
          <w:p w14:paraId="1CEBE3D5" w14:textId="77777777" w:rsidR="00F74E13" w:rsidRDefault="009274FC">
            <w:pPr>
              <w:pStyle w:val="P68B1DB1-Normal15"/>
              <w:spacing w:after="0" w:line="240" w:lineRule="auto"/>
              <w:jc w:val="center"/>
              <w:rPr>
                <w:noProof/>
              </w:rPr>
            </w:pPr>
            <w:r>
              <w:rPr>
                <w:noProof/>
              </w:rPr>
              <w:t>253</w:t>
            </w:r>
          </w:p>
        </w:tc>
        <w:tc>
          <w:tcPr>
            <w:tcW w:w="3835" w:type="dxa"/>
            <w:shd w:val="clear" w:color="auto" w:fill="C6EFCE"/>
            <w:noWrap/>
          </w:tcPr>
          <w:p w14:paraId="1CEBE3D6" w14:textId="77777777" w:rsidR="00F74E13" w:rsidRDefault="009274FC">
            <w:pPr>
              <w:pStyle w:val="P68B1DB1-Normal15"/>
              <w:spacing w:after="0" w:line="240" w:lineRule="auto"/>
              <w:ind w:left="34"/>
              <w:rPr>
                <w:noProof/>
              </w:rPr>
            </w:pPr>
            <w:r>
              <w:rPr>
                <w:noProof/>
              </w:rPr>
              <w:t>C10.R11 Bulgarie entrepreneuriale</w:t>
            </w:r>
          </w:p>
        </w:tc>
        <w:tc>
          <w:tcPr>
            <w:tcW w:w="1418" w:type="dxa"/>
            <w:shd w:val="clear" w:color="auto" w:fill="C6EFCE"/>
            <w:noWrap/>
          </w:tcPr>
          <w:p w14:paraId="1CEBE3D7"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D8" w14:textId="77777777" w:rsidR="00F74E13" w:rsidRDefault="009274FC">
            <w:pPr>
              <w:pStyle w:val="P68B1DB1-Normal15"/>
              <w:spacing w:after="0" w:line="240" w:lineRule="auto"/>
              <w:ind w:left="57" w:right="57"/>
              <w:jc w:val="both"/>
              <w:rPr>
                <w:noProof/>
              </w:rPr>
            </w:pPr>
            <w:r>
              <w:rPr>
                <w:noProof/>
              </w:rPr>
              <w:t>Entrée en vigueur d'un nouveau chapitre de la loi sur le commerce pour l'introduction d'une nouvelle forme juridique de société commerciale</w:t>
            </w:r>
          </w:p>
        </w:tc>
      </w:tr>
      <w:tr w:rsidR="00F74E13" w14:paraId="1CEBE3DE" w14:textId="77777777">
        <w:trPr>
          <w:gridAfter w:val="1"/>
          <w:wAfter w:w="11" w:type="dxa"/>
          <w:trHeight w:val="302"/>
          <w:jc w:val="center"/>
        </w:trPr>
        <w:tc>
          <w:tcPr>
            <w:tcW w:w="1091" w:type="dxa"/>
            <w:shd w:val="clear" w:color="auto" w:fill="C6EFCE"/>
            <w:noWrap/>
          </w:tcPr>
          <w:p w14:paraId="1CEBE3DA" w14:textId="77777777" w:rsidR="00F74E13" w:rsidRDefault="009274FC">
            <w:pPr>
              <w:pStyle w:val="P68B1DB1-Normal15"/>
              <w:spacing w:after="0" w:line="240" w:lineRule="auto"/>
              <w:jc w:val="center"/>
              <w:rPr>
                <w:noProof/>
              </w:rPr>
            </w:pPr>
            <w:r>
              <w:rPr>
                <w:noProof/>
              </w:rPr>
              <w:t>256</w:t>
            </w:r>
          </w:p>
        </w:tc>
        <w:tc>
          <w:tcPr>
            <w:tcW w:w="3835" w:type="dxa"/>
            <w:shd w:val="clear" w:color="auto" w:fill="C6EFCE"/>
            <w:noWrap/>
          </w:tcPr>
          <w:p w14:paraId="1CEBE3DB" w14:textId="77777777" w:rsidR="00F74E13" w:rsidRDefault="009274FC">
            <w:pPr>
              <w:pStyle w:val="P68B1DB1-Normal15"/>
              <w:spacing w:after="0" w:line="240" w:lineRule="auto"/>
              <w:ind w:left="34"/>
              <w:rPr>
                <w:noProof/>
              </w:rPr>
            </w:pPr>
            <w:r>
              <w:rPr>
                <w:noProof/>
              </w:rPr>
              <w:t>C10.R12 Conseil d'analyse économique</w:t>
            </w:r>
          </w:p>
        </w:tc>
        <w:tc>
          <w:tcPr>
            <w:tcW w:w="1418" w:type="dxa"/>
            <w:shd w:val="clear" w:color="auto" w:fill="C6EFCE"/>
            <w:noWrap/>
          </w:tcPr>
          <w:p w14:paraId="1CEBE3DC"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DD" w14:textId="77777777" w:rsidR="00F74E13" w:rsidRDefault="009274FC">
            <w:pPr>
              <w:pStyle w:val="P68B1DB1-Normal15"/>
              <w:spacing w:after="0" w:line="240" w:lineRule="auto"/>
              <w:ind w:left="57" w:right="57"/>
              <w:jc w:val="both"/>
              <w:rPr>
                <w:noProof/>
              </w:rPr>
            </w:pPr>
            <w:r>
              <w:rPr>
                <w:noProof/>
              </w:rPr>
              <w:t>Institutionnalisation du Conseil d'analyse économique</w:t>
            </w:r>
          </w:p>
        </w:tc>
      </w:tr>
      <w:tr w:rsidR="00F74E13" w14:paraId="1CEBE3E3" w14:textId="77777777">
        <w:trPr>
          <w:gridAfter w:val="1"/>
          <w:wAfter w:w="11" w:type="dxa"/>
          <w:trHeight w:val="302"/>
          <w:jc w:val="center"/>
        </w:trPr>
        <w:tc>
          <w:tcPr>
            <w:tcW w:w="1091" w:type="dxa"/>
            <w:shd w:val="clear" w:color="auto" w:fill="C6EFCE"/>
            <w:noWrap/>
          </w:tcPr>
          <w:p w14:paraId="1CEBE3DF" w14:textId="77777777" w:rsidR="00F74E13" w:rsidRDefault="009274FC">
            <w:pPr>
              <w:pStyle w:val="P68B1DB1-Normal15"/>
              <w:spacing w:after="0" w:line="240" w:lineRule="auto"/>
              <w:jc w:val="center"/>
              <w:rPr>
                <w:noProof/>
              </w:rPr>
            </w:pPr>
            <w:r>
              <w:rPr>
                <w:noProof/>
              </w:rPr>
              <w:t>283</w:t>
            </w:r>
          </w:p>
        </w:tc>
        <w:tc>
          <w:tcPr>
            <w:tcW w:w="3835" w:type="dxa"/>
            <w:shd w:val="clear" w:color="auto" w:fill="C6EFCE"/>
            <w:noWrap/>
          </w:tcPr>
          <w:p w14:paraId="1CEBE3E0" w14:textId="77777777" w:rsidR="00F74E13" w:rsidRDefault="009274FC">
            <w:pPr>
              <w:pStyle w:val="P68B1DB1-Normal15"/>
              <w:spacing w:after="0" w:line="240" w:lineRule="auto"/>
              <w:ind w:left="34"/>
              <w:rPr>
                <w:noProof/>
              </w:rPr>
            </w:pPr>
            <w:r>
              <w:rPr>
                <w:noProof/>
                <w:szCs w:val="20"/>
              </w:rPr>
              <w:t xml:space="preserve">C10.I11 </w:t>
            </w:r>
            <w:r>
              <w:rPr>
                <w:noProof/>
              </w:rPr>
              <w:t>I</w:t>
            </w:r>
            <w:r>
              <w:rPr>
                <w:noProof/>
                <w:szCs w:val="20"/>
              </w:rPr>
              <w:t xml:space="preserve"> formation</w:t>
            </w:r>
            <w:r>
              <w:rPr>
                <w:noProof/>
              </w:rPr>
              <w:t xml:space="preserve"> et environnement administratif pour le plan pour la reprise et la résilience</w:t>
            </w:r>
          </w:p>
        </w:tc>
        <w:tc>
          <w:tcPr>
            <w:tcW w:w="1418" w:type="dxa"/>
            <w:shd w:val="clear" w:color="auto" w:fill="C6EFCE"/>
            <w:noWrap/>
          </w:tcPr>
          <w:p w14:paraId="1CEBE3E1" w14:textId="77777777" w:rsidR="00F74E13" w:rsidRDefault="009274FC">
            <w:pPr>
              <w:pStyle w:val="P68B1DB1-Normal15"/>
              <w:spacing w:after="0" w:line="240" w:lineRule="auto"/>
              <w:jc w:val="center"/>
              <w:rPr>
                <w:noProof/>
              </w:rPr>
            </w:pPr>
            <w:r>
              <w:rPr>
                <w:noProof/>
              </w:rPr>
              <w:t>Objectif</w:t>
            </w:r>
          </w:p>
        </w:tc>
        <w:tc>
          <w:tcPr>
            <w:tcW w:w="3465" w:type="dxa"/>
            <w:shd w:val="clear" w:color="auto" w:fill="C6EFCE"/>
            <w:noWrap/>
          </w:tcPr>
          <w:p w14:paraId="1CEBE3E2" w14:textId="77777777" w:rsidR="00F74E13" w:rsidRDefault="009274FC">
            <w:pPr>
              <w:pStyle w:val="P68B1DB1-Normal15"/>
              <w:spacing w:after="0" w:line="240" w:lineRule="auto"/>
              <w:ind w:left="57" w:right="57"/>
              <w:jc w:val="both"/>
              <w:rPr>
                <w:noProof/>
              </w:rPr>
            </w:pPr>
            <w:r>
              <w:rPr>
                <w:noProof/>
              </w:rPr>
              <w:t>Membres du personnel formés à la passation de marchés</w:t>
            </w:r>
          </w:p>
        </w:tc>
      </w:tr>
      <w:tr w:rsidR="00F74E13" w14:paraId="1CEBE3E8" w14:textId="77777777">
        <w:trPr>
          <w:gridAfter w:val="1"/>
          <w:wAfter w:w="11" w:type="dxa"/>
          <w:trHeight w:val="302"/>
          <w:jc w:val="center"/>
        </w:trPr>
        <w:tc>
          <w:tcPr>
            <w:tcW w:w="1091" w:type="dxa"/>
            <w:shd w:val="clear" w:color="auto" w:fill="C6EFCE"/>
            <w:noWrap/>
          </w:tcPr>
          <w:p w14:paraId="1CEBE3E4" w14:textId="77777777" w:rsidR="00F74E13" w:rsidRDefault="009274FC">
            <w:pPr>
              <w:pStyle w:val="P68B1DB1-Normal15"/>
              <w:spacing w:after="0" w:line="240" w:lineRule="auto"/>
              <w:jc w:val="center"/>
              <w:rPr>
                <w:noProof/>
              </w:rPr>
            </w:pPr>
            <w:r>
              <w:rPr>
                <w:noProof/>
              </w:rPr>
              <w:t>287</w:t>
            </w:r>
          </w:p>
        </w:tc>
        <w:tc>
          <w:tcPr>
            <w:tcW w:w="3835" w:type="dxa"/>
            <w:shd w:val="clear" w:color="auto" w:fill="C6EFCE"/>
            <w:noWrap/>
          </w:tcPr>
          <w:p w14:paraId="1CEBE3E5" w14:textId="77777777" w:rsidR="00F74E13" w:rsidRDefault="009274FC">
            <w:pPr>
              <w:pStyle w:val="P68B1DB1-Normal15"/>
              <w:spacing w:after="0" w:line="240" w:lineRule="auto"/>
              <w:ind w:left="34"/>
              <w:rPr>
                <w:noProof/>
              </w:rPr>
            </w:pPr>
            <w:r>
              <w:rPr>
                <w:noProof/>
              </w:rPr>
              <w:t xml:space="preserve">C11.R1 Réforme du régime de revenu minimum </w:t>
            </w:r>
          </w:p>
        </w:tc>
        <w:tc>
          <w:tcPr>
            <w:tcW w:w="1418" w:type="dxa"/>
            <w:shd w:val="clear" w:color="auto" w:fill="C6EFCE"/>
            <w:noWrap/>
          </w:tcPr>
          <w:p w14:paraId="1CEBE3E6"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E7" w14:textId="77777777" w:rsidR="00F74E13" w:rsidRDefault="009274FC">
            <w:pPr>
              <w:pStyle w:val="P68B1DB1-Normal15"/>
              <w:spacing w:after="0" w:line="240" w:lineRule="auto"/>
              <w:ind w:left="57" w:right="57"/>
              <w:jc w:val="both"/>
              <w:rPr>
                <w:noProof/>
              </w:rPr>
            </w:pPr>
            <w:r>
              <w:rPr>
                <w:noProof/>
              </w:rPr>
              <w:t>Finalisation d'un rapport sur le régime de revenu minimum</w:t>
            </w:r>
          </w:p>
        </w:tc>
      </w:tr>
      <w:tr w:rsidR="00F74E13" w14:paraId="1CEBE3ED" w14:textId="77777777">
        <w:trPr>
          <w:gridAfter w:val="1"/>
          <w:wAfter w:w="11" w:type="dxa"/>
          <w:trHeight w:val="302"/>
          <w:jc w:val="center"/>
        </w:trPr>
        <w:tc>
          <w:tcPr>
            <w:tcW w:w="1091" w:type="dxa"/>
            <w:shd w:val="clear" w:color="auto" w:fill="C6EFCE"/>
            <w:noWrap/>
          </w:tcPr>
          <w:p w14:paraId="1CEBE3E9" w14:textId="77777777" w:rsidR="00F74E13" w:rsidRDefault="009274FC">
            <w:pPr>
              <w:pStyle w:val="P68B1DB1-Normal15"/>
              <w:spacing w:after="0" w:line="240" w:lineRule="auto"/>
              <w:jc w:val="center"/>
              <w:rPr>
                <w:noProof/>
              </w:rPr>
            </w:pPr>
            <w:r>
              <w:rPr>
                <w:noProof/>
              </w:rPr>
              <w:t>297</w:t>
            </w:r>
          </w:p>
        </w:tc>
        <w:tc>
          <w:tcPr>
            <w:tcW w:w="3835" w:type="dxa"/>
            <w:shd w:val="clear" w:color="auto" w:fill="C6EFCE"/>
            <w:noWrap/>
          </w:tcPr>
          <w:p w14:paraId="1CEBE3EA" w14:textId="77777777" w:rsidR="00F74E13" w:rsidRDefault="009274FC">
            <w:pPr>
              <w:pStyle w:val="P68B1DB1-Normal15"/>
              <w:spacing w:after="0" w:line="240" w:lineRule="auto"/>
              <w:ind w:left="34"/>
              <w:rPr>
                <w:noProof/>
              </w:rPr>
            </w:pPr>
            <w:r>
              <w:rPr>
                <w:noProof/>
              </w:rPr>
              <w:t>C11.I2 Fourniture de dispositifs d'assistance aux personnes handicapées permanentes</w:t>
            </w:r>
          </w:p>
        </w:tc>
        <w:tc>
          <w:tcPr>
            <w:tcW w:w="1418" w:type="dxa"/>
            <w:shd w:val="clear" w:color="auto" w:fill="C6EFCE"/>
            <w:noWrap/>
          </w:tcPr>
          <w:p w14:paraId="1CEBE3EB"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EC" w14:textId="77777777" w:rsidR="00F74E13" w:rsidRDefault="009274FC">
            <w:pPr>
              <w:pStyle w:val="P68B1DB1-Normal15"/>
              <w:spacing w:after="0" w:line="240" w:lineRule="auto"/>
              <w:ind w:left="57" w:right="57"/>
              <w:jc w:val="both"/>
              <w:rPr>
                <w:noProof/>
              </w:rPr>
            </w:pPr>
            <w:r>
              <w:rPr>
                <w:noProof/>
              </w:rPr>
              <w:t>Méthodologie de sélection des personnes handicapées permanentes</w:t>
            </w:r>
          </w:p>
        </w:tc>
      </w:tr>
      <w:tr w:rsidR="00F74E13" w14:paraId="1CEBE3F2" w14:textId="77777777">
        <w:trPr>
          <w:gridAfter w:val="1"/>
          <w:wAfter w:w="11" w:type="dxa"/>
          <w:trHeight w:val="302"/>
          <w:jc w:val="center"/>
        </w:trPr>
        <w:tc>
          <w:tcPr>
            <w:tcW w:w="1091" w:type="dxa"/>
            <w:shd w:val="clear" w:color="auto" w:fill="C6EFCE"/>
            <w:noWrap/>
          </w:tcPr>
          <w:p w14:paraId="1CEBE3EE" w14:textId="77777777" w:rsidR="00F74E13" w:rsidRDefault="009274FC">
            <w:pPr>
              <w:pStyle w:val="P68B1DB1-Normal15"/>
              <w:spacing w:after="0" w:line="240" w:lineRule="auto"/>
              <w:jc w:val="center"/>
              <w:rPr>
                <w:noProof/>
              </w:rPr>
            </w:pPr>
            <w:r>
              <w:rPr>
                <w:noProof/>
              </w:rPr>
              <w:t>299</w:t>
            </w:r>
          </w:p>
        </w:tc>
        <w:tc>
          <w:tcPr>
            <w:tcW w:w="3835" w:type="dxa"/>
            <w:shd w:val="clear" w:color="auto" w:fill="C6EFCE"/>
            <w:noWrap/>
          </w:tcPr>
          <w:p w14:paraId="1CEBE3EF" w14:textId="77777777" w:rsidR="00F74E13" w:rsidRDefault="009274FC">
            <w:pPr>
              <w:pStyle w:val="P68B1DB1-Normal15"/>
              <w:spacing w:after="0" w:line="240" w:lineRule="auto"/>
              <w:ind w:left="34"/>
              <w:rPr>
                <w:noProof/>
              </w:rPr>
            </w:pPr>
            <w:r>
              <w:rPr>
                <w:noProof/>
              </w:rPr>
              <w:t>C11.I3 Développement de l'économie sociale</w:t>
            </w:r>
          </w:p>
        </w:tc>
        <w:tc>
          <w:tcPr>
            <w:tcW w:w="1418" w:type="dxa"/>
            <w:shd w:val="clear" w:color="auto" w:fill="C6EFCE"/>
            <w:noWrap/>
          </w:tcPr>
          <w:p w14:paraId="1CEBE3F0" w14:textId="77777777" w:rsidR="00F74E13" w:rsidRDefault="009274FC">
            <w:pPr>
              <w:pStyle w:val="P68B1DB1-Normal15"/>
              <w:spacing w:after="0" w:line="240" w:lineRule="auto"/>
              <w:jc w:val="center"/>
              <w:rPr>
                <w:noProof/>
              </w:rPr>
            </w:pPr>
            <w:r>
              <w:rPr>
                <w:noProof/>
              </w:rPr>
              <w:t>Objectif</w:t>
            </w:r>
          </w:p>
        </w:tc>
        <w:tc>
          <w:tcPr>
            <w:tcW w:w="3465" w:type="dxa"/>
            <w:shd w:val="clear" w:color="auto" w:fill="C6EFCE"/>
            <w:noWrap/>
          </w:tcPr>
          <w:p w14:paraId="1CEBE3F1" w14:textId="07283AD9" w:rsidR="00F74E13" w:rsidRDefault="009274FC">
            <w:pPr>
              <w:pStyle w:val="P68B1DB1-Normal15"/>
              <w:spacing w:after="0" w:line="240" w:lineRule="auto"/>
              <w:ind w:left="57" w:right="57"/>
              <w:jc w:val="both"/>
              <w:rPr>
                <w:noProof/>
              </w:rPr>
            </w:pPr>
            <w:r>
              <w:rPr>
                <w:noProof/>
              </w:rPr>
              <w:t>Construction et équipement de 6 centres d'intérêt régionaux</w:t>
            </w:r>
          </w:p>
        </w:tc>
      </w:tr>
      <w:tr w:rsidR="00F74E13" w14:paraId="1CEBE3F7" w14:textId="77777777">
        <w:trPr>
          <w:gridAfter w:val="1"/>
          <w:wAfter w:w="11" w:type="dxa"/>
          <w:trHeight w:val="302"/>
          <w:jc w:val="center"/>
        </w:trPr>
        <w:tc>
          <w:tcPr>
            <w:tcW w:w="1091" w:type="dxa"/>
            <w:shd w:val="clear" w:color="auto" w:fill="C6EFCE"/>
            <w:noWrap/>
          </w:tcPr>
          <w:p w14:paraId="1CEBE3F3" w14:textId="77777777" w:rsidR="00F74E13" w:rsidRDefault="009274FC">
            <w:pPr>
              <w:pStyle w:val="P68B1DB1-Normal15"/>
              <w:spacing w:after="0" w:line="240" w:lineRule="auto"/>
              <w:jc w:val="center"/>
              <w:rPr>
                <w:noProof/>
              </w:rPr>
            </w:pPr>
            <w:r>
              <w:rPr>
                <w:noProof/>
              </w:rPr>
              <w:t>316</w:t>
            </w:r>
          </w:p>
        </w:tc>
        <w:tc>
          <w:tcPr>
            <w:tcW w:w="3835" w:type="dxa"/>
            <w:shd w:val="clear" w:color="auto" w:fill="C6EFCE"/>
            <w:noWrap/>
          </w:tcPr>
          <w:p w14:paraId="1CEBE3F4" w14:textId="77777777" w:rsidR="00F74E13" w:rsidRDefault="009274FC">
            <w:pPr>
              <w:pStyle w:val="P68B1DB1-Normal15"/>
              <w:spacing w:after="0"/>
              <w:ind w:left="34"/>
              <w:rPr>
                <w:noProof/>
              </w:rPr>
            </w:pPr>
            <w:r>
              <w:rPr>
                <w:noProof/>
              </w:rPr>
              <w:t>C12.R1 Modernisation du cadre stratégique du secteur de la santé</w:t>
            </w:r>
          </w:p>
        </w:tc>
        <w:tc>
          <w:tcPr>
            <w:tcW w:w="1418" w:type="dxa"/>
            <w:shd w:val="clear" w:color="auto" w:fill="C6EFCE"/>
            <w:noWrap/>
          </w:tcPr>
          <w:p w14:paraId="1CEBE3F5"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F6" w14:textId="77777777" w:rsidR="00F74E13" w:rsidRDefault="009274FC">
            <w:pPr>
              <w:pStyle w:val="P68B1DB1-Normal15"/>
              <w:spacing w:after="0" w:line="240" w:lineRule="auto"/>
              <w:ind w:left="57" w:right="57"/>
              <w:jc w:val="both"/>
              <w:rPr>
                <w:noProof/>
              </w:rPr>
            </w:pPr>
            <w:r>
              <w:rPr>
                <w:noProof/>
              </w:rPr>
              <w:t>Carte nationale des besoins à long terme du secteur de la santé</w:t>
            </w:r>
          </w:p>
        </w:tc>
      </w:tr>
      <w:tr w:rsidR="00F74E13" w14:paraId="1CEBE3FC" w14:textId="77777777">
        <w:trPr>
          <w:gridAfter w:val="1"/>
          <w:wAfter w:w="11" w:type="dxa"/>
          <w:trHeight w:val="302"/>
          <w:jc w:val="center"/>
        </w:trPr>
        <w:tc>
          <w:tcPr>
            <w:tcW w:w="1091" w:type="dxa"/>
            <w:shd w:val="clear" w:color="auto" w:fill="C6EFCE"/>
            <w:noWrap/>
          </w:tcPr>
          <w:p w14:paraId="1CEBE3F8" w14:textId="77777777" w:rsidR="00F74E13" w:rsidRDefault="009274FC">
            <w:pPr>
              <w:pStyle w:val="P68B1DB1-Normal15"/>
              <w:spacing w:after="0" w:line="240" w:lineRule="auto"/>
              <w:jc w:val="center"/>
              <w:rPr>
                <w:noProof/>
              </w:rPr>
            </w:pPr>
            <w:r>
              <w:rPr>
                <w:noProof/>
              </w:rPr>
              <w:t>317</w:t>
            </w:r>
          </w:p>
        </w:tc>
        <w:tc>
          <w:tcPr>
            <w:tcW w:w="3835" w:type="dxa"/>
            <w:shd w:val="clear" w:color="auto" w:fill="C6EFCE"/>
            <w:noWrap/>
          </w:tcPr>
          <w:p w14:paraId="1CEBE3F9" w14:textId="77777777" w:rsidR="00F74E13" w:rsidRDefault="009274FC">
            <w:pPr>
              <w:pStyle w:val="P68B1DB1-Normal15"/>
              <w:spacing w:after="0"/>
              <w:ind w:left="34"/>
              <w:rPr>
                <w:noProof/>
              </w:rPr>
            </w:pPr>
            <w:r>
              <w:rPr>
                <w:noProof/>
              </w:rPr>
              <w:t>C12.R1 Modernisation du cadre stratégique du secteur de la santé</w:t>
            </w:r>
          </w:p>
        </w:tc>
        <w:tc>
          <w:tcPr>
            <w:tcW w:w="1418" w:type="dxa"/>
            <w:shd w:val="clear" w:color="auto" w:fill="C6EFCE"/>
            <w:noWrap/>
          </w:tcPr>
          <w:p w14:paraId="1CEBE3FA"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3FB" w14:textId="2D665A58" w:rsidR="00F74E13" w:rsidRDefault="009274FC">
            <w:pPr>
              <w:pStyle w:val="P68B1DB1-Normal12"/>
              <w:spacing w:after="0" w:line="240" w:lineRule="auto"/>
              <w:ind w:left="57" w:right="57"/>
              <w:jc w:val="both"/>
              <w:rPr>
                <w:noProof/>
              </w:rPr>
            </w:pPr>
            <w:r>
              <w:rPr>
                <w:noProof/>
              </w:rPr>
              <w:t>Stratégie nationale de santé 2030</w:t>
            </w:r>
          </w:p>
        </w:tc>
      </w:tr>
      <w:tr w:rsidR="00F74E13" w14:paraId="1CEBE401" w14:textId="77777777">
        <w:trPr>
          <w:gridAfter w:val="1"/>
          <w:wAfter w:w="11" w:type="dxa"/>
          <w:trHeight w:val="302"/>
          <w:jc w:val="center"/>
        </w:trPr>
        <w:tc>
          <w:tcPr>
            <w:tcW w:w="1091" w:type="dxa"/>
            <w:shd w:val="clear" w:color="auto" w:fill="C6EFCE"/>
            <w:noWrap/>
          </w:tcPr>
          <w:p w14:paraId="1CEBE3FD" w14:textId="77777777" w:rsidR="00F74E13" w:rsidRDefault="009274FC">
            <w:pPr>
              <w:pStyle w:val="P68B1DB1-Normal15"/>
              <w:spacing w:after="0" w:line="240" w:lineRule="auto"/>
              <w:jc w:val="center"/>
              <w:rPr>
                <w:noProof/>
              </w:rPr>
            </w:pPr>
            <w:r>
              <w:rPr>
                <w:noProof/>
              </w:rPr>
              <w:t>318</w:t>
            </w:r>
          </w:p>
        </w:tc>
        <w:tc>
          <w:tcPr>
            <w:tcW w:w="3835" w:type="dxa"/>
            <w:shd w:val="clear" w:color="auto" w:fill="C6EFCE"/>
            <w:noWrap/>
          </w:tcPr>
          <w:p w14:paraId="1CEBE3FE" w14:textId="77777777" w:rsidR="00F74E13" w:rsidRDefault="009274FC">
            <w:pPr>
              <w:pStyle w:val="P68B1DB1-Normal15"/>
              <w:spacing w:after="0"/>
              <w:ind w:left="34"/>
              <w:rPr>
                <w:noProof/>
              </w:rPr>
            </w:pPr>
            <w:r>
              <w:rPr>
                <w:noProof/>
              </w:rPr>
              <w:t>C12.R1 Modernisation du cadre stratégique du secteur de la santé</w:t>
            </w:r>
          </w:p>
        </w:tc>
        <w:tc>
          <w:tcPr>
            <w:tcW w:w="1418" w:type="dxa"/>
            <w:shd w:val="clear" w:color="auto" w:fill="C6EFCE"/>
            <w:noWrap/>
          </w:tcPr>
          <w:p w14:paraId="1CEBE3FF"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400" w14:textId="77777777" w:rsidR="00F74E13" w:rsidRDefault="009274FC">
            <w:pPr>
              <w:pStyle w:val="P68B1DB1-Normal22"/>
              <w:spacing w:after="0" w:line="240" w:lineRule="auto"/>
              <w:ind w:left="57" w:right="57"/>
              <w:jc w:val="both"/>
              <w:rPr>
                <w:rFonts w:ascii="Times New Roman" w:hAnsi="Times New Roman"/>
                <w:noProof/>
              </w:rPr>
            </w:pPr>
            <w:r>
              <w:rPr>
                <w:rFonts w:ascii="Times New Roman" w:hAnsi="Times New Roman"/>
                <w:noProof/>
              </w:rPr>
              <w:t xml:space="preserve">Stratégie nationale pour la santé de l'enfant et de l'adolescent et les soins </w:t>
            </w:r>
            <w:r>
              <w:rPr>
                <w:rFonts w:ascii="Times New Roman" w:hAnsi="Times New Roman" w:cs="Times New Roman"/>
                <w:noProof/>
                <w:szCs w:val="20"/>
              </w:rPr>
              <w:t>pédiatriques</w:t>
            </w:r>
            <w:r>
              <w:rPr>
                <w:rFonts w:ascii="Times New Roman" w:hAnsi="Times New Roman"/>
                <w:noProof/>
              </w:rPr>
              <w:t xml:space="preserve"> en République de Bulgarie 2030</w:t>
            </w:r>
          </w:p>
        </w:tc>
      </w:tr>
      <w:tr w:rsidR="00F74E13" w14:paraId="1CEBE406" w14:textId="77777777">
        <w:trPr>
          <w:gridAfter w:val="1"/>
          <w:wAfter w:w="11" w:type="dxa"/>
          <w:trHeight w:val="302"/>
          <w:jc w:val="center"/>
        </w:trPr>
        <w:tc>
          <w:tcPr>
            <w:tcW w:w="1091" w:type="dxa"/>
            <w:shd w:val="clear" w:color="auto" w:fill="C6EFCE"/>
            <w:noWrap/>
          </w:tcPr>
          <w:p w14:paraId="1CEBE402" w14:textId="77777777" w:rsidR="00F74E13" w:rsidRDefault="009274FC">
            <w:pPr>
              <w:pStyle w:val="P68B1DB1-Normal15"/>
              <w:spacing w:after="0" w:line="240" w:lineRule="auto"/>
              <w:jc w:val="center"/>
              <w:rPr>
                <w:noProof/>
              </w:rPr>
            </w:pPr>
            <w:r>
              <w:rPr>
                <w:noProof/>
              </w:rPr>
              <w:t>319</w:t>
            </w:r>
          </w:p>
        </w:tc>
        <w:tc>
          <w:tcPr>
            <w:tcW w:w="3835" w:type="dxa"/>
            <w:shd w:val="clear" w:color="auto" w:fill="C6EFCE"/>
            <w:noWrap/>
          </w:tcPr>
          <w:p w14:paraId="1CEBE403" w14:textId="77777777" w:rsidR="00F74E13" w:rsidRDefault="009274FC">
            <w:pPr>
              <w:pStyle w:val="P68B1DB1-Normal15"/>
              <w:spacing w:after="0"/>
              <w:ind w:left="34"/>
              <w:rPr>
                <w:noProof/>
              </w:rPr>
            </w:pPr>
            <w:r>
              <w:rPr>
                <w:noProof/>
              </w:rPr>
              <w:t>C12.R1 Modernisation du cadre stratégique du secteur de la santé</w:t>
            </w:r>
          </w:p>
        </w:tc>
        <w:tc>
          <w:tcPr>
            <w:tcW w:w="1418" w:type="dxa"/>
            <w:shd w:val="clear" w:color="auto" w:fill="C6EFCE"/>
            <w:noWrap/>
          </w:tcPr>
          <w:p w14:paraId="1CEBE404"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405" w14:textId="77777777" w:rsidR="00F74E13" w:rsidRDefault="009274FC">
            <w:pPr>
              <w:pStyle w:val="P68B1DB1-Normal15"/>
              <w:spacing w:after="0" w:line="240" w:lineRule="auto"/>
              <w:ind w:left="57" w:right="57"/>
              <w:jc w:val="both"/>
              <w:rPr>
                <w:noProof/>
              </w:rPr>
            </w:pPr>
            <w:r>
              <w:rPr>
                <w:noProof/>
              </w:rPr>
              <w:t>Plan national de lutte contre le cancer en République de Bulgarie 2021-2027</w:t>
            </w:r>
          </w:p>
        </w:tc>
      </w:tr>
      <w:tr w:rsidR="00F74E13" w14:paraId="1CEBE40B" w14:textId="77777777">
        <w:trPr>
          <w:gridAfter w:val="1"/>
          <w:wAfter w:w="11" w:type="dxa"/>
          <w:trHeight w:val="302"/>
          <w:jc w:val="center"/>
        </w:trPr>
        <w:tc>
          <w:tcPr>
            <w:tcW w:w="1091" w:type="dxa"/>
            <w:shd w:val="clear" w:color="auto" w:fill="C6EFCE"/>
            <w:noWrap/>
          </w:tcPr>
          <w:p w14:paraId="1CEBE407" w14:textId="77777777" w:rsidR="00F74E13" w:rsidRDefault="009274FC">
            <w:pPr>
              <w:pStyle w:val="P68B1DB1-Normal15"/>
              <w:spacing w:after="0" w:line="240" w:lineRule="auto"/>
              <w:jc w:val="center"/>
              <w:rPr>
                <w:noProof/>
              </w:rPr>
            </w:pPr>
            <w:r>
              <w:rPr>
                <w:noProof/>
              </w:rPr>
              <w:t>328</w:t>
            </w:r>
          </w:p>
        </w:tc>
        <w:tc>
          <w:tcPr>
            <w:tcW w:w="3835" w:type="dxa"/>
            <w:shd w:val="clear" w:color="auto" w:fill="C6EFCE"/>
            <w:noWrap/>
          </w:tcPr>
          <w:p w14:paraId="1CEBE408" w14:textId="77777777" w:rsidR="00F74E13" w:rsidRDefault="009274FC">
            <w:pPr>
              <w:pStyle w:val="P68B1DB1-Normal15"/>
              <w:spacing w:after="0"/>
              <w:ind w:left="34"/>
              <w:rPr>
                <w:noProof/>
              </w:rPr>
            </w:pPr>
            <w:r>
              <w:rPr>
                <w:noProof/>
              </w:rPr>
              <w:t>C12.R6 Plan pour une éducation sanitaire moderne dans les écoles</w:t>
            </w:r>
          </w:p>
        </w:tc>
        <w:tc>
          <w:tcPr>
            <w:tcW w:w="1418" w:type="dxa"/>
            <w:shd w:val="clear" w:color="auto" w:fill="C6EFCE"/>
            <w:noWrap/>
          </w:tcPr>
          <w:p w14:paraId="1CEBE409" w14:textId="77777777" w:rsidR="00F74E13" w:rsidRDefault="009274FC">
            <w:pPr>
              <w:pStyle w:val="P68B1DB1-Normal15"/>
              <w:spacing w:after="0" w:line="240" w:lineRule="auto"/>
              <w:jc w:val="center"/>
              <w:rPr>
                <w:noProof/>
              </w:rPr>
            </w:pPr>
            <w:r>
              <w:rPr>
                <w:noProof/>
              </w:rPr>
              <w:t>Étape</w:t>
            </w:r>
          </w:p>
        </w:tc>
        <w:tc>
          <w:tcPr>
            <w:tcW w:w="3465" w:type="dxa"/>
            <w:shd w:val="clear" w:color="auto" w:fill="C6EFCE"/>
            <w:noWrap/>
          </w:tcPr>
          <w:p w14:paraId="1CEBE40A" w14:textId="77777777" w:rsidR="00F74E13" w:rsidRDefault="009274FC">
            <w:pPr>
              <w:pStyle w:val="P68B1DB1-Normal15"/>
              <w:spacing w:after="0" w:line="240" w:lineRule="auto"/>
              <w:ind w:left="57" w:right="57"/>
              <w:jc w:val="both"/>
              <w:rPr>
                <w:noProof/>
              </w:rPr>
            </w:pPr>
            <w:r>
              <w:rPr>
                <w:noProof/>
              </w:rPr>
              <w:t>Plan national pour l’éducation à la santé dans les écoles bulgares 2021-2027</w:t>
            </w:r>
          </w:p>
        </w:tc>
      </w:tr>
      <w:tr w:rsidR="00F74E13" w14:paraId="1CEBE410" w14:textId="77777777">
        <w:trPr>
          <w:gridAfter w:val="1"/>
          <w:wAfter w:w="11" w:type="dxa"/>
          <w:trHeight w:val="302"/>
          <w:jc w:val="center"/>
        </w:trPr>
        <w:tc>
          <w:tcPr>
            <w:tcW w:w="1091" w:type="dxa"/>
            <w:shd w:val="clear" w:color="auto" w:fill="C6EFCE"/>
            <w:noWrap/>
          </w:tcPr>
          <w:p w14:paraId="1CEBE40C" w14:textId="77777777" w:rsidR="00F74E13" w:rsidRDefault="00F74E13">
            <w:pPr>
              <w:spacing w:after="0" w:line="240" w:lineRule="auto"/>
              <w:jc w:val="center"/>
              <w:rPr>
                <w:rFonts w:ascii="Times New Roman" w:hAnsi="Times New Roman"/>
                <w:noProof/>
                <w:color w:val="006100"/>
                <w:sz w:val="20"/>
              </w:rPr>
            </w:pPr>
          </w:p>
        </w:tc>
        <w:tc>
          <w:tcPr>
            <w:tcW w:w="3835" w:type="dxa"/>
            <w:shd w:val="clear" w:color="auto" w:fill="C6EFCE"/>
            <w:noWrap/>
            <w:vAlign w:val="bottom"/>
          </w:tcPr>
          <w:p w14:paraId="1CEBE40D" w14:textId="77777777" w:rsidR="00F74E13" w:rsidRDefault="00F74E13">
            <w:pPr>
              <w:spacing w:after="0" w:line="240" w:lineRule="auto"/>
              <w:rPr>
                <w:rFonts w:ascii="Times New Roman" w:hAnsi="Times New Roman"/>
                <w:noProof/>
                <w:color w:val="006100"/>
                <w:sz w:val="20"/>
              </w:rPr>
            </w:pPr>
          </w:p>
        </w:tc>
        <w:tc>
          <w:tcPr>
            <w:tcW w:w="1418" w:type="dxa"/>
            <w:shd w:val="clear" w:color="auto" w:fill="C6EFCE"/>
            <w:noWrap/>
            <w:vAlign w:val="bottom"/>
          </w:tcPr>
          <w:p w14:paraId="1CEBE40E" w14:textId="77777777" w:rsidR="00F74E13" w:rsidRDefault="009274FC">
            <w:pPr>
              <w:pStyle w:val="P68B1DB1-Normal15"/>
              <w:spacing w:after="0" w:line="240" w:lineRule="auto"/>
              <w:jc w:val="center"/>
              <w:rPr>
                <w:noProof/>
              </w:rPr>
            </w:pPr>
            <w:r>
              <w:rPr>
                <w:noProof/>
              </w:rPr>
              <w:t>Montant des acomptes provisionnels</w:t>
            </w:r>
          </w:p>
        </w:tc>
        <w:tc>
          <w:tcPr>
            <w:tcW w:w="3465" w:type="dxa"/>
            <w:shd w:val="clear" w:color="auto" w:fill="C6EFCE"/>
            <w:noWrap/>
            <w:vAlign w:val="bottom"/>
          </w:tcPr>
          <w:p w14:paraId="1CEBE40F" w14:textId="77777777" w:rsidR="00F74E13" w:rsidRDefault="009274FC">
            <w:pPr>
              <w:pStyle w:val="P68B1DB1-Normal13"/>
              <w:spacing w:after="0" w:line="240" w:lineRule="auto"/>
              <w:ind w:left="57" w:right="57"/>
              <w:jc w:val="both"/>
              <w:rPr>
                <w:noProof/>
              </w:rPr>
            </w:pPr>
            <w:r>
              <w:rPr>
                <w:noProof/>
              </w:rPr>
              <w:t xml:space="preserve">438 607 041 EUR </w:t>
            </w:r>
          </w:p>
        </w:tc>
      </w:tr>
    </w:tbl>
    <w:p w14:paraId="1CEBE411" w14:textId="77777777" w:rsidR="00F74E13" w:rsidRDefault="00F74E13">
      <w:pPr>
        <w:rPr>
          <w:rFonts w:ascii="Times New Roman" w:hAnsi="Times New Roman"/>
          <w:noProof/>
          <w:sz w:val="22"/>
        </w:rPr>
      </w:pPr>
    </w:p>
    <w:p w14:paraId="1CEBE412" w14:textId="77777777" w:rsidR="00F74E13" w:rsidRDefault="009274FC">
      <w:pPr>
        <w:pStyle w:val="P68B1DB1-Normal6"/>
        <w:pageBreakBefore/>
        <w:numPr>
          <w:ilvl w:val="1"/>
          <w:numId w:val="78"/>
        </w:numPr>
        <w:spacing w:before="120" w:after="120" w:line="240" w:lineRule="auto"/>
        <w:ind w:left="851" w:hanging="851"/>
        <w:jc w:val="both"/>
        <w:rPr>
          <w:noProof/>
        </w:rPr>
      </w:pPr>
      <w:r>
        <w:rPr>
          <w:noProof/>
        </w:rPr>
        <w:t xml:space="preserve">Troisième tranche (soutien non remboursable): </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827"/>
        <w:gridCol w:w="1560"/>
        <w:gridCol w:w="3541"/>
      </w:tblGrid>
      <w:tr w:rsidR="00F74E13" w14:paraId="1CEBE417" w14:textId="77777777">
        <w:trPr>
          <w:trHeight w:val="906"/>
          <w:tblHeader/>
          <w:jc w:val="center"/>
        </w:trPr>
        <w:tc>
          <w:tcPr>
            <w:tcW w:w="1297" w:type="dxa"/>
            <w:vMerge w:val="restart"/>
            <w:shd w:val="clear" w:color="auto" w:fill="BDD7EE"/>
            <w:vAlign w:val="center"/>
            <w:hideMark/>
          </w:tcPr>
          <w:p w14:paraId="1CEBE413" w14:textId="77777777" w:rsidR="00F74E13" w:rsidRDefault="009274FC">
            <w:pPr>
              <w:pStyle w:val="P68B1DB1-Normal11"/>
              <w:spacing w:after="0" w:line="240" w:lineRule="auto"/>
              <w:jc w:val="center"/>
              <w:rPr>
                <w:noProof/>
              </w:rPr>
            </w:pPr>
            <w:r>
              <w:rPr>
                <w:noProof/>
              </w:rPr>
              <w:t>Numéro séquentiel</w:t>
            </w:r>
          </w:p>
        </w:tc>
        <w:tc>
          <w:tcPr>
            <w:tcW w:w="3827" w:type="dxa"/>
            <w:vMerge w:val="restart"/>
            <w:shd w:val="clear" w:color="auto" w:fill="BDD7EE"/>
            <w:vAlign w:val="center"/>
            <w:hideMark/>
          </w:tcPr>
          <w:p w14:paraId="1CEBE414" w14:textId="77777777" w:rsidR="00F74E13" w:rsidRDefault="009274FC">
            <w:pPr>
              <w:pStyle w:val="P68B1DB1-Normal11"/>
              <w:spacing w:after="0" w:line="240" w:lineRule="auto"/>
              <w:jc w:val="center"/>
              <w:rPr>
                <w:noProof/>
              </w:rPr>
            </w:pPr>
            <w:r>
              <w:rPr>
                <w:noProof/>
              </w:rPr>
              <w:t>Mesure connexe (réforme ou investissement)</w:t>
            </w:r>
          </w:p>
        </w:tc>
        <w:tc>
          <w:tcPr>
            <w:tcW w:w="1560" w:type="dxa"/>
            <w:vMerge w:val="restart"/>
            <w:shd w:val="clear" w:color="auto" w:fill="BDD7EE"/>
            <w:vAlign w:val="center"/>
            <w:hideMark/>
          </w:tcPr>
          <w:p w14:paraId="1CEBE415" w14:textId="77777777" w:rsidR="00F74E13" w:rsidRDefault="009274FC">
            <w:pPr>
              <w:pStyle w:val="P68B1DB1-Normal11"/>
              <w:spacing w:after="0" w:line="240" w:lineRule="auto"/>
              <w:jc w:val="center"/>
              <w:rPr>
                <w:noProof/>
              </w:rPr>
            </w:pPr>
            <w:r>
              <w:rPr>
                <w:noProof/>
              </w:rPr>
              <w:t>Étape/cible</w:t>
            </w:r>
          </w:p>
        </w:tc>
        <w:tc>
          <w:tcPr>
            <w:tcW w:w="3541" w:type="dxa"/>
            <w:vMerge w:val="restart"/>
            <w:shd w:val="clear" w:color="auto" w:fill="BDD7EE"/>
            <w:vAlign w:val="center"/>
            <w:hideMark/>
          </w:tcPr>
          <w:p w14:paraId="1CEBE416" w14:textId="77777777" w:rsidR="00F74E13" w:rsidRDefault="009274FC">
            <w:pPr>
              <w:pStyle w:val="P68B1DB1-Normal11"/>
              <w:spacing w:after="0" w:line="240" w:lineRule="auto"/>
              <w:jc w:val="center"/>
              <w:rPr>
                <w:noProof/>
              </w:rPr>
            </w:pPr>
            <w:r>
              <w:rPr>
                <w:noProof/>
              </w:rPr>
              <w:t>Nom</w:t>
            </w:r>
          </w:p>
        </w:tc>
      </w:tr>
      <w:tr w:rsidR="00F74E13" w14:paraId="1CEBE41C" w14:textId="77777777">
        <w:trPr>
          <w:trHeight w:val="501"/>
          <w:jc w:val="center"/>
        </w:trPr>
        <w:tc>
          <w:tcPr>
            <w:tcW w:w="1297" w:type="dxa"/>
            <w:vMerge/>
            <w:vAlign w:val="center"/>
            <w:hideMark/>
          </w:tcPr>
          <w:p w14:paraId="1CEBE418" w14:textId="77777777" w:rsidR="00F74E13" w:rsidRDefault="00F74E13">
            <w:pPr>
              <w:spacing w:after="0" w:line="240" w:lineRule="auto"/>
              <w:jc w:val="center"/>
              <w:rPr>
                <w:rFonts w:ascii="Times New Roman" w:hAnsi="Times New Roman"/>
                <w:b/>
                <w:noProof/>
                <w:sz w:val="20"/>
              </w:rPr>
            </w:pPr>
          </w:p>
        </w:tc>
        <w:tc>
          <w:tcPr>
            <w:tcW w:w="3827" w:type="dxa"/>
            <w:vMerge/>
            <w:vAlign w:val="center"/>
            <w:hideMark/>
          </w:tcPr>
          <w:p w14:paraId="1CEBE419" w14:textId="77777777" w:rsidR="00F74E13" w:rsidRDefault="00F74E13">
            <w:pPr>
              <w:spacing w:after="0" w:line="240" w:lineRule="auto"/>
              <w:jc w:val="both"/>
              <w:rPr>
                <w:rFonts w:ascii="Times New Roman" w:hAnsi="Times New Roman"/>
                <w:b/>
                <w:noProof/>
                <w:sz w:val="20"/>
              </w:rPr>
            </w:pPr>
          </w:p>
        </w:tc>
        <w:tc>
          <w:tcPr>
            <w:tcW w:w="1560" w:type="dxa"/>
            <w:vMerge/>
            <w:vAlign w:val="center"/>
            <w:hideMark/>
          </w:tcPr>
          <w:p w14:paraId="1CEBE41A" w14:textId="77777777" w:rsidR="00F74E13" w:rsidRDefault="00F74E13">
            <w:pPr>
              <w:spacing w:after="0" w:line="240" w:lineRule="auto"/>
              <w:jc w:val="center"/>
              <w:rPr>
                <w:rFonts w:ascii="Times New Roman" w:hAnsi="Times New Roman"/>
                <w:b/>
                <w:noProof/>
                <w:sz w:val="20"/>
              </w:rPr>
            </w:pPr>
          </w:p>
        </w:tc>
        <w:tc>
          <w:tcPr>
            <w:tcW w:w="3541" w:type="dxa"/>
            <w:vMerge/>
            <w:vAlign w:val="center"/>
            <w:hideMark/>
          </w:tcPr>
          <w:p w14:paraId="1CEBE41B" w14:textId="77777777" w:rsidR="00F74E13" w:rsidRDefault="00F74E13">
            <w:pPr>
              <w:spacing w:after="0" w:line="240" w:lineRule="auto"/>
              <w:jc w:val="both"/>
              <w:rPr>
                <w:rFonts w:ascii="Times New Roman" w:hAnsi="Times New Roman"/>
                <w:b/>
                <w:noProof/>
                <w:sz w:val="20"/>
              </w:rPr>
            </w:pPr>
          </w:p>
        </w:tc>
      </w:tr>
      <w:tr w:rsidR="00F74E13" w14:paraId="1CEBE421" w14:textId="77777777">
        <w:trPr>
          <w:trHeight w:val="302"/>
          <w:jc w:val="center"/>
        </w:trPr>
        <w:tc>
          <w:tcPr>
            <w:tcW w:w="1297" w:type="dxa"/>
            <w:shd w:val="clear" w:color="auto" w:fill="C6EFCE"/>
            <w:noWrap/>
          </w:tcPr>
          <w:p w14:paraId="1CEBE41D" w14:textId="77777777" w:rsidR="00F74E13" w:rsidRDefault="009274FC">
            <w:pPr>
              <w:pStyle w:val="P68B1DB1-Normal35"/>
              <w:spacing w:after="0" w:line="240" w:lineRule="auto"/>
              <w:jc w:val="center"/>
              <w:rPr>
                <w:noProof/>
              </w:rPr>
            </w:pPr>
            <w:r>
              <w:rPr>
                <w:noProof/>
              </w:rPr>
              <w:t>24</w:t>
            </w:r>
          </w:p>
        </w:tc>
        <w:tc>
          <w:tcPr>
            <w:tcW w:w="3827" w:type="dxa"/>
            <w:shd w:val="clear" w:color="auto" w:fill="C6EFCE"/>
            <w:noWrap/>
          </w:tcPr>
          <w:p w14:paraId="1CEBE41E" w14:textId="77777777" w:rsidR="00F74E13" w:rsidRDefault="009274FC">
            <w:pPr>
              <w:pStyle w:val="P68B1DB1-Normal12"/>
              <w:spacing w:after="0" w:line="240" w:lineRule="auto"/>
              <w:rPr>
                <w:noProof/>
              </w:rPr>
            </w:pPr>
            <w:r>
              <w:rPr>
                <w:noProof/>
              </w:rPr>
              <w:t>C2.R1 Politique commune de recherche et d'innovation</w:t>
            </w:r>
          </w:p>
        </w:tc>
        <w:tc>
          <w:tcPr>
            <w:tcW w:w="1560" w:type="dxa"/>
            <w:shd w:val="clear" w:color="auto" w:fill="C6EFCE"/>
            <w:noWrap/>
          </w:tcPr>
          <w:p w14:paraId="1CEBE41F"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420" w14:textId="77777777" w:rsidR="00F74E13" w:rsidRDefault="009274FC">
            <w:pPr>
              <w:pStyle w:val="P68B1DB1-Normal13"/>
              <w:spacing w:after="0" w:line="240" w:lineRule="auto"/>
              <w:jc w:val="both"/>
              <w:rPr>
                <w:noProof/>
              </w:rPr>
            </w:pPr>
            <w:r>
              <w:rPr>
                <w:noProof/>
              </w:rPr>
              <w:t>Entrée en vigueur du ou des actes juridiques relatifs à la recherche et à l’innovation</w:t>
            </w:r>
          </w:p>
        </w:tc>
      </w:tr>
      <w:tr w:rsidR="00F74E13" w14:paraId="1CEBE426" w14:textId="77777777">
        <w:trPr>
          <w:trHeight w:val="302"/>
          <w:jc w:val="center"/>
        </w:trPr>
        <w:tc>
          <w:tcPr>
            <w:tcW w:w="1297" w:type="dxa"/>
            <w:shd w:val="clear" w:color="auto" w:fill="C6EFCE"/>
            <w:noWrap/>
          </w:tcPr>
          <w:p w14:paraId="1CEBE422" w14:textId="77777777" w:rsidR="00F74E13" w:rsidRDefault="009274FC">
            <w:pPr>
              <w:pStyle w:val="P68B1DB1-Normal35"/>
              <w:spacing w:after="0" w:line="240" w:lineRule="auto"/>
              <w:jc w:val="center"/>
              <w:rPr>
                <w:noProof/>
              </w:rPr>
            </w:pPr>
            <w:r>
              <w:rPr>
                <w:noProof/>
              </w:rPr>
              <w:t>25</w:t>
            </w:r>
          </w:p>
        </w:tc>
        <w:tc>
          <w:tcPr>
            <w:tcW w:w="3827" w:type="dxa"/>
            <w:shd w:val="clear" w:color="auto" w:fill="C6EFCE"/>
            <w:noWrap/>
          </w:tcPr>
          <w:p w14:paraId="1CEBE423" w14:textId="77777777" w:rsidR="00F74E13" w:rsidRDefault="009274FC">
            <w:pPr>
              <w:pStyle w:val="P68B1DB1-Normal12"/>
              <w:spacing w:after="0" w:line="240" w:lineRule="auto"/>
              <w:rPr>
                <w:noProof/>
              </w:rPr>
            </w:pPr>
            <w:r>
              <w:rPr>
                <w:noProof/>
              </w:rPr>
              <w:t>C2.R1 Politique commune de recherche et d'innovation</w:t>
            </w:r>
          </w:p>
        </w:tc>
        <w:tc>
          <w:tcPr>
            <w:tcW w:w="1560" w:type="dxa"/>
            <w:shd w:val="clear" w:color="auto" w:fill="C6EFCE"/>
            <w:noWrap/>
          </w:tcPr>
          <w:p w14:paraId="1CEBE424"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25" w14:textId="77777777" w:rsidR="00F74E13" w:rsidRDefault="009274FC">
            <w:pPr>
              <w:pStyle w:val="P68B1DB1-Normal13"/>
              <w:spacing w:after="0" w:line="240" w:lineRule="auto"/>
              <w:jc w:val="both"/>
              <w:rPr>
                <w:rFonts w:cs="Times New Roman"/>
                <w:noProof/>
              </w:rPr>
            </w:pPr>
            <w:r>
              <w:rPr>
                <w:noProof/>
              </w:rPr>
              <w:t>Acte(s) juridique(s) lié(s) à la recherche et à l’innovation</w:t>
            </w:r>
          </w:p>
        </w:tc>
      </w:tr>
      <w:tr w:rsidR="00F74E13" w14:paraId="1CEBE42B" w14:textId="77777777">
        <w:trPr>
          <w:trHeight w:val="302"/>
          <w:jc w:val="center"/>
        </w:trPr>
        <w:tc>
          <w:tcPr>
            <w:tcW w:w="1297" w:type="dxa"/>
            <w:shd w:val="clear" w:color="auto" w:fill="C6EFCE"/>
            <w:noWrap/>
          </w:tcPr>
          <w:p w14:paraId="1CEBE427" w14:textId="77777777" w:rsidR="00F74E13" w:rsidRDefault="009274FC">
            <w:pPr>
              <w:pStyle w:val="P68B1DB1-Normal35"/>
              <w:spacing w:after="0" w:line="240" w:lineRule="auto"/>
              <w:jc w:val="center"/>
              <w:rPr>
                <w:noProof/>
              </w:rPr>
            </w:pPr>
            <w:r>
              <w:rPr>
                <w:noProof/>
              </w:rPr>
              <w:t>29 bis</w:t>
            </w:r>
          </w:p>
        </w:tc>
        <w:tc>
          <w:tcPr>
            <w:tcW w:w="3827" w:type="dxa"/>
            <w:shd w:val="clear" w:color="auto" w:fill="C6EFCE"/>
            <w:noWrap/>
          </w:tcPr>
          <w:p w14:paraId="1CEBE428" w14:textId="77777777" w:rsidR="00F74E13" w:rsidRDefault="009274FC">
            <w:pPr>
              <w:pStyle w:val="P68B1DB1-Normal13"/>
              <w:spacing w:after="0"/>
              <w:jc w:val="both"/>
              <w:rPr>
                <w:rFonts w:cs="Times New Roman"/>
                <w:noProof/>
              </w:rPr>
            </w:pPr>
            <w:r>
              <w:rPr>
                <w:noProof/>
              </w:rPr>
              <w:t>C2.I1 Programme de soutien à la recherche et à l'innovation</w:t>
            </w:r>
          </w:p>
        </w:tc>
        <w:tc>
          <w:tcPr>
            <w:tcW w:w="1560" w:type="dxa"/>
            <w:shd w:val="clear" w:color="auto" w:fill="C6EFCE"/>
            <w:noWrap/>
          </w:tcPr>
          <w:p w14:paraId="1CEBE429"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2A" w14:textId="77777777" w:rsidR="00F74E13" w:rsidRDefault="009274FC">
            <w:pPr>
              <w:pStyle w:val="P68B1DB1-Normal15"/>
              <w:spacing w:after="0" w:line="240" w:lineRule="auto"/>
              <w:jc w:val="both"/>
              <w:rPr>
                <w:rFonts w:cs="Times New Roman"/>
                <w:noProof/>
                <w:szCs w:val="20"/>
              </w:rPr>
            </w:pPr>
            <w:r>
              <w:rPr>
                <w:noProof/>
              </w:rPr>
              <w:t>Signature du contrat</w:t>
            </w:r>
          </w:p>
        </w:tc>
      </w:tr>
      <w:tr w:rsidR="00F74E13" w14:paraId="1CEBE430" w14:textId="77777777">
        <w:trPr>
          <w:trHeight w:val="302"/>
          <w:jc w:val="center"/>
        </w:trPr>
        <w:tc>
          <w:tcPr>
            <w:tcW w:w="1297" w:type="dxa"/>
            <w:shd w:val="clear" w:color="auto" w:fill="C6EFCE"/>
            <w:noWrap/>
          </w:tcPr>
          <w:p w14:paraId="1CEBE42C" w14:textId="77777777" w:rsidR="00F74E13" w:rsidRDefault="009274FC">
            <w:pPr>
              <w:pStyle w:val="P68B1DB1-Normal35"/>
              <w:spacing w:after="0" w:line="240" w:lineRule="auto"/>
              <w:jc w:val="center"/>
              <w:rPr>
                <w:noProof/>
              </w:rPr>
            </w:pPr>
            <w:r>
              <w:rPr>
                <w:noProof/>
              </w:rPr>
              <w:t>31</w:t>
            </w:r>
          </w:p>
        </w:tc>
        <w:tc>
          <w:tcPr>
            <w:tcW w:w="3827" w:type="dxa"/>
            <w:shd w:val="clear" w:color="auto" w:fill="C6EFCE"/>
            <w:noWrap/>
          </w:tcPr>
          <w:p w14:paraId="1CEBE42D" w14:textId="77777777" w:rsidR="00F74E13" w:rsidRDefault="009274FC">
            <w:pPr>
              <w:pStyle w:val="P68B1DB1-Normal13"/>
              <w:spacing w:after="0" w:line="240" w:lineRule="auto"/>
              <w:rPr>
                <w:rFonts w:cs="Times New Roman"/>
                <w:noProof/>
              </w:rPr>
            </w:pPr>
            <w:r>
              <w:rPr>
                <w:noProof/>
              </w:rPr>
              <w:t>C2.I2 Investissement dans l'Académie bulgare des sciences</w:t>
            </w:r>
          </w:p>
        </w:tc>
        <w:tc>
          <w:tcPr>
            <w:tcW w:w="1560" w:type="dxa"/>
            <w:shd w:val="clear" w:color="auto" w:fill="C6EFCE"/>
            <w:noWrap/>
          </w:tcPr>
          <w:p w14:paraId="1CEBE42E"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2F" w14:textId="77777777" w:rsidR="00F74E13" w:rsidRDefault="009274FC">
            <w:pPr>
              <w:pStyle w:val="P68B1DB1-Normal12"/>
              <w:spacing w:after="0" w:line="240" w:lineRule="auto"/>
              <w:jc w:val="both"/>
              <w:rPr>
                <w:noProof/>
              </w:rPr>
            </w:pPr>
            <w:r>
              <w:rPr>
                <w:noProof/>
              </w:rPr>
              <w:t>Mesures en faveur du Centre commun d'innovation</w:t>
            </w:r>
          </w:p>
        </w:tc>
      </w:tr>
      <w:tr w:rsidR="00F74E13" w14:paraId="1CEBE435" w14:textId="77777777">
        <w:trPr>
          <w:trHeight w:val="302"/>
          <w:jc w:val="center"/>
        </w:trPr>
        <w:tc>
          <w:tcPr>
            <w:tcW w:w="1297" w:type="dxa"/>
            <w:shd w:val="clear" w:color="auto" w:fill="C6EFCE"/>
            <w:noWrap/>
          </w:tcPr>
          <w:p w14:paraId="1CEBE431" w14:textId="77777777" w:rsidR="00F74E13" w:rsidRDefault="009274FC">
            <w:pPr>
              <w:pStyle w:val="P68B1DB1-Normal35"/>
              <w:spacing w:after="0" w:line="240" w:lineRule="auto"/>
              <w:jc w:val="center"/>
              <w:rPr>
                <w:noProof/>
              </w:rPr>
            </w:pPr>
            <w:r>
              <w:rPr>
                <w:noProof/>
              </w:rPr>
              <w:t>32</w:t>
            </w:r>
          </w:p>
        </w:tc>
        <w:tc>
          <w:tcPr>
            <w:tcW w:w="3827" w:type="dxa"/>
            <w:shd w:val="clear" w:color="auto" w:fill="C6EFCE"/>
            <w:noWrap/>
          </w:tcPr>
          <w:p w14:paraId="1CEBE432" w14:textId="77777777" w:rsidR="00F74E13" w:rsidRDefault="009274FC">
            <w:pPr>
              <w:pStyle w:val="P68B1DB1-Normal13"/>
              <w:spacing w:after="0" w:line="240" w:lineRule="auto"/>
              <w:rPr>
                <w:rFonts w:cs="Times New Roman"/>
                <w:noProof/>
              </w:rPr>
            </w:pPr>
            <w:r>
              <w:rPr>
                <w:noProof/>
              </w:rPr>
              <w:t>C2.I2 Investissement dans l'Académie bulgare des sciences</w:t>
            </w:r>
          </w:p>
        </w:tc>
        <w:tc>
          <w:tcPr>
            <w:tcW w:w="1560" w:type="dxa"/>
            <w:shd w:val="clear" w:color="auto" w:fill="C6EFCE"/>
            <w:noWrap/>
          </w:tcPr>
          <w:p w14:paraId="1CEBE433"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34" w14:textId="35FC36A3" w:rsidR="00F74E13" w:rsidRDefault="009274FC">
            <w:pPr>
              <w:pStyle w:val="P68B1DB1-Normal12"/>
              <w:spacing w:after="0" w:line="240" w:lineRule="auto"/>
              <w:jc w:val="both"/>
              <w:rPr>
                <w:noProof/>
              </w:rPr>
            </w:pPr>
            <w:r>
              <w:rPr>
                <w:noProof/>
              </w:rPr>
              <w:t>Voie optique de distribution des clés quantiques</w:t>
            </w:r>
          </w:p>
        </w:tc>
      </w:tr>
      <w:tr w:rsidR="00F74E13" w14:paraId="1CEBE43A" w14:textId="77777777">
        <w:trPr>
          <w:trHeight w:val="302"/>
          <w:jc w:val="center"/>
        </w:trPr>
        <w:tc>
          <w:tcPr>
            <w:tcW w:w="1297" w:type="dxa"/>
            <w:shd w:val="clear" w:color="auto" w:fill="C6EFCE"/>
            <w:noWrap/>
          </w:tcPr>
          <w:p w14:paraId="1CEBE436" w14:textId="77777777" w:rsidR="00F74E13" w:rsidRDefault="009274FC">
            <w:pPr>
              <w:pStyle w:val="P68B1DB1-Normal35"/>
              <w:spacing w:after="0" w:line="240" w:lineRule="auto"/>
              <w:jc w:val="center"/>
              <w:rPr>
                <w:noProof/>
              </w:rPr>
            </w:pPr>
            <w:r>
              <w:rPr>
                <w:noProof/>
              </w:rPr>
              <w:t>36</w:t>
            </w:r>
          </w:p>
        </w:tc>
        <w:tc>
          <w:tcPr>
            <w:tcW w:w="3827" w:type="dxa"/>
            <w:shd w:val="clear" w:color="auto" w:fill="C6EFCE"/>
            <w:noWrap/>
            <w:vAlign w:val="center"/>
          </w:tcPr>
          <w:p w14:paraId="1CEBE437" w14:textId="77777777" w:rsidR="00F74E13" w:rsidRDefault="009274FC">
            <w:pPr>
              <w:pStyle w:val="P68B1DB1-Normal22"/>
              <w:spacing w:after="0"/>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Programme pour les parcs et zones industriels («AttractInvestBG»)</w:t>
            </w:r>
          </w:p>
        </w:tc>
        <w:tc>
          <w:tcPr>
            <w:tcW w:w="1560" w:type="dxa"/>
            <w:shd w:val="clear" w:color="auto" w:fill="C6EFCE"/>
            <w:noWrap/>
            <w:vAlign w:val="center"/>
          </w:tcPr>
          <w:p w14:paraId="1CEBE438"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439" w14:textId="77777777" w:rsidR="00F74E13" w:rsidRDefault="009274FC">
            <w:pPr>
              <w:pStyle w:val="P68B1DB1-Normal12"/>
              <w:spacing w:after="0" w:line="240" w:lineRule="auto"/>
              <w:jc w:val="both"/>
              <w:rPr>
                <w:noProof/>
              </w:rPr>
            </w:pPr>
            <w:r>
              <w:rPr>
                <w:noProof/>
              </w:rPr>
              <w:t>Sélection de parcs/zones industriels</w:t>
            </w:r>
          </w:p>
        </w:tc>
      </w:tr>
      <w:tr w:rsidR="00F74E13" w14:paraId="1CEBE43F" w14:textId="77777777">
        <w:trPr>
          <w:trHeight w:val="302"/>
          <w:jc w:val="center"/>
        </w:trPr>
        <w:tc>
          <w:tcPr>
            <w:tcW w:w="1297" w:type="dxa"/>
            <w:shd w:val="clear" w:color="auto" w:fill="C6EFCE"/>
            <w:noWrap/>
          </w:tcPr>
          <w:p w14:paraId="1CEBE43B" w14:textId="77777777" w:rsidR="00F74E13" w:rsidRDefault="009274FC">
            <w:pPr>
              <w:pStyle w:val="P68B1DB1-Normal35"/>
              <w:spacing w:after="0" w:line="240" w:lineRule="auto"/>
              <w:jc w:val="center"/>
              <w:rPr>
                <w:noProof/>
              </w:rPr>
            </w:pPr>
            <w:r>
              <w:rPr>
                <w:noProof/>
              </w:rPr>
              <w:t>42</w:t>
            </w:r>
          </w:p>
        </w:tc>
        <w:tc>
          <w:tcPr>
            <w:tcW w:w="3827" w:type="dxa"/>
            <w:shd w:val="clear" w:color="auto" w:fill="C6EFCE"/>
            <w:noWrap/>
            <w:vAlign w:val="center"/>
          </w:tcPr>
          <w:p w14:paraId="1CEBE43C" w14:textId="77777777" w:rsidR="00F74E13" w:rsidRDefault="009274FC">
            <w:pPr>
              <w:pStyle w:val="P68B1DB1-Normal12"/>
              <w:spacing w:after="0" w:line="240" w:lineRule="auto"/>
              <w:rPr>
                <w:noProof/>
              </w:rPr>
            </w:pPr>
            <w:r>
              <w:rPr>
                <w:noProof/>
              </w:rPr>
              <w:t>C3.I2 Investissement 2.1.a Instrument de garantie pour la croissance</w:t>
            </w:r>
          </w:p>
        </w:tc>
        <w:tc>
          <w:tcPr>
            <w:tcW w:w="1560" w:type="dxa"/>
            <w:shd w:val="clear" w:color="auto" w:fill="C6EFCE"/>
            <w:noWrap/>
            <w:vAlign w:val="center"/>
          </w:tcPr>
          <w:p w14:paraId="1CEBE43D"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43E" w14:textId="77777777" w:rsidR="00F74E13" w:rsidRDefault="009274FC">
            <w:pPr>
              <w:pStyle w:val="P68B1DB1-Normal12"/>
              <w:spacing w:after="0" w:line="240" w:lineRule="auto"/>
              <w:jc w:val="both"/>
              <w:rPr>
                <w:noProof/>
              </w:rPr>
            </w:pPr>
            <w:r>
              <w:rPr>
                <w:noProof/>
              </w:rPr>
              <w:t>Opérations approuvées par le comité d’investissement InvestEU</w:t>
            </w:r>
          </w:p>
        </w:tc>
      </w:tr>
      <w:tr w:rsidR="00F74E13" w14:paraId="1CEBE444" w14:textId="77777777">
        <w:trPr>
          <w:trHeight w:val="302"/>
          <w:jc w:val="center"/>
        </w:trPr>
        <w:tc>
          <w:tcPr>
            <w:tcW w:w="1297" w:type="dxa"/>
            <w:shd w:val="clear" w:color="auto" w:fill="C6EFCE"/>
            <w:noWrap/>
          </w:tcPr>
          <w:p w14:paraId="1CEBE440" w14:textId="77777777" w:rsidR="00F74E13" w:rsidRDefault="009274FC">
            <w:pPr>
              <w:pStyle w:val="P68B1DB1-Normal35"/>
              <w:spacing w:after="0" w:line="240" w:lineRule="auto"/>
              <w:jc w:val="center"/>
              <w:rPr>
                <w:noProof/>
              </w:rPr>
            </w:pPr>
            <w:r>
              <w:rPr>
                <w:noProof/>
              </w:rPr>
              <w:t>47</w:t>
            </w:r>
          </w:p>
        </w:tc>
        <w:tc>
          <w:tcPr>
            <w:tcW w:w="3827" w:type="dxa"/>
            <w:shd w:val="clear" w:color="auto" w:fill="C6EFCE"/>
            <w:noWrap/>
            <w:vAlign w:val="center"/>
          </w:tcPr>
          <w:p w14:paraId="1CEBE441" w14:textId="77777777" w:rsidR="00F74E13" w:rsidRDefault="009274FC">
            <w:pPr>
              <w:pStyle w:val="P68B1DB1-Normal12"/>
              <w:spacing w:after="0" w:line="240" w:lineRule="auto"/>
              <w:rPr>
                <w:noProof/>
              </w:rPr>
            </w:pPr>
            <w:r>
              <w:rPr>
                <w:noProof/>
              </w:rPr>
              <w:t>C3.I2 Investissement 2.1.c Programme de subventions pour la modernisation technologique</w:t>
            </w:r>
          </w:p>
        </w:tc>
        <w:tc>
          <w:tcPr>
            <w:tcW w:w="1560" w:type="dxa"/>
            <w:shd w:val="clear" w:color="auto" w:fill="C6EFCE"/>
            <w:noWrap/>
            <w:vAlign w:val="center"/>
          </w:tcPr>
          <w:p w14:paraId="1CEBE442"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443" w14:textId="3ED66D68" w:rsidR="00F74E13" w:rsidRDefault="009274FC">
            <w:pPr>
              <w:pStyle w:val="P68B1DB1-Normal13"/>
              <w:spacing w:after="0" w:line="240" w:lineRule="auto"/>
              <w:jc w:val="both"/>
              <w:rPr>
                <w:rFonts w:cs="Times New Roman"/>
                <w:noProof/>
              </w:rPr>
            </w:pPr>
            <w:r>
              <w:rPr>
                <w:noProof/>
              </w:rPr>
              <w:t>Exécution du budget – virement d’au moins 120 millions d’EUR pour la modernisation technologique</w:t>
            </w:r>
          </w:p>
        </w:tc>
      </w:tr>
      <w:tr w:rsidR="00F74E13" w14:paraId="1CEBE449" w14:textId="77777777">
        <w:trPr>
          <w:trHeight w:val="302"/>
          <w:jc w:val="center"/>
        </w:trPr>
        <w:tc>
          <w:tcPr>
            <w:tcW w:w="1297" w:type="dxa"/>
            <w:shd w:val="clear" w:color="auto" w:fill="C6EFCE"/>
            <w:noWrap/>
          </w:tcPr>
          <w:p w14:paraId="1CEBE445" w14:textId="77777777" w:rsidR="00F74E13" w:rsidRDefault="009274FC">
            <w:pPr>
              <w:pStyle w:val="P68B1DB1-Normal35"/>
              <w:spacing w:after="0" w:line="240" w:lineRule="auto"/>
              <w:jc w:val="center"/>
              <w:rPr>
                <w:noProof/>
              </w:rPr>
            </w:pPr>
            <w:r>
              <w:rPr>
                <w:noProof/>
              </w:rPr>
              <w:t>53</w:t>
            </w:r>
          </w:p>
        </w:tc>
        <w:tc>
          <w:tcPr>
            <w:tcW w:w="3827" w:type="dxa"/>
            <w:shd w:val="clear" w:color="auto" w:fill="C6EFCE"/>
            <w:noWrap/>
            <w:vAlign w:val="center"/>
          </w:tcPr>
          <w:p w14:paraId="1CEBE446" w14:textId="77777777" w:rsidR="00F74E13" w:rsidRDefault="009274FC">
            <w:pPr>
              <w:pStyle w:val="P68B1DB1-Normal22"/>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Investissement 2.2.a - </w:t>
            </w:r>
            <w:r>
              <w:rPr>
                <w:rFonts w:ascii="Times New Roman" w:hAnsi="Times New Roman"/>
                <w:noProof/>
              </w:rPr>
              <w:t>Régime de subventions pour les investissements dans les sources d'électricité renouvelables à usage propre avec des installations de stockage locales</w:t>
            </w:r>
          </w:p>
        </w:tc>
        <w:tc>
          <w:tcPr>
            <w:tcW w:w="1560" w:type="dxa"/>
            <w:shd w:val="clear" w:color="auto" w:fill="C6EFCE"/>
            <w:noWrap/>
            <w:vAlign w:val="center"/>
          </w:tcPr>
          <w:p w14:paraId="1CEBE447"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vAlign w:val="center"/>
          </w:tcPr>
          <w:p w14:paraId="1CEBE448" w14:textId="77777777" w:rsidR="00F74E13" w:rsidRDefault="009274FC">
            <w:pPr>
              <w:pStyle w:val="P68B1DB1-Normal13"/>
              <w:spacing w:after="0" w:line="240" w:lineRule="auto"/>
              <w:jc w:val="both"/>
              <w:rPr>
                <w:rFonts w:cs="Times New Roman"/>
                <w:noProof/>
              </w:rPr>
            </w:pPr>
            <w:r>
              <w:rPr>
                <w:noProof/>
              </w:rPr>
              <w:t>Projets approuvés</w:t>
            </w:r>
          </w:p>
        </w:tc>
      </w:tr>
      <w:tr w:rsidR="00F74E13" w14:paraId="1CEBE44E" w14:textId="77777777">
        <w:trPr>
          <w:trHeight w:val="302"/>
          <w:jc w:val="center"/>
        </w:trPr>
        <w:tc>
          <w:tcPr>
            <w:tcW w:w="1297" w:type="dxa"/>
            <w:shd w:val="clear" w:color="auto" w:fill="C6EFCE"/>
            <w:noWrap/>
          </w:tcPr>
          <w:p w14:paraId="1CEBE44A" w14:textId="77777777" w:rsidR="00F74E13" w:rsidRDefault="009274FC">
            <w:pPr>
              <w:pStyle w:val="P68B1DB1-Normal35"/>
              <w:spacing w:after="0" w:line="240" w:lineRule="auto"/>
              <w:jc w:val="center"/>
              <w:rPr>
                <w:noProof/>
              </w:rPr>
            </w:pPr>
            <w:r>
              <w:rPr>
                <w:noProof/>
              </w:rPr>
              <w:t>58</w:t>
            </w:r>
          </w:p>
        </w:tc>
        <w:tc>
          <w:tcPr>
            <w:tcW w:w="3827" w:type="dxa"/>
            <w:shd w:val="clear" w:color="auto" w:fill="C6EFCE"/>
            <w:noWrap/>
            <w:vAlign w:val="center"/>
          </w:tcPr>
          <w:p w14:paraId="1CEBE44B" w14:textId="77777777" w:rsidR="00F74E13" w:rsidRDefault="009274FC">
            <w:pPr>
              <w:pStyle w:val="P68B1DB1-Normal12"/>
              <w:spacing w:after="0" w:line="240" w:lineRule="auto"/>
              <w:rPr>
                <w:noProof/>
              </w:rPr>
            </w:pPr>
            <w:r>
              <w:rPr>
                <w:noProof/>
              </w:rPr>
              <w:t>C3.I2 Investissement 2.2.b - Instrument de garantie pour l'efficacité énergétique et les énergies renouvelables</w:t>
            </w:r>
          </w:p>
        </w:tc>
        <w:tc>
          <w:tcPr>
            <w:tcW w:w="1560" w:type="dxa"/>
            <w:shd w:val="clear" w:color="auto" w:fill="C6EFCE"/>
            <w:noWrap/>
            <w:vAlign w:val="center"/>
          </w:tcPr>
          <w:p w14:paraId="1CEBE44C" w14:textId="77777777" w:rsidR="00F74E13" w:rsidRDefault="009274FC">
            <w:pPr>
              <w:pStyle w:val="P68B1DB1-Normal12"/>
              <w:spacing w:after="0" w:line="240" w:lineRule="auto"/>
              <w:jc w:val="center"/>
              <w:rPr>
                <w:noProof/>
              </w:rPr>
            </w:pPr>
            <w:r>
              <w:rPr>
                <w:noProof/>
              </w:rPr>
              <w:t xml:space="preserve">Objectif </w:t>
            </w:r>
          </w:p>
        </w:tc>
        <w:tc>
          <w:tcPr>
            <w:tcW w:w="3541" w:type="dxa"/>
            <w:shd w:val="clear" w:color="auto" w:fill="C6EFCE"/>
            <w:noWrap/>
            <w:vAlign w:val="center"/>
          </w:tcPr>
          <w:p w14:paraId="1CEBE44D" w14:textId="77777777" w:rsidR="00F74E13" w:rsidRDefault="009274FC">
            <w:pPr>
              <w:pStyle w:val="P68B1DB1-Normal12"/>
              <w:spacing w:after="0" w:line="240" w:lineRule="auto"/>
              <w:jc w:val="both"/>
              <w:rPr>
                <w:noProof/>
              </w:rPr>
            </w:pPr>
            <w:r>
              <w:rPr>
                <w:noProof/>
              </w:rPr>
              <w:t>Opérations financières ou d’investissement approuvées par le comité d’investissement InvestEU</w:t>
            </w:r>
          </w:p>
        </w:tc>
      </w:tr>
      <w:tr w:rsidR="00F74E13" w14:paraId="1CEBE453" w14:textId="77777777">
        <w:trPr>
          <w:trHeight w:val="302"/>
          <w:jc w:val="center"/>
        </w:trPr>
        <w:tc>
          <w:tcPr>
            <w:tcW w:w="1297" w:type="dxa"/>
            <w:shd w:val="clear" w:color="auto" w:fill="C6EFCE"/>
            <w:noWrap/>
          </w:tcPr>
          <w:p w14:paraId="1CEBE44F" w14:textId="77777777" w:rsidR="00F74E13" w:rsidRDefault="009274FC">
            <w:pPr>
              <w:pStyle w:val="P68B1DB1-Normal15"/>
              <w:spacing w:after="0" w:line="240" w:lineRule="auto"/>
              <w:jc w:val="center"/>
              <w:rPr>
                <w:noProof/>
              </w:rPr>
            </w:pPr>
            <w:r>
              <w:rPr>
                <w:noProof/>
              </w:rPr>
              <w:t>59</w:t>
            </w:r>
          </w:p>
        </w:tc>
        <w:tc>
          <w:tcPr>
            <w:tcW w:w="3827" w:type="dxa"/>
            <w:shd w:val="clear" w:color="auto" w:fill="C6EFCE"/>
            <w:noWrap/>
            <w:vAlign w:val="center"/>
          </w:tcPr>
          <w:p w14:paraId="1CEBE450"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C3.I2 Investissement 2</w:t>
            </w:r>
            <w:r>
              <w:rPr>
                <w:rFonts w:ascii="Times New Roman" w:hAnsi="Times New Roman"/>
                <w:noProof/>
              </w:rPr>
              <w:t xml:space="preserve">.2.c Régime de </w:t>
            </w:r>
            <w:r>
              <w:rPr>
                <w:rFonts w:ascii="Times New Roman" w:hAnsi="Times New Roman" w:cs="Times New Roman"/>
                <w:noProof/>
                <w:szCs w:val="20"/>
              </w:rPr>
              <w:t>subventions</w:t>
            </w:r>
            <w:r>
              <w:rPr>
                <w:rFonts w:ascii="Times New Roman" w:hAnsi="Times New Roman"/>
                <w:noProof/>
              </w:rPr>
              <w:t xml:space="preserve"> destiné à soutenir les entreprises dans la transition vers une économie circulaire</w:t>
            </w:r>
          </w:p>
        </w:tc>
        <w:tc>
          <w:tcPr>
            <w:tcW w:w="1560" w:type="dxa"/>
            <w:shd w:val="clear" w:color="auto" w:fill="C6EFCE"/>
            <w:noWrap/>
            <w:vAlign w:val="center"/>
          </w:tcPr>
          <w:p w14:paraId="1CEBE451"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vAlign w:val="center"/>
          </w:tcPr>
          <w:p w14:paraId="1CEBE452" w14:textId="27C8C9EE" w:rsidR="00F74E13" w:rsidRDefault="009274FC">
            <w:pPr>
              <w:pStyle w:val="P68B1DB1-Normal13"/>
              <w:spacing w:after="0" w:line="240" w:lineRule="auto"/>
              <w:jc w:val="both"/>
              <w:rPr>
                <w:noProof/>
              </w:rPr>
            </w:pPr>
            <w:r>
              <w:rPr>
                <w:noProof/>
              </w:rPr>
              <w:t>Projets approuvés</w:t>
            </w:r>
          </w:p>
        </w:tc>
      </w:tr>
      <w:tr w:rsidR="00F74E13" w14:paraId="1CEBE458" w14:textId="77777777">
        <w:trPr>
          <w:trHeight w:val="302"/>
          <w:jc w:val="center"/>
        </w:trPr>
        <w:tc>
          <w:tcPr>
            <w:tcW w:w="1297" w:type="dxa"/>
            <w:shd w:val="clear" w:color="auto" w:fill="C6EFCE"/>
            <w:noWrap/>
          </w:tcPr>
          <w:p w14:paraId="1CEBE454" w14:textId="77777777" w:rsidR="00F74E13" w:rsidRDefault="009274FC">
            <w:pPr>
              <w:pStyle w:val="P68B1DB1-Normal35"/>
              <w:spacing w:after="0" w:line="240" w:lineRule="auto"/>
              <w:jc w:val="center"/>
              <w:rPr>
                <w:noProof/>
              </w:rPr>
            </w:pPr>
            <w:r>
              <w:rPr>
                <w:noProof/>
              </w:rPr>
              <w:t>64</w:t>
            </w:r>
          </w:p>
        </w:tc>
        <w:tc>
          <w:tcPr>
            <w:tcW w:w="3827" w:type="dxa"/>
            <w:shd w:val="clear" w:color="auto" w:fill="C6EFCE"/>
            <w:noWrap/>
          </w:tcPr>
          <w:p w14:paraId="1CEBE455" w14:textId="77777777" w:rsidR="00F74E13" w:rsidRDefault="009274FC">
            <w:pPr>
              <w:pStyle w:val="P68B1DB1-Normal12"/>
              <w:spacing w:after="0"/>
              <w:jc w:val="both"/>
              <w:rPr>
                <w:noProof/>
              </w:rPr>
            </w:pPr>
            <w:r>
              <w:rPr>
                <w:noProof/>
              </w:rPr>
              <w:t>C4.R1 Création d’un Fonds national pour la décarbonation</w:t>
            </w:r>
          </w:p>
        </w:tc>
        <w:tc>
          <w:tcPr>
            <w:tcW w:w="1560" w:type="dxa"/>
            <w:shd w:val="clear" w:color="auto" w:fill="C6EFCE"/>
            <w:noWrap/>
          </w:tcPr>
          <w:p w14:paraId="1CEBE456"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57" w14:textId="4AA4AEB2"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Entrée en vigueur du </w:t>
            </w:r>
            <w:r>
              <w:rPr>
                <w:rFonts w:ascii="Times New Roman" w:hAnsi="Times New Roman"/>
                <w:noProof/>
              </w:rPr>
              <w:t>ou des actes juridiques</w:t>
            </w:r>
            <w:r>
              <w:rPr>
                <w:rFonts w:ascii="Times New Roman" w:hAnsi="Times New Roman" w:cs="Times New Roman"/>
                <w:noProof/>
                <w:szCs w:val="20"/>
              </w:rPr>
              <w:t xml:space="preserve"> établissant le Fonds national pour la décarbonation</w:t>
            </w:r>
          </w:p>
        </w:tc>
      </w:tr>
      <w:tr w:rsidR="00F74E13" w14:paraId="1CEBE45D" w14:textId="77777777">
        <w:trPr>
          <w:trHeight w:val="302"/>
          <w:jc w:val="center"/>
        </w:trPr>
        <w:tc>
          <w:tcPr>
            <w:tcW w:w="1297" w:type="dxa"/>
            <w:shd w:val="clear" w:color="auto" w:fill="C6EFCE"/>
            <w:noWrap/>
          </w:tcPr>
          <w:p w14:paraId="1CEBE459" w14:textId="77777777" w:rsidR="00F74E13" w:rsidRDefault="009274FC">
            <w:pPr>
              <w:pStyle w:val="P68B1DB1-Normal35"/>
              <w:spacing w:after="0" w:line="240" w:lineRule="auto"/>
              <w:jc w:val="center"/>
              <w:rPr>
                <w:noProof/>
              </w:rPr>
            </w:pPr>
            <w:r>
              <w:rPr>
                <w:noProof/>
              </w:rPr>
              <w:t>84</w:t>
            </w:r>
          </w:p>
        </w:tc>
        <w:tc>
          <w:tcPr>
            <w:tcW w:w="3827" w:type="dxa"/>
            <w:shd w:val="clear" w:color="auto" w:fill="C6EFCE"/>
            <w:noWrap/>
          </w:tcPr>
          <w:p w14:paraId="1CEBE45A" w14:textId="77777777" w:rsidR="00F74E13" w:rsidRDefault="009274FC">
            <w:pPr>
              <w:pStyle w:val="P68B1DB1-Normal36"/>
              <w:spacing w:after="0" w:line="240" w:lineRule="auto"/>
              <w:rPr>
                <w:rFonts w:cs="Times New Roman"/>
                <w:noProof/>
                <w:color w:val="006100"/>
              </w:rPr>
            </w:pPr>
            <w:r>
              <w:rPr>
                <w:noProof/>
                <w:color w:val="006100"/>
              </w:rPr>
              <w:t>C4.R5 Guichets uniques pour la rénovation de l'efficacité énergétique</w:t>
            </w:r>
          </w:p>
        </w:tc>
        <w:tc>
          <w:tcPr>
            <w:tcW w:w="1560" w:type="dxa"/>
            <w:shd w:val="clear" w:color="auto" w:fill="C6EFCE"/>
            <w:noWrap/>
          </w:tcPr>
          <w:p w14:paraId="1CEBE45B"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45C" w14:textId="77777777" w:rsidR="00F74E13" w:rsidRDefault="009274FC">
            <w:pPr>
              <w:pStyle w:val="P68B1DB1-Normal15"/>
              <w:spacing w:after="0" w:line="240" w:lineRule="auto"/>
              <w:jc w:val="both"/>
              <w:rPr>
                <w:noProof/>
              </w:rPr>
            </w:pPr>
            <w:r>
              <w:rPr>
                <w:noProof/>
              </w:rPr>
              <w:t>Guichets uniques désignés</w:t>
            </w:r>
          </w:p>
        </w:tc>
      </w:tr>
      <w:tr w:rsidR="00F74E13" w14:paraId="1CEBE462" w14:textId="77777777">
        <w:trPr>
          <w:trHeight w:val="302"/>
          <w:jc w:val="center"/>
        </w:trPr>
        <w:tc>
          <w:tcPr>
            <w:tcW w:w="1297" w:type="dxa"/>
            <w:shd w:val="clear" w:color="auto" w:fill="C6EFCE"/>
            <w:noWrap/>
          </w:tcPr>
          <w:p w14:paraId="1CEBE45E" w14:textId="77777777" w:rsidR="00F74E13" w:rsidRDefault="009274FC">
            <w:pPr>
              <w:pStyle w:val="P68B1DB1-Normal35"/>
              <w:spacing w:after="0" w:line="240" w:lineRule="auto"/>
              <w:jc w:val="center"/>
              <w:rPr>
                <w:noProof/>
              </w:rPr>
            </w:pPr>
            <w:r>
              <w:rPr>
                <w:noProof/>
              </w:rPr>
              <w:t>90</w:t>
            </w:r>
          </w:p>
        </w:tc>
        <w:tc>
          <w:tcPr>
            <w:tcW w:w="3827" w:type="dxa"/>
            <w:shd w:val="clear" w:color="auto" w:fill="C6EFCE"/>
            <w:noWrap/>
          </w:tcPr>
          <w:p w14:paraId="1CEBE45F" w14:textId="77777777" w:rsidR="00F74E13" w:rsidRDefault="009274FC">
            <w:pPr>
              <w:pStyle w:val="P68B1DB1-Normal22"/>
              <w:spacing w:after="0" w:line="240" w:lineRule="auto"/>
              <w:rPr>
                <w:rFonts w:ascii="Times New Roman" w:hAnsi="Times New Roman" w:cs="Times New Roman"/>
                <w:noProof/>
                <w:szCs w:val="20"/>
              </w:rPr>
            </w:pPr>
            <w:r>
              <w:rPr>
                <w:rFonts w:ascii="Times New Roman" w:hAnsi="Times New Roman" w:cs="Times New Roman"/>
                <w:noProof/>
                <w:szCs w:val="20"/>
              </w:rPr>
              <w:t xml:space="preserve">C4.R7 </w:t>
            </w:r>
            <w:r>
              <w:rPr>
                <w:rFonts w:ascii="Times New Roman" w:hAnsi="Times New Roman"/>
                <w:noProof/>
              </w:rPr>
              <w:t xml:space="preserve">Soutenir la chaîne de valeur de l’hydrogène vert </w:t>
            </w:r>
          </w:p>
        </w:tc>
        <w:tc>
          <w:tcPr>
            <w:tcW w:w="1560" w:type="dxa"/>
            <w:shd w:val="clear" w:color="auto" w:fill="C6EFCE"/>
            <w:noWrap/>
          </w:tcPr>
          <w:p w14:paraId="1CEBE460"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61" w14:textId="77777777" w:rsidR="00F74E13" w:rsidRDefault="009274FC">
            <w:pPr>
              <w:pStyle w:val="P68B1DB1-Normal15"/>
              <w:spacing w:after="0" w:line="240" w:lineRule="auto"/>
              <w:jc w:val="both"/>
              <w:rPr>
                <w:rFonts w:cs="Times New Roman"/>
                <w:noProof/>
                <w:szCs w:val="20"/>
              </w:rPr>
            </w:pPr>
            <w:r>
              <w:rPr>
                <w:noProof/>
              </w:rPr>
              <w:t>Entrée en vigueur d’un ou de plusieurs actes juridiques sur la chaîne de valeur de l’hydrogène vert</w:t>
            </w:r>
          </w:p>
        </w:tc>
      </w:tr>
      <w:tr w:rsidR="00F74E13" w14:paraId="1CEBE467" w14:textId="77777777">
        <w:trPr>
          <w:trHeight w:val="302"/>
          <w:jc w:val="center"/>
        </w:trPr>
        <w:tc>
          <w:tcPr>
            <w:tcW w:w="1297" w:type="dxa"/>
            <w:shd w:val="clear" w:color="auto" w:fill="C6EFCE"/>
            <w:noWrap/>
          </w:tcPr>
          <w:p w14:paraId="1CEBE463" w14:textId="77777777" w:rsidR="00F74E13" w:rsidRDefault="009274FC">
            <w:pPr>
              <w:pStyle w:val="P68B1DB1-Normal35"/>
              <w:spacing w:after="0" w:line="240" w:lineRule="auto"/>
              <w:jc w:val="center"/>
              <w:rPr>
                <w:noProof/>
              </w:rPr>
            </w:pPr>
            <w:r>
              <w:rPr>
                <w:noProof/>
              </w:rPr>
              <w:t>115</w:t>
            </w:r>
          </w:p>
        </w:tc>
        <w:tc>
          <w:tcPr>
            <w:tcW w:w="3827" w:type="dxa"/>
            <w:shd w:val="clear" w:color="auto" w:fill="C6EFCE"/>
            <w:noWrap/>
          </w:tcPr>
          <w:p w14:paraId="1CEBE464" w14:textId="77777777" w:rsidR="00F74E13" w:rsidRDefault="009274FC">
            <w:pPr>
              <w:pStyle w:val="P68B1DB1-Normal12"/>
              <w:spacing w:after="0"/>
              <w:jc w:val="both"/>
              <w:rPr>
                <w:noProof/>
              </w:rPr>
            </w:pPr>
            <w:r>
              <w:rPr>
                <w:noProof/>
              </w:rPr>
              <w:t>C4.R10 Décarbonation du secteur de l’énergie</w:t>
            </w:r>
          </w:p>
        </w:tc>
        <w:tc>
          <w:tcPr>
            <w:tcW w:w="1560" w:type="dxa"/>
            <w:shd w:val="clear" w:color="auto" w:fill="C6EFCE"/>
            <w:noWrap/>
          </w:tcPr>
          <w:p w14:paraId="1CEBE465"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66" w14:textId="77777777" w:rsidR="00F74E13" w:rsidRDefault="009274FC">
            <w:pPr>
              <w:pStyle w:val="P68B1DB1-Normal22"/>
              <w:rPr>
                <w:rFonts w:ascii="Times New Roman" w:hAnsi="Times New Roman" w:cs="Times New Roman"/>
                <w:noProof/>
                <w:szCs w:val="20"/>
              </w:rPr>
            </w:pPr>
            <w:r>
              <w:rPr>
                <w:rFonts w:ascii="Times New Roman" w:hAnsi="Times New Roman" w:cs="Times New Roman"/>
                <w:noProof/>
                <w:szCs w:val="20"/>
              </w:rPr>
              <w:t xml:space="preserve">Entrée en vigueur d’un ou de </w:t>
            </w:r>
            <w:r>
              <w:rPr>
                <w:rFonts w:ascii="Times New Roman" w:hAnsi="Times New Roman"/>
                <w:noProof/>
              </w:rPr>
              <w:t>plusieurs actes juridiques</w:t>
            </w:r>
            <w:r>
              <w:rPr>
                <w:rFonts w:ascii="Times New Roman" w:hAnsi="Times New Roman" w:cs="Times New Roman"/>
                <w:noProof/>
                <w:szCs w:val="20"/>
              </w:rPr>
              <w:t xml:space="preserve"> instaurant un plafond d’émissions de CO2 pour les centrales électriques au lignite et au charbon</w:t>
            </w:r>
          </w:p>
        </w:tc>
      </w:tr>
      <w:tr w:rsidR="00F74E13" w14:paraId="1CEBE474" w14:textId="77777777">
        <w:trPr>
          <w:trHeight w:val="302"/>
          <w:jc w:val="center"/>
        </w:trPr>
        <w:tc>
          <w:tcPr>
            <w:tcW w:w="1297" w:type="dxa"/>
            <w:shd w:val="clear" w:color="auto" w:fill="C6EFCE"/>
            <w:noWrap/>
          </w:tcPr>
          <w:p w14:paraId="1CEBE468" w14:textId="77777777" w:rsidR="00F74E13" w:rsidRDefault="009274FC">
            <w:pPr>
              <w:pStyle w:val="P68B1DB1-Normal35"/>
              <w:spacing w:after="0" w:line="240" w:lineRule="auto"/>
              <w:jc w:val="center"/>
              <w:rPr>
                <w:noProof/>
              </w:rPr>
            </w:pPr>
            <w:r>
              <w:rPr>
                <w:noProof/>
              </w:rPr>
              <w:t>70</w:t>
            </w:r>
          </w:p>
        </w:tc>
        <w:tc>
          <w:tcPr>
            <w:tcW w:w="3827" w:type="dxa"/>
            <w:shd w:val="clear" w:color="auto" w:fill="C6EFCE"/>
            <w:noWrap/>
          </w:tcPr>
          <w:p w14:paraId="1CEBE469" w14:textId="77777777" w:rsidR="00F74E13" w:rsidRDefault="009274FC">
            <w:pPr>
              <w:pStyle w:val="P68B1DB1-Normal12"/>
              <w:spacing w:after="0" w:line="240" w:lineRule="auto"/>
              <w:rPr>
                <w:noProof/>
              </w:rPr>
            </w:pPr>
            <w:r>
              <w:rPr>
                <w:noProof/>
              </w:rPr>
              <w:t>C4.I1 Soutien à la rénovation du parc immobilier</w:t>
            </w:r>
          </w:p>
          <w:p w14:paraId="1CEBE46B" w14:textId="77777777" w:rsidR="00F74E13" w:rsidRDefault="009274FC">
            <w:pPr>
              <w:pStyle w:val="P68B1DB1-Normal12"/>
              <w:spacing w:before="120" w:after="0" w:line="240" w:lineRule="auto"/>
              <w:rPr>
                <w:noProof/>
              </w:rPr>
            </w:pPr>
            <w:r>
              <w:rPr>
                <w:noProof/>
              </w:rPr>
              <w:t>Sous-mesure 1: Rénovation de bâtiments résidentiels</w:t>
            </w:r>
          </w:p>
          <w:p w14:paraId="1CEBE46D" w14:textId="77777777" w:rsidR="00F74E13" w:rsidRDefault="009274FC">
            <w:pPr>
              <w:pStyle w:val="P68B1DB1-Normal22"/>
              <w:spacing w:before="120" w:after="0" w:line="240" w:lineRule="auto"/>
              <w:rPr>
                <w:rFonts w:ascii="Times New Roman" w:hAnsi="Times New Roman" w:cs="Times New Roman"/>
                <w:noProof/>
                <w:szCs w:val="20"/>
              </w:rPr>
            </w:pPr>
            <w:r>
              <w:rPr>
                <w:rFonts w:ascii="Times New Roman" w:hAnsi="Times New Roman" w:cs="Times New Roman"/>
                <w:noProof/>
                <w:szCs w:val="20"/>
              </w:rPr>
              <w:t xml:space="preserve">Sous-mesure 2: Rénovation de bâtiments </w:t>
            </w:r>
            <w:r>
              <w:rPr>
                <w:rFonts w:ascii="Times New Roman" w:hAnsi="Times New Roman"/>
                <w:noProof/>
              </w:rPr>
              <w:t xml:space="preserve">publics non résidentiels </w:t>
            </w:r>
          </w:p>
          <w:p w14:paraId="1CEBE46F" w14:textId="77777777" w:rsidR="00F74E13" w:rsidRDefault="009274FC">
            <w:pPr>
              <w:pStyle w:val="P68B1DB1-Normal12"/>
              <w:spacing w:before="120" w:after="0" w:line="240" w:lineRule="auto"/>
              <w:rPr>
                <w:noProof/>
              </w:rPr>
            </w:pPr>
            <w:r>
              <w:rPr>
                <w:noProof/>
              </w:rPr>
              <w:t>Et</w:t>
            </w:r>
          </w:p>
          <w:p w14:paraId="1CEBE471" w14:textId="77777777" w:rsidR="00F74E13" w:rsidRDefault="009274FC">
            <w:pPr>
              <w:pStyle w:val="P68B1DB1-Normal12"/>
              <w:spacing w:before="120" w:after="0" w:line="240" w:lineRule="auto"/>
              <w:jc w:val="both"/>
              <w:rPr>
                <w:noProof/>
              </w:rPr>
            </w:pPr>
            <w:r>
              <w:rPr>
                <w:noProof/>
              </w:rPr>
              <w:t>Sous-mesure 3: Rénovation de bâtiments non résidentiels dans l'industrie manufacturière, le commerce et les services</w:t>
            </w:r>
          </w:p>
        </w:tc>
        <w:tc>
          <w:tcPr>
            <w:tcW w:w="1560" w:type="dxa"/>
            <w:shd w:val="clear" w:color="auto" w:fill="C6EFCE"/>
            <w:noWrap/>
          </w:tcPr>
          <w:p w14:paraId="1CEBE472"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73" w14:textId="2ACEBC81" w:rsidR="00F74E13" w:rsidRDefault="009274FC">
            <w:pPr>
              <w:pStyle w:val="P68B1DB1-Normal35"/>
              <w:spacing w:after="0" w:line="240" w:lineRule="auto"/>
              <w:jc w:val="both"/>
              <w:rPr>
                <w:noProof/>
              </w:rPr>
            </w:pPr>
            <w:r>
              <w:rPr>
                <w:noProof/>
              </w:rPr>
              <w:t>Signature de contrats pour la rénovation énergétique des bâtiments</w:t>
            </w:r>
          </w:p>
        </w:tc>
      </w:tr>
      <w:tr w:rsidR="00F74E13" w14:paraId="1CEBE479" w14:textId="77777777">
        <w:trPr>
          <w:trHeight w:val="302"/>
          <w:jc w:val="center"/>
        </w:trPr>
        <w:tc>
          <w:tcPr>
            <w:tcW w:w="1297" w:type="dxa"/>
            <w:shd w:val="clear" w:color="auto" w:fill="C6EFCE"/>
            <w:noWrap/>
          </w:tcPr>
          <w:p w14:paraId="1CEBE475" w14:textId="77777777" w:rsidR="00F74E13" w:rsidRDefault="009274FC">
            <w:pPr>
              <w:pStyle w:val="P68B1DB1-Normal35"/>
              <w:spacing w:after="0" w:line="240" w:lineRule="auto"/>
              <w:jc w:val="center"/>
              <w:rPr>
                <w:noProof/>
              </w:rPr>
            </w:pPr>
            <w:r>
              <w:rPr>
                <w:noProof/>
              </w:rPr>
              <w:t>88</w:t>
            </w:r>
          </w:p>
        </w:tc>
        <w:tc>
          <w:tcPr>
            <w:tcW w:w="3827" w:type="dxa"/>
            <w:shd w:val="clear" w:color="auto" w:fill="C6EFCE"/>
            <w:noWrap/>
          </w:tcPr>
          <w:p w14:paraId="1CEBE476" w14:textId="77777777" w:rsidR="00F74E13" w:rsidRDefault="009274FC">
            <w:pPr>
              <w:pStyle w:val="P68B1DB1-Normal15"/>
              <w:spacing w:after="0" w:line="240" w:lineRule="auto"/>
              <w:rPr>
                <w:rFonts w:cs="Times New Roman"/>
                <w:noProof/>
                <w:szCs w:val="20"/>
              </w:rPr>
            </w:pPr>
            <w:r>
              <w:rPr>
                <w:noProof/>
              </w:rPr>
              <w:t>C4.I4 Transformation numérique du réseau de transport d'électricité</w:t>
            </w:r>
          </w:p>
        </w:tc>
        <w:tc>
          <w:tcPr>
            <w:tcW w:w="1560" w:type="dxa"/>
            <w:shd w:val="clear" w:color="auto" w:fill="C6EFCE"/>
            <w:noWrap/>
          </w:tcPr>
          <w:p w14:paraId="1CEBE477" w14:textId="77777777" w:rsidR="00F74E13" w:rsidRDefault="009274FC">
            <w:pPr>
              <w:pStyle w:val="P68B1DB1-Normal15"/>
              <w:spacing w:after="0" w:line="240" w:lineRule="auto"/>
              <w:jc w:val="center"/>
              <w:rPr>
                <w:rFonts w:cs="Times New Roman"/>
                <w:noProof/>
                <w:szCs w:val="20"/>
              </w:rPr>
            </w:pPr>
            <w:r>
              <w:rPr>
                <w:noProof/>
              </w:rPr>
              <w:t>Objectif</w:t>
            </w:r>
          </w:p>
        </w:tc>
        <w:tc>
          <w:tcPr>
            <w:tcW w:w="3541" w:type="dxa"/>
            <w:shd w:val="clear" w:color="auto" w:fill="C6EFCE"/>
            <w:noWrap/>
          </w:tcPr>
          <w:p w14:paraId="1CEBE478" w14:textId="3C90CB29" w:rsidR="00F74E13" w:rsidRDefault="009274FC">
            <w:pPr>
              <w:pStyle w:val="P68B1DB1-Normal13"/>
              <w:spacing w:after="0" w:line="240" w:lineRule="auto"/>
              <w:jc w:val="both"/>
              <w:rPr>
                <w:rFonts w:cs="Times New Roman"/>
                <w:noProof/>
              </w:rPr>
            </w:pPr>
            <w:r>
              <w:rPr>
                <w:noProof/>
              </w:rPr>
              <w:t>Augmentation de la capacité maximale mensuelle nette de transport transfrontalier de 1 600 MW</w:t>
            </w:r>
          </w:p>
        </w:tc>
      </w:tr>
      <w:tr w:rsidR="00F74E13" w14:paraId="1CEBE47E" w14:textId="77777777">
        <w:trPr>
          <w:trHeight w:val="302"/>
          <w:jc w:val="center"/>
        </w:trPr>
        <w:tc>
          <w:tcPr>
            <w:tcW w:w="1297" w:type="dxa"/>
            <w:shd w:val="clear" w:color="auto" w:fill="C6EFCE"/>
            <w:noWrap/>
          </w:tcPr>
          <w:p w14:paraId="1CEBE47A" w14:textId="77777777" w:rsidR="00F74E13" w:rsidRDefault="009274FC">
            <w:pPr>
              <w:pStyle w:val="P68B1DB1-Normal35"/>
              <w:spacing w:after="0" w:line="240" w:lineRule="auto"/>
              <w:jc w:val="center"/>
              <w:rPr>
                <w:noProof/>
              </w:rPr>
            </w:pPr>
            <w:r>
              <w:rPr>
                <w:noProof/>
              </w:rPr>
              <w:t>122</w:t>
            </w:r>
          </w:p>
        </w:tc>
        <w:tc>
          <w:tcPr>
            <w:tcW w:w="3827" w:type="dxa"/>
            <w:shd w:val="clear" w:color="auto" w:fill="C6EFCE"/>
            <w:noWrap/>
          </w:tcPr>
          <w:p w14:paraId="1CEBE47B" w14:textId="77777777" w:rsidR="00F74E13" w:rsidRDefault="009274FC">
            <w:pPr>
              <w:pStyle w:val="P68B1DB1-Normal12"/>
              <w:spacing w:after="0" w:line="240" w:lineRule="auto"/>
              <w:rPr>
                <w:noProof/>
              </w:rPr>
            </w:pPr>
            <w:r>
              <w:rPr>
                <w:noProof/>
              </w:rPr>
              <w:t>C4.I8 Infrastructure nationale de stockage de l'électricité (RESTORE)</w:t>
            </w:r>
          </w:p>
        </w:tc>
        <w:tc>
          <w:tcPr>
            <w:tcW w:w="1560" w:type="dxa"/>
            <w:shd w:val="clear" w:color="auto" w:fill="C6EFCE"/>
            <w:noWrap/>
          </w:tcPr>
          <w:p w14:paraId="1CEBE47C"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7D" w14:textId="77777777"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noProof/>
              </w:rPr>
              <w:t xml:space="preserve">Signature de contrats pour des </w:t>
            </w:r>
            <w:r>
              <w:rPr>
                <w:rFonts w:ascii="Times New Roman" w:hAnsi="Times New Roman" w:cs="Times New Roman"/>
                <w:noProof/>
                <w:szCs w:val="20"/>
              </w:rPr>
              <w:t xml:space="preserve">installations </w:t>
            </w:r>
            <w:r>
              <w:rPr>
                <w:rFonts w:ascii="Times New Roman" w:hAnsi="Times New Roman"/>
                <w:noProof/>
              </w:rPr>
              <w:t xml:space="preserve"> de stockage d'électricité </w:t>
            </w:r>
            <w:r>
              <w:rPr>
                <w:rFonts w:ascii="Times New Roman" w:hAnsi="Times New Roman" w:cs="Times New Roman"/>
                <w:noProof/>
                <w:szCs w:val="20"/>
              </w:rPr>
              <w:t xml:space="preserve"> </w:t>
            </w:r>
          </w:p>
        </w:tc>
      </w:tr>
      <w:tr w:rsidR="00F74E13" w14:paraId="1CEBE483" w14:textId="77777777">
        <w:trPr>
          <w:trHeight w:val="302"/>
          <w:jc w:val="center"/>
        </w:trPr>
        <w:tc>
          <w:tcPr>
            <w:tcW w:w="1297" w:type="dxa"/>
            <w:shd w:val="clear" w:color="auto" w:fill="C6EFCE"/>
            <w:noWrap/>
          </w:tcPr>
          <w:p w14:paraId="1CEBE47F" w14:textId="77777777" w:rsidR="00F74E13" w:rsidRDefault="009274FC">
            <w:pPr>
              <w:pStyle w:val="P68B1DB1-Normal35"/>
              <w:spacing w:after="0" w:line="240" w:lineRule="auto"/>
              <w:jc w:val="center"/>
              <w:rPr>
                <w:noProof/>
              </w:rPr>
            </w:pPr>
            <w:r>
              <w:rPr>
                <w:noProof/>
              </w:rPr>
              <w:t>131</w:t>
            </w:r>
          </w:p>
        </w:tc>
        <w:tc>
          <w:tcPr>
            <w:tcW w:w="3827" w:type="dxa"/>
            <w:shd w:val="clear" w:color="auto" w:fill="C6EFCE"/>
            <w:noWrap/>
          </w:tcPr>
          <w:p w14:paraId="1CEBE480" w14:textId="77777777" w:rsidR="00F74E13" w:rsidRDefault="009274FC">
            <w:pPr>
              <w:pStyle w:val="P68B1DB1-Normal13"/>
              <w:spacing w:after="0" w:line="240" w:lineRule="auto"/>
              <w:rPr>
                <w:rFonts w:cs="Times New Roman"/>
                <w:noProof/>
              </w:rPr>
            </w:pPr>
            <w:r>
              <w:rPr>
                <w:noProof/>
              </w:rPr>
              <w:t>C6.R1 Programme d'action national</w:t>
            </w:r>
          </w:p>
        </w:tc>
        <w:tc>
          <w:tcPr>
            <w:tcW w:w="1560" w:type="dxa"/>
            <w:shd w:val="clear" w:color="auto" w:fill="C6EFCE"/>
            <w:noWrap/>
          </w:tcPr>
          <w:p w14:paraId="1CEBE481"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82" w14:textId="77777777" w:rsidR="00F74E13" w:rsidRDefault="009274FC">
            <w:pPr>
              <w:pStyle w:val="P68B1DB1-Normal13"/>
              <w:spacing w:after="0" w:line="240" w:lineRule="auto"/>
              <w:jc w:val="both"/>
              <w:rPr>
                <w:rFonts w:cs="Times New Roman"/>
                <w:noProof/>
              </w:rPr>
            </w:pPr>
            <w:r>
              <w:rPr>
                <w:noProof/>
              </w:rPr>
              <w:t>Adoption du programme d'action national</w:t>
            </w:r>
          </w:p>
        </w:tc>
      </w:tr>
      <w:tr w:rsidR="00F74E13" w14:paraId="1CEBE488" w14:textId="77777777">
        <w:trPr>
          <w:trHeight w:val="302"/>
          <w:jc w:val="center"/>
        </w:trPr>
        <w:tc>
          <w:tcPr>
            <w:tcW w:w="1297" w:type="dxa"/>
            <w:shd w:val="clear" w:color="auto" w:fill="C6EFCE"/>
            <w:noWrap/>
          </w:tcPr>
          <w:p w14:paraId="1CEBE484" w14:textId="77777777" w:rsidR="00F74E13" w:rsidRDefault="009274FC">
            <w:pPr>
              <w:pStyle w:val="P68B1DB1-Normal35"/>
              <w:spacing w:after="0" w:line="240" w:lineRule="auto"/>
              <w:jc w:val="center"/>
              <w:rPr>
                <w:noProof/>
              </w:rPr>
            </w:pPr>
            <w:r>
              <w:rPr>
                <w:noProof/>
              </w:rPr>
              <w:t>139</w:t>
            </w:r>
          </w:p>
        </w:tc>
        <w:tc>
          <w:tcPr>
            <w:tcW w:w="3827" w:type="dxa"/>
            <w:shd w:val="clear" w:color="auto" w:fill="C6EFCE"/>
            <w:noWrap/>
          </w:tcPr>
          <w:p w14:paraId="1CEBE485" w14:textId="77777777" w:rsidR="00F74E13" w:rsidRDefault="009274FC">
            <w:pPr>
              <w:pStyle w:val="P68B1DB1-Normal22"/>
              <w:spacing w:after="0" w:line="240" w:lineRule="auto"/>
              <w:rPr>
                <w:rFonts w:ascii="Times New Roman" w:hAnsi="Times New Roman" w:cs="Times New Roman"/>
                <w:noProof/>
                <w:szCs w:val="20"/>
              </w:rPr>
            </w:pPr>
            <w:r>
              <w:rPr>
                <w:rFonts w:ascii="Times New Roman" w:eastAsia="Times New Roman" w:hAnsi="Times New Roman" w:cs="Times New Roman"/>
                <w:noProof/>
                <w:szCs w:val="20"/>
              </w:rPr>
              <w:t xml:space="preserve">C7.R2 </w:t>
            </w:r>
            <w:r>
              <w:rPr>
                <w:rFonts w:ascii="Times New Roman" w:hAnsi="Times New Roman"/>
                <w:noProof/>
              </w:rPr>
              <w:t>Affectation</w:t>
            </w:r>
            <w:r>
              <w:rPr>
                <w:rFonts w:ascii="Times New Roman" w:eastAsia="Calibri" w:hAnsi="Times New Roman" w:cs="Times New Roman"/>
                <w:noProof/>
                <w:szCs w:val="20"/>
              </w:rPr>
              <w:t xml:space="preserve"> du spectre des radiofréquences</w:t>
            </w:r>
          </w:p>
        </w:tc>
        <w:tc>
          <w:tcPr>
            <w:tcW w:w="1560" w:type="dxa"/>
            <w:shd w:val="clear" w:color="auto" w:fill="C6EFCE"/>
            <w:noWrap/>
          </w:tcPr>
          <w:p w14:paraId="1CEBE486" w14:textId="77777777" w:rsidR="00F74E13" w:rsidRDefault="009274FC">
            <w:pPr>
              <w:pStyle w:val="P68B1DB1-Normal35"/>
              <w:spacing w:after="0" w:line="276" w:lineRule="auto"/>
              <w:jc w:val="center"/>
              <w:rPr>
                <w:noProof/>
              </w:rPr>
            </w:pPr>
            <w:r>
              <w:rPr>
                <w:noProof/>
              </w:rPr>
              <w:t>Étape</w:t>
            </w:r>
          </w:p>
        </w:tc>
        <w:tc>
          <w:tcPr>
            <w:tcW w:w="3541" w:type="dxa"/>
            <w:shd w:val="clear" w:color="auto" w:fill="C6EFCE"/>
            <w:noWrap/>
          </w:tcPr>
          <w:p w14:paraId="1CEBE487" w14:textId="08CF658E" w:rsidR="00F74E13" w:rsidRDefault="009274FC">
            <w:pPr>
              <w:pStyle w:val="P68B1DB1-Normal13"/>
              <w:spacing w:after="0" w:line="240" w:lineRule="auto"/>
              <w:jc w:val="both"/>
              <w:rPr>
                <w:rFonts w:cs="Times New Roman"/>
                <w:noProof/>
              </w:rPr>
            </w:pPr>
            <w:r>
              <w:rPr>
                <w:noProof/>
              </w:rPr>
              <w:t>Entrée en vigueur de la ou des décisions de la Commission portant attribution de droits dans les bandes de fréquences 700 MHz et 800 MHz</w:t>
            </w:r>
          </w:p>
        </w:tc>
      </w:tr>
      <w:tr w:rsidR="00F74E13" w14:paraId="1CEBE48D" w14:textId="77777777">
        <w:trPr>
          <w:trHeight w:val="302"/>
          <w:jc w:val="center"/>
        </w:trPr>
        <w:tc>
          <w:tcPr>
            <w:tcW w:w="1297" w:type="dxa"/>
            <w:shd w:val="clear" w:color="auto" w:fill="C6EFCE"/>
            <w:noWrap/>
          </w:tcPr>
          <w:p w14:paraId="1CEBE489" w14:textId="77777777" w:rsidR="00F74E13" w:rsidRDefault="009274FC">
            <w:pPr>
              <w:pStyle w:val="P68B1DB1-Normal35"/>
              <w:spacing w:after="0" w:line="240" w:lineRule="auto"/>
              <w:jc w:val="center"/>
              <w:rPr>
                <w:noProof/>
              </w:rPr>
            </w:pPr>
            <w:r>
              <w:rPr>
                <w:noProof/>
              </w:rPr>
              <w:t>149</w:t>
            </w:r>
          </w:p>
        </w:tc>
        <w:tc>
          <w:tcPr>
            <w:tcW w:w="3827" w:type="dxa"/>
            <w:shd w:val="clear" w:color="auto" w:fill="C6EFCE"/>
            <w:noWrap/>
          </w:tcPr>
          <w:p w14:paraId="1CEBE48A" w14:textId="77777777" w:rsidR="00F74E13" w:rsidRDefault="009274FC">
            <w:pPr>
              <w:pStyle w:val="P68B1DB1-Normal35"/>
              <w:spacing w:after="0"/>
              <w:jc w:val="both"/>
              <w:rPr>
                <w:noProof/>
              </w:rPr>
            </w:pPr>
            <w:r>
              <w:rPr>
                <w:noProof/>
              </w:rPr>
              <w:t>Système C7.I2 TETRA et réseau de relais radio</w:t>
            </w:r>
          </w:p>
        </w:tc>
        <w:tc>
          <w:tcPr>
            <w:tcW w:w="1560" w:type="dxa"/>
            <w:shd w:val="clear" w:color="auto" w:fill="C6EFCE"/>
            <w:noWrap/>
          </w:tcPr>
          <w:p w14:paraId="1CEBE48B"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8C" w14:textId="77777777" w:rsidR="00F74E13" w:rsidRDefault="009274FC">
            <w:pPr>
              <w:pStyle w:val="P68B1DB1-Normal12"/>
              <w:spacing w:after="0" w:line="240" w:lineRule="auto"/>
              <w:jc w:val="both"/>
              <w:rPr>
                <w:noProof/>
              </w:rPr>
            </w:pPr>
            <w:r>
              <w:rPr>
                <w:noProof/>
              </w:rPr>
              <w:t>Livraison d'équipements selon la norme TETRA</w:t>
            </w:r>
          </w:p>
        </w:tc>
      </w:tr>
      <w:tr w:rsidR="00F74E13" w14:paraId="1CEBE492" w14:textId="77777777">
        <w:trPr>
          <w:trHeight w:val="302"/>
          <w:jc w:val="center"/>
        </w:trPr>
        <w:tc>
          <w:tcPr>
            <w:tcW w:w="1297" w:type="dxa"/>
            <w:shd w:val="clear" w:color="auto" w:fill="C6EFCE"/>
            <w:noWrap/>
          </w:tcPr>
          <w:p w14:paraId="1CEBE48E" w14:textId="77777777" w:rsidR="00F74E13" w:rsidRDefault="009274FC">
            <w:pPr>
              <w:pStyle w:val="P68B1DB1-Normal35"/>
              <w:spacing w:after="0" w:line="240" w:lineRule="auto"/>
              <w:jc w:val="center"/>
              <w:rPr>
                <w:noProof/>
              </w:rPr>
            </w:pPr>
            <w:r>
              <w:rPr>
                <w:noProof/>
              </w:rPr>
              <w:t>164</w:t>
            </w:r>
          </w:p>
        </w:tc>
        <w:tc>
          <w:tcPr>
            <w:tcW w:w="3827" w:type="dxa"/>
            <w:shd w:val="clear" w:color="auto" w:fill="C6EFCE"/>
            <w:noWrap/>
          </w:tcPr>
          <w:p w14:paraId="1CEBE48F" w14:textId="77777777" w:rsidR="00F74E13" w:rsidRDefault="009274FC">
            <w:pPr>
              <w:pStyle w:val="P68B1DB1-Normal35"/>
              <w:spacing w:after="0"/>
              <w:jc w:val="both"/>
              <w:rPr>
                <w:noProof/>
              </w:rPr>
            </w:pPr>
            <w:r>
              <w:rPr>
                <w:noProof/>
              </w:rPr>
              <w:t>C8.R1 Cadre stratégique des transports</w:t>
            </w:r>
          </w:p>
        </w:tc>
        <w:tc>
          <w:tcPr>
            <w:tcW w:w="1560" w:type="dxa"/>
            <w:shd w:val="clear" w:color="auto" w:fill="C6EFCE"/>
            <w:noWrap/>
          </w:tcPr>
          <w:p w14:paraId="1CEBE490"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91" w14:textId="77777777" w:rsidR="00F74E13" w:rsidRDefault="009274FC">
            <w:pPr>
              <w:pStyle w:val="P68B1DB1-Normal35"/>
              <w:spacing w:after="0" w:line="240" w:lineRule="auto"/>
              <w:jc w:val="both"/>
              <w:rPr>
                <w:noProof/>
              </w:rPr>
            </w:pPr>
            <w:r>
              <w:rPr>
                <w:noProof/>
              </w:rPr>
              <w:t>Évaluation du marché concernant le champ d'application des obligations de service public</w:t>
            </w:r>
          </w:p>
        </w:tc>
      </w:tr>
      <w:tr w:rsidR="00F74E13" w14:paraId="1CEBE497" w14:textId="77777777">
        <w:trPr>
          <w:trHeight w:val="302"/>
          <w:jc w:val="center"/>
        </w:trPr>
        <w:tc>
          <w:tcPr>
            <w:tcW w:w="1297" w:type="dxa"/>
            <w:shd w:val="clear" w:color="auto" w:fill="C6EFCE"/>
            <w:noWrap/>
          </w:tcPr>
          <w:p w14:paraId="1CEBE493" w14:textId="77777777" w:rsidR="00F74E13" w:rsidRDefault="009274FC">
            <w:pPr>
              <w:pStyle w:val="P68B1DB1-Normal15"/>
              <w:spacing w:after="0" w:line="240" w:lineRule="auto"/>
              <w:jc w:val="center"/>
              <w:rPr>
                <w:noProof/>
              </w:rPr>
            </w:pPr>
            <w:r>
              <w:rPr>
                <w:noProof/>
              </w:rPr>
              <w:t>184</w:t>
            </w:r>
          </w:p>
        </w:tc>
        <w:tc>
          <w:tcPr>
            <w:tcW w:w="3827" w:type="dxa"/>
            <w:shd w:val="clear" w:color="auto" w:fill="C6EFCE"/>
            <w:noWrap/>
          </w:tcPr>
          <w:p w14:paraId="1CEBE494"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C8.I1</w:t>
            </w:r>
            <w:r>
              <w:rPr>
                <w:rFonts w:ascii="Times New Roman" w:hAnsi="Times New Roman"/>
                <w:noProof/>
              </w:rPr>
              <w:t xml:space="preserve"> Matériel roulant ferroviaire</w:t>
            </w:r>
          </w:p>
        </w:tc>
        <w:tc>
          <w:tcPr>
            <w:tcW w:w="1560" w:type="dxa"/>
            <w:shd w:val="clear" w:color="auto" w:fill="C6EFCE"/>
            <w:noWrap/>
          </w:tcPr>
          <w:p w14:paraId="1CEBE495"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496" w14:textId="77777777" w:rsidR="00F74E13" w:rsidRDefault="009274FC">
            <w:pPr>
              <w:pStyle w:val="P68B1DB1-Normal15"/>
              <w:spacing w:after="0" w:line="240" w:lineRule="auto"/>
              <w:jc w:val="both"/>
              <w:rPr>
                <w:noProof/>
              </w:rPr>
            </w:pPr>
            <w:r>
              <w:rPr>
                <w:noProof/>
              </w:rPr>
              <w:t xml:space="preserve">Signature de contrats d’achat de matériel roulant ferroviaire à émissions nulles </w:t>
            </w:r>
          </w:p>
        </w:tc>
      </w:tr>
      <w:tr w:rsidR="00F74E13" w14:paraId="1CEBE49C" w14:textId="77777777">
        <w:trPr>
          <w:trHeight w:val="302"/>
          <w:jc w:val="center"/>
        </w:trPr>
        <w:tc>
          <w:tcPr>
            <w:tcW w:w="1297" w:type="dxa"/>
            <w:shd w:val="clear" w:color="auto" w:fill="C6EFCE"/>
            <w:noWrap/>
          </w:tcPr>
          <w:p w14:paraId="1CEBE498" w14:textId="77777777" w:rsidR="00F74E13" w:rsidRDefault="009274FC">
            <w:pPr>
              <w:pStyle w:val="P68B1DB1-Normal35"/>
              <w:spacing w:after="0" w:line="240" w:lineRule="auto"/>
              <w:jc w:val="center"/>
              <w:rPr>
                <w:noProof/>
              </w:rPr>
            </w:pPr>
            <w:r>
              <w:rPr>
                <w:noProof/>
              </w:rPr>
              <w:t>200</w:t>
            </w:r>
          </w:p>
        </w:tc>
        <w:tc>
          <w:tcPr>
            <w:tcW w:w="3827" w:type="dxa"/>
            <w:shd w:val="clear" w:color="auto" w:fill="C6EFCE"/>
            <w:noWrap/>
          </w:tcPr>
          <w:p w14:paraId="1CEBE499" w14:textId="77777777" w:rsidR="00F74E13" w:rsidRDefault="009274FC">
            <w:pPr>
              <w:pStyle w:val="P68B1DB1-Normal35"/>
              <w:spacing w:after="0"/>
              <w:jc w:val="both"/>
              <w:rPr>
                <w:noProof/>
              </w:rPr>
            </w:pPr>
            <w:r>
              <w:rPr>
                <w:noProof/>
              </w:rPr>
              <w:t>C8.I6 Ligne 3 du métro de Sofia</w:t>
            </w:r>
          </w:p>
        </w:tc>
        <w:tc>
          <w:tcPr>
            <w:tcW w:w="1560" w:type="dxa"/>
            <w:shd w:val="clear" w:color="auto" w:fill="C6EFCE"/>
            <w:noWrap/>
          </w:tcPr>
          <w:p w14:paraId="1CEBE49A"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49B" w14:textId="77777777" w:rsidR="00F74E13" w:rsidRDefault="009274FC">
            <w:pPr>
              <w:pStyle w:val="P68B1DB1-Normal35"/>
              <w:spacing w:after="0" w:line="240" w:lineRule="auto"/>
              <w:jc w:val="both"/>
              <w:rPr>
                <w:noProof/>
              </w:rPr>
            </w:pPr>
            <w:r>
              <w:rPr>
                <w:noProof/>
              </w:rPr>
              <w:t>Construction de la ligne 3 du métro à Sofia</w:t>
            </w:r>
          </w:p>
        </w:tc>
      </w:tr>
      <w:tr w:rsidR="00F74E13" w14:paraId="1CEBE4A1" w14:textId="77777777">
        <w:trPr>
          <w:trHeight w:val="302"/>
          <w:jc w:val="center"/>
        </w:trPr>
        <w:tc>
          <w:tcPr>
            <w:tcW w:w="1297" w:type="dxa"/>
            <w:shd w:val="clear" w:color="auto" w:fill="C6EFCE"/>
            <w:noWrap/>
          </w:tcPr>
          <w:p w14:paraId="1CEBE49D" w14:textId="77777777" w:rsidR="00F74E13" w:rsidRDefault="009274FC">
            <w:pPr>
              <w:pStyle w:val="P68B1DB1-Normal35"/>
              <w:spacing w:after="0" w:line="240" w:lineRule="auto"/>
              <w:jc w:val="center"/>
              <w:rPr>
                <w:noProof/>
              </w:rPr>
            </w:pPr>
            <w:r>
              <w:rPr>
                <w:noProof/>
              </w:rPr>
              <w:t>222</w:t>
            </w:r>
          </w:p>
        </w:tc>
        <w:tc>
          <w:tcPr>
            <w:tcW w:w="3827" w:type="dxa"/>
            <w:shd w:val="clear" w:color="auto" w:fill="C6EFCE"/>
            <w:noWrap/>
          </w:tcPr>
          <w:p w14:paraId="1CEBE49E"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560" w:type="dxa"/>
            <w:shd w:val="clear" w:color="auto" w:fill="C6EFCE"/>
            <w:noWrap/>
          </w:tcPr>
          <w:p w14:paraId="1CEBE49F"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4A0"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Entrée en vigueur du ou des actes juridiques relatifs à la </w:t>
            </w:r>
            <w:r>
              <w:rPr>
                <w:rFonts w:ascii="Times New Roman" w:eastAsia="Times New Roman" w:hAnsi="Times New Roman" w:cs="Times New Roman"/>
                <w:noProof/>
                <w:szCs w:val="20"/>
              </w:rPr>
              <w:t>procédure pénale et à la responsabilité</w:t>
            </w:r>
            <w:r>
              <w:rPr>
                <w:rFonts w:ascii="Times New Roman" w:hAnsi="Times New Roman"/>
                <w:noProof/>
              </w:rPr>
              <w:t xml:space="preserve"> </w:t>
            </w:r>
            <w:r>
              <w:rPr>
                <w:rFonts w:ascii="Times New Roman" w:eastAsia="Times New Roman" w:hAnsi="Times New Roman" w:cs="Times New Roman"/>
                <w:noProof/>
                <w:szCs w:val="20"/>
              </w:rPr>
              <w:t>pénale du procureur général</w:t>
            </w:r>
          </w:p>
        </w:tc>
      </w:tr>
      <w:tr w:rsidR="00F74E13" w14:paraId="1CEBE4A6" w14:textId="77777777">
        <w:trPr>
          <w:trHeight w:val="302"/>
          <w:jc w:val="center"/>
        </w:trPr>
        <w:tc>
          <w:tcPr>
            <w:tcW w:w="1297" w:type="dxa"/>
            <w:shd w:val="clear" w:color="auto" w:fill="C6EFCE"/>
            <w:noWrap/>
          </w:tcPr>
          <w:p w14:paraId="1CEBE4A2" w14:textId="77777777" w:rsidR="00F74E13" w:rsidRDefault="009274FC">
            <w:pPr>
              <w:pStyle w:val="P68B1DB1-Normal35"/>
              <w:spacing w:after="0" w:line="240" w:lineRule="auto"/>
              <w:jc w:val="center"/>
              <w:rPr>
                <w:noProof/>
              </w:rPr>
            </w:pPr>
            <w:r>
              <w:rPr>
                <w:noProof/>
              </w:rPr>
              <w:t>229</w:t>
            </w:r>
          </w:p>
        </w:tc>
        <w:tc>
          <w:tcPr>
            <w:tcW w:w="3827" w:type="dxa"/>
            <w:shd w:val="clear" w:color="auto" w:fill="C6EFCE"/>
            <w:noWrap/>
          </w:tcPr>
          <w:p w14:paraId="1CEBE4A3" w14:textId="77777777" w:rsidR="00F74E13" w:rsidRDefault="009274FC">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C10.R4 </w:t>
            </w:r>
            <w:r>
              <w:rPr>
                <w:rFonts w:ascii="Times New Roman" w:hAnsi="Times New Roman"/>
                <w:noProof/>
              </w:rPr>
              <w:t>Mesures concernant le cadre de l'insolvabilité</w:t>
            </w:r>
            <w:r>
              <w:rPr>
                <w:rFonts w:ascii="Times New Roman" w:eastAsia="Times New Roman" w:hAnsi="Times New Roman" w:cs="Times New Roman"/>
                <w:noProof/>
                <w:szCs w:val="20"/>
              </w:rPr>
              <w:t xml:space="preserve">  </w:t>
            </w:r>
          </w:p>
        </w:tc>
        <w:tc>
          <w:tcPr>
            <w:tcW w:w="1560" w:type="dxa"/>
            <w:shd w:val="clear" w:color="auto" w:fill="C6EFCE"/>
            <w:noWrap/>
          </w:tcPr>
          <w:p w14:paraId="1CEBE4A4"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A5" w14:textId="77777777" w:rsidR="00F74E13" w:rsidRDefault="009274FC">
            <w:pPr>
              <w:pStyle w:val="P68B1DB1-Normal22"/>
              <w:spacing w:after="0" w:line="240" w:lineRule="auto"/>
              <w:jc w:val="both"/>
              <w:rPr>
                <w:rFonts w:ascii="Times New Roman" w:hAnsi="Times New Roman" w:cs="Times New Roman"/>
                <w:noProof/>
                <w:szCs w:val="20"/>
              </w:rPr>
            </w:pPr>
            <w:r>
              <w:rPr>
                <w:rFonts w:ascii="Times New Roman" w:eastAsia="Times New Roman" w:hAnsi="Times New Roman" w:cs="Times New Roman"/>
                <w:noProof/>
                <w:szCs w:val="20"/>
              </w:rPr>
              <w:t xml:space="preserve">Mesures </w:t>
            </w:r>
            <w:r>
              <w:rPr>
                <w:rFonts w:ascii="Times New Roman" w:hAnsi="Times New Roman"/>
                <w:noProof/>
              </w:rPr>
              <w:t>relatives au</w:t>
            </w:r>
            <w:r>
              <w:rPr>
                <w:rFonts w:ascii="Times New Roman" w:eastAsia="Times New Roman" w:hAnsi="Times New Roman" w:cs="Times New Roman"/>
                <w:noProof/>
                <w:szCs w:val="20"/>
              </w:rPr>
              <w:t xml:space="preserve"> cadre en matière d'insolvabilité </w:t>
            </w:r>
          </w:p>
        </w:tc>
      </w:tr>
      <w:tr w:rsidR="00F74E13" w14:paraId="1CEBE4AB" w14:textId="77777777">
        <w:trPr>
          <w:trHeight w:val="302"/>
          <w:jc w:val="center"/>
        </w:trPr>
        <w:tc>
          <w:tcPr>
            <w:tcW w:w="1297" w:type="dxa"/>
            <w:shd w:val="clear" w:color="auto" w:fill="C6EFCE"/>
            <w:noWrap/>
          </w:tcPr>
          <w:p w14:paraId="1CEBE4A7" w14:textId="77777777" w:rsidR="00F74E13" w:rsidRDefault="009274FC">
            <w:pPr>
              <w:pStyle w:val="P68B1DB1-Normal35"/>
              <w:spacing w:after="0" w:line="240" w:lineRule="auto"/>
              <w:jc w:val="center"/>
              <w:rPr>
                <w:noProof/>
              </w:rPr>
            </w:pPr>
            <w:r>
              <w:rPr>
                <w:noProof/>
              </w:rPr>
              <w:t>230</w:t>
            </w:r>
          </w:p>
        </w:tc>
        <w:tc>
          <w:tcPr>
            <w:tcW w:w="3827" w:type="dxa"/>
            <w:shd w:val="clear" w:color="auto" w:fill="C6EFCE"/>
            <w:noWrap/>
          </w:tcPr>
          <w:p w14:paraId="1CEBE4A8" w14:textId="77777777" w:rsidR="00F74E13" w:rsidRDefault="009274FC">
            <w:pPr>
              <w:pStyle w:val="P68B1DB1-Normal35"/>
              <w:spacing w:after="0"/>
              <w:jc w:val="both"/>
              <w:rPr>
                <w:noProof/>
              </w:rPr>
            </w:pPr>
            <w:r>
              <w:rPr>
                <w:noProof/>
              </w:rPr>
              <w:t>C10.R5 Réforme numérique du secteur bulgare de la construction</w:t>
            </w:r>
          </w:p>
        </w:tc>
        <w:tc>
          <w:tcPr>
            <w:tcW w:w="1560" w:type="dxa"/>
            <w:shd w:val="clear" w:color="auto" w:fill="C6EFCE"/>
            <w:noWrap/>
          </w:tcPr>
          <w:p w14:paraId="1CEBE4A9"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AA" w14:textId="77777777" w:rsidR="00F74E13" w:rsidRDefault="009274FC">
            <w:pPr>
              <w:pStyle w:val="P68B1DB1-Normal35"/>
              <w:spacing w:after="0" w:line="240" w:lineRule="auto"/>
              <w:jc w:val="both"/>
              <w:rPr>
                <w:noProof/>
              </w:rPr>
            </w:pPr>
            <w:r>
              <w:rPr>
                <w:noProof/>
              </w:rPr>
              <w:t>Stratégie et feuille de route pour l'introduction de la modélisation de l'information du bâtiment (BIM)</w:t>
            </w:r>
          </w:p>
        </w:tc>
      </w:tr>
      <w:tr w:rsidR="00F74E13" w14:paraId="1CEBE4B0" w14:textId="77777777">
        <w:trPr>
          <w:trHeight w:val="302"/>
          <w:jc w:val="center"/>
        </w:trPr>
        <w:tc>
          <w:tcPr>
            <w:tcW w:w="1297" w:type="dxa"/>
            <w:shd w:val="clear" w:color="auto" w:fill="C6EFCE"/>
            <w:noWrap/>
          </w:tcPr>
          <w:p w14:paraId="1CEBE4AC" w14:textId="77777777" w:rsidR="00F74E13" w:rsidRDefault="009274FC">
            <w:pPr>
              <w:pStyle w:val="P68B1DB1-Normal35"/>
              <w:spacing w:after="0" w:line="240" w:lineRule="auto"/>
              <w:jc w:val="center"/>
              <w:rPr>
                <w:noProof/>
              </w:rPr>
            </w:pPr>
            <w:r>
              <w:rPr>
                <w:noProof/>
              </w:rPr>
              <w:t>233</w:t>
            </w:r>
          </w:p>
        </w:tc>
        <w:tc>
          <w:tcPr>
            <w:tcW w:w="3827" w:type="dxa"/>
            <w:shd w:val="clear" w:color="auto" w:fill="C6EFCE"/>
            <w:noWrap/>
          </w:tcPr>
          <w:p w14:paraId="1CEBE4AD" w14:textId="77777777" w:rsidR="00F74E13" w:rsidRDefault="009274FC">
            <w:pPr>
              <w:pStyle w:val="P68B1DB1-Normal35"/>
              <w:spacing w:after="0"/>
              <w:jc w:val="both"/>
              <w:rPr>
                <w:noProof/>
              </w:rPr>
            </w:pPr>
            <w:r>
              <w:rPr>
                <w:noProof/>
              </w:rPr>
              <w:t>C10.R6 Réforme du registre pour libérer le potentiel de l'administration en ligne</w:t>
            </w:r>
          </w:p>
        </w:tc>
        <w:tc>
          <w:tcPr>
            <w:tcW w:w="1560" w:type="dxa"/>
            <w:shd w:val="clear" w:color="auto" w:fill="C6EFCE"/>
            <w:noWrap/>
          </w:tcPr>
          <w:p w14:paraId="1CEBE4AE"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AF" w14:textId="77777777" w:rsidR="00F74E13" w:rsidRDefault="009274FC">
            <w:pPr>
              <w:pStyle w:val="P68B1DB1-Normal15"/>
              <w:spacing w:after="0" w:line="240" w:lineRule="auto"/>
              <w:jc w:val="both"/>
              <w:rPr>
                <w:rFonts w:cs="Times New Roman"/>
                <w:noProof/>
                <w:szCs w:val="20"/>
              </w:rPr>
            </w:pPr>
            <w:r>
              <w:rPr>
                <w:noProof/>
              </w:rPr>
              <w:t>Entrée en vigueur du ou des actes juridiques sur la gouvernance électronique</w:t>
            </w:r>
          </w:p>
        </w:tc>
      </w:tr>
      <w:tr w:rsidR="00F74E13" w14:paraId="1CEBE4B5" w14:textId="77777777">
        <w:trPr>
          <w:trHeight w:val="302"/>
          <w:jc w:val="center"/>
        </w:trPr>
        <w:tc>
          <w:tcPr>
            <w:tcW w:w="1297" w:type="dxa"/>
            <w:shd w:val="clear" w:color="auto" w:fill="C6EFCE"/>
            <w:noWrap/>
          </w:tcPr>
          <w:p w14:paraId="1CEBE4B1" w14:textId="77777777" w:rsidR="00F74E13" w:rsidRDefault="009274FC">
            <w:pPr>
              <w:pStyle w:val="P68B1DB1-Normal35"/>
              <w:spacing w:after="0" w:line="240" w:lineRule="auto"/>
              <w:jc w:val="center"/>
              <w:rPr>
                <w:noProof/>
              </w:rPr>
            </w:pPr>
            <w:r>
              <w:rPr>
                <w:noProof/>
              </w:rPr>
              <w:t>237</w:t>
            </w:r>
          </w:p>
        </w:tc>
        <w:tc>
          <w:tcPr>
            <w:tcW w:w="3827" w:type="dxa"/>
            <w:shd w:val="clear" w:color="auto" w:fill="C6EFCE"/>
            <w:noWrap/>
          </w:tcPr>
          <w:p w14:paraId="1CEBE4B2" w14:textId="77777777" w:rsidR="00F74E13" w:rsidRDefault="009274FC">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C10.R7  Cadre </w:t>
            </w:r>
            <w:r>
              <w:rPr>
                <w:rFonts w:ascii="Times New Roman" w:hAnsi="Times New Roman"/>
                <w:noProof/>
              </w:rPr>
              <w:t>de gouvernance pour les</w:t>
            </w:r>
            <w:r>
              <w:rPr>
                <w:rFonts w:ascii="Times New Roman" w:eastAsia="Times New Roman" w:hAnsi="Times New Roman" w:cs="Times New Roman"/>
                <w:noProof/>
                <w:szCs w:val="20"/>
              </w:rPr>
              <w:t xml:space="preserve"> entreprises publiques</w:t>
            </w:r>
          </w:p>
        </w:tc>
        <w:tc>
          <w:tcPr>
            <w:tcW w:w="1560" w:type="dxa"/>
            <w:shd w:val="clear" w:color="auto" w:fill="C6EFCE"/>
            <w:noWrap/>
          </w:tcPr>
          <w:p w14:paraId="1CEBE4B3"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B4" w14:textId="77777777" w:rsidR="00F74E13" w:rsidRDefault="009274FC">
            <w:pPr>
              <w:pStyle w:val="P68B1DB1-Normal15"/>
              <w:spacing w:after="0" w:line="240" w:lineRule="auto"/>
              <w:jc w:val="both"/>
              <w:rPr>
                <w:rFonts w:cs="Times New Roman"/>
                <w:noProof/>
                <w:szCs w:val="20"/>
              </w:rPr>
            </w:pPr>
            <w:r>
              <w:rPr>
                <w:noProof/>
              </w:rPr>
              <w:t xml:space="preserve">Conformité de la composition des </w:t>
            </w:r>
            <w:r>
              <w:rPr>
                <w:noProof/>
                <w:szCs w:val="20"/>
              </w:rPr>
              <w:t xml:space="preserve">conseils d'administration </w:t>
            </w:r>
            <w:r>
              <w:rPr>
                <w:noProof/>
              </w:rPr>
              <w:t xml:space="preserve">des grandes entreprises publiques </w:t>
            </w:r>
          </w:p>
        </w:tc>
      </w:tr>
      <w:tr w:rsidR="00F74E13" w14:paraId="1CEBE4BA" w14:textId="77777777">
        <w:trPr>
          <w:trHeight w:val="302"/>
          <w:jc w:val="center"/>
        </w:trPr>
        <w:tc>
          <w:tcPr>
            <w:tcW w:w="1297" w:type="dxa"/>
            <w:shd w:val="clear" w:color="auto" w:fill="C6EFCE"/>
            <w:noWrap/>
          </w:tcPr>
          <w:p w14:paraId="1CEBE4B6" w14:textId="77777777" w:rsidR="00F74E13" w:rsidRDefault="009274FC">
            <w:pPr>
              <w:pStyle w:val="P68B1DB1-Normal35"/>
              <w:spacing w:after="0" w:line="240" w:lineRule="auto"/>
              <w:jc w:val="center"/>
              <w:rPr>
                <w:noProof/>
              </w:rPr>
            </w:pPr>
            <w:r>
              <w:rPr>
                <w:noProof/>
              </w:rPr>
              <w:t>240</w:t>
            </w:r>
          </w:p>
        </w:tc>
        <w:tc>
          <w:tcPr>
            <w:tcW w:w="3827" w:type="dxa"/>
            <w:shd w:val="clear" w:color="auto" w:fill="C6EFCE"/>
            <w:noWrap/>
          </w:tcPr>
          <w:p w14:paraId="1CEBE4B7" w14:textId="1777AED6" w:rsidR="00F74E13" w:rsidRDefault="009274FC">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C10.R8 </w:t>
            </w:r>
            <w:r>
              <w:rPr>
                <w:rFonts w:ascii="Times New Roman" w:hAnsi="Times New Roman"/>
                <w:noProof/>
              </w:rPr>
              <w:t>Mesures concernant</w:t>
            </w:r>
            <w:r>
              <w:rPr>
                <w:rFonts w:ascii="Times New Roman" w:eastAsia="Times New Roman" w:hAnsi="Times New Roman" w:cs="Times New Roman"/>
                <w:noProof/>
                <w:szCs w:val="20"/>
              </w:rPr>
              <w:t xml:space="preserve"> le cadre de lutte contre le blanchiment de capitaux</w:t>
            </w:r>
          </w:p>
        </w:tc>
        <w:tc>
          <w:tcPr>
            <w:tcW w:w="1560" w:type="dxa"/>
            <w:shd w:val="clear" w:color="auto" w:fill="C6EFCE"/>
            <w:noWrap/>
          </w:tcPr>
          <w:p w14:paraId="1CEBE4B8" w14:textId="77777777" w:rsidR="00F74E13" w:rsidRDefault="009274FC">
            <w:pPr>
              <w:pStyle w:val="P68B1DB1-Normal35"/>
              <w:spacing w:after="0" w:line="240" w:lineRule="auto"/>
              <w:jc w:val="center"/>
              <w:rPr>
                <w:noProof/>
              </w:rPr>
            </w:pPr>
            <w:r>
              <w:rPr>
                <w:noProof/>
              </w:rPr>
              <w:t xml:space="preserve">Étape </w:t>
            </w:r>
          </w:p>
        </w:tc>
        <w:tc>
          <w:tcPr>
            <w:tcW w:w="3541" w:type="dxa"/>
            <w:shd w:val="clear" w:color="auto" w:fill="C6EFCE"/>
            <w:noWrap/>
          </w:tcPr>
          <w:p w14:paraId="1CEBE4B9" w14:textId="77777777" w:rsidR="00F74E13" w:rsidRDefault="009274FC">
            <w:pPr>
              <w:pStyle w:val="P68B1DB1-Normal15"/>
              <w:spacing w:after="0" w:line="240" w:lineRule="auto"/>
              <w:jc w:val="both"/>
              <w:rPr>
                <w:rFonts w:cs="Times New Roman"/>
                <w:noProof/>
                <w:szCs w:val="20"/>
              </w:rPr>
            </w:pPr>
            <w:r>
              <w:rPr>
                <w:noProof/>
              </w:rPr>
              <w:t xml:space="preserve">Capacités et aptitudes des superviseurs </w:t>
            </w:r>
          </w:p>
        </w:tc>
      </w:tr>
      <w:tr w:rsidR="00F74E13" w14:paraId="1CEBE4BF" w14:textId="77777777">
        <w:trPr>
          <w:trHeight w:val="302"/>
          <w:jc w:val="center"/>
        </w:trPr>
        <w:tc>
          <w:tcPr>
            <w:tcW w:w="1297" w:type="dxa"/>
            <w:shd w:val="clear" w:color="auto" w:fill="C6EFCE"/>
            <w:noWrap/>
          </w:tcPr>
          <w:p w14:paraId="1CEBE4BB" w14:textId="77777777" w:rsidR="00F74E13" w:rsidRDefault="009274FC">
            <w:pPr>
              <w:pStyle w:val="P68B1DB1-Normal15"/>
              <w:spacing w:after="0" w:line="240" w:lineRule="auto"/>
              <w:jc w:val="center"/>
              <w:rPr>
                <w:noProof/>
              </w:rPr>
            </w:pPr>
            <w:r>
              <w:rPr>
                <w:noProof/>
              </w:rPr>
              <w:t>244</w:t>
            </w:r>
          </w:p>
        </w:tc>
        <w:tc>
          <w:tcPr>
            <w:tcW w:w="3827" w:type="dxa"/>
            <w:shd w:val="clear" w:color="auto" w:fill="C6EFCE"/>
            <w:noWrap/>
          </w:tcPr>
          <w:p w14:paraId="1CEBE4BC" w14:textId="77777777" w:rsidR="00F74E13" w:rsidRDefault="009274FC">
            <w:pPr>
              <w:pStyle w:val="P68B1DB1-Normal15"/>
              <w:spacing w:after="0"/>
              <w:jc w:val="both"/>
              <w:rPr>
                <w:noProof/>
              </w:rPr>
            </w:pPr>
            <w:r>
              <w:rPr>
                <w:noProof/>
              </w:rPr>
              <w:t>C10.R10 Marchés publics</w:t>
            </w:r>
          </w:p>
        </w:tc>
        <w:tc>
          <w:tcPr>
            <w:tcW w:w="1560" w:type="dxa"/>
            <w:shd w:val="clear" w:color="auto" w:fill="C6EFCE"/>
            <w:noWrap/>
          </w:tcPr>
          <w:p w14:paraId="1CEBE4BD"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4BE" w14:textId="657B0EB3" w:rsidR="00F74E13" w:rsidRDefault="009274FC">
            <w:pPr>
              <w:pStyle w:val="P68B1DB1-Normal15"/>
              <w:spacing w:after="0" w:line="240" w:lineRule="auto"/>
              <w:jc w:val="both"/>
              <w:rPr>
                <w:noProof/>
              </w:rPr>
            </w:pPr>
            <w:r>
              <w:rPr>
                <w:noProof/>
              </w:rPr>
              <w:t>Méthodologie de l’Agence des marchés publics</w:t>
            </w:r>
          </w:p>
        </w:tc>
      </w:tr>
      <w:tr w:rsidR="00F74E13" w14:paraId="1CEBE4C4" w14:textId="77777777">
        <w:trPr>
          <w:trHeight w:val="302"/>
          <w:jc w:val="center"/>
        </w:trPr>
        <w:tc>
          <w:tcPr>
            <w:tcW w:w="1297" w:type="dxa"/>
            <w:shd w:val="clear" w:color="auto" w:fill="C6EFCE"/>
            <w:noWrap/>
          </w:tcPr>
          <w:p w14:paraId="1CEBE4C0" w14:textId="77777777" w:rsidR="00F74E13" w:rsidRDefault="009274FC">
            <w:pPr>
              <w:pStyle w:val="P68B1DB1-Normal35"/>
              <w:spacing w:after="0" w:line="240" w:lineRule="auto"/>
              <w:jc w:val="center"/>
              <w:rPr>
                <w:noProof/>
              </w:rPr>
            </w:pPr>
            <w:r>
              <w:rPr>
                <w:noProof/>
              </w:rPr>
              <w:t>245</w:t>
            </w:r>
          </w:p>
        </w:tc>
        <w:tc>
          <w:tcPr>
            <w:tcW w:w="3827" w:type="dxa"/>
            <w:shd w:val="clear" w:color="auto" w:fill="C6EFCE"/>
            <w:noWrap/>
          </w:tcPr>
          <w:p w14:paraId="1CEBE4C1" w14:textId="77777777" w:rsidR="00F74E13" w:rsidRDefault="009274FC">
            <w:pPr>
              <w:pStyle w:val="P68B1DB1-Normal35"/>
              <w:spacing w:after="0"/>
              <w:jc w:val="both"/>
              <w:rPr>
                <w:noProof/>
              </w:rPr>
            </w:pPr>
            <w:r>
              <w:rPr>
                <w:noProof/>
              </w:rPr>
              <w:t>C10.R10 Marchés publics</w:t>
            </w:r>
          </w:p>
        </w:tc>
        <w:tc>
          <w:tcPr>
            <w:tcW w:w="1560" w:type="dxa"/>
            <w:shd w:val="clear" w:color="auto" w:fill="C6EFCE"/>
            <w:noWrap/>
          </w:tcPr>
          <w:p w14:paraId="1CEBE4C2"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C3" w14:textId="77777777" w:rsidR="00F74E13" w:rsidRDefault="009274FC">
            <w:pPr>
              <w:pStyle w:val="P68B1DB1-Normal13"/>
              <w:spacing w:after="0" w:line="240" w:lineRule="auto"/>
              <w:jc w:val="both"/>
              <w:rPr>
                <w:rFonts w:cs="Times New Roman"/>
                <w:noProof/>
              </w:rPr>
            </w:pPr>
            <w:r>
              <w:rPr>
                <w:noProof/>
              </w:rPr>
              <w:t>Formulaires électroniques types pour les marchés publics</w:t>
            </w:r>
          </w:p>
        </w:tc>
      </w:tr>
      <w:tr w:rsidR="00F74E13" w14:paraId="1CEBE4C9" w14:textId="77777777">
        <w:trPr>
          <w:trHeight w:val="302"/>
          <w:jc w:val="center"/>
        </w:trPr>
        <w:tc>
          <w:tcPr>
            <w:tcW w:w="1297" w:type="dxa"/>
            <w:shd w:val="clear" w:color="auto" w:fill="C6EFCE"/>
            <w:noWrap/>
          </w:tcPr>
          <w:p w14:paraId="1CEBE4C5" w14:textId="77777777" w:rsidR="00F74E13" w:rsidRDefault="009274FC">
            <w:pPr>
              <w:pStyle w:val="P68B1DB1-Normal35"/>
              <w:spacing w:after="0" w:line="240" w:lineRule="auto"/>
              <w:jc w:val="center"/>
              <w:rPr>
                <w:noProof/>
              </w:rPr>
            </w:pPr>
            <w:r>
              <w:rPr>
                <w:noProof/>
              </w:rPr>
              <w:t>255</w:t>
            </w:r>
          </w:p>
        </w:tc>
        <w:tc>
          <w:tcPr>
            <w:tcW w:w="3827" w:type="dxa"/>
            <w:shd w:val="clear" w:color="auto" w:fill="C6EFCE"/>
            <w:noWrap/>
          </w:tcPr>
          <w:p w14:paraId="1CEBE4C6" w14:textId="77777777" w:rsidR="00F74E13" w:rsidRDefault="009274FC">
            <w:pPr>
              <w:pStyle w:val="P68B1DB1-Normal35"/>
              <w:spacing w:after="0"/>
              <w:jc w:val="both"/>
              <w:rPr>
                <w:noProof/>
              </w:rPr>
            </w:pPr>
            <w:r>
              <w:rPr>
                <w:noProof/>
              </w:rPr>
              <w:t>C10.R11 Bulgarie entrepreneuriale</w:t>
            </w:r>
          </w:p>
        </w:tc>
        <w:tc>
          <w:tcPr>
            <w:tcW w:w="1560" w:type="dxa"/>
            <w:shd w:val="clear" w:color="auto" w:fill="C6EFCE"/>
            <w:noWrap/>
          </w:tcPr>
          <w:p w14:paraId="1CEBE4C7"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4C8" w14:textId="3CEFC364" w:rsidR="00F74E13" w:rsidRDefault="009274FC">
            <w:pPr>
              <w:pStyle w:val="P68B1DB1-Normal15"/>
              <w:spacing w:after="0" w:line="240" w:lineRule="auto"/>
              <w:jc w:val="both"/>
              <w:rPr>
                <w:noProof/>
              </w:rPr>
            </w:pPr>
            <w:r>
              <w:rPr>
                <w:noProof/>
              </w:rPr>
              <w:t xml:space="preserve">Entrée en vigueur du </w:t>
            </w:r>
            <w:r>
              <w:rPr>
                <w:noProof/>
                <w:szCs w:val="20"/>
              </w:rPr>
              <w:t>ou des actes juridiques relatifs au travail à distance</w:t>
            </w:r>
          </w:p>
        </w:tc>
      </w:tr>
      <w:tr w:rsidR="00F74E13" w14:paraId="1CEBE4CE" w14:textId="77777777">
        <w:trPr>
          <w:trHeight w:val="302"/>
          <w:jc w:val="center"/>
        </w:trPr>
        <w:tc>
          <w:tcPr>
            <w:tcW w:w="1297" w:type="dxa"/>
            <w:shd w:val="clear" w:color="auto" w:fill="C6EFCE"/>
            <w:noWrap/>
          </w:tcPr>
          <w:p w14:paraId="1CEBE4CA" w14:textId="77777777" w:rsidR="00F74E13" w:rsidRDefault="009274FC">
            <w:pPr>
              <w:pStyle w:val="P68B1DB1-Normal35"/>
              <w:spacing w:after="0" w:line="240" w:lineRule="auto"/>
              <w:jc w:val="center"/>
              <w:rPr>
                <w:noProof/>
              </w:rPr>
            </w:pPr>
            <w:r>
              <w:rPr>
                <w:noProof/>
              </w:rPr>
              <w:t>263</w:t>
            </w:r>
          </w:p>
        </w:tc>
        <w:tc>
          <w:tcPr>
            <w:tcW w:w="3827" w:type="dxa"/>
            <w:shd w:val="clear" w:color="auto" w:fill="C6EFCE"/>
            <w:noWrap/>
          </w:tcPr>
          <w:p w14:paraId="1CEBE4CB" w14:textId="77777777" w:rsidR="00F74E13" w:rsidRDefault="009274FC">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C10.I3  Infrastructure d’information et de communication du ministère public</w:t>
            </w:r>
          </w:p>
        </w:tc>
        <w:tc>
          <w:tcPr>
            <w:tcW w:w="1560" w:type="dxa"/>
            <w:shd w:val="clear" w:color="auto" w:fill="C6EFCE"/>
            <w:noWrap/>
          </w:tcPr>
          <w:p w14:paraId="1CEBE4CC"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CD" w14:textId="77777777" w:rsidR="00F74E13" w:rsidRDefault="009274FC">
            <w:pPr>
              <w:pStyle w:val="P68B1DB1-Normal15"/>
              <w:spacing w:after="0" w:line="240" w:lineRule="auto"/>
              <w:jc w:val="both"/>
              <w:rPr>
                <w:rFonts w:cs="Times New Roman"/>
                <w:noProof/>
                <w:szCs w:val="20"/>
              </w:rPr>
            </w:pPr>
            <w:r>
              <w:rPr>
                <w:noProof/>
              </w:rPr>
              <w:t>Infrastructures d’information et de communication au sein du ministère public</w:t>
            </w:r>
          </w:p>
        </w:tc>
      </w:tr>
      <w:tr w:rsidR="00F74E13" w14:paraId="1CEBE4D3" w14:textId="77777777">
        <w:trPr>
          <w:trHeight w:val="302"/>
          <w:jc w:val="center"/>
        </w:trPr>
        <w:tc>
          <w:tcPr>
            <w:tcW w:w="1297" w:type="dxa"/>
            <w:shd w:val="clear" w:color="auto" w:fill="C6EFCE"/>
            <w:noWrap/>
          </w:tcPr>
          <w:p w14:paraId="1CEBE4CF" w14:textId="77777777" w:rsidR="00F74E13" w:rsidRDefault="009274FC">
            <w:pPr>
              <w:pStyle w:val="P68B1DB1-Normal35"/>
              <w:spacing w:after="0" w:line="240" w:lineRule="auto"/>
              <w:jc w:val="center"/>
              <w:rPr>
                <w:noProof/>
              </w:rPr>
            </w:pPr>
            <w:r>
              <w:rPr>
                <w:noProof/>
              </w:rPr>
              <w:t>267</w:t>
            </w:r>
          </w:p>
        </w:tc>
        <w:tc>
          <w:tcPr>
            <w:tcW w:w="3827" w:type="dxa"/>
            <w:shd w:val="clear" w:color="auto" w:fill="C6EFCE"/>
            <w:noWrap/>
          </w:tcPr>
          <w:p w14:paraId="1CEBE4D0" w14:textId="77777777" w:rsidR="00F74E13" w:rsidRDefault="009274FC">
            <w:pPr>
              <w:pStyle w:val="P68B1DB1-Normal15"/>
              <w:spacing w:after="0"/>
              <w:jc w:val="both"/>
              <w:rPr>
                <w:noProof/>
              </w:rPr>
            </w:pPr>
            <w:r>
              <w:rPr>
                <w:noProof/>
              </w:rPr>
              <w:t>C10.I4 Services de sécurité</w:t>
            </w:r>
          </w:p>
        </w:tc>
        <w:tc>
          <w:tcPr>
            <w:tcW w:w="1560" w:type="dxa"/>
            <w:shd w:val="clear" w:color="auto" w:fill="C6EFCE"/>
            <w:noWrap/>
          </w:tcPr>
          <w:p w14:paraId="1CEBE4D1"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4D2" w14:textId="77777777" w:rsidR="00F74E13" w:rsidRDefault="009274FC">
            <w:pPr>
              <w:pStyle w:val="P68B1DB1-Normal15"/>
              <w:spacing w:after="0" w:line="240" w:lineRule="auto"/>
              <w:jc w:val="both"/>
              <w:rPr>
                <w:noProof/>
              </w:rPr>
            </w:pPr>
            <w:r>
              <w:rPr>
                <w:noProof/>
              </w:rPr>
              <w:t xml:space="preserve">Acquisition de caméras corporelles </w:t>
            </w:r>
          </w:p>
        </w:tc>
      </w:tr>
      <w:tr w:rsidR="00F74E13" w14:paraId="1CEBE4D8" w14:textId="77777777">
        <w:trPr>
          <w:trHeight w:val="302"/>
          <w:jc w:val="center"/>
        </w:trPr>
        <w:tc>
          <w:tcPr>
            <w:tcW w:w="1297" w:type="dxa"/>
            <w:shd w:val="clear" w:color="auto" w:fill="C6EFCE"/>
            <w:noWrap/>
          </w:tcPr>
          <w:p w14:paraId="1CEBE4D4" w14:textId="77777777" w:rsidR="00F74E13" w:rsidRDefault="009274FC">
            <w:pPr>
              <w:pStyle w:val="P68B1DB1-Normal15"/>
              <w:spacing w:after="0" w:line="240" w:lineRule="auto"/>
              <w:jc w:val="center"/>
              <w:rPr>
                <w:noProof/>
              </w:rPr>
            </w:pPr>
            <w:r>
              <w:rPr>
                <w:noProof/>
              </w:rPr>
              <w:t>284</w:t>
            </w:r>
          </w:p>
        </w:tc>
        <w:tc>
          <w:tcPr>
            <w:tcW w:w="3827" w:type="dxa"/>
            <w:shd w:val="clear" w:color="auto" w:fill="C6EFCE"/>
            <w:noWrap/>
          </w:tcPr>
          <w:p w14:paraId="1CEBE4D5"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C10.I11</w:t>
            </w:r>
            <w:r>
              <w:rPr>
                <w:rFonts w:ascii="Times New Roman" w:hAnsi="Times New Roman"/>
                <w:noProof/>
              </w:rPr>
              <w:t xml:space="preserve"> Environnement informationnel et administratif pour le plan pour la reprise et la résilience</w:t>
            </w:r>
          </w:p>
        </w:tc>
        <w:tc>
          <w:tcPr>
            <w:tcW w:w="1560" w:type="dxa"/>
            <w:shd w:val="clear" w:color="auto" w:fill="C6EFCE"/>
            <w:noWrap/>
          </w:tcPr>
          <w:p w14:paraId="1CEBE4D6" w14:textId="77777777" w:rsidR="00F74E13" w:rsidRDefault="009274FC">
            <w:pPr>
              <w:pStyle w:val="P68B1DB1-Normal13"/>
              <w:spacing w:after="0" w:line="240" w:lineRule="auto"/>
              <w:jc w:val="center"/>
              <w:rPr>
                <w:noProof/>
              </w:rPr>
            </w:pPr>
            <w:r>
              <w:rPr>
                <w:noProof/>
              </w:rPr>
              <w:t>Étape</w:t>
            </w:r>
          </w:p>
        </w:tc>
        <w:tc>
          <w:tcPr>
            <w:tcW w:w="3541" w:type="dxa"/>
            <w:shd w:val="clear" w:color="auto" w:fill="C6EFCE"/>
            <w:noWrap/>
          </w:tcPr>
          <w:p w14:paraId="1CEBE4D7" w14:textId="77777777" w:rsidR="00F74E13" w:rsidRDefault="009274FC">
            <w:pPr>
              <w:pStyle w:val="P68B1DB1-Normal13"/>
              <w:spacing w:after="0" w:line="240" w:lineRule="auto"/>
              <w:jc w:val="both"/>
              <w:rPr>
                <w:noProof/>
              </w:rPr>
            </w:pPr>
            <w:r>
              <w:rPr>
                <w:noProof/>
              </w:rPr>
              <w:t xml:space="preserve">Mise à jour ou publication de guides vidéo </w:t>
            </w:r>
          </w:p>
        </w:tc>
      </w:tr>
      <w:tr w:rsidR="00F74E13" w14:paraId="1CEBE4DD" w14:textId="77777777">
        <w:trPr>
          <w:trHeight w:val="302"/>
          <w:jc w:val="center"/>
        </w:trPr>
        <w:tc>
          <w:tcPr>
            <w:tcW w:w="1297" w:type="dxa"/>
            <w:shd w:val="clear" w:color="auto" w:fill="C6EFCE"/>
            <w:noWrap/>
          </w:tcPr>
          <w:p w14:paraId="1CEBE4D9" w14:textId="77777777" w:rsidR="00F74E13" w:rsidRDefault="009274FC">
            <w:pPr>
              <w:pStyle w:val="P68B1DB1-Normal35"/>
              <w:spacing w:after="0" w:line="240" w:lineRule="auto"/>
              <w:jc w:val="center"/>
              <w:rPr>
                <w:noProof/>
              </w:rPr>
            </w:pPr>
            <w:r>
              <w:rPr>
                <w:noProof/>
              </w:rPr>
              <w:t>288</w:t>
            </w:r>
          </w:p>
        </w:tc>
        <w:tc>
          <w:tcPr>
            <w:tcW w:w="3827" w:type="dxa"/>
            <w:shd w:val="clear" w:color="auto" w:fill="C6EFCE"/>
            <w:noWrap/>
          </w:tcPr>
          <w:p w14:paraId="1CEBE4DA" w14:textId="77777777" w:rsidR="00F74E13" w:rsidRDefault="009274FC">
            <w:pPr>
              <w:pStyle w:val="P68B1DB1-Normal12"/>
              <w:spacing w:after="0"/>
              <w:jc w:val="both"/>
              <w:rPr>
                <w:noProof/>
              </w:rPr>
            </w:pPr>
            <w:r>
              <w:rPr>
                <w:noProof/>
              </w:rPr>
              <w:t>C11.R1 Réforme du régime de revenu minimum</w:t>
            </w:r>
          </w:p>
        </w:tc>
        <w:tc>
          <w:tcPr>
            <w:tcW w:w="1560" w:type="dxa"/>
            <w:shd w:val="clear" w:color="auto" w:fill="C6EFCE"/>
            <w:noWrap/>
          </w:tcPr>
          <w:p w14:paraId="1CEBE4DB"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DC" w14:textId="77777777" w:rsidR="00F74E13" w:rsidRDefault="009274FC">
            <w:pPr>
              <w:pStyle w:val="P68B1DB1-Normal13"/>
              <w:spacing w:after="0" w:line="240" w:lineRule="auto"/>
              <w:jc w:val="both"/>
              <w:rPr>
                <w:rFonts w:cs="Times New Roman"/>
                <w:noProof/>
              </w:rPr>
            </w:pPr>
            <w:r>
              <w:rPr>
                <w:noProof/>
              </w:rPr>
              <w:t>Entrée en vigueur du ou des actes juridiques relatifs au régime de revenu minimum</w:t>
            </w:r>
          </w:p>
        </w:tc>
      </w:tr>
      <w:tr w:rsidR="00F74E13" w14:paraId="1CEBE4E2" w14:textId="77777777">
        <w:trPr>
          <w:trHeight w:val="302"/>
          <w:jc w:val="center"/>
        </w:trPr>
        <w:tc>
          <w:tcPr>
            <w:tcW w:w="1297" w:type="dxa"/>
            <w:shd w:val="clear" w:color="auto" w:fill="C6EFCE"/>
            <w:noWrap/>
          </w:tcPr>
          <w:p w14:paraId="1CEBE4DE" w14:textId="77777777" w:rsidR="00F74E13" w:rsidRDefault="009274FC">
            <w:pPr>
              <w:pStyle w:val="P68B1DB1-Normal35"/>
              <w:spacing w:after="0" w:line="240" w:lineRule="auto"/>
              <w:jc w:val="center"/>
              <w:rPr>
                <w:noProof/>
              </w:rPr>
            </w:pPr>
            <w:r>
              <w:rPr>
                <w:noProof/>
              </w:rPr>
              <w:t>291</w:t>
            </w:r>
          </w:p>
        </w:tc>
        <w:tc>
          <w:tcPr>
            <w:tcW w:w="3827" w:type="dxa"/>
            <w:shd w:val="clear" w:color="auto" w:fill="C6EFCE"/>
            <w:noWrap/>
          </w:tcPr>
          <w:p w14:paraId="1CEBE4DF" w14:textId="77777777" w:rsidR="00F74E13" w:rsidRDefault="009274FC">
            <w:pPr>
              <w:pStyle w:val="P68B1DB1-Normal12"/>
              <w:spacing w:after="0"/>
              <w:jc w:val="both"/>
              <w:rPr>
                <w:noProof/>
              </w:rPr>
            </w:pPr>
            <w:r>
              <w:rPr>
                <w:noProof/>
              </w:rPr>
              <w:t>C11.R2 Réforme des services sociaux</w:t>
            </w:r>
          </w:p>
        </w:tc>
        <w:tc>
          <w:tcPr>
            <w:tcW w:w="1560" w:type="dxa"/>
            <w:shd w:val="clear" w:color="auto" w:fill="C6EFCE"/>
            <w:noWrap/>
          </w:tcPr>
          <w:p w14:paraId="1CEBE4E0"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E1" w14:textId="77777777" w:rsidR="00F74E13" w:rsidRDefault="009274FC">
            <w:pPr>
              <w:pStyle w:val="P68B1DB1-Normal13"/>
              <w:spacing w:after="0" w:line="240" w:lineRule="auto"/>
              <w:jc w:val="both"/>
              <w:rPr>
                <w:rFonts w:cs="Times New Roman"/>
                <w:noProof/>
              </w:rPr>
            </w:pPr>
            <w:r>
              <w:rPr>
                <w:noProof/>
              </w:rPr>
              <w:t>Entrée en vigueur du ou des actes juridiques sur la carte nationale des services sociaux</w:t>
            </w:r>
          </w:p>
        </w:tc>
      </w:tr>
      <w:tr w:rsidR="00F74E13" w14:paraId="1CEBE4E7" w14:textId="77777777">
        <w:trPr>
          <w:trHeight w:val="302"/>
          <w:jc w:val="center"/>
        </w:trPr>
        <w:tc>
          <w:tcPr>
            <w:tcW w:w="1297" w:type="dxa"/>
            <w:shd w:val="clear" w:color="auto" w:fill="C6EFCE"/>
            <w:noWrap/>
          </w:tcPr>
          <w:p w14:paraId="1CEBE4E3" w14:textId="77777777" w:rsidR="00F74E13" w:rsidRDefault="009274FC">
            <w:pPr>
              <w:pStyle w:val="P68B1DB1-Normal35"/>
              <w:spacing w:after="0" w:line="240" w:lineRule="auto"/>
              <w:jc w:val="center"/>
              <w:rPr>
                <w:noProof/>
              </w:rPr>
            </w:pPr>
            <w:r>
              <w:rPr>
                <w:noProof/>
              </w:rPr>
              <w:t>303</w:t>
            </w:r>
          </w:p>
        </w:tc>
        <w:tc>
          <w:tcPr>
            <w:tcW w:w="3827" w:type="dxa"/>
            <w:shd w:val="clear" w:color="auto" w:fill="C6EFCE"/>
            <w:noWrap/>
          </w:tcPr>
          <w:p w14:paraId="1CEBE4E4" w14:textId="77777777" w:rsidR="00F74E13" w:rsidRDefault="009274FC">
            <w:pPr>
              <w:pStyle w:val="P68B1DB1-Normal12"/>
              <w:spacing w:after="0"/>
              <w:jc w:val="both"/>
              <w:rPr>
                <w:noProof/>
              </w:rPr>
            </w:pPr>
            <w:r>
              <w:rPr>
                <w:noProof/>
              </w:rPr>
              <w:t>C11.I4 Rénovation de l'Agence d'assistance sociale</w:t>
            </w:r>
          </w:p>
        </w:tc>
        <w:tc>
          <w:tcPr>
            <w:tcW w:w="1560" w:type="dxa"/>
            <w:shd w:val="clear" w:color="auto" w:fill="C6EFCE"/>
            <w:noWrap/>
          </w:tcPr>
          <w:p w14:paraId="1CEBE4E5"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E6" w14:textId="77777777" w:rsidR="00F74E13" w:rsidRDefault="009274FC">
            <w:pPr>
              <w:pStyle w:val="P68B1DB1-Normal13"/>
              <w:spacing w:after="0" w:line="240" w:lineRule="auto"/>
              <w:jc w:val="both"/>
              <w:rPr>
                <w:rFonts w:cs="Times New Roman"/>
                <w:noProof/>
              </w:rPr>
            </w:pPr>
            <w:r>
              <w:rPr>
                <w:noProof/>
              </w:rPr>
              <w:t>Signature des contrats pour les structures territoriales de l'Agence d'Assistance Sociale</w:t>
            </w:r>
          </w:p>
        </w:tc>
      </w:tr>
      <w:tr w:rsidR="00F74E13" w14:paraId="1CEBE4EC" w14:textId="77777777">
        <w:trPr>
          <w:trHeight w:val="302"/>
          <w:jc w:val="center"/>
        </w:trPr>
        <w:tc>
          <w:tcPr>
            <w:tcW w:w="1297" w:type="dxa"/>
            <w:shd w:val="clear" w:color="auto" w:fill="C6EFCE"/>
            <w:noWrap/>
          </w:tcPr>
          <w:p w14:paraId="1CEBE4E8" w14:textId="77777777" w:rsidR="00F74E13" w:rsidRDefault="009274FC">
            <w:pPr>
              <w:pStyle w:val="P68B1DB1-Normal35"/>
              <w:spacing w:after="0" w:line="240" w:lineRule="auto"/>
              <w:jc w:val="center"/>
              <w:rPr>
                <w:noProof/>
              </w:rPr>
            </w:pPr>
            <w:r>
              <w:rPr>
                <w:noProof/>
              </w:rPr>
              <w:t>307</w:t>
            </w:r>
          </w:p>
        </w:tc>
        <w:tc>
          <w:tcPr>
            <w:tcW w:w="3827" w:type="dxa"/>
            <w:shd w:val="clear" w:color="auto" w:fill="C6EFCE"/>
            <w:noWrap/>
          </w:tcPr>
          <w:p w14:paraId="1CEBE4E9" w14:textId="77777777" w:rsidR="00F74E13" w:rsidRDefault="009274FC">
            <w:pPr>
              <w:pStyle w:val="P68B1DB1-Normal13"/>
              <w:spacing w:after="0"/>
              <w:jc w:val="both"/>
              <w:rPr>
                <w:rFonts w:cs="Times New Roman"/>
                <w:noProof/>
              </w:rPr>
            </w:pPr>
            <w:r>
              <w:rPr>
                <w:noProof/>
              </w:rPr>
              <w:t>C11.I6 Soutien au secteur culturel</w:t>
            </w:r>
          </w:p>
        </w:tc>
        <w:tc>
          <w:tcPr>
            <w:tcW w:w="1560" w:type="dxa"/>
            <w:shd w:val="clear" w:color="auto" w:fill="C6EFCE"/>
            <w:noWrap/>
          </w:tcPr>
          <w:p w14:paraId="1CEBE4EA"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EB" w14:textId="77777777" w:rsidR="00F74E13" w:rsidRDefault="009274FC">
            <w:pPr>
              <w:pStyle w:val="P68B1DB1-Normal13"/>
              <w:spacing w:after="0" w:line="240" w:lineRule="auto"/>
              <w:jc w:val="both"/>
              <w:rPr>
                <w:rFonts w:cs="Times New Roman"/>
                <w:noProof/>
              </w:rPr>
            </w:pPr>
            <w:r>
              <w:rPr>
                <w:noProof/>
              </w:rPr>
              <w:t>Entrée en vigueur du ou des actes juridiques relatifs au Fonds national de la culture</w:t>
            </w:r>
          </w:p>
        </w:tc>
      </w:tr>
      <w:tr w:rsidR="00F74E13" w14:paraId="1CEBE4F1" w14:textId="77777777">
        <w:trPr>
          <w:trHeight w:val="302"/>
          <w:jc w:val="center"/>
        </w:trPr>
        <w:tc>
          <w:tcPr>
            <w:tcW w:w="1297" w:type="dxa"/>
            <w:shd w:val="clear" w:color="auto" w:fill="C6EFCE"/>
            <w:noWrap/>
          </w:tcPr>
          <w:p w14:paraId="1CEBE4ED" w14:textId="77777777" w:rsidR="00F74E13" w:rsidRDefault="009274FC">
            <w:pPr>
              <w:pStyle w:val="P68B1DB1-Normal35"/>
              <w:spacing w:after="0" w:line="240" w:lineRule="auto"/>
              <w:jc w:val="center"/>
              <w:rPr>
                <w:noProof/>
              </w:rPr>
            </w:pPr>
            <w:r>
              <w:rPr>
                <w:noProof/>
              </w:rPr>
              <w:t>312</w:t>
            </w:r>
          </w:p>
        </w:tc>
        <w:tc>
          <w:tcPr>
            <w:tcW w:w="3827" w:type="dxa"/>
            <w:shd w:val="clear" w:color="auto" w:fill="C6EFCE"/>
            <w:noWrap/>
          </w:tcPr>
          <w:p w14:paraId="1CEBE4EE" w14:textId="77777777" w:rsidR="00F74E13" w:rsidRDefault="009274FC">
            <w:pPr>
              <w:pStyle w:val="P68B1DB1-Normal12"/>
              <w:spacing w:after="0"/>
              <w:jc w:val="both"/>
              <w:rPr>
                <w:noProof/>
              </w:rPr>
            </w:pPr>
            <w:r>
              <w:rPr>
                <w:noProof/>
              </w:rPr>
              <w:t>C11.I7 Numérisation des archives</w:t>
            </w:r>
          </w:p>
        </w:tc>
        <w:tc>
          <w:tcPr>
            <w:tcW w:w="1560" w:type="dxa"/>
            <w:shd w:val="clear" w:color="auto" w:fill="C6EFCE"/>
            <w:noWrap/>
          </w:tcPr>
          <w:p w14:paraId="1CEBE4EF"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F0" w14:textId="77777777" w:rsidR="00F74E13" w:rsidRDefault="009274FC">
            <w:pPr>
              <w:pStyle w:val="P68B1DB1-Normal13"/>
              <w:spacing w:after="0" w:line="240" w:lineRule="auto"/>
              <w:jc w:val="both"/>
              <w:rPr>
                <w:rFonts w:cs="Times New Roman"/>
                <w:noProof/>
              </w:rPr>
            </w:pPr>
            <w:r>
              <w:rPr>
                <w:noProof/>
              </w:rPr>
              <w:t>Méthodologie et normes pour la numérisation des contenus</w:t>
            </w:r>
          </w:p>
        </w:tc>
      </w:tr>
      <w:tr w:rsidR="00F74E13" w14:paraId="1CEBE4F6" w14:textId="77777777">
        <w:trPr>
          <w:trHeight w:val="302"/>
          <w:jc w:val="center"/>
        </w:trPr>
        <w:tc>
          <w:tcPr>
            <w:tcW w:w="1297" w:type="dxa"/>
            <w:shd w:val="clear" w:color="auto" w:fill="C6EFCE"/>
            <w:noWrap/>
          </w:tcPr>
          <w:p w14:paraId="1CEBE4F2" w14:textId="77777777" w:rsidR="00F74E13" w:rsidRDefault="009274FC">
            <w:pPr>
              <w:pStyle w:val="P68B1DB1-Normal35"/>
              <w:spacing w:after="0" w:line="240" w:lineRule="auto"/>
              <w:jc w:val="center"/>
              <w:rPr>
                <w:noProof/>
              </w:rPr>
            </w:pPr>
            <w:r>
              <w:rPr>
                <w:noProof/>
              </w:rPr>
              <w:t>322</w:t>
            </w:r>
          </w:p>
        </w:tc>
        <w:tc>
          <w:tcPr>
            <w:tcW w:w="3827" w:type="dxa"/>
            <w:shd w:val="clear" w:color="auto" w:fill="C6EFCE"/>
            <w:noWrap/>
          </w:tcPr>
          <w:p w14:paraId="1CEBE4F3" w14:textId="77777777" w:rsidR="00F74E13" w:rsidRDefault="009274FC">
            <w:pPr>
              <w:pStyle w:val="P68B1DB1-Normal12"/>
              <w:spacing w:after="0"/>
              <w:rPr>
                <w:noProof/>
              </w:rPr>
            </w:pPr>
            <w:r>
              <w:rPr>
                <w:noProof/>
              </w:rPr>
              <w:t>C12.R2 Développement de l'e-santé et du système national d'information sanitaire</w:t>
            </w:r>
          </w:p>
        </w:tc>
        <w:tc>
          <w:tcPr>
            <w:tcW w:w="1560" w:type="dxa"/>
            <w:shd w:val="clear" w:color="auto" w:fill="C6EFCE"/>
            <w:noWrap/>
          </w:tcPr>
          <w:p w14:paraId="1CEBE4F4"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F5" w14:textId="77777777" w:rsidR="00F74E13" w:rsidRDefault="009274FC">
            <w:pPr>
              <w:pStyle w:val="P68B1DB1-Normal12"/>
              <w:spacing w:after="0" w:line="240" w:lineRule="auto"/>
              <w:jc w:val="both"/>
              <w:rPr>
                <w:noProof/>
              </w:rPr>
            </w:pPr>
            <w:r>
              <w:rPr>
                <w:noProof/>
              </w:rPr>
              <w:t>Mise à niveau du système national d’information sur la santé (NHIS)</w:t>
            </w:r>
          </w:p>
        </w:tc>
      </w:tr>
      <w:tr w:rsidR="00F74E13" w14:paraId="1CEBE4FB" w14:textId="77777777">
        <w:trPr>
          <w:trHeight w:val="302"/>
          <w:jc w:val="center"/>
        </w:trPr>
        <w:tc>
          <w:tcPr>
            <w:tcW w:w="1297" w:type="dxa"/>
            <w:shd w:val="clear" w:color="auto" w:fill="C6EFCE"/>
            <w:noWrap/>
          </w:tcPr>
          <w:p w14:paraId="1CEBE4F7" w14:textId="77777777" w:rsidR="00F74E13" w:rsidRDefault="009274FC">
            <w:pPr>
              <w:pStyle w:val="P68B1DB1-Normal35"/>
              <w:spacing w:after="0" w:line="240" w:lineRule="auto"/>
              <w:jc w:val="center"/>
              <w:rPr>
                <w:noProof/>
              </w:rPr>
            </w:pPr>
            <w:r>
              <w:rPr>
                <w:noProof/>
              </w:rPr>
              <w:t>323</w:t>
            </w:r>
          </w:p>
        </w:tc>
        <w:tc>
          <w:tcPr>
            <w:tcW w:w="3827" w:type="dxa"/>
            <w:shd w:val="clear" w:color="auto" w:fill="C6EFCE"/>
            <w:noWrap/>
          </w:tcPr>
          <w:p w14:paraId="1CEBE4F8" w14:textId="77777777" w:rsidR="00F74E13" w:rsidRDefault="009274FC">
            <w:pPr>
              <w:pStyle w:val="P68B1DB1-Normal12"/>
              <w:spacing w:after="0"/>
              <w:rPr>
                <w:noProof/>
              </w:rPr>
            </w:pPr>
            <w:r>
              <w:rPr>
                <w:noProof/>
              </w:rPr>
              <w:t>C12.R3 Améliorer l'attractivité des professions de la santé et promouvoir une répartition plus équilibrée des professionnels de la santé sur l'ensemble du territoire</w:t>
            </w:r>
          </w:p>
        </w:tc>
        <w:tc>
          <w:tcPr>
            <w:tcW w:w="1560" w:type="dxa"/>
            <w:shd w:val="clear" w:color="auto" w:fill="C6EFCE"/>
            <w:noWrap/>
          </w:tcPr>
          <w:p w14:paraId="1CEBE4F9"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4FA" w14:textId="77777777" w:rsidR="00F74E13" w:rsidRDefault="009274FC">
            <w:pPr>
              <w:pStyle w:val="P68B1DB1-Normal71"/>
              <w:spacing w:after="0" w:line="240" w:lineRule="auto"/>
              <w:jc w:val="both"/>
              <w:rPr>
                <w:noProof/>
                <w:szCs w:val="20"/>
              </w:rPr>
            </w:pPr>
            <w:r>
              <w:rPr>
                <w:noProof/>
              </w:rPr>
              <w:t xml:space="preserve">Entrée en vigueur du ou des actes juridiques </w:t>
            </w:r>
            <w:r>
              <w:rPr>
                <w:noProof/>
                <w:szCs w:val="20"/>
              </w:rPr>
              <w:t>concernant le financement du personnel médical</w:t>
            </w:r>
          </w:p>
        </w:tc>
      </w:tr>
      <w:tr w:rsidR="00F74E13" w14:paraId="1CEBE500" w14:textId="77777777">
        <w:trPr>
          <w:trHeight w:val="302"/>
          <w:jc w:val="center"/>
        </w:trPr>
        <w:tc>
          <w:tcPr>
            <w:tcW w:w="1297" w:type="dxa"/>
            <w:shd w:val="clear" w:color="auto" w:fill="C6EFCE"/>
            <w:noWrap/>
          </w:tcPr>
          <w:p w14:paraId="1CEBE4FC" w14:textId="77777777" w:rsidR="00F74E13" w:rsidRDefault="009274FC">
            <w:pPr>
              <w:pStyle w:val="P68B1DB1-Normal35"/>
              <w:spacing w:after="0" w:line="240" w:lineRule="auto"/>
              <w:jc w:val="center"/>
              <w:rPr>
                <w:noProof/>
              </w:rPr>
            </w:pPr>
            <w:r>
              <w:rPr>
                <w:noProof/>
              </w:rPr>
              <w:t>324</w:t>
            </w:r>
          </w:p>
        </w:tc>
        <w:tc>
          <w:tcPr>
            <w:tcW w:w="3827" w:type="dxa"/>
            <w:shd w:val="clear" w:color="auto" w:fill="C6EFCE"/>
            <w:noWrap/>
          </w:tcPr>
          <w:p w14:paraId="1CEBE4FD" w14:textId="77777777" w:rsidR="00F74E13" w:rsidRDefault="009274FC">
            <w:pPr>
              <w:pStyle w:val="P68B1DB1-Normal22"/>
              <w:spacing w:after="0"/>
              <w:rPr>
                <w:rFonts w:ascii="Times New Roman" w:hAnsi="Times New Roman" w:cs="Times New Roman"/>
                <w:noProof/>
                <w:szCs w:val="20"/>
              </w:rPr>
            </w:pPr>
            <w:r>
              <w:rPr>
                <w:rFonts w:ascii="Times New Roman" w:hAnsi="Times New Roman" w:cs="Times New Roman"/>
                <w:noProof/>
                <w:szCs w:val="20"/>
              </w:rPr>
              <w:t xml:space="preserve">C12.R3 </w:t>
            </w:r>
            <w:r>
              <w:rPr>
                <w:rFonts w:ascii="Times New Roman" w:hAnsi="Times New Roman"/>
                <w:noProof/>
              </w:rPr>
              <w:t xml:space="preserve">Améliorer l'attractivité des professions de la santé et promouvoir une répartition plus équilibrée des </w:t>
            </w:r>
            <w:r>
              <w:rPr>
                <w:rFonts w:ascii="Times New Roman" w:hAnsi="Times New Roman" w:cs="Times New Roman"/>
                <w:noProof/>
                <w:szCs w:val="20"/>
              </w:rPr>
              <w:t xml:space="preserve">professionnels de la santé </w:t>
            </w:r>
            <w:r>
              <w:rPr>
                <w:rFonts w:ascii="Times New Roman" w:hAnsi="Times New Roman"/>
                <w:noProof/>
              </w:rPr>
              <w:t>sur l'ensemble du territoire</w:t>
            </w:r>
          </w:p>
        </w:tc>
        <w:tc>
          <w:tcPr>
            <w:tcW w:w="1560" w:type="dxa"/>
            <w:shd w:val="clear" w:color="auto" w:fill="C6EFCE"/>
            <w:noWrap/>
          </w:tcPr>
          <w:p w14:paraId="1CEBE4FE" w14:textId="77777777" w:rsidR="00F74E13" w:rsidRDefault="009274FC">
            <w:pPr>
              <w:pStyle w:val="P68B1DB1-Normal15"/>
              <w:spacing w:after="0" w:line="240" w:lineRule="auto"/>
              <w:jc w:val="center"/>
              <w:rPr>
                <w:rFonts w:cs="Times New Roman"/>
                <w:noProof/>
                <w:szCs w:val="20"/>
              </w:rPr>
            </w:pPr>
            <w:r>
              <w:rPr>
                <w:noProof/>
              </w:rPr>
              <w:t>Étape</w:t>
            </w:r>
          </w:p>
        </w:tc>
        <w:tc>
          <w:tcPr>
            <w:tcW w:w="3541" w:type="dxa"/>
            <w:shd w:val="clear" w:color="auto" w:fill="C6EFCE"/>
            <w:noWrap/>
          </w:tcPr>
          <w:p w14:paraId="1CEBE4FF" w14:textId="77777777" w:rsidR="00F74E13" w:rsidRDefault="009274FC">
            <w:pPr>
              <w:pStyle w:val="P68B1DB1-Normal12"/>
              <w:spacing w:after="0"/>
              <w:jc w:val="both"/>
              <w:rPr>
                <w:noProof/>
              </w:rPr>
            </w:pPr>
            <w:r>
              <w:rPr>
                <w:noProof/>
              </w:rPr>
              <w:t>Entrée en vigueur du ou des actes juridiques relatifs aux soins de santé</w:t>
            </w:r>
          </w:p>
        </w:tc>
      </w:tr>
      <w:tr w:rsidR="00F74E13" w14:paraId="1CEBE505" w14:textId="77777777">
        <w:trPr>
          <w:trHeight w:val="302"/>
          <w:jc w:val="center"/>
        </w:trPr>
        <w:tc>
          <w:tcPr>
            <w:tcW w:w="1297" w:type="dxa"/>
            <w:shd w:val="clear" w:color="auto" w:fill="C6EFCE"/>
            <w:noWrap/>
          </w:tcPr>
          <w:p w14:paraId="1CEBE501" w14:textId="77777777" w:rsidR="00F74E13" w:rsidRDefault="009274FC">
            <w:pPr>
              <w:pStyle w:val="P68B1DB1-Normal35"/>
              <w:spacing w:after="0" w:line="240" w:lineRule="auto"/>
              <w:jc w:val="center"/>
              <w:rPr>
                <w:noProof/>
              </w:rPr>
            </w:pPr>
            <w:r>
              <w:rPr>
                <w:noProof/>
              </w:rPr>
              <w:t>336</w:t>
            </w:r>
          </w:p>
        </w:tc>
        <w:tc>
          <w:tcPr>
            <w:tcW w:w="3827" w:type="dxa"/>
            <w:shd w:val="clear" w:color="auto" w:fill="C6EFCE"/>
            <w:noWrap/>
          </w:tcPr>
          <w:p w14:paraId="1CEBE502" w14:textId="77777777" w:rsidR="00F74E13" w:rsidRDefault="009274FC">
            <w:pPr>
              <w:pStyle w:val="P68B1DB1-Normal12"/>
              <w:spacing w:after="0"/>
              <w:rPr>
                <w:noProof/>
              </w:rPr>
            </w:pPr>
            <w:r>
              <w:rPr>
                <w:noProof/>
              </w:rPr>
              <w:t>C12.I4 Mise en place d'un système d'ambulance aérienne</w:t>
            </w:r>
          </w:p>
        </w:tc>
        <w:tc>
          <w:tcPr>
            <w:tcW w:w="1560" w:type="dxa"/>
            <w:shd w:val="clear" w:color="auto" w:fill="C6EFCE"/>
            <w:noWrap/>
          </w:tcPr>
          <w:p w14:paraId="1CEBE503"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504" w14:textId="77777777" w:rsidR="00F74E13" w:rsidRDefault="009274FC">
            <w:pPr>
              <w:pStyle w:val="P68B1DB1-Normal12"/>
              <w:spacing w:after="0" w:line="240" w:lineRule="auto"/>
              <w:jc w:val="both"/>
              <w:rPr>
                <w:noProof/>
              </w:rPr>
            </w:pPr>
            <w:r>
              <w:rPr>
                <w:noProof/>
              </w:rPr>
              <w:t>Signature du ou des contrats pour la livraison d'hélicoptères au système d'ambulance aérienne</w:t>
            </w:r>
          </w:p>
        </w:tc>
      </w:tr>
      <w:tr w:rsidR="00F74E13" w14:paraId="1CEBE50A" w14:textId="77777777">
        <w:trPr>
          <w:trHeight w:val="302"/>
          <w:jc w:val="center"/>
        </w:trPr>
        <w:tc>
          <w:tcPr>
            <w:tcW w:w="1297" w:type="dxa"/>
            <w:shd w:val="clear" w:color="auto" w:fill="C6EFCE"/>
            <w:noWrap/>
          </w:tcPr>
          <w:p w14:paraId="1CEBE506" w14:textId="77777777" w:rsidR="00F74E13" w:rsidRDefault="009274FC">
            <w:pPr>
              <w:pStyle w:val="P68B1DB1-Normal35"/>
              <w:spacing w:after="0" w:line="240" w:lineRule="auto"/>
              <w:jc w:val="center"/>
              <w:rPr>
                <w:noProof/>
              </w:rPr>
            </w:pPr>
            <w:r>
              <w:rPr>
                <w:noProof/>
              </w:rPr>
              <w:t>339</w:t>
            </w:r>
          </w:p>
        </w:tc>
        <w:tc>
          <w:tcPr>
            <w:tcW w:w="3827" w:type="dxa"/>
            <w:shd w:val="clear" w:color="auto" w:fill="C6EFCE"/>
            <w:noWrap/>
          </w:tcPr>
          <w:p w14:paraId="1CEBE507" w14:textId="77777777" w:rsidR="00F74E13" w:rsidRDefault="009274FC">
            <w:pPr>
              <w:pStyle w:val="P68B1DB1-Normal12"/>
              <w:spacing w:after="0"/>
              <w:rPr>
                <w:noProof/>
              </w:rPr>
            </w:pPr>
            <w:r>
              <w:rPr>
                <w:noProof/>
              </w:rPr>
              <w:t>C12.I5 Plateforme numérique nationale pour le diagnostic médical</w:t>
            </w:r>
          </w:p>
        </w:tc>
        <w:tc>
          <w:tcPr>
            <w:tcW w:w="1560" w:type="dxa"/>
            <w:shd w:val="clear" w:color="auto" w:fill="C6EFCE"/>
            <w:noWrap/>
          </w:tcPr>
          <w:p w14:paraId="1CEBE508"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509" w14:textId="77777777" w:rsidR="00F74E13" w:rsidRDefault="009274FC">
            <w:pPr>
              <w:pStyle w:val="P68B1DB1-Normal12"/>
              <w:spacing w:after="0" w:line="240" w:lineRule="auto"/>
              <w:jc w:val="both"/>
              <w:rPr>
                <w:noProof/>
              </w:rPr>
            </w:pPr>
            <w:r>
              <w:rPr>
                <w:noProof/>
              </w:rPr>
              <w:t>Signature du ou des contrats pour le développement de la plateforme numérique nationale pour le diagnostic médical</w:t>
            </w:r>
          </w:p>
        </w:tc>
      </w:tr>
      <w:tr w:rsidR="00F74E13" w14:paraId="1CEBE50F" w14:textId="77777777">
        <w:trPr>
          <w:trHeight w:val="302"/>
          <w:jc w:val="center"/>
        </w:trPr>
        <w:tc>
          <w:tcPr>
            <w:tcW w:w="1297" w:type="dxa"/>
            <w:shd w:val="clear" w:color="auto" w:fill="C6EFCE"/>
            <w:noWrap/>
          </w:tcPr>
          <w:p w14:paraId="1CEBE50B" w14:textId="77777777" w:rsidR="00F74E13" w:rsidRDefault="009274FC">
            <w:pPr>
              <w:pStyle w:val="P68B1DB1-Normal35"/>
              <w:spacing w:after="0" w:line="240" w:lineRule="auto"/>
              <w:jc w:val="center"/>
              <w:rPr>
                <w:noProof/>
              </w:rPr>
            </w:pPr>
            <w:r>
              <w:rPr>
                <w:noProof/>
              </w:rPr>
              <w:t>347</w:t>
            </w:r>
          </w:p>
        </w:tc>
        <w:tc>
          <w:tcPr>
            <w:tcW w:w="3827" w:type="dxa"/>
            <w:shd w:val="clear" w:color="auto" w:fill="C6EFCE"/>
            <w:noWrap/>
          </w:tcPr>
          <w:p w14:paraId="1CEBE50C" w14:textId="77777777" w:rsidR="00F74E13" w:rsidRDefault="009274FC">
            <w:pPr>
              <w:pStyle w:val="P68B1DB1-Normal35"/>
              <w:spacing w:after="0"/>
              <w:rPr>
                <w:noProof/>
              </w:rPr>
            </w:pPr>
            <w:r>
              <w:rPr>
                <w:noProof/>
              </w:rPr>
              <w:t>C13.R1 Cadre de gouvernance pour la précarité énergétique et préparation de la libéralisation du marché de détail</w:t>
            </w:r>
          </w:p>
        </w:tc>
        <w:tc>
          <w:tcPr>
            <w:tcW w:w="1560" w:type="dxa"/>
            <w:shd w:val="clear" w:color="auto" w:fill="C6EFCE"/>
            <w:noWrap/>
          </w:tcPr>
          <w:p w14:paraId="1CEBE50D" w14:textId="77777777" w:rsidR="00F74E13" w:rsidRDefault="009274FC">
            <w:pPr>
              <w:pStyle w:val="P68B1DB1-Normal79"/>
              <w:spacing w:after="0" w:line="240" w:lineRule="auto"/>
              <w:jc w:val="center"/>
              <w:rPr>
                <w:noProof/>
              </w:rPr>
            </w:pPr>
            <w:r>
              <w:rPr>
                <w:noProof/>
              </w:rPr>
              <w:t>Étape</w:t>
            </w:r>
          </w:p>
        </w:tc>
        <w:tc>
          <w:tcPr>
            <w:tcW w:w="3541" w:type="dxa"/>
            <w:shd w:val="clear" w:color="auto" w:fill="C6EFCE"/>
            <w:noWrap/>
          </w:tcPr>
          <w:p w14:paraId="1CEBE50E" w14:textId="77777777" w:rsidR="00F74E13" w:rsidRDefault="009274FC">
            <w:pPr>
              <w:pStyle w:val="P68B1DB1-Normal35"/>
              <w:spacing w:after="0" w:line="240" w:lineRule="auto"/>
              <w:jc w:val="both"/>
              <w:rPr>
                <w:noProof/>
              </w:rPr>
            </w:pPr>
            <w:r>
              <w:rPr>
                <w:noProof/>
              </w:rPr>
              <w:t>Acte(s) juridique(s) désignant et instituant des organismes responsables</w:t>
            </w:r>
          </w:p>
        </w:tc>
      </w:tr>
      <w:tr w:rsidR="00F74E13" w14:paraId="1CEBE514" w14:textId="77777777">
        <w:trPr>
          <w:trHeight w:val="302"/>
          <w:jc w:val="center"/>
        </w:trPr>
        <w:tc>
          <w:tcPr>
            <w:tcW w:w="1297" w:type="dxa"/>
            <w:shd w:val="clear" w:color="auto" w:fill="C6EFCE"/>
            <w:noWrap/>
          </w:tcPr>
          <w:p w14:paraId="1CEBE510" w14:textId="77777777" w:rsidR="00F74E13" w:rsidRDefault="009274FC">
            <w:pPr>
              <w:pStyle w:val="P68B1DB1-Normal35"/>
              <w:spacing w:after="0" w:line="240" w:lineRule="auto"/>
              <w:jc w:val="center"/>
              <w:rPr>
                <w:noProof/>
              </w:rPr>
            </w:pPr>
            <w:r>
              <w:rPr>
                <w:noProof/>
              </w:rPr>
              <w:t>350</w:t>
            </w:r>
          </w:p>
        </w:tc>
        <w:tc>
          <w:tcPr>
            <w:tcW w:w="3827" w:type="dxa"/>
            <w:shd w:val="clear" w:color="auto" w:fill="C6EFCE"/>
            <w:noWrap/>
          </w:tcPr>
          <w:p w14:paraId="1CEBE511" w14:textId="77777777" w:rsidR="00F74E13" w:rsidRDefault="009274FC">
            <w:pPr>
              <w:pStyle w:val="P68B1DB1-Normal79"/>
              <w:spacing w:after="0"/>
              <w:jc w:val="both"/>
              <w:rPr>
                <w:noProof/>
              </w:rPr>
            </w:pPr>
            <w:r>
              <w:rPr>
                <w:noProof/>
              </w:rPr>
              <w:t>C13.R3 Fonctionnement du marché d'équilibrage et réponse de la demande</w:t>
            </w:r>
          </w:p>
        </w:tc>
        <w:tc>
          <w:tcPr>
            <w:tcW w:w="1560" w:type="dxa"/>
            <w:shd w:val="clear" w:color="auto" w:fill="C6EFCE"/>
            <w:noWrap/>
          </w:tcPr>
          <w:p w14:paraId="1CEBE512" w14:textId="77777777" w:rsidR="00F74E13" w:rsidRDefault="009274FC">
            <w:pPr>
              <w:pStyle w:val="P68B1DB1-Normal79"/>
              <w:spacing w:after="0" w:line="240" w:lineRule="auto"/>
              <w:jc w:val="center"/>
              <w:rPr>
                <w:noProof/>
              </w:rPr>
            </w:pPr>
            <w:r>
              <w:rPr>
                <w:noProof/>
              </w:rPr>
              <w:t xml:space="preserve">Étape </w:t>
            </w:r>
          </w:p>
        </w:tc>
        <w:tc>
          <w:tcPr>
            <w:tcW w:w="3541" w:type="dxa"/>
            <w:shd w:val="clear" w:color="auto" w:fill="C6EFCE"/>
            <w:noWrap/>
          </w:tcPr>
          <w:p w14:paraId="1CEBE513" w14:textId="77777777" w:rsidR="00F74E13" w:rsidRDefault="009274FC">
            <w:pPr>
              <w:pStyle w:val="P68B1DB1-Normal35"/>
              <w:spacing w:after="0" w:line="240" w:lineRule="auto"/>
              <w:jc w:val="both"/>
              <w:rPr>
                <w:noProof/>
              </w:rPr>
            </w:pPr>
            <w:r>
              <w:rPr>
                <w:noProof/>
              </w:rPr>
              <w:t>Adhésion à la Plateforme PICASSO</w:t>
            </w:r>
          </w:p>
        </w:tc>
      </w:tr>
      <w:tr w:rsidR="00F74E13" w14:paraId="1CEBE519" w14:textId="77777777">
        <w:trPr>
          <w:trHeight w:val="302"/>
          <w:jc w:val="center"/>
        </w:trPr>
        <w:tc>
          <w:tcPr>
            <w:tcW w:w="1297" w:type="dxa"/>
            <w:shd w:val="clear" w:color="auto" w:fill="C6EFCE"/>
            <w:noWrap/>
          </w:tcPr>
          <w:p w14:paraId="1CEBE515" w14:textId="77777777" w:rsidR="00F74E13" w:rsidRDefault="009274FC">
            <w:pPr>
              <w:pStyle w:val="P68B1DB1-Normal35"/>
              <w:spacing w:after="0" w:line="240" w:lineRule="auto"/>
              <w:jc w:val="center"/>
              <w:rPr>
                <w:noProof/>
              </w:rPr>
            </w:pPr>
            <w:r>
              <w:rPr>
                <w:noProof/>
              </w:rPr>
              <w:t>356</w:t>
            </w:r>
          </w:p>
        </w:tc>
        <w:tc>
          <w:tcPr>
            <w:tcW w:w="3827" w:type="dxa"/>
            <w:shd w:val="clear" w:color="auto" w:fill="C6EFCE"/>
            <w:noWrap/>
          </w:tcPr>
          <w:p w14:paraId="1CEBE516" w14:textId="77777777" w:rsidR="00F74E13" w:rsidRDefault="009274FC">
            <w:pPr>
              <w:pStyle w:val="P68B1DB1-Normal12"/>
              <w:spacing w:after="0"/>
              <w:rPr>
                <w:rFonts w:eastAsia="Calibri"/>
                <w:noProof/>
              </w:rPr>
            </w:pPr>
            <w:r>
              <w:rPr>
                <w:noProof/>
              </w:rPr>
              <w:t>C13.I4 Soutien aux capacités de production d'électricité à partir de sources renouvelables et de stockage de l'électricité</w:t>
            </w:r>
          </w:p>
        </w:tc>
        <w:tc>
          <w:tcPr>
            <w:tcW w:w="1560" w:type="dxa"/>
            <w:shd w:val="clear" w:color="auto" w:fill="C6EFCE"/>
            <w:noWrap/>
          </w:tcPr>
          <w:p w14:paraId="1CEBE517" w14:textId="77777777" w:rsidR="00F74E13" w:rsidRDefault="009274FC">
            <w:pPr>
              <w:pStyle w:val="P68B1DB1-Normal12"/>
              <w:spacing w:after="0" w:line="240" w:lineRule="auto"/>
              <w:jc w:val="center"/>
              <w:rPr>
                <w:rFonts w:eastAsia="Calibri"/>
                <w:noProof/>
              </w:rPr>
            </w:pPr>
            <w:r>
              <w:rPr>
                <w:noProof/>
              </w:rPr>
              <w:t>Étape</w:t>
            </w:r>
          </w:p>
        </w:tc>
        <w:tc>
          <w:tcPr>
            <w:tcW w:w="3541" w:type="dxa"/>
            <w:shd w:val="clear" w:color="auto" w:fill="C6EFCE"/>
            <w:noWrap/>
          </w:tcPr>
          <w:p w14:paraId="1CEBE518" w14:textId="77777777" w:rsidR="00F74E13" w:rsidRDefault="009274FC">
            <w:pPr>
              <w:pStyle w:val="P68B1DB1-Normal12"/>
              <w:spacing w:after="0"/>
              <w:jc w:val="both"/>
              <w:rPr>
                <w:rFonts w:eastAsia="Times New Roman"/>
                <w:noProof/>
              </w:rPr>
            </w:pPr>
            <w:r>
              <w:rPr>
                <w:noProof/>
              </w:rPr>
              <w:t>Appel(s) pour la sélection de projets</w:t>
            </w:r>
          </w:p>
        </w:tc>
      </w:tr>
      <w:tr w:rsidR="00F74E13" w14:paraId="1CEBE51E" w14:textId="77777777">
        <w:trPr>
          <w:trHeight w:val="302"/>
          <w:jc w:val="center"/>
        </w:trPr>
        <w:tc>
          <w:tcPr>
            <w:tcW w:w="1297" w:type="dxa"/>
            <w:shd w:val="clear" w:color="auto" w:fill="C6EFCE"/>
            <w:noWrap/>
            <w:vAlign w:val="bottom"/>
          </w:tcPr>
          <w:p w14:paraId="1CEBE51A" w14:textId="77777777" w:rsidR="00F74E13" w:rsidRDefault="00F74E13">
            <w:pPr>
              <w:spacing w:after="0" w:line="240" w:lineRule="auto"/>
              <w:jc w:val="center"/>
              <w:rPr>
                <w:rFonts w:ascii="Times New Roman" w:hAnsi="Times New Roman"/>
                <w:noProof/>
                <w:color w:val="006100"/>
                <w:sz w:val="20"/>
              </w:rPr>
            </w:pPr>
          </w:p>
        </w:tc>
        <w:tc>
          <w:tcPr>
            <w:tcW w:w="3827" w:type="dxa"/>
            <w:shd w:val="clear" w:color="auto" w:fill="C6EFCE"/>
            <w:noWrap/>
            <w:vAlign w:val="bottom"/>
          </w:tcPr>
          <w:p w14:paraId="1CEBE51B" w14:textId="77777777" w:rsidR="00F74E13" w:rsidRDefault="00F74E13">
            <w:pPr>
              <w:spacing w:after="0" w:line="240" w:lineRule="auto"/>
              <w:jc w:val="both"/>
              <w:rPr>
                <w:rFonts w:ascii="Times New Roman" w:hAnsi="Times New Roman"/>
                <w:noProof/>
                <w:color w:val="006100"/>
                <w:sz w:val="20"/>
              </w:rPr>
            </w:pPr>
          </w:p>
        </w:tc>
        <w:tc>
          <w:tcPr>
            <w:tcW w:w="1560" w:type="dxa"/>
            <w:shd w:val="clear" w:color="auto" w:fill="C6EFCE"/>
            <w:noWrap/>
            <w:vAlign w:val="bottom"/>
          </w:tcPr>
          <w:p w14:paraId="1CEBE51C" w14:textId="77777777" w:rsidR="00F74E13" w:rsidRDefault="009274FC">
            <w:pPr>
              <w:pStyle w:val="P68B1DB1-Normal15"/>
              <w:spacing w:after="0" w:line="240" w:lineRule="auto"/>
              <w:jc w:val="center"/>
              <w:rPr>
                <w:noProof/>
              </w:rPr>
            </w:pPr>
            <w:r>
              <w:rPr>
                <w:noProof/>
              </w:rPr>
              <w:t>Montant des acomptes provisionnels</w:t>
            </w:r>
          </w:p>
        </w:tc>
        <w:tc>
          <w:tcPr>
            <w:tcW w:w="3541" w:type="dxa"/>
            <w:shd w:val="clear" w:color="auto" w:fill="C6EFCE"/>
            <w:noWrap/>
            <w:vAlign w:val="bottom"/>
          </w:tcPr>
          <w:p w14:paraId="1CEBE51D" w14:textId="77777777" w:rsidR="00F74E13" w:rsidRDefault="009274FC">
            <w:pPr>
              <w:pStyle w:val="P68B1DB1-Normal13"/>
              <w:spacing w:after="0" w:line="240" w:lineRule="auto"/>
              <w:jc w:val="both"/>
              <w:rPr>
                <w:noProof/>
              </w:rPr>
            </w:pPr>
            <w:r>
              <w:rPr>
                <w:noProof/>
              </w:rPr>
              <w:t>1 574 907 916 EUR</w:t>
            </w:r>
          </w:p>
        </w:tc>
      </w:tr>
    </w:tbl>
    <w:p w14:paraId="1CEBE51F" w14:textId="77777777" w:rsidR="00F74E13" w:rsidRDefault="00F74E13">
      <w:pPr>
        <w:spacing w:before="120" w:after="120" w:line="240" w:lineRule="auto"/>
        <w:jc w:val="both"/>
        <w:rPr>
          <w:rFonts w:ascii="Times New Roman" w:eastAsia="Calibri" w:hAnsi="Times New Roman" w:cs="Times New Roman"/>
          <w:noProof/>
        </w:rPr>
      </w:pPr>
    </w:p>
    <w:p w14:paraId="1CEBE520" w14:textId="77777777" w:rsidR="00F74E13" w:rsidRDefault="00F74E13">
      <w:pPr>
        <w:pageBreakBefore/>
        <w:tabs>
          <w:tab w:val="left" w:pos="3483"/>
        </w:tabs>
        <w:spacing w:line="278" w:lineRule="auto"/>
        <w:rPr>
          <w:rFonts w:ascii="Times New Roman" w:eastAsia="Calibri" w:hAnsi="Times New Roman" w:cs="Times New Roman"/>
          <w:b/>
          <w:noProof/>
        </w:rPr>
        <w:sectPr w:rsidR="00F74E13">
          <w:headerReference w:type="even" r:id="rId174"/>
          <w:headerReference w:type="default" r:id="rId175"/>
          <w:footerReference w:type="even" r:id="rId176"/>
          <w:footerReference w:type="default" r:id="rId177"/>
          <w:headerReference w:type="first" r:id="rId178"/>
          <w:footerReference w:type="first" r:id="rId179"/>
          <w:pgSz w:w="11906" w:h="16838"/>
          <w:pgMar w:top="1134" w:right="1134" w:bottom="1134" w:left="1134" w:header="567" w:footer="567" w:gutter="0"/>
          <w:cols w:space="720"/>
          <w:docGrid w:linePitch="360"/>
        </w:sectPr>
      </w:pPr>
    </w:p>
    <w:p w14:paraId="1CEBE521" w14:textId="77777777" w:rsidR="00F74E13" w:rsidRDefault="009274FC">
      <w:pPr>
        <w:pStyle w:val="P68B1DB1-Normal6"/>
        <w:numPr>
          <w:ilvl w:val="1"/>
          <w:numId w:val="78"/>
        </w:numPr>
        <w:spacing w:before="120" w:after="120" w:line="240" w:lineRule="auto"/>
        <w:jc w:val="both"/>
        <w:rPr>
          <w:noProof/>
        </w:rPr>
      </w:pPr>
      <w:r>
        <w:rPr>
          <w:noProof/>
        </w:rPr>
        <w:t xml:space="preserve">Quatrième tranche (soutien non remboursable): </w:t>
      </w:r>
    </w:p>
    <w:tbl>
      <w:tblPr>
        <w:tblW w:w="10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989"/>
        <w:gridCol w:w="1701"/>
        <w:gridCol w:w="3472"/>
      </w:tblGrid>
      <w:tr w:rsidR="00F74E13" w14:paraId="1CEBE526" w14:textId="77777777">
        <w:trPr>
          <w:trHeight w:val="906"/>
          <w:tblHeader/>
          <w:jc w:val="center"/>
        </w:trPr>
        <w:tc>
          <w:tcPr>
            <w:tcW w:w="1297" w:type="dxa"/>
            <w:vMerge w:val="restart"/>
            <w:shd w:val="clear" w:color="auto" w:fill="BDD7EE"/>
            <w:vAlign w:val="center"/>
            <w:hideMark/>
          </w:tcPr>
          <w:p w14:paraId="1CEBE522" w14:textId="77777777" w:rsidR="00F74E13" w:rsidRDefault="009274FC">
            <w:pPr>
              <w:pStyle w:val="P68B1DB1-Normal11"/>
              <w:spacing w:after="0" w:line="240" w:lineRule="auto"/>
              <w:jc w:val="center"/>
              <w:rPr>
                <w:noProof/>
              </w:rPr>
            </w:pPr>
            <w:r>
              <w:rPr>
                <w:noProof/>
              </w:rPr>
              <w:t>Numéro séquentiel</w:t>
            </w:r>
          </w:p>
        </w:tc>
        <w:tc>
          <w:tcPr>
            <w:tcW w:w="3989" w:type="dxa"/>
            <w:vMerge w:val="restart"/>
            <w:shd w:val="clear" w:color="auto" w:fill="BDD7EE"/>
            <w:vAlign w:val="center"/>
            <w:hideMark/>
          </w:tcPr>
          <w:p w14:paraId="1CEBE523" w14:textId="77777777" w:rsidR="00F74E13" w:rsidRDefault="009274FC">
            <w:pPr>
              <w:pStyle w:val="P68B1DB1-Normal11"/>
              <w:spacing w:after="0" w:line="240" w:lineRule="auto"/>
              <w:jc w:val="center"/>
              <w:rPr>
                <w:noProof/>
              </w:rPr>
            </w:pPr>
            <w:r>
              <w:rPr>
                <w:noProof/>
              </w:rPr>
              <w:t>Mesure connexe (réforme ou investissement)</w:t>
            </w:r>
          </w:p>
        </w:tc>
        <w:tc>
          <w:tcPr>
            <w:tcW w:w="1701" w:type="dxa"/>
            <w:vMerge w:val="restart"/>
            <w:shd w:val="clear" w:color="auto" w:fill="BDD7EE"/>
            <w:vAlign w:val="center"/>
            <w:hideMark/>
          </w:tcPr>
          <w:p w14:paraId="1CEBE524" w14:textId="77777777" w:rsidR="00F74E13" w:rsidRDefault="009274FC">
            <w:pPr>
              <w:pStyle w:val="P68B1DB1-Normal11"/>
              <w:spacing w:after="0" w:line="240" w:lineRule="auto"/>
              <w:jc w:val="center"/>
              <w:rPr>
                <w:noProof/>
              </w:rPr>
            </w:pPr>
            <w:r>
              <w:rPr>
                <w:noProof/>
              </w:rPr>
              <w:t>Étape/cible</w:t>
            </w:r>
          </w:p>
        </w:tc>
        <w:tc>
          <w:tcPr>
            <w:tcW w:w="3472" w:type="dxa"/>
            <w:vMerge w:val="restart"/>
            <w:shd w:val="clear" w:color="auto" w:fill="BDD7EE"/>
            <w:vAlign w:val="center"/>
            <w:hideMark/>
          </w:tcPr>
          <w:p w14:paraId="1CEBE525" w14:textId="77777777" w:rsidR="00F74E13" w:rsidRDefault="009274FC">
            <w:pPr>
              <w:pStyle w:val="P68B1DB1-Normal11"/>
              <w:spacing w:after="0" w:line="240" w:lineRule="auto"/>
              <w:jc w:val="center"/>
              <w:rPr>
                <w:noProof/>
              </w:rPr>
            </w:pPr>
            <w:r>
              <w:rPr>
                <w:noProof/>
              </w:rPr>
              <w:t>Nom</w:t>
            </w:r>
          </w:p>
        </w:tc>
      </w:tr>
      <w:tr w:rsidR="00F74E13" w14:paraId="1CEBE52B" w14:textId="77777777">
        <w:trPr>
          <w:trHeight w:val="501"/>
          <w:jc w:val="center"/>
        </w:trPr>
        <w:tc>
          <w:tcPr>
            <w:tcW w:w="1297" w:type="dxa"/>
            <w:vMerge/>
            <w:vAlign w:val="center"/>
            <w:hideMark/>
          </w:tcPr>
          <w:p w14:paraId="1CEBE527" w14:textId="77777777" w:rsidR="00F74E13" w:rsidRDefault="00F74E13">
            <w:pPr>
              <w:spacing w:after="0" w:line="240" w:lineRule="auto"/>
              <w:jc w:val="center"/>
              <w:rPr>
                <w:rFonts w:ascii="Times New Roman" w:hAnsi="Times New Roman"/>
                <w:b/>
                <w:noProof/>
                <w:sz w:val="20"/>
              </w:rPr>
            </w:pPr>
          </w:p>
        </w:tc>
        <w:tc>
          <w:tcPr>
            <w:tcW w:w="3989" w:type="dxa"/>
            <w:vMerge/>
            <w:vAlign w:val="center"/>
            <w:hideMark/>
          </w:tcPr>
          <w:p w14:paraId="1CEBE528" w14:textId="77777777" w:rsidR="00F74E13" w:rsidRDefault="00F74E13">
            <w:pPr>
              <w:spacing w:after="0" w:line="240" w:lineRule="auto"/>
              <w:jc w:val="both"/>
              <w:rPr>
                <w:rFonts w:ascii="Times New Roman" w:hAnsi="Times New Roman"/>
                <w:b/>
                <w:noProof/>
                <w:sz w:val="20"/>
              </w:rPr>
            </w:pPr>
          </w:p>
        </w:tc>
        <w:tc>
          <w:tcPr>
            <w:tcW w:w="1701" w:type="dxa"/>
            <w:vMerge/>
            <w:vAlign w:val="center"/>
            <w:hideMark/>
          </w:tcPr>
          <w:p w14:paraId="1CEBE529" w14:textId="77777777" w:rsidR="00F74E13" w:rsidRDefault="00F74E13">
            <w:pPr>
              <w:spacing w:after="0" w:line="240" w:lineRule="auto"/>
              <w:jc w:val="center"/>
              <w:rPr>
                <w:rFonts w:ascii="Times New Roman" w:hAnsi="Times New Roman"/>
                <w:b/>
                <w:noProof/>
                <w:sz w:val="20"/>
              </w:rPr>
            </w:pPr>
          </w:p>
        </w:tc>
        <w:tc>
          <w:tcPr>
            <w:tcW w:w="3472" w:type="dxa"/>
            <w:vMerge/>
            <w:vAlign w:val="center"/>
            <w:hideMark/>
          </w:tcPr>
          <w:p w14:paraId="1CEBE52A" w14:textId="77777777" w:rsidR="00F74E13" w:rsidRDefault="00F74E13">
            <w:pPr>
              <w:spacing w:after="0" w:line="240" w:lineRule="auto"/>
              <w:jc w:val="both"/>
              <w:rPr>
                <w:rFonts w:ascii="Times New Roman" w:hAnsi="Times New Roman"/>
                <w:b/>
                <w:noProof/>
                <w:sz w:val="20"/>
              </w:rPr>
            </w:pPr>
          </w:p>
        </w:tc>
      </w:tr>
      <w:tr w:rsidR="00F74E13" w14:paraId="1CEBE530" w14:textId="77777777">
        <w:trPr>
          <w:trHeight w:val="302"/>
          <w:jc w:val="center"/>
        </w:trPr>
        <w:tc>
          <w:tcPr>
            <w:tcW w:w="1297" w:type="dxa"/>
            <w:shd w:val="clear" w:color="auto" w:fill="C6EFCE"/>
            <w:noWrap/>
          </w:tcPr>
          <w:p w14:paraId="1CEBE52C" w14:textId="77777777" w:rsidR="00F74E13" w:rsidRDefault="009274FC">
            <w:pPr>
              <w:pStyle w:val="P68B1DB1-Normal35"/>
              <w:spacing w:after="0" w:line="240" w:lineRule="auto"/>
              <w:jc w:val="center"/>
              <w:rPr>
                <w:noProof/>
              </w:rPr>
            </w:pPr>
            <w:r>
              <w:rPr>
                <w:noProof/>
              </w:rPr>
              <w:t>4</w:t>
            </w:r>
          </w:p>
        </w:tc>
        <w:tc>
          <w:tcPr>
            <w:tcW w:w="3989" w:type="dxa"/>
            <w:shd w:val="clear" w:color="auto" w:fill="C6EFCE"/>
            <w:noWrap/>
          </w:tcPr>
          <w:p w14:paraId="1CEBE52D" w14:textId="77777777" w:rsidR="00F74E13" w:rsidRDefault="009274FC">
            <w:pPr>
              <w:pStyle w:val="P68B1DB1-Normal12"/>
              <w:spacing w:after="0"/>
              <w:rPr>
                <w:noProof/>
              </w:rPr>
            </w:pPr>
            <w:r>
              <w:rPr>
                <w:noProof/>
              </w:rPr>
              <w:t>C1.R1 Réforme de l'enseignement préscolaire et scolaire et de l'enseignement et de la formation professionnels</w:t>
            </w:r>
          </w:p>
        </w:tc>
        <w:tc>
          <w:tcPr>
            <w:tcW w:w="1701" w:type="dxa"/>
            <w:shd w:val="clear" w:color="auto" w:fill="C6EFCE"/>
            <w:noWrap/>
          </w:tcPr>
          <w:p w14:paraId="1CEBE52E" w14:textId="77777777" w:rsidR="00F74E13" w:rsidRDefault="009274FC">
            <w:pPr>
              <w:pStyle w:val="P68B1DB1-Normal12"/>
              <w:spacing w:after="0" w:line="240" w:lineRule="auto"/>
              <w:jc w:val="center"/>
              <w:rPr>
                <w:noProof/>
              </w:rPr>
            </w:pPr>
            <w:r>
              <w:rPr>
                <w:noProof/>
              </w:rPr>
              <w:t>Étape</w:t>
            </w:r>
          </w:p>
        </w:tc>
        <w:tc>
          <w:tcPr>
            <w:tcW w:w="3472" w:type="dxa"/>
            <w:shd w:val="clear" w:color="auto" w:fill="C6EFCE"/>
            <w:noWrap/>
          </w:tcPr>
          <w:p w14:paraId="1CEBE52F" w14:textId="77777777" w:rsidR="00F74E13" w:rsidRDefault="009274FC">
            <w:pPr>
              <w:pStyle w:val="P68B1DB1-Normal13"/>
              <w:spacing w:after="0" w:line="240" w:lineRule="auto"/>
              <w:jc w:val="both"/>
              <w:rPr>
                <w:rFonts w:cs="Times New Roman"/>
                <w:noProof/>
              </w:rPr>
            </w:pPr>
            <w:r>
              <w:rPr>
                <w:noProof/>
              </w:rPr>
              <w:t>Entrée en vigueur d'un ou de plusieurs actes juridiques dans le domaine de l'enseignement et de la formation professionnels</w:t>
            </w:r>
          </w:p>
        </w:tc>
      </w:tr>
      <w:tr w:rsidR="00F74E13" w14:paraId="1CEBE535" w14:textId="77777777">
        <w:trPr>
          <w:trHeight w:val="302"/>
          <w:jc w:val="center"/>
        </w:trPr>
        <w:tc>
          <w:tcPr>
            <w:tcW w:w="1297" w:type="dxa"/>
            <w:shd w:val="clear" w:color="auto" w:fill="C6EFCE"/>
            <w:noWrap/>
          </w:tcPr>
          <w:p w14:paraId="1CEBE531" w14:textId="77777777" w:rsidR="00F74E13" w:rsidRDefault="009274FC">
            <w:pPr>
              <w:pStyle w:val="P68B1DB1-Normal35"/>
              <w:spacing w:after="0" w:line="240" w:lineRule="auto"/>
              <w:jc w:val="center"/>
              <w:rPr>
                <w:noProof/>
              </w:rPr>
            </w:pPr>
            <w:r>
              <w:rPr>
                <w:noProof/>
              </w:rPr>
              <w:t>49</w:t>
            </w:r>
          </w:p>
        </w:tc>
        <w:tc>
          <w:tcPr>
            <w:tcW w:w="3989" w:type="dxa"/>
            <w:shd w:val="clear" w:color="auto" w:fill="C6EFCE"/>
            <w:noWrap/>
            <w:vAlign w:val="center"/>
          </w:tcPr>
          <w:p w14:paraId="1CEBE532" w14:textId="77777777" w:rsidR="00F74E13" w:rsidRDefault="009274FC">
            <w:pPr>
              <w:pStyle w:val="P68B1DB1-Normal12"/>
              <w:spacing w:after="0" w:line="240" w:lineRule="auto"/>
              <w:rPr>
                <w:noProof/>
              </w:rPr>
            </w:pPr>
            <w:r>
              <w:rPr>
                <w:noProof/>
              </w:rPr>
              <w:t>C3.I2 Investissement 2.1.d Programme de subventions pour les technologies de l'information et de la communication et la cybersécurité dans les petites et moyennes entreprises</w:t>
            </w:r>
          </w:p>
        </w:tc>
        <w:tc>
          <w:tcPr>
            <w:tcW w:w="1701" w:type="dxa"/>
            <w:shd w:val="clear" w:color="auto" w:fill="C6EFCE"/>
            <w:noWrap/>
            <w:vAlign w:val="center"/>
          </w:tcPr>
          <w:p w14:paraId="1CEBE533" w14:textId="77777777" w:rsidR="00F74E13" w:rsidRDefault="009274FC">
            <w:pPr>
              <w:pStyle w:val="P68B1DB1-Normal12"/>
              <w:spacing w:after="0" w:line="240" w:lineRule="auto"/>
              <w:jc w:val="center"/>
              <w:rPr>
                <w:noProof/>
              </w:rPr>
            </w:pPr>
            <w:r>
              <w:rPr>
                <w:noProof/>
              </w:rPr>
              <w:t>Objectif</w:t>
            </w:r>
          </w:p>
        </w:tc>
        <w:tc>
          <w:tcPr>
            <w:tcW w:w="3472" w:type="dxa"/>
            <w:shd w:val="clear" w:color="auto" w:fill="C6EFCE"/>
            <w:noWrap/>
            <w:vAlign w:val="center"/>
          </w:tcPr>
          <w:p w14:paraId="1CEBE534" w14:textId="77777777" w:rsidR="00F74E13" w:rsidRDefault="009274FC">
            <w:pPr>
              <w:pStyle w:val="P68B1DB1-Normal13"/>
              <w:spacing w:after="0" w:line="240" w:lineRule="auto"/>
              <w:jc w:val="both"/>
              <w:rPr>
                <w:rFonts w:cs="Times New Roman"/>
                <w:noProof/>
              </w:rPr>
            </w:pPr>
            <w:r>
              <w:rPr>
                <w:noProof/>
              </w:rPr>
              <w:t>Exécution du budget – virement d’au moins 12,59 millions d’EUR en faveur de la numérisation</w:t>
            </w:r>
          </w:p>
        </w:tc>
      </w:tr>
      <w:tr w:rsidR="00F74E13" w14:paraId="1CEBE53A" w14:textId="77777777">
        <w:trPr>
          <w:trHeight w:val="302"/>
          <w:jc w:val="center"/>
        </w:trPr>
        <w:tc>
          <w:tcPr>
            <w:tcW w:w="1297" w:type="dxa"/>
            <w:shd w:val="clear" w:color="auto" w:fill="C6EFCE"/>
            <w:noWrap/>
          </w:tcPr>
          <w:p w14:paraId="1CEBE536" w14:textId="77777777" w:rsidR="00F74E13" w:rsidRDefault="009274FC">
            <w:pPr>
              <w:pStyle w:val="P68B1DB1-Normal35"/>
              <w:spacing w:after="0" w:line="240" w:lineRule="auto"/>
              <w:jc w:val="center"/>
              <w:rPr>
                <w:noProof/>
              </w:rPr>
            </w:pPr>
            <w:r>
              <w:rPr>
                <w:noProof/>
              </w:rPr>
              <w:t>60</w:t>
            </w:r>
          </w:p>
        </w:tc>
        <w:tc>
          <w:tcPr>
            <w:tcW w:w="3989" w:type="dxa"/>
            <w:shd w:val="clear" w:color="auto" w:fill="C6EFCE"/>
            <w:noWrap/>
            <w:vAlign w:val="center"/>
          </w:tcPr>
          <w:p w14:paraId="1CEBE537" w14:textId="77777777" w:rsidR="00F74E13" w:rsidRDefault="009274FC">
            <w:pPr>
              <w:pStyle w:val="P68B1DB1-Normal12"/>
              <w:spacing w:after="0" w:line="240" w:lineRule="auto"/>
              <w:rPr>
                <w:noProof/>
              </w:rPr>
            </w:pPr>
            <w:r>
              <w:rPr>
                <w:noProof/>
              </w:rPr>
              <w:t>C3.I2 Investissement 2.2.c Régime de subventions pour le soutien aux entreprises dans la transition vers une économie circulaire</w:t>
            </w:r>
          </w:p>
        </w:tc>
        <w:tc>
          <w:tcPr>
            <w:tcW w:w="1701" w:type="dxa"/>
            <w:shd w:val="clear" w:color="auto" w:fill="C6EFCE"/>
            <w:noWrap/>
            <w:vAlign w:val="center"/>
          </w:tcPr>
          <w:p w14:paraId="1CEBE538" w14:textId="77777777" w:rsidR="00F74E13" w:rsidRDefault="009274FC">
            <w:pPr>
              <w:pStyle w:val="P68B1DB1-Normal15"/>
              <w:spacing w:after="0" w:line="240" w:lineRule="auto"/>
              <w:jc w:val="center"/>
              <w:rPr>
                <w:noProof/>
              </w:rPr>
            </w:pPr>
            <w:r>
              <w:rPr>
                <w:noProof/>
              </w:rPr>
              <w:t>Objectif</w:t>
            </w:r>
          </w:p>
        </w:tc>
        <w:tc>
          <w:tcPr>
            <w:tcW w:w="3472" w:type="dxa"/>
            <w:shd w:val="clear" w:color="auto" w:fill="C6EFCE"/>
            <w:noWrap/>
            <w:vAlign w:val="center"/>
          </w:tcPr>
          <w:p w14:paraId="1CEBE539" w14:textId="77777777" w:rsidR="00F74E13" w:rsidRDefault="009274FC">
            <w:pPr>
              <w:pStyle w:val="P68B1DB1-Normal15"/>
              <w:spacing w:after="0" w:line="240" w:lineRule="auto"/>
              <w:jc w:val="both"/>
              <w:rPr>
                <w:noProof/>
              </w:rPr>
            </w:pPr>
            <w:r>
              <w:rPr>
                <w:noProof/>
              </w:rPr>
              <w:t>Entreprises soutenues</w:t>
            </w:r>
          </w:p>
        </w:tc>
      </w:tr>
      <w:tr w:rsidR="00F74E13" w14:paraId="1CEBE53F" w14:textId="77777777">
        <w:trPr>
          <w:trHeight w:val="302"/>
          <w:jc w:val="center"/>
        </w:trPr>
        <w:tc>
          <w:tcPr>
            <w:tcW w:w="1297" w:type="dxa"/>
            <w:shd w:val="clear" w:color="auto" w:fill="C6EFCE"/>
            <w:noWrap/>
          </w:tcPr>
          <w:p w14:paraId="1CEBE53B" w14:textId="77777777" w:rsidR="00F74E13" w:rsidRDefault="009274FC">
            <w:pPr>
              <w:pStyle w:val="P68B1DB1-Normal35"/>
              <w:spacing w:after="0" w:line="240" w:lineRule="auto"/>
              <w:jc w:val="center"/>
              <w:rPr>
                <w:noProof/>
              </w:rPr>
            </w:pPr>
            <w:r>
              <w:rPr>
                <w:noProof/>
              </w:rPr>
              <w:t>65</w:t>
            </w:r>
          </w:p>
        </w:tc>
        <w:tc>
          <w:tcPr>
            <w:tcW w:w="3989" w:type="dxa"/>
            <w:shd w:val="clear" w:color="auto" w:fill="C6EFCE"/>
            <w:noWrap/>
          </w:tcPr>
          <w:p w14:paraId="1CEBE53C" w14:textId="77777777" w:rsidR="00F74E13" w:rsidRDefault="009274FC">
            <w:pPr>
              <w:pStyle w:val="P68B1DB1-Normal12"/>
              <w:spacing w:after="0"/>
              <w:jc w:val="both"/>
              <w:rPr>
                <w:noProof/>
              </w:rPr>
            </w:pPr>
            <w:r>
              <w:rPr>
                <w:noProof/>
              </w:rPr>
              <w:t>C4.R1 Création d’un Fonds national pour la décarbonation</w:t>
            </w:r>
          </w:p>
        </w:tc>
        <w:tc>
          <w:tcPr>
            <w:tcW w:w="1701" w:type="dxa"/>
            <w:shd w:val="clear" w:color="auto" w:fill="C6EFCE"/>
            <w:noWrap/>
          </w:tcPr>
          <w:p w14:paraId="1CEBE53D"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3E" w14:textId="77777777" w:rsidR="00F74E13" w:rsidRDefault="009274FC">
            <w:pPr>
              <w:pStyle w:val="P68B1DB1-Normal13"/>
              <w:spacing w:after="0"/>
              <w:jc w:val="both"/>
              <w:rPr>
                <w:noProof/>
              </w:rPr>
            </w:pPr>
            <w:r>
              <w:rPr>
                <w:noProof/>
              </w:rPr>
              <w:t>Contrat et règles de fonctionnement</w:t>
            </w:r>
          </w:p>
        </w:tc>
      </w:tr>
      <w:tr w:rsidR="00F74E13" w14:paraId="1CEBE544" w14:textId="77777777">
        <w:trPr>
          <w:trHeight w:val="302"/>
          <w:jc w:val="center"/>
        </w:trPr>
        <w:tc>
          <w:tcPr>
            <w:tcW w:w="1297" w:type="dxa"/>
            <w:shd w:val="clear" w:color="auto" w:fill="C6EFCE"/>
            <w:noWrap/>
          </w:tcPr>
          <w:p w14:paraId="1CEBE540" w14:textId="77777777" w:rsidR="00F74E13" w:rsidRDefault="009274FC">
            <w:pPr>
              <w:pStyle w:val="P68B1DB1-Normal35"/>
              <w:spacing w:after="0" w:line="240" w:lineRule="auto"/>
              <w:jc w:val="center"/>
              <w:rPr>
                <w:noProof/>
              </w:rPr>
            </w:pPr>
            <w:r>
              <w:rPr>
                <w:noProof/>
              </w:rPr>
              <w:t>93</w:t>
            </w:r>
          </w:p>
        </w:tc>
        <w:tc>
          <w:tcPr>
            <w:tcW w:w="3989" w:type="dxa"/>
            <w:shd w:val="clear" w:color="auto" w:fill="C6EFCE"/>
            <w:noWrap/>
          </w:tcPr>
          <w:p w14:paraId="1CEBE541"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 xml:space="preserve">C4.R11 </w:t>
            </w:r>
            <w:r>
              <w:rPr>
                <w:rFonts w:ascii="Times New Roman" w:hAnsi="Times New Roman"/>
                <w:noProof/>
              </w:rPr>
              <w:t>Améliorer la gouvernance des entreprises publiques dans le secteur de l'énergie</w:t>
            </w:r>
          </w:p>
        </w:tc>
        <w:tc>
          <w:tcPr>
            <w:tcW w:w="1701" w:type="dxa"/>
            <w:shd w:val="clear" w:color="auto" w:fill="C6EFCE"/>
            <w:noWrap/>
          </w:tcPr>
          <w:p w14:paraId="1CEBE542"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43" w14:textId="77777777" w:rsidR="00F74E13" w:rsidRDefault="009274FC">
            <w:pPr>
              <w:pStyle w:val="P68B1DB1-Normal15"/>
              <w:spacing w:after="0" w:line="240" w:lineRule="auto"/>
              <w:jc w:val="both"/>
              <w:rPr>
                <w:noProof/>
              </w:rPr>
            </w:pPr>
            <w:r>
              <w:rPr>
                <w:noProof/>
              </w:rPr>
              <w:t>Conditions applicables à une nouvelle société holding publique</w:t>
            </w:r>
          </w:p>
        </w:tc>
      </w:tr>
      <w:tr w:rsidR="00F74E13" w14:paraId="1CEBE549" w14:textId="77777777">
        <w:trPr>
          <w:trHeight w:val="302"/>
          <w:jc w:val="center"/>
        </w:trPr>
        <w:tc>
          <w:tcPr>
            <w:tcW w:w="1297" w:type="dxa"/>
            <w:shd w:val="clear" w:color="auto" w:fill="C6EFCE"/>
            <w:noWrap/>
          </w:tcPr>
          <w:p w14:paraId="1CEBE545" w14:textId="77777777" w:rsidR="00F74E13" w:rsidRDefault="009274FC">
            <w:pPr>
              <w:pStyle w:val="P68B1DB1-Normal35"/>
              <w:spacing w:after="0" w:line="240" w:lineRule="auto"/>
              <w:jc w:val="center"/>
              <w:rPr>
                <w:noProof/>
              </w:rPr>
            </w:pPr>
            <w:r>
              <w:rPr>
                <w:noProof/>
              </w:rPr>
              <w:t>78</w:t>
            </w:r>
          </w:p>
        </w:tc>
        <w:tc>
          <w:tcPr>
            <w:tcW w:w="3989" w:type="dxa"/>
            <w:shd w:val="clear" w:color="auto" w:fill="C6EFCE"/>
            <w:noWrap/>
          </w:tcPr>
          <w:p w14:paraId="1CEBE546" w14:textId="77777777" w:rsidR="00F74E13" w:rsidRDefault="009274FC">
            <w:pPr>
              <w:pStyle w:val="P68B1DB1-Normal15"/>
              <w:spacing w:after="0" w:line="240" w:lineRule="auto"/>
              <w:rPr>
                <w:noProof/>
              </w:rPr>
            </w:pPr>
            <w:r>
              <w:rPr>
                <w:noProof/>
              </w:rPr>
              <w:t xml:space="preserve">C4.I2 Soutien aux énergies renouvelables pour les ménages </w:t>
            </w:r>
          </w:p>
        </w:tc>
        <w:tc>
          <w:tcPr>
            <w:tcW w:w="1701" w:type="dxa"/>
            <w:shd w:val="clear" w:color="auto" w:fill="C6EFCE"/>
            <w:noWrap/>
          </w:tcPr>
          <w:p w14:paraId="1CEBE547" w14:textId="77777777" w:rsidR="00F74E13" w:rsidRDefault="009274FC">
            <w:pPr>
              <w:pStyle w:val="P68B1DB1-Normal15"/>
              <w:spacing w:after="0" w:line="240" w:lineRule="auto"/>
              <w:jc w:val="center"/>
              <w:rPr>
                <w:noProof/>
              </w:rPr>
            </w:pPr>
            <w:r>
              <w:rPr>
                <w:noProof/>
              </w:rPr>
              <w:t>Objectif</w:t>
            </w:r>
          </w:p>
        </w:tc>
        <w:tc>
          <w:tcPr>
            <w:tcW w:w="3472" w:type="dxa"/>
            <w:shd w:val="clear" w:color="auto" w:fill="C6EFCE"/>
            <w:noWrap/>
          </w:tcPr>
          <w:p w14:paraId="1CEBE548" w14:textId="77777777" w:rsidR="00F74E13" w:rsidRDefault="009274FC">
            <w:pPr>
              <w:pStyle w:val="P68B1DB1-Normal15"/>
              <w:spacing w:after="0" w:line="240" w:lineRule="auto"/>
              <w:jc w:val="both"/>
              <w:rPr>
                <w:noProof/>
              </w:rPr>
            </w:pPr>
            <w:r>
              <w:rPr>
                <w:noProof/>
              </w:rPr>
              <w:t>Paiement(s) pour l'eau chaude sanitaire solaire ou les systèmes photovoltaïques</w:t>
            </w:r>
          </w:p>
        </w:tc>
      </w:tr>
      <w:tr w:rsidR="00F74E13" w14:paraId="1CEBE54E" w14:textId="77777777">
        <w:trPr>
          <w:trHeight w:val="302"/>
          <w:jc w:val="center"/>
        </w:trPr>
        <w:tc>
          <w:tcPr>
            <w:tcW w:w="1297" w:type="dxa"/>
            <w:shd w:val="clear" w:color="auto" w:fill="C6EFCE"/>
            <w:noWrap/>
          </w:tcPr>
          <w:p w14:paraId="1CEBE54A" w14:textId="77777777" w:rsidR="00F74E13" w:rsidRDefault="009274FC">
            <w:pPr>
              <w:pStyle w:val="P68B1DB1-Normal35"/>
              <w:spacing w:after="0" w:line="240" w:lineRule="auto"/>
              <w:jc w:val="center"/>
              <w:rPr>
                <w:noProof/>
              </w:rPr>
            </w:pPr>
            <w:r>
              <w:rPr>
                <w:noProof/>
              </w:rPr>
              <w:t>106</w:t>
            </w:r>
          </w:p>
        </w:tc>
        <w:tc>
          <w:tcPr>
            <w:tcW w:w="3989" w:type="dxa"/>
            <w:shd w:val="clear" w:color="auto" w:fill="C6EFCE"/>
            <w:noWrap/>
          </w:tcPr>
          <w:p w14:paraId="1CEBE54B"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C4.I7 Accroître</w:t>
            </w:r>
            <w:r>
              <w:rPr>
                <w:rFonts w:ascii="Times New Roman" w:hAnsi="Times New Roman" w:cs="Times New Roman"/>
                <w:noProof/>
                <w:szCs w:val="20"/>
              </w:rPr>
              <w:t xml:space="preserve"> l'utilisation des énergies renouvelables provenant de</w:t>
            </w:r>
            <w:r>
              <w:rPr>
                <w:rFonts w:ascii="Times New Roman" w:hAnsi="Times New Roman"/>
                <w:noProof/>
              </w:rPr>
              <w:t xml:space="preserve"> sources géothermiques</w:t>
            </w:r>
          </w:p>
        </w:tc>
        <w:tc>
          <w:tcPr>
            <w:tcW w:w="1701" w:type="dxa"/>
            <w:shd w:val="clear" w:color="auto" w:fill="C6EFCE"/>
            <w:noWrap/>
          </w:tcPr>
          <w:p w14:paraId="1CEBE54C"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4D" w14:textId="77777777" w:rsidR="00F74E13" w:rsidRDefault="009274FC">
            <w:pPr>
              <w:pStyle w:val="P68B1DB1-Normal12"/>
              <w:spacing w:after="0" w:line="240" w:lineRule="auto"/>
              <w:jc w:val="both"/>
              <w:rPr>
                <w:noProof/>
              </w:rPr>
            </w:pPr>
            <w:r>
              <w:rPr>
                <w:noProof/>
              </w:rPr>
              <w:t>Outil géothermique</w:t>
            </w:r>
          </w:p>
        </w:tc>
      </w:tr>
      <w:tr w:rsidR="00F74E13" w14:paraId="1CEBE553" w14:textId="77777777">
        <w:trPr>
          <w:trHeight w:val="302"/>
          <w:jc w:val="center"/>
        </w:trPr>
        <w:tc>
          <w:tcPr>
            <w:tcW w:w="1297" w:type="dxa"/>
            <w:shd w:val="clear" w:color="auto" w:fill="C6EFCE"/>
            <w:noWrap/>
          </w:tcPr>
          <w:p w14:paraId="1CEBE54F" w14:textId="77777777" w:rsidR="00F74E13" w:rsidRDefault="009274FC">
            <w:pPr>
              <w:pStyle w:val="P68B1DB1-Normal35"/>
              <w:spacing w:after="0" w:line="240" w:lineRule="auto"/>
              <w:jc w:val="center"/>
              <w:rPr>
                <w:noProof/>
              </w:rPr>
            </w:pPr>
            <w:r>
              <w:rPr>
                <w:noProof/>
              </w:rPr>
              <w:t>136</w:t>
            </w:r>
          </w:p>
        </w:tc>
        <w:tc>
          <w:tcPr>
            <w:tcW w:w="3989" w:type="dxa"/>
            <w:shd w:val="clear" w:color="auto" w:fill="C6EFCE"/>
            <w:noWrap/>
          </w:tcPr>
          <w:p w14:paraId="1CEBE550" w14:textId="77777777"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C6.I2 </w:t>
            </w:r>
            <w:r>
              <w:rPr>
                <w:rFonts w:ascii="Times New Roman" w:hAnsi="Times New Roman"/>
                <w:noProof/>
              </w:rPr>
              <w:t>Numérisation des processus de la ferme à la table</w:t>
            </w:r>
          </w:p>
        </w:tc>
        <w:tc>
          <w:tcPr>
            <w:tcW w:w="1701" w:type="dxa"/>
            <w:shd w:val="clear" w:color="auto" w:fill="C6EFCE"/>
            <w:noWrap/>
          </w:tcPr>
          <w:p w14:paraId="1CEBE551"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52" w14:textId="77777777" w:rsidR="00F74E13" w:rsidRDefault="009274FC">
            <w:pPr>
              <w:pStyle w:val="P68B1DB1-Normal15"/>
              <w:spacing w:after="0" w:line="240" w:lineRule="auto"/>
              <w:jc w:val="both"/>
              <w:rPr>
                <w:noProof/>
              </w:rPr>
            </w:pPr>
            <w:r>
              <w:rPr>
                <w:noProof/>
              </w:rPr>
              <w:t>Système électronique d'information agricole</w:t>
            </w:r>
          </w:p>
        </w:tc>
      </w:tr>
      <w:tr w:rsidR="00F74E13" w14:paraId="1CEBE558" w14:textId="77777777">
        <w:trPr>
          <w:trHeight w:val="302"/>
          <w:jc w:val="center"/>
        </w:trPr>
        <w:tc>
          <w:tcPr>
            <w:tcW w:w="1297" w:type="dxa"/>
            <w:shd w:val="clear" w:color="auto" w:fill="C6EFCE"/>
            <w:noWrap/>
          </w:tcPr>
          <w:p w14:paraId="1CEBE554" w14:textId="77777777" w:rsidR="00F74E13" w:rsidRDefault="009274FC">
            <w:pPr>
              <w:pStyle w:val="P68B1DB1-Normal15"/>
              <w:spacing w:after="0" w:line="240" w:lineRule="auto"/>
              <w:jc w:val="center"/>
              <w:rPr>
                <w:noProof/>
              </w:rPr>
            </w:pPr>
            <w:r>
              <w:rPr>
                <w:noProof/>
              </w:rPr>
              <w:t>163</w:t>
            </w:r>
          </w:p>
        </w:tc>
        <w:tc>
          <w:tcPr>
            <w:tcW w:w="3989" w:type="dxa"/>
            <w:shd w:val="clear" w:color="auto" w:fill="C6EFCE"/>
            <w:noWrap/>
          </w:tcPr>
          <w:p w14:paraId="1CEBE555"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C8.R1</w:t>
            </w:r>
            <w:r>
              <w:rPr>
                <w:rFonts w:ascii="Times New Roman" w:hAnsi="Times New Roman"/>
                <w:noProof/>
              </w:rPr>
              <w:t xml:space="preserve"> Cadre stratégique des transports</w:t>
            </w:r>
          </w:p>
        </w:tc>
        <w:tc>
          <w:tcPr>
            <w:tcW w:w="1701" w:type="dxa"/>
            <w:shd w:val="clear" w:color="auto" w:fill="C6EFCE"/>
            <w:noWrap/>
          </w:tcPr>
          <w:p w14:paraId="1CEBE556"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57" w14:textId="77777777" w:rsidR="00F74E13" w:rsidRDefault="009274FC">
            <w:pPr>
              <w:pStyle w:val="P68B1DB1-Normal35"/>
              <w:spacing w:after="0" w:line="240" w:lineRule="auto"/>
              <w:jc w:val="both"/>
              <w:rPr>
                <w:noProof/>
              </w:rPr>
            </w:pPr>
            <w:r>
              <w:rPr>
                <w:noProof/>
              </w:rPr>
              <w:t>Mesures relatives aux transports</w:t>
            </w:r>
          </w:p>
        </w:tc>
      </w:tr>
      <w:tr w:rsidR="00F74E13" w14:paraId="1CEBE55D" w14:textId="77777777">
        <w:trPr>
          <w:trHeight w:val="302"/>
          <w:jc w:val="center"/>
        </w:trPr>
        <w:tc>
          <w:tcPr>
            <w:tcW w:w="1297" w:type="dxa"/>
            <w:shd w:val="clear" w:color="auto" w:fill="C6EFCE"/>
            <w:noWrap/>
          </w:tcPr>
          <w:p w14:paraId="1CEBE559" w14:textId="77777777" w:rsidR="00F74E13" w:rsidRDefault="009274FC">
            <w:pPr>
              <w:pStyle w:val="P68B1DB1-Normal35"/>
              <w:spacing w:after="0" w:line="240" w:lineRule="auto"/>
              <w:jc w:val="center"/>
              <w:rPr>
                <w:noProof/>
              </w:rPr>
            </w:pPr>
            <w:r>
              <w:rPr>
                <w:noProof/>
              </w:rPr>
              <w:t>165</w:t>
            </w:r>
          </w:p>
        </w:tc>
        <w:tc>
          <w:tcPr>
            <w:tcW w:w="3989" w:type="dxa"/>
            <w:shd w:val="clear" w:color="auto" w:fill="C6EFCE"/>
            <w:noWrap/>
          </w:tcPr>
          <w:p w14:paraId="1CEBE55A" w14:textId="77777777" w:rsidR="00F74E13" w:rsidRDefault="009274FC">
            <w:pPr>
              <w:pStyle w:val="P68B1DB1-Normal35"/>
              <w:spacing w:after="0"/>
              <w:jc w:val="both"/>
              <w:rPr>
                <w:noProof/>
              </w:rPr>
            </w:pPr>
            <w:r>
              <w:rPr>
                <w:noProof/>
              </w:rPr>
              <w:t>C8.R1 Cadre stratégique des transports</w:t>
            </w:r>
          </w:p>
        </w:tc>
        <w:tc>
          <w:tcPr>
            <w:tcW w:w="1701" w:type="dxa"/>
            <w:shd w:val="clear" w:color="auto" w:fill="C6EFCE"/>
            <w:noWrap/>
          </w:tcPr>
          <w:p w14:paraId="1CEBE55B"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5C" w14:textId="77777777" w:rsidR="00F74E13" w:rsidRDefault="009274FC">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Nouveau(x)  contrat(s) de service public (CSP) pour les services publics de transport ferroviaire</w:t>
            </w:r>
          </w:p>
        </w:tc>
      </w:tr>
      <w:tr w:rsidR="00F74E13" w14:paraId="1CEBE562" w14:textId="77777777">
        <w:trPr>
          <w:trHeight w:val="302"/>
          <w:jc w:val="center"/>
        </w:trPr>
        <w:tc>
          <w:tcPr>
            <w:tcW w:w="1297" w:type="dxa"/>
            <w:shd w:val="clear" w:color="auto" w:fill="C6EFCE"/>
            <w:noWrap/>
          </w:tcPr>
          <w:p w14:paraId="1CEBE55E" w14:textId="77777777" w:rsidR="00F74E13" w:rsidRDefault="009274FC">
            <w:pPr>
              <w:pStyle w:val="P68B1DB1-Normal35"/>
              <w:spacing w:after="0" w:line="240" w:lineRule="auto"/>
              <w:jc w:val="center"/>
              <w:rPr>
                <w:noProof/>
              </w:rPr>
            </w:pPr>
            <w:r>
              <w:rPr>
                <w:noProof/>
              </w:rPr>
              <w:t>176</w:t>
            </w:r>
          </w:p>
        </w:tc>
        <w:tc>
          <w:tcPr>
            <w:tcW w:w="3989" w:type="dxa"/>
            <w:shd w:val="clear" w:color="auto" w:fill="C6EFCE"/>
            <w:noWrap/>
          </w:tcPr>
          <w:p w14:paraId="1CEBE55F" w14:textId="77777777" w:rsidR="00F74E13" w:rsidRDefault="009274FC">
            <w:pPr>
              <w:pStyle w:val="P68B1DB1-Normal35"/>
              <w:spacing w:after="0"/>
              <w:jc w:val="both"/>
              <w:rPr>
                <w:noProof/>
              </w:rPr>
            </w:pPr>
            <w:r>
              <w:rPr>
                <w:noProof/>
              </w:rPr>
              <w:t>C8.R4 Transports publics intégrés</w:t>
            </w:r>
          </w:p>
        </w:tc>
        <w:tc>
          <w:tcPr>
            <w:tcW w:w="1701" w:type="dxa"/>
            <w:shd w:val="clear" w:color="auto" w:fill="C6EFCE"/>
            <w:noWrap/>
          </w:tcPr>
          <w:p w14:paraId="1CEBE560"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61" w14:textId="77777777" w:rsidR="00F74E13" w:rsidRDefault="009274FC">
            <w:pPr>
              <w:pStyle w:val="P68B1DB1-Normal35"/>
              <w:spacing w:after="0" w:line="240" w:lineRule="auto"/>
              <w:jc w:val="both"/>
              <w:rPr>
                <w:noProof/>
              </w:rPr>
            </w:pPr>
            <w:r>
              <w:rPr>
                <w:noProof/>
              </w:rPr>
              <w:t>Entrée en vigueur du ou des actes juridiques relatifs aux transports publics</w:t>
            </w:r>
          </w:p>
        </w:tc>
      </w:tr>
      <w:tr w:rsidR="00F74E13" w14:paraId="1CEBE567" w14:textId="77777777">
        <w:trPr>
          <w:trHeight w:val="302"/>
          <w:jc w:val="center"/>
        </w:trPr>
        <w:tc>
          <w:tcPr>
            <w:tcW w:w="1297" w:type="dxa"/>
            <w:shd w:val="clear" w:color="auto" w:fill="C6EFCE"/>
            <w:noWrap/>
          </w:tcPr>
          <w:p w14:paraId="1CEBE563" w14:textId="77777777" w:rsidR="00F74E13" w:rsidRDefault="009274FC">
            <w:pPr>
              <w:pStyle w:val="P68B1DB1-Normal35"/>
              <w:spacing w:after="0" w:line="240" w:lineRule="auto"/>
              <w:jc w:val="center"/>
              <w:rPr>
                <w:noProof/>
              </w:rPr>
            </w:pPr>
            <w:r>
              <w:rPr>
                <w:noProof/>
              </w:rPr>
              <w:t>178</w:t>
            </w:r>
          </w:p>
        </w:tc>
        <w:tc>
          <w:tcPr>
            <w:tcW w:w="3989" w:type="dxa"/>
            <w:shd w:val="clear" w:color="auto" w:fill="C6EFCE"/>
            <w:noWrap/>
          </w:tcPr>
          <w:p w14:paraId="1CEBE564" w14:textId="77777777" w:rsidR="00F74E13" w:rsidRDefault="009274FC">
            <w:pPr>
              <w:pStyle w:val="P68B1DB1-Normal35"/>
              <w:spacing w:after="0"/>
              <w:jc w:val="both"/>
              <w:rPr>
                <w:noProof/>
              </w:rPr>
            </w:pPr>
            <w:r>
              <w:rPr>
                <w:noProof/>
              </w:rPr>
              <w:t>C8.R5 Mobilité électrique</w:t>
            </w:r>
          </w:p>
        </w:tc>
        <w:tc>
          <w:tcPr>
            <w:tcW w:w="1701" w:type="dxa"/>
            <w:shd w:val="clear" w:color="auto" w:fill="C6EFCE"/>
            <w:noWrap/>
          </w:tcPr>
          <w:p w14:paraId="1CEBE565"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66" w14:textId="77777777" w:rsidR="00F74E13" w:rsidRDefault="009274FC">
            <w:pPr>
              <w:pStyle w:val="P68B1DB1-Normal35"/>
              <w:spacing w:after="0" w:line="240" w:lineRule="auto"/>
              <w:jc w:val="both"/>
              <w:rPr>
                <w:noProof/>
              </w:rPr>
            </w:pPr>
            <w:r>
              <w:rPr>
                <w:noProof/>
              </w:rPr>
              <w:t>Entrée en vigueur du ou des actes juridiques sur la mobilité électrique</w:t>
            </w:r>
          </w:p>
        </w:tc>
      </w:tr>
      <w:tr w:rsidR="00F74E13" w14:paraId="1CEBE56C" w14:textId="77777777">
        <w:trPr>
          <w:trHeight w:val="302"/>
          <w:jc w:val="center"/>
        </w:trPr>
        <w:tc>
          <w:tcPr>
            <w:tcW w:w="1297" w:type="dxa"/>
            <w:shd w:val="clear" w:color="auto" w:fill="C6EFCE"/>
            <w:noWrap/>
          </w:tcPr>
          <w:p w14:paraId="1CEBE568" w14:textId="77777777" w:rsidR="00F74E13" w:rsidRDefault="009274FC">
            <w:pPr>
              <w:pStyle w:val="P68B1DB1-Normal35"/>
              <w:spacing w:after="0" w:line="240" w:lineRule="auto"/>
              <w:jc w:val="center"/>
              <w:rPr>
                <w:noProof/>
              </w:rPr>
            </w:pPr>
            <w:r>
              <w:rPr>
                <w:noProof/>
              </w:rPr>
              <w:t>181</w:t>
            </w:r>
          </w:p>
        </w:tc>
        <w:tc>
          <w:tcPr>
            <w:tcW w:w="3989" w:type="dxa"/>
            <w:shd w:val="clear" w:color="auto" w:fill="C6EFCE"/>
            <w:noWrap/>
          </w:tcPr>
          <w:p w14:paraId="1CEBE569" w14:textId="77777777" w:rsidR="00F74E13" w:rsidRDefault="009274FC">
            <w:pPr>
              <w:pStyle w:val="P68B1DB1-Normal35"/>
              <w:spacing w:after="0"/>
              <w:jc w:val="both"/>
              <w:rPr>
                <w:noProof/>
              </w:rPr>
            </w:pPr>
            <w:r>
              <w:rPr>
                <w:noProof/>
              </w:rPr>
              <w:t>C8.R5 Mobilité électrique</w:t>
            </w:r>
          </w:p>
        </w:tc>
        <w:tc>
          <w:tcPr>
            <w:tcW w:w="1701" w:type="dxa"/>
            <w:shd w:val="clear" w:color="auto" w:fill="C6EFCE"/>
            <w:noWrap/>
          </w:tcPr>
          <w:p w14:paraId="1CEBE56A"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6B" w14:textId="77777777" w:rsidR="00F74E13" w:rsidRDefault="009274FC">
            <w:pPr>
              <w:pStyle w:val="P68B1DB1-Normal35"/>
              <w:spacing w:after="0" w:line="240" w:lineRule="auto"/>
              <w:jc w:val="both"/>
              <w:rPr>
                <w:noProof/>
              </w:rPr>
            </w:pPr>
            <w:r>
              <w:rPr>
                <w:noProof/>
              </w:rPr>
              <w:t>Zones à faibles émissions</w:t>
            </w:r>
          </w:p>
        </w:tc>
      </w:tr>
      <w:tr w:rsidR="00F74E13" w14:paraId="1CEBE576" w14:textId="77777777">
        <w:trPr>
          <w:trHeight w:val="302"/>
          <w:jc w:val="center"/>
        </w:trPr>
        <w:tc>
          <w:tcPr>
            <w:tcW w:w="1297" w:type="dxa"/>
            <w:shd w:val="clear" w:color="auto" w:fill="C6EFCE"/>
            <w:noWrap/>
          </w:tcPr>
          <w:p w14:paraId="1CEBE572" w14:textId="77777777" w:rsidR="00F74E13" w:rsidRDefault="009274FC">
            <w:pPr>
              <w:pStyle w:val="P68B1DB1-Normal35"/>
              <w:spacing w:after="0" w:line="240" w:lineRule="auto"/>
              <w:jc w:val="center"/>
              <w:rPr>
                <w:noProof/>
              </w:rPr>
            </w:pPr>
            <w:r>
              <w:rPr>
                <w:noProof/>
              </w:rPr>
              <w:t>215</w:t>
            </w:r>
          </w:p>
        </w:tc>
        <w:tc>
          <w:tcPr>
            <w:tcW w:w="3989" w:type="dxa"/>
            <w:shd w:val="clear" w:color="auto" w:fill="C6EFCE"/>
            <w:noWrap/>
          </w:tcPr>
          <w:p w14:paraId="1CEBE573" w14:textId="77777777" w:rsidR="00F74E13" w:rsidRDefault="009274FC">
            <w:pPr>
              <w:pStyle w:val="P68B1DB1-Normal15"/>
              <w:spacing w:after="0"/>
              <w:jc w:val="both"/>
              <w:rPr>
                <w:noProof/>
              </w:rPr>
            </w:pPr>
            <w:r>
              <w:rPr>
                <w:noProof/>
              </w:rPr>
              <w:t>C10.R1 Réforme du système judiciaire</w:t>
            </w:r>
          </w:p>
        </w:tc>
        <w:tc>
          <w:tcPr>
            <w:tcW w:w="1701" w:type="dxa"/>
            <w:shd w:val="clear" w:color="auto" w:fill="C6EFCE"/>
            <w:noWrap/>
          </w:tcPr>
          <w:p w14:paraId="1CEBE574"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75" w14:textId="77777777" w:rsidR="00F74E13" w:rsidRDefault="009274FC">
            <w:pPr>
              <w:pStyle w:val="P68B1DB1-Normal13"/>
              <w:spacing w:after="0" w:line="240" w:lineRule="auto"/>
              <w:jc w:val="both"/>
              <w:rPr>
                <w:noProof/>
              </w:rPr>
            </w:pPr>
            <w:r>
              <w:rPr>
                <w:noProof/>
              </w:rPr>
              <w:t>Entrée en vigueur d’un ou de plusieurs actes juridiques sur la justice en ligne dans les affaires administratives</w:t>
            </w:r>
          </w:p>
        </w:tc>
      </w:tr>
      <w:tr w:rsidR="00F74E13" w14:paraId="1CEBE57B" w14:textId="77777777">
        <w:trPr>
          <w:trHeight w:val="302"/>
          <w:jc w:val="center"/>
        </w:trPr>
        <w:tc>
          <w:tcPr>
            <w:tcW w:w="1297" w:type="dxa"/>
            <w:shd w:val="clear" w:color="auto" w:fill="C6EFCE"/>
            <w:noWrap/>
          </w:tcPr>
          <w:p w14:paraId="1CEBE577" w14:textId="77777777" w:rsidR="00F74E13" w:rsidRDefault="009274FC">
            <w:pPr>
              <w:pStyle w:val="P68B1DB1-Normal15"/>
              <w:spacing w:after="0" w:line="240" w:lineRule="auto"/>
              <w:jc w:val="center"/>
              <w:rPr>
                <w:rFonts w:eastAsia="Times New Roman" w:cs="Times New Roman"/>
                <w:noProof/>
                <w:szCs w:val="20"/>
              </w:rPr>
            </w:pPr>
            <w:r>
              <w:rPr>
                <w:noProof/>
              </w:rPr>
              <w:t>218</w:t>
            </w:r>
          </w:p>
        </w:tc>
        <w:tc>
          <w:tcPr>
            <w:tcW w:w="3989" w:type="dxa"/>
            <w:shd w:val="clear" w:color="auto" w:fill="C6EFCE"/>
            <w:noWrap/>
          </w:tcPr>
          <w:p w14:paraId="1CEBE578"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701" w:type="dxa"/>
            <w:shd w:val="clear" w:color="auto" w:fill="C6EFCE"/>
            <w:noWrap/>
          </w:tcPr>
          <w:p w14:paraId="1CEBE579"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7A" w14:textId="77777777" w:rsidR="00F74E13" w:rsidRDefault="009274FC">
            <w:pPr>
              <w:pStyle w:val="P68B1DB1-Normal22"/>
              <w:spacing w:after="0" w:line="240" w:lineRule="auto"/>
              <w:rPr>
                <w:rFonts w:ascii="Times New Roman" w:hAnsi="Times New Roman"/>
                <w:noProof/>
                <w:szCs w:val="20"/>
              </w:rPr>
            </w:pPr>
            <w:r>
              <w:rPr>
                <w:rFonts w:ascii="Times New Roman" w:hAnsi="Times New Roman"/>
                <w:noProof/>
              </w:rPr>
              <w:t xml:space="preserve">Entrée en vigueur d’un </w:t>
            </w:r>
            <w:r>
              <w:rPr>
                <w:rFonts w:ascii="Times New Roman" w:eastAsia="Times New Roman" w:hAnsi="Times New Roman" w:cs="Times New Roman"/>
                <w:noProof/>
                <w:szCs w:val="20"/>
              </w:rPr>
              <w:t>ou de plusieurs actes juridiques prévoyant</w:t>
            </w:r>
            <w:r>
              <w:rPr>
                <w:rFonts w:ascii="Times New Roman" w:hAnsi="Times New Roman"/>
                <w:noProof/>
              </w:rPr>
              <w:t xml:space="preserve"> la création d’un organisme de lutte contre la corruption</w:t>
            </w:r>
          </w:p>
        </w:tc>
      </w:tr>
      <w:tr w:rsidR="00F74E13" w14:paraId="1CEBE580" w14:textId="77777777">
        <w:trPr>
          <w:trHeight w:val="302"/>
          <w:jc w:val="center"/>
        </w:trPr>
        <w:tc>
          <w:tcPr>
            <w:tcW w:w="1297" w:type="dxa"/>
            <w:shd w:val="clear" w:color="auto" w:fill="C6EFCE"/>
            <w:noWrap/>
          </w:tcPr>
          <w:p w14:paraId="1CEBE57C" w14:textId="77777777" w:rsidR="00F74E13" w:rsidRDefault="009274FC">
            <w:pPr>
              <w:pStyle w:val="P68B1DB1-Normal35"/>
              <w:spacing w:after="0" w:line="240" w:lineRule="auto"/>
              <w:jc w:val="center"/>
              <w:rPr>
                <w:noProof/>
              </w:rPr>
            </w:pPr>
            <w:r>
              <w:rPr>
                <w:noProof/>
              </w:rPr>
              <w:t>223</w:t>
            </w:r>
          </w:p>
        </w:tc>
        <w:tc>
          <w:tcPr>
            <w:tcW w:w="3989" w:type="dxa"/>
            <w:shd w:val="clear" w:color="auto" w:fill="C6EFCE"/>
            <w:noWrap/>
          </w:tcPr>
          <w:p w14:paraId="1CEBE57D" w14:textId="77777777" w:rsidR="00F74E13" w:rsidRDefault="009274FC">
            <w:pPr>
              <w:pStyle w:val="P68B1DB1-Normal35"/>
              <w:spacing w:after="0"/>
              <w:jc w:val="both"/>
              <w:rPr>
                <w:noProof/>
              </w:rPr>
            </w:pPr>
            <w:r>
              <w:rPr>
                <w:noProof/>
              </w:rPr>
              <w:t>C10.R2 Lutte contre la corruption</w:t>
            </w:r>
          </w:p>
        </w:tc>
        <w:tc>
          <w:tcPr>
            <w:tcW w:w="1701" w:type="dxa"/>
            <w:shd w:val="clear" w:color="auto" w:fill="C6EFCE"/>
            <w:noWrap/>
          </w:tcPr>
          <w:p w14:paraId="1CEBE57E"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7F"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Entrée en vigueur du ou des actes juridiques relatifs aux</w:t>
            </w:r>
            <w:r>
              <w:rPr>
                <w:rFonts w:ascii="Times New Roman" w:eastAsia="Times New Roman" w:hAnsi="Times New Roman" w:cs="Times New Roman"/>
                <w:noProof/>
                <w:szCs w:val="20"/>
              </w:rPr>
              <w:t xml:space="preserve"> activités de lobbying</w:t>
            </w:r>
          </w:p>
        </w:tc>
      </w:tr>
      <w:tr w:rsidR="00F74E13" w14:paraId="1CEBE585" w14:textId="77777777">
        <w:trPr>
          <w:trHeight w:val="302"/>
          <w:jc w:val="center"/>
        </w:trPr>
        <w:tc>
          <w:tcPr>
            <w:tcW w:w="1297" w:type="dxa"/>
            <w:shd w:val="clear" w:color="auto" w:fill="C6EFCE"/>
            <w:noWrap/>
          </w:tcPr>
          <w:p w14:paraId="1CEBE581" w14:textId="77777777" w:rsidR="00F74E13" w:rsidRDefault="009274FC">
            <w:pPr>
              <w:pStyle w:val="P68B1DB1-Normal15"/>
              <w:spacing w:after="0" w:line="240" w:lineRule="auto"/>
              <w:jc w:val="center"/>
              <w:rPr>
                <w:noProof/>
              </w:rPr>
            </w:pPr>
            <w:r>
              <w:rPr>
                <w:noProof/>
              </w:rPr>
              <w:t>258</w:t>
            </w:r>
          </w:p>
        </w:tc>
        <w:tc>
          <w:tcPr>
            <w:tcW w:w="3989" w:type="dxa"/>
            <w:shd w:val="clear" w:color="auto" w:fill="C6EFCE"/>
            <w:noWrap/>
          </w:tcPr>
          <w:p w14:paraId="1CEBE582"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C10.I1</w:t>
            </w:r>
            <w:r>
              <w:rPr>
                <w:rFonts w:ascii="Times New Roman" w:hAnsi="Times New Roman"/>
                <w:noProof/>
              </w:rPr>
              <w:t xml:space="preserve"> Modernisation du système d'information unifié des tribunaux</w:t>
            </w:r>
          </w:p>
        </w:tc>
        <w:tc>
          <w:tcPr>
            <w:tcW w:w="1701" w:type="dxa"/>
            <w:shd w:val="clear" w:color="auto" w:fill="C6EFCE"/>
            <w:noWrap/>
          </w:tcPr>
          <w:p w14:paraId="1CEBE583"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84" w14:textId="77777777" w:rsidR="00F74E13" w:rsidRDefault="009274FC">
            <w:pPr>
              <w:pStyle w:val="P68B1DB1-Normal15"/>
              <w:spacing w:after="0" w:line="240" w:lineRule="auto"/>
              <w:rPr>
                <w:noProof/>
              </w:rPr>
            </w:pPr>
            <w:r>
              <w:rPr>
                <w:noProof/>
              </w:rPr>
              <w:t>Mise à niveau du système d’information sur les juridictions unifiées</w:t>
            </w:r>
          </w:p>
        </w:tc>
      </w:tr>
      <w:tr w:rsidR="00F74E13" w14:paraId="1CEBE58A" w14:textId="77777777">
        <w:trPr>
          <w:trHeight w:val="302"/>
          <w:jc w:val="center"/>
        </w:trPr>
        <w:tc>
          <w:tcPr>
            <w:tcW w:w="1297" w:type="dxa"/>
            <w:shd w:val="clear" w:color="auto" w:fill="C6EFCE"/>
            <w:noWrap/>
          </w:tcPr>
          <w:p w14:paraId="1CEBE586" w14:textId="77777777" w:rsidR="00F74E13" w:rsidRDefault="009274FC">
            <w:pPr>
              <w:pStyle w:val="P68B1DB1-Normal35"/>
              <w:spacing w:after="0" w:line="240" w:lineRule="auto"/>
              <w:jc w:val="center"/>
              <w:rPr>
                <w:noProof/>
              </w:rPr>
            </w:pPr>
            <w:r>
              <w:rPr>
                <w:noProof/>
              </w:rPr>
              <w:t>260</w:t>
            </w:r>
          </w:p>
        </w:tc>
        <w:tc>
          <w:tcPr>
            <w:tcW w:w="3989" w:type="dxa"/>
            <w:shd w:val="clear" w:color="auto" w:fill="C6EFCE"/>
            <w:noWrap/>
          </w:tcPr>
          <w:p w14:paraId="1CEBE587" w14:textId="77777777" w:rsidR="00F74E13" w:rsidRDefault="009274FC">
            <w:pPr>
              <w:pStyle w:val="P68B1DB1-Normal35"/>
              <w:spacing w:after="0"/>
              <w:jc w:val="both"/>
              <w:rPr>
                <w:noProof/>
              </w:rPr>
            </w:pPr>
            <w:r>
              <w:rPr>
                <w:noProof/>
              </w:rPr>
              <w:t>C10.I2 Numérisation des procédures contentieuses en justice administrative</w:t>
            </w:r>
          </w:p>
        </w:tc>
        <w:tc>
          <w:tcPr>
            <w:tcW w:w="1701" w:type="dxa"/>
            <w:shd w:val="clear" w:color="auto" w:fill="C6EFCE"/>
            <w:noWrap/>
          </w:tcPr>
          <w:p w14:paraId="1CEBE588" w14:textId="77777777" w:rsidR="00F74E13" w:rsidRDefault="009274FC">
            <w:pPr>
              <w:pStyle w:val="P68B1DB1-Normal35"/>
              <w:spacing w:after="0" w:line="240" w:lineRule="auto"/>
              <w:jc w:val="center"/>
              <w:rPr>
                <w:noProof/>
              </w:rPr>
            </w:pPr>
            <w:r>
              <w:rPr>
                <w:noProof/>
              </w:rPr>
              <w:t>Étape</w:t>
            </w:r>
          </w:p>
        </w:tc>
        <w:tc>
          <w:tcPr>
            <w:tcW w:w="3472" w:type="dxa"/>
            <w:shd w:val="clear" w:color="auto" w:fill="C6EFCE"/>
            <w:noWrap/>
          </w:tcPr>
          <w:p w14:paraId="1CEBE589" w14:textId="77777777" w:rsidR="00F74E13" w:rsidRDefault="009274FC">
            <w:pPr>
              <w:pStyle w:val="P68B1DB1-Normal22"/>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Modules</w:t>
            </w:r>
            <w:r>
              <w:rPr>
                <w:rFonts w:ascii="Times New Roman" w:hAnsi="Times New Roman"/>
                <w:noProof/>
              </w:rPr>
              <w:t xml:space="preserve"> d’information et matériel pour la numérisation des procédures contentieuses en justice administrative </w:t>
            </w:r>
          </w:p>
        </w:tc>
      </w:tr>
      <w:tr w:rsidR="00F74E13" w14:paraId="1CEBE58F" w14:textId="77777777">
        <w:trPr>
          <w:trHeight w:val="302"/>
          <w:jc w:val="center"/>
        </w:trPr>
        <w:tc>
          <w:tcPr>
            <w:tcW w:w="1297" w:type="dxa"/>
            <w:shd w:val="clear" w:color="auto" w:fill="C6EFCE"/>
            <w:noWrap/>
          </w:tcPr>
          <w:p w14:paraId="1CEBE58B" w14:textId="77777777" w:rsidR="00F74E13" w:rsidRDefault="009274FC">
            <w:pPr>
              <w:pStyle w:val="P68B1DB1-Normal35"/>
              <w:spacing w:after="0" w:line="240" w:lineRule="auto"/>
              <w:jc w:val="center"/>
              <w:rPr>
                <w:noProof/>
              </w:rPr>
            </w:pPr>
            <w:r>
              <w:rPr>
                <w:noProof/>
              </w:rPr>
              <w:t>278</w:t>
            </w:r>
          </w:p>
        </w:tc>
        <w:tc>
          <w:tcPr>
            <w:tcW w:w="3989" w:type="dxa"/>
            <w:shd w:val="clear" w:color="auto" w:fill="C6EFCE"/>
            <w:noWrap/>
          </w:tcPr>
          <w:p w14:paraId="1CEBE58C" w14:textId="77777777" w:rsidR="00F74E13" w:rsidRDefault="009274FC">
            <w:pPr>
              <w:pStyle w:val="P68B1DB1-Normal15"/>
              <w:spacing w:after="0"/>
              <w:jc w:val="both"/>
              <w:rPr>
                <w:rFonts w:cs="Times New Roman"/>
                <w:noProof/>
                <w:szCs w:val="20"/>
              </w:rPr>
            </w:pPr>
            <w:r>
              <w:rPr>
                <w:noProof/>
              </w:rPr>
              <w:t>Système Monitorstat C10.I10</w:t>
            </w:r>
          </w:p>
        </w:tc>
        <w:tc>
          <w:tcPr>
            <w:tcW w:w="1701" w:type="dxa"/>
            <w:shd w:val="clear" w:color="auto" w:fill="C6EFCE"/>
            <w:noWrap/>
          </w:tcPr>
          <w:p w14:paraId="1CEBE58D" w14:textId="77777777" w:rsidR="00F74E13" w:rsidRDefault="009274FC">
            <w:pPr>
              <w:pStyle w:val="P68B1DB1-Normal35"/>
              <w:spacing w:after="0" w:line="240" w:lineRule="auto"/>
              <w:jc w:val="center"/>
              <w:rPr>
                <w:noProof/>
              </w:rPr>
            </w:pPr>
            <w:r>
              <w:rPr>
                <w:noProof/>
              </w:rPr>
              <w:t>Étape</w:t>
            </w:r>
          </w:p>
        </w:tc>
        <w:tc>
          <w:tcPr>
            <w:tcW w:w="3472" w:type="dxa"/>
            <w:shd w:val="clear" w:color="auto" w:fill="C6EFCE"/>
            <w:noWrap/>
          </w:tcPr>
          <w:p w14:paraId="1CEBE58E" w14:textId="77777777" w:rsidR="00F74E13" w:rsidRDefault="009274FC">
            <w:pPr>
              <w:pStyle w:val="P68B1DB1-Normal35"/>
              <w:spacing w:after="0" w:line="240" w:lineRule="auto"/>
              <w:jc w:val="both"/>
              <w:rPr>
                <w:noProof/>
              </w:rPr>
            </w:pPr>
            <w:r>
              <w:rPr>
                <w:noProof/>
              </w:rPr>
              <w:t xml:space="preserve">Mise à niveau du système Monitorstat </w:t>
            </w:r>
          </w:p>
        </w:tc>
      </w:tr>
      <w:tr w:rsidR="00F74E13" w14:paraId="1CEBE594" w14:textId="77777777">
        <w:trPr>
          <w:trHeight w:val="302"/>
          <w:jc w:val="center"/>
        </w:trPr>
        <w:tc>
          <w:tcPr>
            <w:tcW w:w="1297" w:type="dxa"/>
            <w:shd w:val="clear" w:color="auto" w:fill="C6EFCE"/>
            <w:noWrap/>
          </w:tcPr>
          <w:p w14:paraId="1CEBE590" w14:textId="77777777" w:rsidR="00F74E13" w:rsidRDefault="009274FC">
            <w:pPr>
              <w:pStyle w:val="P68B1DB1-Normal35"/>
              <w:spacing w:after="0" w:line="240" w:lineRule="auto"/>
              <w:jc w:val="center"/>
              <w:rPr>
                <w:noProof/>
              </w:rPr>
            </w:pPr>
            <w:r>
              <w:rPr>
                <w:noProof/>
              </w:rPr>
              <w:t>285</w:t>
            </w:r>
          </w:p>
        </w:tc>
        <w:tc>
          <w:tcPr>
            <w:tcW w:w="3989" w:type="dxa"/>
            <w:shd w:val="clear" w:color="auto" w:fill="C6EFCE"/>
            <w:noWrap/>
          </w:tcPr>
          <w:p w14:paraId="1CEBE591" w14:textId="77777777" w:rsidR="00F74E13" w:rsidRDefault="009274FC">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C10.I11  Environnement informationnel et administratif pour le plan pour la reprise et la résilience</w:t>
            </w:r>
          </w:p>
        </w:tc>
        <w:tc>
          <w:tcPr>
            <w:tcW w:w="1701" w:type="dxa"/>
            <w:shd w:val="clear" w:color="auto" w:fill="C6EFCE"/>
            <w:noWrap/>
          </w:tcPr>
          <w:p w14:paraId="1CEBE592" w14:textId="77777777" w:rsidR="00F74E13" w:rsidRDefault="009274FC">
            <w:pPr>
              <w:pStyle w:val="P68B1DB1-Normal35"/>
              <w:spacing w:after="0" w:line="240" w:lineRule="auto"/>
              <w:jc w:val="center"/>
              <w:rPr>
                <w:noProof/>
              </w:rPr>
            </w:pPr>
            <w:r>
              <w:rPr>
                <w:noProof/>
              </w:rPr>
              <w:t>Étape</w:t>
            </w:r>
          </w:p>
        </w:tc>
        <w:tc>
          <w:tcPr>
            <w:tcW w:w="3472" w:type="dxa"/>
            <w:shd w:val="clear" w:color="auto" w:fill="C6EFCE"/>
            <w:noWrap/>
          </w:tcPr>
          <w:p w14:paraId="1CEBE593" w14:textId="77777777" w:rsidR="00F74E13" w:rsidRDefault="009274FC">
            <w:pPr>
              <w:pStyle w:val="P68B1DB1-Normal35"/>
              <w:spacing w:after="0" w:line="240" w:lineRule="auto"/>
              <w:jc w:val="both"/>
              <w:rPr>
                <w:noProof/>
              </w:rPr>
            </w:pPr>
            <w:r>
              <w:rPr>
                <w:noProof/>
              </w:rPr>
              <w:t>Formations sur les activités au titre de la FRR</w:t>
            </w:r>
          </w:p>
        </w:tc>
      </w:tr>
      <w:tr w:rsidR="00F74E13" w14:paraId="1CEBE599" w14:textId="77777777">
        <w:trPr>
          <w:trHeight w:val="302"/>
          <w:jc w:val="center"/>
        </w:trPr>
        <w:tc>
          <w:tcPr>
            <w:tcW w:w="1297" w:type="dxa"/>
            <w:shd w:val="clear" w:color="auto" w:fill="C6EFCE"/>
            <w:noWrap/>
          </w:tcPr>
          <w:p w14:paraId="1CEBE595" w14:textId="77777777" w:rsidR="00F74E13" w:rsidRDefault="009274FC">
            <w:pPr>
              <w:pStyle w:val="P68B1DB1-Normal35"/>
              <w:spacing w:after="0" w:line="240" w:lineRule="auto"/>
              <w:jc w:val="center"/>
              <w:rPr>
                <w:noProof/>
              </w:rPr>
            </w:pPr>
            <w:r>
              <w:rPr>
                <w:noProof/>
              </w:rPr>
              <w:t>304</w:t>
            </w:r>
          </w:p>
        </w:tc>
        <w:tc>
          <w:tcPr>
            <w:tcW w:w="3989" w:type="dxa"/>
            <w:shd w:val="clear" w:color="auto" w:fill="C6EFCE"/>
            <w:noWrap/>
          </w:tcPr>
          <w:p w14:paraId="1CEBE596" w14:textId="77777777" w:rsidR="00F74E13" w:rsidRDefault="009274FC">
            <w:pPr>
              <w:pStyle w:val="P68B1DB1-Normal13"/>
              <w:spacing w:after="0" w:line="240" w:lineRule="auto"/>
              <w:jc w:val="both"/>
              <w:rPr>
                <w:rFonts w:cs="Times New Roman"/>
                <w:noProof/>
              </w:rPr>
            </w:pPr>
            <w:r>
              <w:rPr>
                <w:noProof/>
              </w:rPr>
              <w:t>C11.I4 Rénovation de l'Agence d'assistance sociale</w:t>
            </w:r>
          </w:p>
        </w:tc>
        <w:tc>
          <w:tcPr>
            <w:tcW w:w="1701" w:type="dxa"/>
            <w:shd w:val="clear" w:color="auto" w:fill="C6EFCE"/>
            <w:noWrap/>
          </w:tcPr>
          <w:p w14:paraId="1CEBE597" w14:textId="77777777" w:rsidR="00F74E13" w:rsidRDefault="009274FC">
            <w:pPr>
              <w:pStyle w:val="P68B1DB1-Normal12"/>
              <w:spacing w:after="0" w:line="240" w:lineRule="auto"/>
              <w:jc w:val="center"/>
              <w:rPr>
                <w:noProof/>
              </w:rPr>
            </w:pPr>
            <w:r>
              <w:rPr>
                <w:noProof/>
              </w:rPr>
              <w:t>Objectif</w:t>
            </w:r>
          </w:p>
        </w:tc>
        <w:tc>
          <w:tcPr>
            <w:tcW w:w="3472" w:type="dxa"/>
            <w:shd w:val="clear" w:color="auto" w:fill="C6EFCE"/>
            <w:noWrap/>
          </w:tcPr>
          <w:p w14:paraId="1CEBE598" w14:textId="77777777" w:rsidR="00F74E13" w:rsidRDefault="009274FC">
            <w:pPr>
              <w:pStyle w:val="P68B1DB1-Normal13"/>
              <w:spacing w:after="0" w:line="240" w:lineRule="auto"/>
              <w:jc w:val="both"/>
              <w:rPr>
                <w:rFonts w:cs="Times New Roman"/>
                <w:noProof/>
              </w:rPr>
            </w:pPr>
            <w:r>
              <w:rPr>
                <w:noProof/>
              </w:rPr>
              <w:t>Rénovation des structures territoriales de l'Agence d'assistance sociale</w:t>
            </w:r>
          </w:p>
        </w:tc>
      </w:tr>
      <w:tr w:rsidR="00F74E13" w14:paraId="1CEBE59E" w14:textId="77777777">
        <w:trPr>
          <w:trHeight w:val="302"/>
          <w:jc w:val="center"/>
        </w:trPr>
        <w:tc>
          <w:tcPr>
            <w:tcW w:w="1297" w:type="dxa"/>
            <w:shd w:val="clear" w:color="auto" w:fill="C6EFCE"/>
            <w:noWrap/>
          </w:tcPr>
          <w:p w14:paraId="1CEBE59A" w14:textId="77777777" w:rsidR="00F74E13" w:rsidRDefault="009274FC">
            <w:pPr>
              <w:pStyle w:val="P68B1DB1-Normal35"/>
              <w:spacing w:after="0" w:line="240" w:lineRule="auto"/>
              <w:jc w:val="center"/>
              <w:rPr>
                <w:noProof/>
              </w:rPr>
            </w:pPr>
            <w:r>
              <w:rPr>
                <w:noProof/>
              </w:rPr>
              <w:t>308</w:t>
            </w:r>
          </w:p>
        </w:tc>
        <w:tc>
          <w:tcPr>
            <w:tcW w:w="3989" w:type="dxa"/>
            <w:shd w:val="clear" w:color="auto" w:fill="C6EFCE"/>
            <w:noWrap/>
          </w:tcPr>
          <w:p w14:paraId="1CEBE59B" w14:textId="77777777" w:rsidR="00F74E13" w:rsidRDefault="009274FC">
            <w:pPr>
              <w:pStyle w:val="P68B1DB1-Normal13"/>
              <w:spacing w:after="0" w:line="240" w:lineRule="auto"/>
              <w:rPr>
                <w:rFonts w:cs="Times New Roman"/>
                <w:noProof/>
              </w:rPr>
            </w:pPr>
            <w:r>
              <w:rPr>
                <w:noProof/>
              </w:rPr>
              <w:t>C11.I6 Soutien à la culture et au secteur</w:t>
            </w:r>
          </w:p>
        </w:tc>
        <w:tc>
          <w:tcPr>
            <w:tcW w:w="1701" w:type="dxa"/>
            <w:shd w:val="clear" w:color="auto" w:fill="C6EFCE"/>
            <w:noWrap/>
          </w:tcPr>
          <w:p w14:paraId="1CEBE59C" w14:textId="77777777" w:rsidR="00F74E13" w:rsidRDefault="009274FC">
            <w:pPr>
              <w:pStyle w:val="P68B1DB1-Normal12"/>
              <w:spacing w:after="0" w:line="240" w:lineRule="auto"/>
              <w:jc w:val="center"/>
              <w:rPr>
                <w:noProof/>
              </w:rPr>
            </w:pPr>
            <w:r>
              <w:rPr>
                <w:noProof/>
              </w:rPr>
              <w:t>Objectif</w:t>
            </w:r>
          </w:p>
        </w:tc>
        <w:tc>
          <w:tcPr>
            <w:tcW w:w="3472" w:type="dxa"/>
            <w:shd w:val="clear" w:color="auto" w:fill="C6EFCE"/>
            <w:noWrap/>
          </w:tcPr>
          <w:p w14:paraId="1CEBE59D" w14:textId="77777777" w:rsidR="00F74E13" w:rsidRDefault="009274FC">
            <w:pPr>
              <w:pStyle w:val="P68B1DB1-Normal12"/>
              <w:spacing w:after="0" w:line="240" w:lineRule="auto"/>
              <w:jc w:val="both"/>
              <w:rPr>
                <w:noProof/>
              </w:rPr>
            </w:pPr>
            <w:r>
              <w:rPr>
                <w:noProof/>
              </w:rPr>
              <w:t>Soutien au secteur culturel</w:t>
            </w:r>
          </w:p>
        </w:tc>
      </w:tr>
      <w:tr w:rsidR="00F74E13" w14:paraId="1CEBE5A3" w14:textId="77777777">
        <w:trPr>
          <w:trHeight w:val="302"/>
          <w:jc w:val="center"/>
        </w:trPr>
        <w:tc>
          <w:tcPr>
            <w:tcW w:w="1297" w:type="dxa"/>
            <w:shd w:val="clear" w:color="auto" w:fill="C6EFCE"/>
            <w:noWrap/>
          </w:tcPr>
          <w:p w14:paraId="1CEBE59F" w14:textId="77777777" w:rsidR="00F74E13" w:rsidRDefault="009274FC">
            <w:pPr>
              <w:pStyle w:val="P68B1DB1-Normal35"/>
              <w:spacing w:after="0" w:line="240" w:lineRule="auto"/>
              <w:jc w:val="center"/>
              <w:rPr>
                <w:noProof/>
              </w:rPr>
            </w:pPr>
            <w:r>
              <w:rPr>
                <w:noProof/>
              </w:rPr>
              <w:t>332</w:t>
            </w:r>
          </w:p>
        </w:tc>
        <w:tc>
          <w:tcPr>
            <w:tcW w:w="3989" w:type="dxa"/>
            <w:shd w:val="clear" w:color="auto" w:fill="C6EFCE"/>
            <w:noWrap/>
          </w:tcPr>
          <w:p w14:paraId="1CEBE5A0" w14:textId="77777777" w:rsidR="00F74E13" w:rsidRDefault="009274FC">
            <w:pPr>
              <w:pStyle w:val="P68B1DB1-Normal71"/>
              <w:spacing w:after="0" w:line="240" w:lineRule="auto"/>
              <w:rPr>
                <w:noProof/>
                <w:szCs w:val="20"/>
              </w:rPr>
            </w:pPr>
            <w:r>
              <w:rPr>
                <w:noProof/>
                <w:szCs w:val="20"/>
              </w:rPr>
              <w:t>C12.I2 C</w:t>
            </w:r>
            <w:r>
              <w:rPr>
                <w:noProof/>
              </w:rPr>
              <w:t xml:space="preserve"> entres</w:t>
            </w:r>
            <w:r>
              <w:rPr>
                <w:noProof/>
                <w:szCs w:val="20"/>
              </w:rPr>
              <w:t xml:space="preserve"> pour le diagnostic interventionnel et le traitement endovasculaire des maladies cérébrovasculaires</w:t>
            </w:r>
          </w:p>
        </w:tc>
        <w:tc>
          <w:tcPr>
            <w:tcW w:w="1701" w:type="dxa"/>
            <w:shd w:val="clear" w:color="auto" w:fill="C6EFCE"/>
            <w:noWrap/>
          </w:tcPr>
          <w:p w14:paraId="1CEBE5A1" w14:textId="77777777" w:rsidR="00F74E13" w:rsidRDefault="009274FC">
            <w:pPr>
              <w:pStyle w:val="P68B1DB1-Normal12"/>
              <w:spacing w:after="0" w:line="240" w:lineRule="auto"/>
              <w:jc w:val="center"/>
              <w:rPr>
                <w:noProof/>
              </w:rPr>
            </w:pPr>
            <w:r>
              <w:rPr>
                <w:noProof/>
              </w:rPr>
              <w:t xml:space="preserve">Étape </w:t>
            </w:r>
          </w:p>
        </w:tc>
        <w:tc>
          <w:tcPr>
            <w:tcW w:w="3472" w:type="dxa"/>
            <w:shd w:val="clear" w:color="auto" w:fill="C6EFCE"/>
            <w:noWrap/>
          </w:tcPr>
          <w:p w14:paraId="1CEBE5A2" w14:textId="77777777" w:rsidR="00F74E13" w:rsidRDefault="009274FC">
            <w:pPr>
              <w:pStyle w:val="P68B1DB1-Normal12"/>
              <w:spacing w:after="0" w:line="240" w:lineRule="auto"/>
              <w:jc w:val="both"/>
              <w:rPr>
                <w:noProof/>
              </w:rPr>
            </w:pPr>
            <w:r>
              <w:rPr>
                <w:noProof/>
              </w:rPr>
              <w:t>Signature du ou des contrats pour les travaux de construction et/ou de rénovation et pour la fourniture de matériel médical</w:t>
            </w:r>
          </w:p>
        </w:tc>
      </w:tr>
      <w:tr w:rsidR="00F74E13" w14:paraId="1CEBE5A8" w14:textId="77777777">
        <w:trPr>
          <w:trHeight w:val="302"/>
          <w:jc w:val="center"/>
        </w:trPr>
        <w:tc>
          <w:tcPr>
            <w:tcW w:w="1297" w:type="dxa"/>
            <w:shd w:val="clear" w:color="auto" w:fill="C6EFCE"/>
            <w:noWrap/>
          </w:tcPr>
          <w:p w14:paraId="1CEBE5A4" w14:textId="77777777" w:rsidR="00F74E13" w:rsidRDefault="009274FC">
            <w:pPr>
              <w:pStyle w:val="P68B1DB1-Normal15"/>
              <w:spacing w:after="0" w:line="240" w:lineRule="auto"/>
              <w:jc w:val="center"/>
              <w:rPr>
                <w:noProof/>
              </w:rPr>
            </w:pPr>
            <w:r>
              <w:rPr>
                <w:noProof/>
              </w:rPr>
              <w:t>343</w:t>
            </w:r>
          </w:p>
        </w:tc>
        <w:tc>
          <w:tcPr>
            <w:tcW w:w="3989" w:type="dxa"/>
            <w:shd w:val="clear" w:color="auto" w:fill="C6EFCE"/>
            <w:noWrap/>
          </w:tcPr>
          <w:p w14:paraId="1CEBE5A5" w14:textId="77777777" w:rsidR="00F74E13" w:rsidRDefault="009274FC">
            <w:pPr>
              <w:pStyle w:val="P68B1DB1-Normal15"/>
              <w:spacing w:after="0" w:line="240" w:lineRule="auto"/>
              <w:rPr>
                <w:noProof/>
              </w:rPr>
            </w:pPr>
            <w:r>
              <w:rPr>
                <w:noProof/>
              </w:rPr>
              <w:t>C12.I7 Développement des soins ambulatoires</w:t>
            </w:r>
          </w:p>
        </w:tc>
        <w:tc>
          <w:tcPr>
            <w:tcW w:w="1701" w:type="dxa"/>
            <w:shd w:val="clear" w:color="auto" w:fill="C6EFCE"/>
            <w:noWrap/>
          </w:tcPr>
          <w:p w14:paraId="1CEBE5A6" w14:textId="77777777" w:rsidR="00F74E13" w:rsidRDefault="009274FC">
            <w:pPr>
              <w:pStyle w:val="P68B1DB1-Normal15"/>
              <w:spacing w:after="0" w:line="240" w:lineRule="auto"/>
              <w:jc w:val="center"/>
              <w:rPr>
                <w:noProof/>
              </w:rPr>
            </w:pPr>
            <w:r>
              <w:rPr>
                <w:noProof/>
              </w:rPr>
              <w:t>Étape</w:t>
            </w:r>
          </w:p>
        </w:tc>
        <w:tc>
          <w:tcPr>
            <w:tcW w:w="3472" w:type="dxa"/>
            <w:shd w:val="clear" w:color="auto" w:fill="C6EFCE"/>
            <w:noWrap/>
          </w:tcPr>
          <w:p w14:paraId="1CEBE5A7"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 xml:space="preserve">Signature du(des) </w:t>
            </w:r>
            <w:r>
              <w:rPr>
                <w:rFonts w:ascii="Times New Roman" w:hAnsi="Times New Roman" w:cs="Times New Roman"/>
                <w:noProof/>
                <w:szCs w:val="20"/>
              </w:rPr>
              <w:t>contrat(s)</w:t>
            </w:r>
            <w:r>
              <w:rPr>
                <w:rFonts w:ascii="Times New Roman" w:hAnsi="Times New Roman"/>
                <w:noProof/>
              </w:rPr>
              <w:t xml:space="preserve"> pour les travaux de construction et/ou de rénovation </w:t>
            </w:r>
            <w:r>
              <w:rPr>
                <w:rFonts w:ascii="Times New Roman" w:hAnsi="Times New Roman" w:cs="Times New Roman"/>
                <w:noProof/>
                <w:szCs w:val="20"/>
              </w:rPr>
              <w:t>d’unités</w:t>
            </w:r>
            <w:r>
              <w:rPr>
                <w:rFonts w:ascii="Times New Roman" w:hAnsi="Times New Roman"/>
                <w:noProof/>
              </w:rPr>
              <w:t xml:space="preserve"> </w:t>
            </w:r>
            <w:r>
              <w:rPr>
                <w:rFonts w:ascii="Times New Roman" w:hAnsi="Times New Roman" w:cs="Times New Roman"/>
                <w:noProof/>
                <w:szCs w:val="20"/>
              </w:rPr>
              <w:t>ambulatoires ou de conteneurs ambulatoires mobiles ainsi que pour la fourniture d’équipements</w:t>
            </w:r>
          </w:p>
        </w:tc>
      </w:tr>
      <w:tr w:rsidR="00F74E13" w14:paraId="1CEBE5AD" w14:textId="77777777">
        <w:trPr>
          <w:trHeight w:val="302"/>
          <w:jc w:val="center"/>
        </w:trPr>
        <w:tc>
          <w:tcPr>
            <w:tcW w:w="1297" w:type="dxa"/>
            <w:shd w:val="clear" w:color="auto" w:fill="C6EFCE"/>
            <w:noWrap/>
          </w:tcPr>
          <w:p w14:paraId="1CEBE5A9" w14:textId="77777777" w:rsidR="00F74E13" w:rsidRDefault="009274FC">
            <w:pPr>
              <w:pStyle w:val="P68B1DB1-Normal35"/>
              <w:spacing w:after="0" w:line="240" w:lineRule="auto"/>
              <w:jc w:val="center"/>
              <w:rPr>
                <w:noProof/>
              </w:rPr>
            </w:pPr>
            <w:r>
              <w:rPr>
                <w:noProof/>
              </w:rPr>
              <w:t>348</w:t>
            </w:r>
          </w:p>
        </w:tc>
        <w:tc>
          <w:tcPr>
            <w:tcW w:w="3989" w:type="dxa"/>
            <w:shd w:val="clear" w:color="auto" w:fill="C6EFCE"/>
            <w:noWrap/>
          </w:tcPr>
          <w:p w14:paraId="1CEBE5AA" w14:textId="77777777" w:rsidR="00F74E13" w:rsidRDefault="009274FC">
            <w:pPr>
              <w:pStyle w:val="P68B1DB1-Normal35"/>
              <w:spacing w:after="0" w:line="240" w:lineRule="auto"/>
              <w:jc w:val="both"/>
              <w:rPr>
                <w:noProof/>
              </w:rPr>
            </w:pPr>
            <w:r>
              <w:rPr>
                <w:noProof/>
              </w:rPr>
              <w:t>C13.R1 Cadre de gouvernance pour la précarité énergétique et préparation de la libéralisation du marché de détail</w:t>
            </w:r>
          </w:p>
        </w:tc>
        <w:tc>
          <w:tcPr>
            <w:tcW w:w="1701" w:type="dxa"/>
            <w:shd w:val="clear" w:color="auto" w:fill="C6EFCE"/>
            <w:noWrap/>
          </w:tcPr>
          <w:p w14:paraId="1CEBE5AB" w14:textId="77777777" w:rsidR="00F74E13" w:rsidRDefault="009274FC">
            <w:pPr>
              <w:pStyle w:val="P68B1DB1-Normal79"/>
              <w:spacing w:after="0" w:line="240" w:lineRule="auto"/>
              <w:jc w:val="center"/>
              <w:rPr>
                <w:noProof/>
              </w:rPr>
            </w:pPr>
            <w:r>
              <w:rPr>
                <w:noProof/>
              </w:rPr>
              <w:t>Étape</w:t>
            </w:r>
          </w:p>
        </w:tc>
        <w:tc>
          <w:tcPr>
            <w:tcW w:w="3472" w:type="dxa"/>
            <w:shd w:val="clear" w:color="auto" w:fill="C6EFCE"/>
            <w:noWrap/>
          </w:tcPr>
          <w:p w14:paraId="1CEBE5AC" w14:textId="77777777" w:rsidR="00F74E13" w:rsidRDefault="009274FC">
            <w:pPr>
              <w:pStyle w:val="P68B1DB1-Normal35"/>
              <w:spacing w:after="0" w:line="240" w:lineRule="auto"/>
              <w:jc w:val="both"/>
              <w:rPr>
                <w:noProof/>
              </w:rPr>
            </w:pPr>
            <w:r>
              <w:rPr>
                <w:noProof/>
              </w:rPr>
              <w:t>Mesures préparatoires à la libéralisation du marché de détail</w:t>
            </w:r>
          </w:p>
        </w:tc>
      </w:tr>
      <w:tr w:rsidR="00F74E13" w14:paraId="1CEBE5B2" w14:textId="77777777">
        <w:trPr>
          <w:trHeight w:val="302"/>
          <w:jc w:val="center"/>
        </w:trPr>
        <w:tc>
          <w:tcPr>
            <w:tcW w:w="1297" w:type="dxa"/>
            <w:shd w:val="clear" w:color="auto" w:fill="C6EFCE"/>
            <w:noWrap/>
          </w:tcPr>
          <w:p w14:paraId="1CEBE5AE" w14:textId="77777777" w:rsidR="00F74E13" w:rsidRDefault="00F74E13">
            <w:pPr>
              <w:spacing w:after="0" w:line="240" w:lineRule="auto"/>
              <w:jc w:val="center"/>
              <w:rPr>
                <w:rFonts w:ascii="Times New Roman" w:hAnsi="Times New Roman"/>
                <w:noProof/>
                <w:color w:val="006100"/>
                <w:sz w:val="20"/>
              </w:rPr>
            </w:pPr>
          </w:p>
        </w:tc>
        <w:tc>
          <w:tcPr>
            <w:tcW w:w="3989" w:type="dxa"/>
            <w:shd w:val="clear" w:color="auto" w:fill="C6EFCE"/>
            <w:noWrap/>
            <w:vAlign w:val="bottom"/>
          </w:tcPr>
          <w:p w14:paraId="1CEBE5AF" w14:textId="77777777" w:rsidR="00F74E13" w:rsidRDefault="00F74E13">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1CEBE5B0" w14:textId="77777777" w:rsidR="00F74E13" w:rsidRDefault="009274FC">
            <w:pPr>
              <w:pStyle w:val="P68B1DB1-Normal15"/>
              <w:spacing w:after="0" w:line="240" w:lineRule="auto"/>
              <w:jc w:val="center"/>
              <w:rPr>
                <w:noProof/>
              </w:rPr>
            </w:pPr>
            <w:r>
              <w:rPr>
                <w:noProof/>
              </w:rPr>
              <w:t>Montant des acomptes provisionnels</w:t>
            </w:r>
          </w:p>
        </w:tc>
        <w:tc>
          <w:tcPr>
            <w:tcW w:w="3472" w:type="dxa"/>
            <w:shd w:val="clear" w:color="auto" w:fill="C6EFCE"/>
            <w:noWrap/>
            <w:vAlign w:val="bottom"/>
          </w:tcPr>
          <w:p w14:paraId="1CEBE5B1" w14:textId="2C0EC7B6" w:rsidR="00F74E13" w:rsidRDefault="009274FC">
            <w:pPr>
              <w:pStyle w:val="P68B1DB1-Normal13"/>
              <w:spacing w:after="0" w:line="240" w:lineRule="auto"/>
              <w:jc w:val="both"/>
              <w:rPr>
                <w:noProof/>
              </w:rPr>
            </w:pPr>
            <w:r>
              <w:rPr>
                <w:noProof/>
              </w:rPr>
              <w:t>968 928 522 EUR</w:t>
            </w:r>
          </w:p>
        </w:tc>
      </w:tr>
    </w:tbl>
    <w:p w14:paraId="1CEBE5B4" w14:textId="77777777" w:rsidR="00F74E13" w:rsidRDefault="009274FC">
      <w:pPr>
        <w:pStyle w:val="P68B1DB1-Normal6"/>
        <w:numPr>
          <w:ilvl w:val="1"/>
          <w:numId w:val="78"/>
        </w:numPr>
        <w:spacing w:before="240" w:after="240" w:line="240" w:lineRule="auto"/>
        <w:ind w:left="851" w:hanging="851"/>
        <w:jc w:val="both"/>
        <w:rPr>
          <w:noProof/>
        </w:rPr>
      </w:pPr>
      <w:r>
        <w:rPr>
          <w:noProof/>
        </w:rPr>
        <w:t xml:space="preserve">Cinquième tranche (soutien non remboursable): </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3686"/>
        <w:gridCol w:w="1701"/>
        <w:gridCol w:w="3541"/>
      </w:tblGrid>
      <w:tr w:rsidR="00F74E13" w14:paraId="1CEBE5B9" w14:textId="77777777">
        <w:trPr>
          <w:trHeight w:val="906"/>
          <w:tblHeader/>
          <w:jc w:val="center"/>
        </w:trPr>
        <w:tc>
          <w:tcPr>
            <w:tcW w:w="1665" w:type="dxa"/>
            <w:vMerge w:val="restart"/>
            <w:shd w:val="clear" w:color="auto" w:fill="BDD7EE"/>
            <w:vAlign w:val="center"/>
            <w:hideMark/>
          </w:tcPr>
          <w:p w14:paraId="1CEBE5B5" w14:textId="77777777" w:rsidR="00F74E13" w:rsidRDefault="009274FC">
            <w:pPr>
              <w:pStyle w:val="P68B1DB1-Normal11"/>
              <w:spacing w:after="0" w:line="240" w:lineRule="auto"/>
              <w:jc w:val="center"/>
              <w:rPr>
                <w:noProof/>
              </w:rPr>
            </w:pPr>
            <w:r>
              <w:rPr>
                <w:noProof/>
              </w:rPr>
              <w:t>Numéro séquentiel</w:t>
            </w:r>
          </w:p>
        </w:tc>
        <w:tc>
          <w:tcPr>
            <w:tcW w:w="3686" w:type="dxa"/>
            <w:vMerge w:val="restart"/>
            <w:shd w:val="clear" w:color="auto" w:fill="BDD7EE"/>
            <w:vAlign w:val="center"/>
            <w:hideMark/>
          </w:tcPr>
          <w:p w14:paraId="1CEBE5B6" w14:textId="77777777" w:rsidR="00F74E13" w:rsidRDefault="009274FC">
            <w:pPr>
              <w:pStyle w:val="P68B1DB1-Normal11"/>
              <w:spacing w:after="0" w:line="240" w:lineRule="auto"/>
              <w:jc w:val="center"/>
              <w:rPr>
                <w:noProof/>
              </w:rPr>
            </w:pPr>
            <w:r>
              <w:rPr>
                <w:noProof/>
              </w:rPr>
              <w:t>Mesure connexe (réforme ou investissement)</w:t>
            </w:r>
          </w:p>
        </w:tc>
        <w:tc>
          <w:tcPr>
            <w:tcW w:w="1701" w:type="dxa"/>
            <w:vMerge w:val="restart"/>
            <w:shd w:val="clear" w:color="auto" w:fill="BDD7EE"/>
            <w:vAlign w:val="center"/>
            <w:hideMark/>
          </w:tcPr>
          <w:p w14:paraId="1CEBE5B7" w14:textId="77777777" w:rsidR="00F74E13" w:rsidRDefault="009274FC">
            <w:pPr>
              <w:pStyle w:val="P68B1DB1-Normal11"/>
              <w:spacing w:after="0" w:line="240" w:lineRule="auto"/>
              <w:jc w:val="center"/>
              <w:rPr>
                <w:noProof/>
              </w:rPr>
            </w:pPr>
            <w:r>
              <w:rPr>
                <w:noProof/>
              </w:rPr>
              <w:t>Étape/cible</w:t>
            </w:r>
          </w:p>
        </w:tc>
        <w:tc>
          <w:tcPr>
            <w:tcW w:w="3541" w:type="dxa"/>
            <w:vMerge w:val="restart"/>
            <w:shd w:val="clear" w:color="auto" w:fill="BDD7EE"/>
            <w:vAlign w:val="center"/>
            <w:hideMark/>
          </w:tcPr>
          <w:p w14:paraId="1CEBE5B8" w14:textId="77777777" w:rsidR="00F74E13" w:rsidRDefault="009274FC">
            <w:pPr>
              <w:pStyle w:val="P68B1DB1-Normal11"/>
              <w:spacing w:after="0" w:line="240" w:lineRule="auto"/>
              <w:jc w:val="center"/>
              <w:rPr>
                <w:noProof/>
              </w:rPr>
            </w:pPr>
            <w:r>
              <w:rPr>
                <w:noProof/>
              </w:rPr>
              <w:t>Nom</w:t>
            </w:r>
          </w:p>
        </w:tc>
      </w:tr>
      <w:tr w:rsidR="00F74E13" w14:paraId="1CEBE5BE" w14:textId="77777777">
        <w:trPr>
          <w:trHeight w:val="501"/>
          <w:jc w:val="center"/>
        </w:trPr>
        <w:tc>
          <w:tcPr>
            <w:tcW w:w="1665" w:type="dxa"/>
            <w:vMerge/>
            <w:vAlign w:val="center"/>
            <w:hideMark/>
          </w:tcPr>
          <w:p w14:paraId="1CEBE5BA" w14:textId="77777777" w:rsidR="00F74E13" w:rsidRDefault="00F74E13">
            <w:pPr>
              <w:spacing w:after="0" w:line="240" w:lineRule="auto"/>
              <w:jc w:val="center"/>
              <w:rPr>
                <w:rFonts w:ascii="Times New Roman" w:hAnsi="Times New Roman"/>
                <w:b/>
                <w:noProof/>
                <w:sz w:val="20"/>
              </w:rPr>
            </w:pPr>
          </w:p>
        </w:tc>
        <w:tc>
          <w:tcPr>
            <w:tcW w:w="3686" w:type="dxa"/>
            <w:vMerge/>
            <w:vAlign w:val="center"/>
            <w:hideMark/>
          </w:tcPr>
          <w:p w14:paraId="1CEBE5BB" w14:textId="77777777" w:rsidR="00F74E13" w:rsidRDefault="00F74E13">
            <w:pPr>
              <w:spacing w:after="0" w:line="240" w:lineRule="auto"/>
              <w:jc w:val="both"/>
              <w:rPr>
                <w:rFonts w:ascii="Times New Roman" w:hAnsi="Times New Roman"/>
                <w:b/>
                <w:noProof/>
                <w:sz w:val="20"/>
              </w:rPr>
            </w:pPr>
          </w:p>
        </w:tc>
        <w:tc>
          <w:tcPr>
            <w:tcW w:w="1701" w:type="dxa"/>
            <w:vMerge/>
            <w:vAlign w:val="center"/>
            <w:hideMark/>
          </w:tcPr>
          <w:p w14:paraId="1CEBE5BC" w14:textId="77777777" w:rsidR="00F74E13" w:rsidRDefault="00F74E13">
            <w:pPr>
              <w:spacing w:after="0" w:line="240" w:lineRule="auto"/>
              <w:jc w:val="center"/>
              <w:rPr>
                <w:rFonts w:ascii="Times New Roman" w:hAnsi="Times New Roman"/>
                <w:b/>
                <w:noProof/>
                <w:sz w:val="20"/>
              </w:rPr>
            </w:pPr>
          </w:p>
        </w:tc>
        <w:tc>
          <w:tcPr>
            <w:tcW w:w="3541" w:type="dxa"/>
            <w:vMerge/>
            <w:vAlign w:val="center"/>
            <w:hideMark/>
          </w:tcPr>
          <w:p w14:paraId="1CEBE5BD" w14:textId="77777777" w:rsidR="00F74E13" w:rsidRDefault="00F74E13">
            <w:pPr>
              <w:spacing w:after="0" w:line="240" w:lineRule="auto"/>
              <w:jc w:val="both"/>
              <w:rPr>
                <w:rFonts w:ascii="Times New Roman" w:hAnsi="Times New Roman"/>
                <w:b/>
                <w:noProof/>
                <w:sz w:val="20"/>
              </w:rPr>
            </w:pPr>
          </w:p>
        </w:tc>
      </w:tr>
      <w:tr w:rsidR="00F74E13" w14:paraId="1CEBE5C3" w14:textId="77777777">
        <w:trPr>
          <w:trHeight w:val="302"/>
          <w:jc w:val="center"/>
        </w:trPr>
        <w:tc>
          <w:tcPr>
            <w:tcW w:w="1665" w:type="dxa"/>
            <w:shd w:val="clear" w:color="auto" w:fill="C6EFCE"/>
            <w:noWrap/>
          </w:tcPr>
          <w:p w14:paraId="1CEBE5BF" w14:textId="77777777" w:rsidR="00F74E13" w:rsidRDefault="009274FC">
            <w:pPr>
              <w:pStyle w:val="P68B1DB1-Normal35"/>
              <w:spacing w:after="0" w:line="240" w:lineRule="auto"/>
              <w:jc w:val="center"/>
              <w:rPr>
                <w:noProof/>
              </w:rPr>
            </w:pPr>
            <w:r>
              <w:rPr>
                <w:noProof/>
              </w:rPr>
              <w:t>10</w:t>
            </w:r>
          </w:p>
        </w:tc>
        <w:tc>
          <w:tcPr>
            <w:tcW w:w="3686" w:type="dxa"/>
            <w:shd w:val="clear" w:color="auto" w:fill="C6EFCE"/>
            <w:noWrap/>
          </w:tcPr>
          <w:p w14:paraId="1CEBE5C0" w14:textId="77777777" w:rsidR="00F74E13" w:rsidRDefault="009274FC">
            <w:pPr>
              <w:pStyle w:val="P68B1DB1-Normal12"/>
              <w:spacing w:after="0"/>
              <w:rPr>
                <w:noProof/>
              </w:rPr>
            </w:pPr>
            <w:r>
              <w:rPr>
                <w:noProof/>
              </w:rPr>
              <w:t>C1.I1 Centres STEM et innovation dans l'éducation</w:t>
            </w:r>
          </w:p>
        </w:tc>
        <w:tc>
          <w:tcPr>
            <w:tcW w:w="1701" w:type="dxa"/>
            <w:shd w:val="clear" w:color="auto" w:fill="C6EFCE"/>
            <w:noWrap/>
          </w:tcPr>
          <w:p w14:paraId="1CEBE5C1"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5C2" w14:textId="16B7BB9B" w:rsidR="00F74E13" w:rsidRDefault="009274FC">
            <w:pPr>
              <w:pStyle w:val="P68B1DB1-Normal15"/>
              <w:spacing w:after="0" w:line="240" w:lineRule="auto"/>
              <w:jc w:val="both"/>
              <w:rPr>
                <w:rFonts w:cs="Times New Roman"/>
                <w:noProof/>
                <w:szCs w:val="20"/>
              </w:rPr>
            </w:pPr>
            <w:r>
              <w:rPr>
                <w:noProof/>
              </w:rPr>
              <w:t>Construction et/ou rénovation</w:t>
            </w:r>
          </w:p>
        </w:tc>
      </w:tr>
      <w:tr w:rsidR="00F74E13" w14:paraId="1CEBE5C8" w14:textId="77777777">
        <w:trPr>
          <w:trHeight w:val="302"/>
          <w:jc w:val="center"/>
        </w:trPr>
        <w:tc>
          <w:tcPr>
            <w:tcW w:w="1665" w:type="dxa"/>
            <w:shd w:val="clear" w:color="auto" w:fill="C6EFCE"/>
            <w:noWrap/>
          </w:tcPr>
          <w:p w14:paraId="1CEBE5C4" w14:textId="77777777" w:rsidR="00F74E13" w:rsidRDefault="009274FC">
            <w:pPr>
              <w:pStyle w:val="P68B1DB1-Normal35"/>
              <w:spacing w:after="0" w:line="240" w:lineRule="auto"/>
              <w:jc w:val="center"/>
              <w:rPr>
                <w:noProof/>
              </w:rPr>
            </w:pPr>
            <w:r>
              <w:rPr>
                <w:noProof/>
              </w:rPr>
              <w:t>13</w:t>
            </w:r>
          </w:p>
        </w:tc>
        <w:tc>
          <w:tcPr>
            <w:tcW w:w="3686" w:type="dxa"/>
            <w:shd w:val="clear" w:color="auto" w:fill="C6EFCE"/>
            <w:noWrap/>
          </w:tcPr>
          <w:p w14:paraId="1CEBE5C5" w14:textId="77777777" w:rsidR="00F74E13" w:rsidRDefault="009274FC">
            <w:pPr>
              <w:pStyle w:val="P68B1DB1-Normal15"/>
              <w:spacing w:after="0" w:line="240" w:lineRule="auto"/>
              <w:rPr>
                <w:rFonts w:cs="Times New Roman"/>
                <w:noProof/>
                <w:szCs w:val="20"/>
              </w:rPr>
            </w:pPr>
            <w:r>
              <w:rPr>
                <w:noProof/>
                <w:szCs w:val="20"/>
              </w:rPr>
              <w:t xml:space="preserve">C1.I2 Travaux d'infrastructure dans des </w:t>
            </w:r>
            <w:r>
              <w:rPr>
                <w:noProof/>
              </w:rPr>
              <w:t xml:space="preserve"> </w:t>
            </w:r>
            <w:r>
              <w:rPr>
                <w:noProof/>
                <w:szCs w:val="20"/>
              </w:rPr>
              <w:t>établissements</w:t>
            </w:r>
            <w:r>
              <w:rPr>
                <w:noProof/>
              </w:rPr>
              <w:t xml:space="preserve"> d'enseignement</w:t>
            </w:r>
          </w:p>
        </w:tc>
        <w:tc>
          <w:tcPr>
            <w:tcW w:w="1701" w:type="dxa"/>
            <w:shd w:val="clear" w:color="auto" w:fill="C6EFCE"/>
            <w:noWrap/>
          </w:tcPr>
          <w:p w14:paraId="1CEBE5C6"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5C7" w14:textId="41A3CC03" w:rsidR="00F74E13" w:rsidRDefault="009274FC">
            <w:pPr>
              <w:pStyle w:val="P68B1DB1-Normal15"/>
              <w:spacing w:after="0" w:line="240" w:lineRule="auto"/>
              <w:jc w:val="both"/>
              <w:rPr>
                <w:rFonts w:cs="Times New Roman"/>
                <w:noProof/>
                <w:szCs w:val="20"/>
              </w:rPr>
            </w:pPr>
            <w:r>
              <w:rPr>
                <w:noProof/>
              </w:rPr>
              <w:t>Rénovation et/ou construction</w:t>
            </w:r>
          </w:p>
        </w:tc>
      </w:tr>
      <w:tr w:rsidR="00F74E13" w14:paraId="1CEBE5CD" w14:textId="77777777">
        <w:trPr>
          <w:trHeight w:val="302"/>
          <w:jc w:val="center"/>
        </w:trPr>
        <w:tc>
          <w:tcPr>
            <w:tcW w:w="1665" w:type="dxa"/>
            <w:shd w:val="clear" w:color="auto" w:fill="C6EFCE"/>
            <w:noWrap/>
          </w:tcPr>
          <w:p w14:paraId="1CEBE5C9" w14:textId="77777777" w:rsidR="00F74E13" w:rsidRDefault="009274FC">
            <w:pPr>
              <w:pStyle w:val="P68B1DB1-Normal35"/>
              <w:spacing w:after="0" w:line="240" w:lineRule="auto"/>
              <w:jc w:val="center"/>
              <w:rPr>
                <w:noProof/>
              </w:rPr>
            </w:pPr>
            <w:r>
              <w:rPr>
                <w:noProof/>
              </w:rPr>
              <w:t>18</w:t>
            </w:r>
          </w:p>
        </w:tc>
        <w:tc>
          <w:tcPr>
            <w:tcW w:w="3686" w:type="dxa"/>
            <w:shd w:val="clear" w:color="auto" w:fill="C6EFCE"/>
            <w:noWrap/>
          </w:tcPr>
          <w:p w14:paraId="1CEBE5CA" w14:textId="77777777" w:rsidR="00F74E13" w:rsidRDefault="009274FC">
            <w:pPr>
              <w:pStyle w:val="P68B1DB1-Normal13"/>
              <w:spacing w:after="0" w:line="240" w:lineRule="auto"/>
              <w:rPr>
                <w:rFonts w:cs="Times New Roman"/>
                <w:noProof/>
              </w:rPr>
            </w:pPr>
            <w:r>
              <w:rPr>
                <w:noProof/>
              </w:rPr>
              <w:t>C1.I3 Compétences numériques</w:t>
            </w:r>
          </w:p>
        </w:tc>
        <w:tc>
          <w:tcPr>
            <w:tcW w:w="1701" w:type="dxa"/>
            <w:shd w:val="clear" w:color="auto" w:fill="C6EFCE"/>
            <w:noWrap/>
          </w:tcPr>
          <w:p w14:paraId="1CEBE5CB"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5CC" w14:textId="77777777" w:rsidR="00F74E13" w:rsidRDefault="009274FC">
            <w:pPr>
              <w:pStyle w:val="P68B1DB1-Normal13"/>
              <w:spacing w:after="0" w:line="240" w:lineRule="auto"/>
              <w:jc w:val="both"/>
              <w:rPr>
                <w:rFonts w:cs="Times New Roman"/>
                <w:noProof/>
              </w:rPr>
            </w:pPr>
            <w:r>
              <w:rPr>
                <w:noProof/>
              </w:rPr>
              <w:t>Clubs numériques</w:t>
            </w:r>
          </w:p>
        </w:tc>
      </w:tr>
      <w:tr w:rsidR="00F74E13" w14:paraId="1CEBE5D2" w14:textId="77777777">
        <w:trPr>
          <w:trHeight w:val="302"/>
          <w:jc w:val="center"/>
        </w:trPr>
        <w:tc>
          <w:tcPr>
            <w:tcW w:w="1665" w:type="dxa"/>
            <w:shd w:val="clear" w:color="auto" w:fill="C6EFCE"/>
            <w:noWrap/>
          </w:tcPr>
          <w:p w14:paraId="1CEBE5CE" w14:textId="77777777" w:rsidR="00F74E13" w:rsidRDefault="009274FC">
            <w:pPr>
              <w:pStyle w:val="P68B1DB1-Normal35"/>
              <w:spacing w:after="0" w:line="240" w:lineRule="auto"/>
              <w:jc w:val="center"/>
              <w:rPr>
                <w:noProof/>
              </w:rPr>
            </w:pPr>
            <w:r>
              <w:rPr>
                <w:noProof/>
              </w:rPr>
              <w:t>21</w:t>
            </w:r>
          </w:p>
        </w:tc>
        <w:tc>
          <w:tcPr>
            <w:tcW w:w="3686" w:type="dxa"/>
            <w:shd w:val="clear" w:color="auto" w:fill="C6EFCE"/>
            <w:noWrap/>
          </w:tcPr>
          <w:p w14:paraId="1CEBE5CF" w14:textId="77777777" w:rsidR="00F74E13" w:rsidRDefault="009274FC">
            <w:pPr>
              <w:pStyle w:val="P68B1DB1-Normal13"/>
              <w:spacing w:after="0" w:line="240" w:lineRule="auto"/>
              <w:rPr>
                <w:noProof/>
              </w:rPr>
            </w:pPr>
            <w:r>
              <w:rPr>
                <w:noProof/>
              </w:rPr>
              <w:t>C1.I3 Compétences numériques</w:t>
            </w:r>
          </w:p>
        </w:tc>
        <w:tc>
          <w:tcPr>
            <w:tcW w:w="1701" w:type="dxa"/>
            <w:shd w:val="clear" w:color="auto" w:fill="C6EFCE"/>
            <w:noWrap/>
          </w:tcPr>
          <w:p w14:paraId="1CEBE5D0" w14:textId="77777777" w:rsidR="00F74E13" w:rsidRDefault="009274FC">
            <w:pPr>
              <w:pStyle w:val="P68B1DB1-Normal15"/>
              <w:spacing w:after="0" w:line="240" w:lineRule="auto"/>
              <w:jc w:val="center"/>
              <w:rPr>
                <w:noProof/>
              </w:rPr>
            </w:pPr>
            <w:r>
              <w:rPr>
                <w:noProof/>
              </w:rPr>
              <w:t>Objectif</w:t>
            </w:r>
          </w:p>
        </w:tc>
        <w:tc>
          <w:tcPr>
            <w:tcW w:w="3541" w:type="dxa"/>
            <w:shd w:val="clear" w:color="auto" w:fill="C6EFCE"/>
            <w:noWrap/>
          </w:tcPr>
          <w:p w14:paraId="1CEBE5D1" w14:textId="77777777" w:rsidR="00F74E13" w:rsidRDefault="009274FC">
            <w:pPr>
              <w:pStyle w:val="P68B1DB1-Normal13"/>
              <w:spacing w:after="0" w:line="240" w:lineRule="auto"/>
              <w:jc w:val="both"/>
              <w:rPr>
                <w:noProof/>
              </w:rPr>
            </w:pPr>
            <w:r>
              <w:rPr>
                <w:noProof/>
              </w:rPr>
              <w:t>Certificats pour le niveau de compétences numériques acquises</w:t>
            </w:r>
          </w:p>
        </w:tc>
      </w:tr>
      <w:tr w:rsidR="00F74E13" w14:paraId="1CEBE5D7" w14:textId="77777777">
        <w:trPr>
          <w:trHeight w:val="302"/>
          <w:jc w:val="center"/>
        </w:trPr>
        <w:tc>
          <w:tcPr>
            <w:tcW w:w="1665" w:type="dxa"/>
            <w:shd w:val="clear" w:color="auto" w:fill="C6EFCE"/>
            <w:noWrap/>
          </w:tcPr>
          <w:p w14:paraId="1CEBE5D3" w14:textId="77777777" w:rsidR="00F74E13" w:rsidRDefault="009274FC">
            <w:pPr>
              <w:pStyle w:val="P68B1DB1-Normal35"/>
              <w:spacing w:after="0" w:line="240" w:lineRule="auto"/>
              <w:jc w:val="center"/>
              <w:rPr>
                <w:noProof/>
              </w:rPr>
            </w:pPr>
            <w:r>
              <w:rPr>
                <w:noProof/>
              </w:rPr>
              <w:t>22</w:t>
            </w:r>
          </w:p>
        </w:tc>
        <w:tc>
          <w:tcPr>
            <w:tcW w:w="3686" w:type="dxa"/>
            <w:shd w:val="clear" w:color="auto" w:fill="C6EFCE"/>
            <w:noWrap/>
          </w:tcPr>
          <w:p w14:paraId="1CEBE5D4" w14:textId="77777777" w:rsidR="00F74E13" w:rsidRDefault="009274FC">
            <w:pPr>
              <w:pStyle w:val="P68B1DB1-Normal12"/>
              <w:spacing w:after="0" w:line="240" w:lineRule="auto"/>
              <w:rPr>
                <w:noProof/>
              </w:rPr>
            </w:pPr>
            <w:r>
              <w:rPr>
                <w:noProof/>
              </w:rPr>
              <w:t>C1.I4 Centres pour la jeunesse</w:t>
            </w:r>
          </w:p>
        </w:tc>
        <w:tc>
          <w:tcPr>
            <w:tcW w:w="1701" w:type="dxa"/>
            <w:shd w:val="clear" w:color="auto" w:fill="C6EFCE"/>
            <w:noWrap/>
          </w:tcPr>
          <w:p w14:paraId="1CEBE5D5" w14:textId="77777777" w:rsidR="00F74E13" w:rsidRDefault="009274FC">
            <w:pPr>
              <w:pStyle w:val="P68B1DB1-Normal15"/>
              <w:tabs>
                <w:tab w:val="left" w:pos="463"/>
                <w:tab w:val="center" w:pos="742"/>
              </w:tabs>
              <w:spacing w:after="0" w:line="240" w:lineRule="auto"/>
              <w:jc w:val="center"/>
              <w:rPr>
                <w:noProof/>
              </w:rPr>
            </w:pPr>
            <w:r>
              <w:rPr>
                <w:noProof/>
              </w:rPr>
              <w:t>Étape</w:t>
            </w:r>
          </w:p>
        </w:tc>
        <w:tc>
          <w:tcPr>
            <w:tcW w:w="3541" w:type="dxa"/>
            <w:shd w:val="clear" w:color="auto" w:fill="C6EFCE"/>
            <w:noWrap/>
          </w:tcPr>
          <w:p w14:paraId="1CEBE5D6" w14:textId="7AE2BE76" w:rsidR="00F74E13" w:rsidRDefault="009274FC">
            <w:pPr>
              <w:pStyle w:val="P68B1DB1-Normal13"/>
              <w:spacing w:after="0" w:line="240" w:lineRule="auto"/>
              <w:jc w:val="both"/>
              <w:rPr>
                <w:noProof/>
              </w:rPr>
            </w:pPr>
            <w:r>
              <w:rPr>
                <w:noProof/>
              </w:rPr>
              <w:t>Construction et/ou rénovation</w:t>
            </w:r>
          </w:p>
        </w:tc>
      </w:tr>
      <w:tr w:rsidR="00F74E13" w14:paraId="1CEBE5DC" w14:textId="77777777">
        <w:trPr>
          <w:trHeight w:val="302"/>
          <w:jc w:val="center"/>
        </w:trPr>
        <w:tc>
          <w:tcPr>
            <w:tcW w:w="1665" w:type="dxa"/>
            <w:shd w:val="clear" w:color="auto" w:fill="C6EFCE"/>
            <w:noWrap/>
          </w:tcPr>
          <w:p w14:paraId="1CEBE5D8" w14:textId="77777777" w:rsidR="00F74E13" w:rsidRDefault="009274FC">
            <w:pPr>
              <w:pStyle w:val="P68B1DB1-Normal35"/>
              <w:spacing w:after="0" w:line="240" w:lineRule="auto"/>
              <w:jc w:val="center"/>
              <w:rPr>
                <w:noProof/>
              </w:rPr>
            </w:pPr>
            <w:r>
              <w:rPr>
                <w:noProof/>
              </w:rPr>
              <w:t>28</w:t>
            </w:r>
          </w:p>
        </w:tc>
        <w:tc>
          <w:tcPr>
            <w:tcW w:w="3686" w:type="dxa"/>
            <w:shd w:val="clear" w:color="auto" w:fill="C6EFCE"/>
            <w:noWrap/>
          </w:tcPr>
          <w:p w14:paraId="1CEBE5D9" w14:textId="77777777" w:rsidR="00F74E13" w:rsidRDefault="009274FC">
            <w:pPr>
              <w:pStyle w:val="P68B1DB1-Normal13"/>
              <w:spacing w:after="0" w:line="240" w:lineRule="auto"/>
              <w:jc w:val="both"/>
              <w:rPr>
                <w:noProof/>
              </w:rPr>
            </w:pPr>
            <w:r>
              <w:rPr>
                <w:noProof/>
              </w:rPr>
              <w:t>C2.I1 Programme de soutien à la recherche et à l'innovation</w:t>
            </w:r>
          </w:p>
        </w:tc>
        <w:tc>
          <w:tcPr>
            <w:tcW w:w="1701" w:type="dxa"/>
            <w:shd w:val="clear" w:color="auto" w:fill="C6EFCE"/>
            <w:noWrap/>
          </w:tcPr>
          <w:p w14:paraId="1CEBE5DA" w14:textId="77777777" w:rsidR="00F74E13" w:rsidRDefault="009274FC">
            <w:pPr>
              <w:pStyle w:val="P68B1DB1-Normal15"/>
              <w:spacing w:after="0" w:line="240" w:lineRule="auto"/>
              <w:jc w:val="center"/>
              <w:rPr>
                <w:noProof/>
              </w:rPr>
            </w:pPr>
            <w:r>
              <w:rPr>
                <w:noProof/>
              </w:rPr>
              <w:t>Objectif</w:t>
            </w:r>
          </w:p>
        </w:tc>
        <w:tc>
          <w:tcPr>
            <w:tcW w:w="3541" w:type="dxa"/>
            <w:shd w:val="clear" w:color="auto" w:fill="C6EFCE"/>
            <w:noWrap/>
          </w:tcPr>
          <w:p w14:paraId="1CEBE5DB" w14:textId="0ECFB513" w:rsidR="00F74E13" w:rsidRDefault="009274FC">
            <w:pPr>
              <w:pStyle w:val="P68B1DB1-Normal15"/>
              <w:spacing w:after="0" w:line="240" w:lineRule="auto"/>
              <w:jc w:val="both"/>
              <w:rPr>
                <w:noProof/>
              </w:rPr>
            </w:pPr>
            <w:r>
              <w:rPr>
                <w:noProof/>
              </w:rPr>
              <w:t>Lettres acceptant les rapports finaux</w:t>
            </w:r>
          </w:p>
        </w:tc>
      </w:tr>
      <w:tr w:rsidR="00F74E13" w14:paraId="1CEBE5E1" w14:textId="77777777">
        <w:trPr>
          <w:trHeight w:val="302"/>
          <w:jc w:val="center"/>
        </w:trPr>
        <w:tc>
          <w:tcPr>
            <w:tcW w:w="1665" w:type="dxa"/>
            <w:shd w:val="clear" w:color="auto" w:fill="C6EFCE"/>
            <w:noWrap/>
          </w:tcPr>
          <w:p w14:paraId="1CEBE5DD" w14:textId="77777777" w:rsidR="00F74E13" w:rsidRDefault="009274FC">
            <w:pPr>
              <w:pStyle w:val="P68B1DB1-Normal35"/>
              <w:spacing w:after="0" w:line="240" w:lineRule="auto"/>
              <w:jc w:val="center"/>
              <w:rPr>
                <w:noProof/>
              </w:rPr>
            </w:pPr>
            <w:r>
              <w:rPr>
                <w:noProof/>
              </w:rPr>
              <w:t>30</w:t>
            </w:r>
          </w:p>
        </w:tc>
        <w:tc>
          <w:tcPr>
            <w:tcW w:w="3686" w:type="dxa"/>
            <w:shd w:val="clear" w:color="auto" w:fill="C6EFCE"/>
            <w:noWrap/>
          </w:tcPr>
          <w:p w14:paraId="1CEBE5DE" w14:textId="77777777" w:rsidR="00F74E13" w:rsidRDefault="009274FC">
            <w:pPr>
              <w:pStyle w:val="P68B1DB1-Normal13"/>
              <w:spacing w:after="0" w:line="240" w:lineRule="auto"/>
              <w:rPr>
                <w:rFonts w:cs="Times New Roman"/>
                <w:noProof/>
              </w:rPr>
            </w:pPr>
            <w:r>
              <w:rPr>
                <w:noProof/>
              </w:rPr>
              <w:t>C2.I1 Programme de soutien à la recherche et à l'innovation</w:t>
            </w:r>
          </w:p>
        </w:tc>
        <w:tc>
          <w:tcPr>
            <w:tcW w:w="1701" w:type="dxa"/>
            <w:shd w:val="clear" w:color="auto" w:fill="C6EFCE"/>
            <w:noWrap/>
          </w:tcPr>
          <w:p w14:paraId="1CEBE5DF"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5E0" w14:textId="77777777" w:rsidR="00F74E13" w:rsidRDefault="009274FC">
            <w:pPr>
              <w:pStyle w:val="P68B1DB1-Normal13"/>
              <w:spacing w:after="0" w:line="240" w:lineRule="auto"/>
              <w:jc w:val="both"/>
              <w:rPr>
                <w:rFonts w:cs="Times New Roman"/>
                <w:noProof/>
              </w:rPr>
            </w:pPr>
            <w:r>
              <w:rPr>
                <w:noProof/>
              </w:rPr>
              <w:t>Rapports approuvés</w:t>
            </w:r>
          </w:p>
        </w:tc>
      </w:tr>
      <w:tr w:rsidR="00F74E13" w14:paraId="1CEBE5E6" w14:textId="77777777">
        <w:trPr>
          <w:trHeight w:val="302"/>
          <w:jc w:val="center"/>
        </w:trPr>
        <w:tc>
          <w:tcPr>
            <w:tcW w:w="1665" w:type="dxa"/>
            <w:shd w:val="clear" w:color="auto" w:fill="C6EFCE"/>
            <w:noWrap/>
          </w:tcPr>
          <w:p w14:paraId="1CEBE5E2" w14:textId="77777777" w:rsidR="00F74E13" w:rsidRDefault="009274FC">
            <w:pPr>
              <w:pStyle w:val="P68B1DB1-Normal35"/>
              <w:spacing w:after="0" w:line="240" w:lineRule="auto"/>
              <w:jc w:val="center"/>
              <w:rPr>
                <w:noProof/>
              </w:rPr>
            </w:pPr>
            <w:r>
              <w:rPr>
                <w:noProof/>
              </w:rPr>
              <w:t>33</w:t>
            </w:r>
          </w:p>
        </w:tc>
        <w:tc>
          <w:tcPr>
            <w:tcW w:w="3686" w:type="dxa"/>
            <w:shd w:val="clear" w:color="auto" w:fill="C6EFCE"/>
            <w:noWrap/>
          </w:tcPr>
          <w:p w14:paraId="1CEBE5E3" w14:textId="77777777" w:rsidR="00F74E13" w:rsidRDefault="009274FC">
            <w:pPr>
              <w:pStyle w:val="P68B1DB1-Normal13"/>
              <w:spacing w:after="0" w:line="240" w:lineRule="auto"/>
              <w:rPr>
                <w:noProof/>
              </w:rPr>
            </w:pPr>
            <w:r>
              <w:rPr>
                <w:noProof/>
              </w:rPr>
              <w:t>C2.I2 Investissement dans l'Académie bulgare des sciences</w:t>
            </w:r>
          </w:p>
        </w:tc>
        <w:tc>
          <w:tcPr>
            <w:tcW w:w="1701" w:type="dxa"/>
            <w:shd w:val="clear" w:color="auto" w:fill="C6EFCE"/>
            <w:noWrap/>
          </w:tcPr>
          <w:p w14:paraId="1CEBE5E4"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5E5" w14:textId="77777777" w:rsidR="00F74E13" w:rsidRDefault="009274FC">
            <w:pPr>
              <w:pStyle w:val="P68B1DB1-Normal13"/>
              <w:spacing w:after="0" w:line="240" w:lineRule="auto"/>
              <w:jc w:val="both"/>
              <w:rPr>
                <w:noProof/>
              </w:rPr>
            </w:pPr>
            <w:r>
              <w:rPr>
                <w:noProof/>
              </w:rPr>
              <w:t xml:space="preserve">Rénovation de l’Académie bulgare des sciences et du ou des projets de recherche dans le domaine de la transition écologique et numérique </w:t>
            </w:r>
          </w:p>
        </w:tc>
      </w:tr>
      <w:tr w:rsidR="00F74E13" w14:paraId="1CEBE5EB" w14:textId="77777777">
        <w:trPr>
          <w:trHeight w:val="302"/>
          <w:jc w:val="center"/>
        </w:trPr>
        <w:tc>
          <w:tcPr>
            <w:tcW w:w="1665" w:type="dxa"/>
            <w:shd w:val="clear" w:color="auto" w:fill="C6EFCE"/>
            <w:noWrap/>
          </w:tcPr>
          <w:p w14:paraId="1CEBE5E7" w14:textId="77777777" w:rsidR="00F74E13" w:rsidRDefault="009274FC">
            <w:pPr>
              <w:pStyle w:val="P68B1DB1-Normal35"/>
              <w:spacing w:after="0" w:line="240" w:lineRule="auto"/>
              <w:jc w:val="center"/>
              <w:rPr>
                <w:noProof/>
              </w:rPr>
            </w:pPr>
            <w:r>
              <w:rPr>
                <w:noProof/>
              </w:rPr>
              <w:t>38</w:t>
            </w:r>
          </w:p>
        </w:tc>
        <w:tc>
          <w:tcPr>
            <w:tcW w:w="3686" w:type="dxa"/>
            <w:shd w:val="clear" w:color="auto" w:fill="C6EFCE"/>
            <w:noWrap/>
          </w:tcPr>
          <w:p w14:paraId="1CEBE5E8" w14:textId="466CCF50"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Programme pour les zones/parcs industriels («AttractInvestBG»)</w:t>
            </w:r>
          </w:p>
        </w:tc>
        <w:tc>
          <w:tcPr>
            <w:tcW w:w="1701" w:type="dxa"/>
            <w:shd w:val="clear" w:color="auto" w:fill="C6EFCE"/>
            <w:noWrap/>
          </w:tcPr>
          <w:p w14:paraId="1CEBE5E9"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5EA" w14:textId="5759FA17" w:rsidR="00F74E13" w:rsidRDefault="009274FC">
            <w:pPr>
              <w:pStyle w:val="P68B1DB1-Normal13"/>
              <w:spacing w:after="0" w:line="240" w:lineRule="auto"/>
              <w:jc w:val="both"/>
              <w:rPr>
                <w:rFonts w:cs="Times New Roman"/>
                <w:noProof/>
              </w:rPr>
            </w:pPr>
            <w:r>
              <w:rPr>
                <w:noProof/>
              </w:rPr>
              <w:t>Lettre(s) de confirmation pour le versement du montant de la subvention correspondant aux travaux dans les parcs/zones industriels</w:t>
            </w:r>
          </w:p>
        </w:tc>
      </w:tr>
      <w:tr w:rsidR="00F74E13" w14:paraId="1CEBE5F0" w14:textId="77777777">
        <w:trPr>
          <w:trHeight w:val="302"/>
          <w:jc w:val="center"/>
        </w:trPr>
        <w:tc>
          <w:tcPr>
            <w:tcW w:w="1665" w:type="dxa"/>
            <w:shd w:val="clear" w:color="auto" w:fill="C6EFCE"/>
            <w:noWrap/>
          </w:tcPr>
          <w:p w14:paraId="1CEBE5EC" w14:textId="77777777" w:rsidR="00F74E13" w:rsidRDefault="009274FC">
            <w:pPr>
              <w:pStyle w:val="P68B1DB1-Normal35"/>
              <w:spacing w:after="0" w:line="240" w:lineRule="auto"/>
              <w:jc w:val="center"/>
              <w:rPr>
                <w:noProof/>
              </w:rPr>
            </w:pPr>
            <w:r>
              <w:rPr>
                <w:noProof/>
              </w:rPr>
              <w:t>42 bis</w:t>
            </w:r>
          </w:p>
        </w:tc>
        <w:tc>
          <w:tcPr>
            <w:tcW w:w="3686" w:type="dxa"/>
            <w:shd w:val="clear" w:color="auto" w:fill="C6EFCE"/>
            <w:noWrap/>
            <w:vAlign w:val="center"/>
          </w:tcPr>
          <w:p w14:paraId="1CEBE5ED" w14:textId="77777777" w:rsidR="00F74E13" w:rsidRDefault="009274FC">
            <w:pPr>
              <w:pStyle w:val="P68B1DB1-Normal12"/>
              <w:spacing w:after="0" w:line="240" w:lineRule="auto"/>
              <w:rPr>
                <w:noProof/>
              </w:rPr>
            </w:pPr>
            <w:r>
              <w:rPr>
                <w:noProof/>
              </w:rPr>
              <w:t>C3.I2 Investissement 2.1.a Instrument de garantie pour la croissance</w:t>
            </w:r>
          </w:p>
        </w:tc>
        <w:tc>
          <w:tcPr>
            <w:tcW w:w="1701" w:type="dxa"/>
            <w:shd w:val="clear" w:color="auto" w:fill="C6EFCE"/>
            <w:noWrap/>
            <w:vAlign w:val="center"/>
          </w:tcPr>
          <w:p w14:paraId="1CEBE5EE"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5EF" w14:textId="77777777" w:rsidR="00F74E13" w:rsidRDefault="009274FC">
            <w:pPr>
              <w:pStyle w:val="P68B1DB1-Normal12"/>
              <w:spacing w:after="0" w:line="240" w:lineRule="auto"/>
              <w:jc w:val="both"/>
              <w:rPr>
                <w:noProof/>
              </w:rPr>
            </w:pPr>
            <w:r>
              <w:rPr>
                <w:noProof/>
              </w:rPr>
              <w:t>Opérations approuvées par le comité d’investissement InvestEU</w:t>
            </w:r>
          </w:p>
        </w:tc>
      </w:tr>
      <w:tr w:rsidR="00F74E13" w14:paraId="1CEBE5F5" w14:textId="77777777">
        <w:trPr>
          <w:trHeight w:val="302"/>
          <w:jc w:val="center"/>
        </w:trPr>
        <w:tc>
          <w:tcPr>
            <w:tcW w:w="1665" w:type="dxa"/>
            <w:shd w:val="clear" w:color="auto" w:fill="C6EFCE"/>
            <w:noWrap/>
          </w:tcPr>
          <w:p w14:paraId="1CEBE5F1" w14:textId="77777777" w:rsidR="00F74E13" w:rsidRDefault="009274FC">
            <w:pPr>
              <w:pStyle w:val="P68B1DB1-Normal35"/>
              <w:spacing w:after="0" w:line="240" w:lineRule="auto"/>
              <w:jc w:val="center"/>
              <w:rPr>
                <w:noProof/>
              </w:rPr>
            </w:pPr>
            <w:r>
              <w:rPr>
                <w:noProof/>
              </w:rPr>
              <w:t>45</w:t>
            </w:r>
          </w:p>
        </w:tc>
        <w:tc>
          <w:tcPr>
            <w:tcW w:w="3686" w:type="dxa"/>
            <w:shd w:val="clear" w:color="auto" w:fill="C6EFCE"/>
            <w:noWrap/>
            <w:vAlign w:val="center"/>
          </w:tcPr>
          <w:p w14:paraId="1CEBE5F2" w14:textId="77777777" w:rsidR="00F74E13" w:rsidRDefault="009274FC">
            <w:pPr>
              <w:pStyle w:val="P68B1DB1-Normal12"/>
              <w:spacing w:after="0" w:line="240" w:lineRule="auto"/>
              <w:rPr>
                <w:noProof/>
              </w:rPr>
            </w:pPr>
            <w:r>
              <w:rPr>
                <w:noProof/>
              </w:rPr>
              <w:t xml:space="preserve">C3.I2 Investissement 2.1.b Instruments de fonds propres pour la croissance </w:t>
            </w:r>
          </w:p>
        </w:tc>
        <w:tc>
          <w:tcPr>
            <w:tcW w:w="1701" w:type="dxa"/>
            <w:shd w:val="clear" w:color="auto" w:fill="C6EFCE"/>
            <w:noWrap/>
            <w:vAlign w:val="center"/>
          </w:tcPr>
          <w:p w14:paraId="1CEBE5F3"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5F4" w14:textId="77777777" w:rsidR="00F74E13" w:rsidRDefault="009274FC">
            <w:pPr>
              <w:pStyle w:val="P68B1DB1-Normal12"/>
              <w:spacing w:after="0" w:line="240" w:lineRule="auto"/>
              <w:jc w:val="both"/>
              <w:rPr>
                <w:noProof/>
              </w:rPr>
            </w:pPr>
            <w:r>
              <w:rPr>
                <w:noProof/>
              </w:rPr>
              <w:t>Opérations approuvées par le Comité d'investissement</w:t>
            </w:r>
          </w:p>
        </w:tc>
      </w:tr>
      <w:tr w:rsidR="00F74E13" w14:paraId="1CEBE5FA" w14:textId="77777777">
        <w:trPr>
          <w:trHeight w:val="302"/>
          <w:jc w:val="center"/>
        </w:trPr>
        <w:tc>
          <w:tcPr>
            <w:tcW w:w="1665" w:type="dxa"/>
            <w:shd w:val="clear" w:color="auto" w:fill="C6EFCE"/>
            <w:noWrap/>
          </w:tcPr>
          <w:p w14:paraId="1CEBE5F6" w14:textId="77777777" w:rsidR="00F74E13" w:rsidRDefault="009274FC">
            <w:pPr>
              <w:pStyle w:val="P68B1DB1-Normal35"/>
              <w:spacing w:after="0" w:line="240" w:lineRule="auto"/>
              <w:jc w:val="center"/>
              <w:rPr>
                <w:noProof/>
              </w:rPr>
            </w:pPr>
            <w:r>
              <w:rPr>
                <w:noProof/>
              </w:rPr>
              <w:t>52</w:t>
            </w:r>
          </w:p>
        </w:tc>
        <w:tc>
          <w:tcPr>
            <w:tcW w:w="3686" w:type="dxa"/>
            <w:shd w:val="clear" w:color="auto" w:fill="C6EFCE"/>
            <w:noWrap/>
            <w:vAlign w:val="center"/>
          </w:tcPr>
          <w:p w14:paraId="1CEBE5F7" w14:textId="77777777" w:rsidR="00F74E13" w:rsidRDefault="009274FC">
            <w:pPr>
              <w:pStyle w:val="P68B1DB1-Normal12"/>
              <w:spacing w:after="0" w:line="240" w:lineRule="auto"/>
              <w:rPr>
                <w:noProof/>
              </w:rPr>
            </w:pPr>
            <w:r>
              <w:rPr>
                <w:noProof/>
              </w:rPr>
              <w:t>C3.I2 Investissement 2.1.e Réservoir d'innovation (Instruments de fonds propres pour l'innovation)</w:t>
            </w:r>
          </w:p>
        </w:tc>
        <w:tc>
          <w:tcPr>
            <w:tcW w:w="1701" w:type="dxa"/>
            <w:shd w:val="clear" w:color="auto" w:fill="C6EFCE"/>
            <w:noWrap/>
            <w:vAlign w:val="center"/>
          </w:tcPr>
          <w:p w14:paraId="1CEBE5F8"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5F9" w14:textId="77777777" w:rsidR="00F74E13" w:rsidRDefault="009274FC">
            <w:pPr>
              <w:pStyle w:val="P68B1DB1-Normal15"/>
              <w:spacing w:after="0" w:line="240" w:lineRule="auto"/>
              <w:jc w:val="both"/>
              <w:rPr>
                <w:rFonts w:cs="Times New Roman"/>
                <w:noProof/>
                <w:szCs w:val="20"/>
              </w:rPr>
            </w:pPr>
            <w:r>
              <w:rPr>
                <w:noProof/>
              </w:rPr>
              <w:t>Opérations approuvées par le Comité d'investissement</w:t>
            </w:r>
          </w:p>
        </w:tc>
      </w:tr>
      <w:tr w:rsidR="00F74E13" w14:paraId="1CEBE5FF" w14:textId="77777777">
        <w:trPr>
          <w:trHeight w:val="302"/>
          <w:jc w:val="center"/>
        </w:trPr>
        <w:tc>
          <w:tcPr>
            <w:tcW w:w="1665" w:type="dxa"/>
            <w:shd w:val="clear" w:color="auto" w:fill="C6EFCE"/>
            <w:noWrap/>
          </w:tcPr>
          <w:p w14:paraId="1CEBE5FB" w14:textId="77777777" w:rsidR="00F74E13" w:rsidRDefault="009274FC">
            <w:pPr>
              <w:pStyle w:val="P68B1DB1-Normal35"/>
              <w:spacing w:after="0" w:line="240" w:lineRule="auto"/>
              <w:jc w:val="center"/>
              <w:rPr>
                <w:noProof/>
              </w:rPr>
            </w:pPr>
            <w:r>
              <w:rPr>
                <w:noProof/>
              </w:rPr>
              <w:t>55</w:t>
            </w:r>
          </w:p>
        </w:tc>
        <w:tc>
          <w:tcPr>
            <w:tcW w:w="3686" w:type="dxa"/>
            <w:shd w:val="clear" w:color="auto" w:fill="C6EFCE"/>
            <w:noWrap/>
            <w:vAlign w:val="center"/>
          </w:tcPr>
          <w:p w14:paraId="1CEBE5FC" w14:textId="77777777" w:rsidR="00F74E13" w:rsidRDefault="009274FC">
            <w:pPr>
              <w:pStyle w:val="P68B1DB1-Normal22"/>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Investissement 2.2.a - </w:t>
            </w:r>
            <w:r>
              <w:rPr>
                <w:rFonts w:ascii="Times New Roman" w:hAnsi="Times New Roman"/>
                <w:noProof/>
              </w:rPr>
              <w:t>Régime de subventions pour les investissements dans les sources d'électricité renouvelables à usage propre avec des installations de stockage locales</w:t>
            </w:r>
          </w:p>
        </w:tc>
        <w:tc>
          <w:tcPr>
            <w:tcW w:w="1701" w:type="dxa"/>
            <w:shd w:val="clear" w:color="auto" w:fill="C6EFCE"/>
            <w:noWrap/>
            <w:vAlign w:val="center"/>
          </w:tcPr>
          <w:p w14:paraId="1CEBE5FD"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5FE" w14:textId="77777777"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noProof/>
              </w:rPr>
              <w:t>Capacité</w:t>
            </w:r>
            <w:r>
              <w:rPr>
                <w:rFonts w:ascii="Times New Roman" w:hAnsi="Times New Roman" w:cs="Times New Roman"/>
                <w:noProof/>
                <w:szCs w:val="20"/>
              </w:rPr>
              <w:t xml:space="preserve"> des installations de stockage installées</w:t>
            </w:r>
          </w:p>
        </w:tc>
      </w:tr>
      <w:tr w:rsidR="00F74E13" w14:paraId="1CEBE604" w14:textId="77777777">
        <w:trPr>
          <w:trHeight w:val="302"/>
          <w:jc w:val="center"/>
        </w:trPr>
        <w:tc>
          <w:tcPr>
            <w:tcW w:w="1665" w:type="dxa"/>
            <w:shd w:val="clear" w:color="auto" w:fill="C6EFCE"/>
            <w:noWrap/>
          </w:tcPr>
          <w:p w14:paraId="1CEBE600" w14:textId="77777777" w:rsidR="00F74E13" w:rsidRDefault="009274FC">
            <w:pPr>
              <w:pStyle w:val="P68B1DB1-Normal35"/>
              <w:spacing w:after="0" w:line="240" w:lineRule="auto"/>
              <w:jc w:val="center"/>
              <w:rPr>
                <w:noProof/>
              </w:rPr>
            </w:pPr>
            <w:r>
              <w:rPr>
                <w:noProof/>
              </w:rPr>
              <w:t>62</w:t>
            </w:r>
          </w:p>
        </w:tc>
        <w:tc>
          <w:tcPr>
            <w:tcW w:w="3686" w:type="dxa"/>
            <w:shd w:val="clear" w:color="auto" w:fill="C6EFCE"/>
            <w:noWrap/>
            <w:vAlign w:val="center"/>
          </w:tcPr>
          <w:p w14:paraId="1CEBE601" w14:textId="77777777" w:rsidR="00F74E13" w:rsidRDefault="009274FC">
            <w:pPr>
              <w:pStyle w:val="P68B1DB1-Normal12"/>
              <w:spacing w:after="0" w:line="240" w:lineRule="auto"/>
              <w:rPr>
                <w:noProof/>
              </w:rPr>
            </w:pPr>
            <w:r>
              <w:rPr>
                <w:noProof/>
              </w:rPr>
              <w:t>C3.I2 Investissement 2.3.a Instruments de fonds propres pour les investissements en faveur de la neutralité climatique et de la transformation numérique</w:t>
            </w:r>
          </w:p>
        </w:tc>
        <w:tc>
          <w:tcPr>
            <w:tcW w:w="1701" w:type="dxa"/>
            <w:shd w:val="clear" w:color="auto" w:fill="C6EFCE"/>
            <w:noWrap/>
            <w:vAlign w:val="center"/>
          </w:tcPr>
          <w:p w14:paraId="1CEBE602"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vAlign w:val="center"/>
          </w:tcPr>
          <w:p w14:paraId="1CEBE603" w14:textId="62113724" w:rsidR="00F74E13" w:rsidRDefault="009274FC">
            <w:pPr>
              <w:pStyle w:val="P68B1DB1-Normal13"/>
              <w:spacing w:after="0" w:line="240" w:lineRule="auto"/>
              <w:jc w:val="both"/>
              <w:rPr>
                <w:rFonts w:cs="Times New Roman"/>
                <w:noProof/>
              </w:rPr>
            </w:pPr>
            <w:r>
              <w:rPr>
                <w:noProof/>
              </w:rPr>
              <w:t>Opérations approuvées par le Comité d'investissement</w:t>
            </w:r>
          </w:p>
        </w:tc>
      </w:tr>
      <w:tr w:rsidR="00F74E13" w14:paraId="1CEBE609" w14:textId="77777777">
        <w:trPr>
          <w:trHeight w:val="302"/>
          <w:jc w:val="center"/>
        </w:trPr>
        <w:tc>
          <w:tcPr>
            <w:tcW w:w="1665" w:type="dxa"/>
            <w:shd w:val="clear" w:color="auto" w:fill="C6EFCE"/>
            <w:noWrap/>
          </w:tcPr>
          <w:p w14:paraId="1CEBE605" w14:textId="77777777" w:rsidR="00F74E13" w:rsidRDefault="009274FC">
            <w:pPr>
              <w:pStyle w:val="P68B1DB1-Normal35"/>
              <w:spacing w:after="0" w:line="240" w:lineRule="auto"/>
              <w:jc w:val="center"/>
              <w:rPr>
                <w:noProof/>
              </w:rPr>
            </w:pPr>
            <w:r>
              <w:rPr>
                <w:noProof/>
              </w:rPr>
              <w:t>93 bis</w:t>
            </w:r>
          </w:p>
        </w:tc>
        <w:tc>
          <w:tcPr>
            <w:tcW w:w="3686" w:type="dxa"/>
            <w:shd w:val="clear" w:color="auto" w:fill="C6EFCE"/>
            <w:noWrap/>
          </w:tcPr>
          <w:p w14:paraId="1CEBE606" w14:textId="77777777" w:rsidR="00F74E13" w:rsidRDefault="009274FC">
            <w:pPr>
              <w:pStyle w:val="P68B1DB1-Normal15"/>
              <w:spacing w:after="0" w:line="240" w:lineRule="auto"/>
              <w:rPr>
                <w:rFonts w:cs="Times New Roman"/>
                <w:noProof/>
                <w:szCs w:val="20"/>
              </w:rPr>
            </w:pPr>
            <w:r>
              <w:rPr>
                <w:noProof/>
              </w:rPr>
              <w:t>C4.R11 Améliorer la gouvernance des entreprises publiques dans le secteur de l'énergie</w:t>
            </w:r>
          </w:p>
        </w:tc>
        <w:tc>
          <w:tcPr>
            <w:tcW w:w="1701" w:type="dxa"/>
            <w:shd w:val="clear" w:color="auto" w:fill="C6EFCE"/>
            <w:noWrap/>
          </w:tcPr>
          <w:p w14:paraId="1CEBE607" w14:textId="77777777" w:rsidR="00F74E13" w:rsidRDefault="009274FC">
            <w:pPr>
              <w:pStyle w:val="P68B1DB1-Normal15"/>
              <w:spacing w:after="0" w:line="240" w:lineRule="auto"/>
              <w:jc w:val="center"/>
              <w:rPr>
                <w:rFonts w:cs="Times New Roman"/>
                <w:noProof/>
                <w:szCs w:val="20"/>
              </w:rPr>
            </w:pPr>
            <w:r>
              <w:rPr>
                <w:noProof/>
              </w:rPr>
              <w:t xml:space="preserve">Étape </w:t>
            </w:r>
          </w:p>
        </w:tc>
        <w:tc>
          <w:tcPr>
            <w:tcW w:w="3541" w:type="dxa"/>
            <w:shd w:val="clear" w:color="auto" w:fill="C6EFCE"/>
            <w:noWrap/>
          </w:tcPr>
          <w:p w14:paraId="1CEBE608" w14:textId="38DBF446" w:rsidR="00F74E13" w:rsidRDefault="009274FC">
            <w:pPr>
              <w:pStyle w:val="P68B1DB1-Normal15"/>
              <w:spacing w:after="0" w:line="240" w:lineRule="auto"/>
              <w:jc w:val="both"/>
              <w:rPr>
                <w:rFonts w:cs="Times New Roman"/>
                <w:noProof/>
                <w:szCs w:val="20"/>
              </w:rPr>
            </w:pPr>
            <w:r>
              <w:rPr>
                <w:noProof/>
              </w:rPr>
              <w:t>Résolution du ministre de l’énergie, agissant pour le compte de l’État en tant que propriétaire unique de la holding énergétique bulgare</w:t>
            </w:r>
          </w:p>
        </w:tc>
      </w:tr>
      <w:tr w:rsidR="00F74E13" w14:paraId="1CEBE60E" w14:textId="77777777">
        <w:trPr>
          <w:trHeight w:val="302"/>
          <w:jc w:val="center"/>
        </w:trPr>
        <w:tc>
          <w:tcPr>
            <w:tcW w:w="1665" w:type="dxa"/>
            <w:shd w:val="clear" w:color="auto" w:fill="C6EFCE"/>
            <w:noWrap/>
          </w:tcPr>
          <w:p w14:paraId="1CEBE60A" w14:textId="77777777" w:rsidR="00F74E13" w:rsidRDefault="009274FC">
            <w:pPr>
              <w:pStyle w:val="P68B1DB1-Normal35"/>
              <w:spacing w:after="0" w:line="240" w:lineRule="auto"/>
              <w:jc w:val="center"/>
              <w:rPr>
                <w:noProof/>
              </w:rPr>
            </w:pPr>
            <w:r>
              <w:rPr>
                <w:noProof/>
              </w:rPr>
              <w:t>120</w:t>
            </w:r>
          </w:p>
        </w:tc>
        <w:tc>
          <w:tcPr>
            <w:tcW w:w="3686" w:type="dxa"/>
            <w:shd w:val="clear" w:color="auto" w:fill="C6EFCE"/>
            <w:noWrap/>
          </w:tcPr>
          <w:p w14:paraId="1CEBE60B" w14:textId="77777777" w:rsidR="00F74E13" w:rsidRDefault="009274FC">
            <w:pPr>
              <w:pStyle w:val="P68B1DB1-Normal12"/>
              <w:spacing w:after="0"/>
              <w:jc w:val="both"/>
              <w:rPr>
                <w:noProof/>
              </w:rPr>
            </w:pPr>
            <w:r>
              <w:rPr>
                <w:noProof/>
              </w:rPr>
              <w:t>C4.R10 Décarbonation du secteur de l’énergie</w:t>
            </w:r>
          </w:p>
        </w:tc>
        <w:tc>
          <w:tcPr>
            <w:tcW w:w="1701" w:type="dxa"/>
            <w:shd w:val="clear" w:color="auto" w:fill="C6EFCE"/>
            <w:noWrap/>
          </w:tcPr>
          <w:p w14:paraId="1CEBE60C" w14:textId="67259750"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0D" w14:textId="497D4934" w:rsidR="00F74E13" w:rsidRDefault="009274FC">
            <w:pPr>
              <w:pStyle w:val="P68B1DB1-Normal15"/>
              <w:spacing w:after="0" w:line="240" w:lineRule="auto"/>
              <w:jc w:val="both"/>
              <w:rPr>
                <w:rFonts w:cs="Times New Roman"/>
                <w:noProof/>
                <w:szCs w:val="20"/>
              </w:rPr>
            </w:pPr>
            <w:r>
              <w:rPr>
                <w:noProof/>
              </w:rPr>
              <w:t>Émissions de dioxyde de carbone des centrales électriques au charbon ou au lignite</w:t>
            </w:r>
          </w:p>
        </w:tc>
      </w:tr>
      <w:tr w:rsidR="00F74E13" w14:paraId="1CEBE615" w14:textId="77777777">
        <w:trPr>
          <w:trHeight w:val="302"/>
          <w:jc w:val="center"/>
        </w:trPr>
        <w:tc>
          <w:tcPr>
            <w:tcW w:w="1665" w:type="dxa"/>
            <w:shd w:val="clear" w:color="auto" w:fill="C6EFCE"/>
            <w:noWrap/>
          </w:tcPr>
          <w:p w14:paraId="1CEBE60F" w14:textId="77777777" w:rsidR="00F74E13" w:rsidRDefault="009274FC">
            <w:pPr>
              <w:pStyle w:val="P68B1DB1-Normal35"/>
              <w:spacing w:after="0" w:line="240" w:lineRule="auto"/>
              <w:jc w:val="center"/>
              <w:rPr>
                <w:noProof/>
              </w:rPr>
            </w:pPr>
            <w:r>
              <w:rPr>
                <w:noProof/>
              </w:rPr>
              <w:t>71</w:t>
            </w:r>
          </w:p>
        </w:tc>
        <w:tc>
          <w:tcPr>
            <w:tcW w:w="3686" w:type="dxa"/>
            <w:shd w:val="clear" w:color="auto" w:fill="C6EFCE"/>
            <w:noWrap/>
          </w:tcPr>
          <w:p w14:paraId="1CEBE610" w14:textId="77777777" w:rsidR="00F74E13" w:rsidRDefault="009274FC">
            <w:pPr>
              <w:pStyle w:val="P68B1DB1-Normal22"/>
              <w:spacing w:after="0" w:line="240" w:lineRule="auto"/>
              <w:rPr>
                <w:rFonts w:ascii="Times New Roman" w:eastAsia="Calibri" w:hAnsi="Times New Roman" w:cs="Times New Roman"/>
                <w:noProof/>
                <w:szCs w:val="20"/>
                <w:u w:val="single"/>
              </w:rPr>
            </w:pPr>
            <w:r>
              <w:rPr>
                <w:rFonts w:ascii="Times New Roman" w:hAnsi="Times New Roman"/>
                <w:noProof/>
              </w:rPr>
              <w:t xml:space="preserve">C4.I1 Soutien à la </w:t>
            </w:r>
            <w:r>
              <w:rPr>
                <w:rFonts w:ascii="Times New Roman" w:hAnsi="Times New Roman" w:cs="Times New Roman"/>
                <w:noProof/>
                <w:szCs w:val="20"/>
              </w:rPr>
              <w:t>rénovation</w:t>
            </w:r>
            <w:r>
              <w:rPr>
                <w:rFonts w:ascii="Times New Roman" w:hAnsi="Times New Roman"/>
                <w:noProof/>
              </w:rPr>
              <w:t xml:space="preserve"> du </w:t>
            </w:r>
            <w:r>
              <w:rPr>
                <w:rFonts w:ascii="Times New Roman" w:hAnsi="Times New Roman" w:cs="Times New Roman"/>
                <w:noProof/>
                <w:szCs w:val="20"/>
              </w:rPr>
              <w:t>parc immobilier</w:t>
            </w:r>
          </w:p>
          <w:p w14:paraId="1CEBE612" w14:textId="77777777" w:rsidR="00F74E13" w:rsidRDefault="009274FC">
            <w:pPr>
              <w:pStyle w:val="P68B1DB1-Normal12"/>
              <w:spacing w:before="120" w:after="0" w:line="240" w:lineRule="auto"/>
              <w:rPr>
                <w:noProof/>
              </w:rPr>
            </w:pPr>
            <w:r>
              <w:rPr>
                <w:noProof/>
              </w:rPr>
              <w:t>Sous-mesure 1: Rénovation de bâtiments résidentiels</w:t>
            </w:r>
          </w:p>
        </w:tc>
        <w:tc>
          <w:tcPr>
            <w:tcW w:w="1701" w:type="dxa"/>
            <w:shd w:val="clear" w:color="auto" w:fill="C6EFCE"/>
            <w:noWrap/>
          </w:tcPr>
          <w:p w14:paraId="1CEBE613" w14:textId="77777777" w:rsidR="00F74E13" w:rsidRDefault="009274FC">
            <w:pPr>
              <w:pStyle w:val="P68B1DB1-Normal15"/>
              <w:spacing w:after="0" w:line="240" w:lineRule="auto"/>
              <w:jc w:val="center"/>
              <w:rPr>
                <w:noProof/>
              </w:rPr>
            </w:pPr>
            <w:r>
              <w:rPr>
                <w:noProof/>
              </w:rPr>
              <w:t>Objectif</w:t>
            </w:r>
          </w:p>
        </w:tc>
        <w:tc>
          <w:tcPr>
            <w:tcW w:w="3541" w:type="dxa"/>
            <w:shd w:val="clear" w:color="auto" w:fill="C6EFCE"/>
            <w:noWrap/>
          </w:tcPr>
          <w:p w14:paraId="1CEBE614" w14:textId="5527AF6A" w:rsidR="00F74E13" w:rsidRDefault="009274FC">
            <w:pPr>
              <w:pStyle w:val="P68B1DB1-Normal15"/>
              <w:spacing w:after="0" w:line="240" w:lineRule="auto"/>
              <w:jc w:val="both"/>
              <w:rPr>
                <w:noProof/>
              </w:rPr>
            </w:pPr>
            <w:r>
              <w:rPr>
                <w:noProof/>
              </w:rPr>
              <w:t>Rénovation énergétique des bâtiments résidentiels</w:t>
            </w:r>
          </w:p>
        </w:tc>
      </w:tr>
      <w:tr w:rsidR="00F74E13" w14:paraId="1CEBE621" w14:textId="77777777">
        <w:trPr>
          <w:trHeight w:val="302"/>
          <w:jc w:val="center"/>
        </w:trPr>
        <w:tc>
          <w:tcPr>
            <w:tcW w:w="1665" w:type="dxa"/>
            <w:shd w:val="clear" w:color="auto" w:fill="C6EFCE"/>
            <w:noWrap/>
          </w:tcPr>
          <w:p w14:paraId="1CEBE616" w14:textId="77777777" w:rsidR="00F74E13" w:rsidRDefault="009274FC">
            <w:pPr>
              <w:pStyle w:val="P68B1DB1-Normal35"/>
              <w:spacing w:after="0" w:line="240" w:lineRule="auto"/>
              <w:jc w:val="center"/>
              <w:rPr>
                <w:noProof/>
              </w:rPr>
            </w:pPr>
            <w:r>
              <w:rPr>
                <w:noProof/>
              </w:rPr>
              <w:t>75</w:t>
            </w:r>
          </w:p>
        </w:tc>
        <w:tc>
          <w:tcPr>
            <w:tcW w:w="3686" w:type="dxa"/>
            <w:shd w:val="clear" w:color="auto" w:fill="C6EFCE"/>
            <w:noWrap/>
          </w:tcPr>
          <w:p w14:paraId="1CEBE617" w14:textId="77777777" w:rsidR="00F74E13" w:rsidRDefault="009274FC">
            <w:pPr>
              <w:pStyle w:val="P68B1DB1-Normal22"/>
              <w:spacing w:after="0" w:line="240" w:lineRule="auto"/>
              <w:rPr>
                <w:rFonts w:ascii="Times New Roman" w:hAnsi="Times New Roman"/>
                <w:noProof/>
              </w:rPr>
            </w:pPr>
            <w:r>
              <w:rPr>
                <w:rFonts w:ascii="Times New Roman" w:hAnsi="Times New Roman" w:cs="Times New Roman"/>
                <w:noProof/>
                <w:szCs w:val="20"/>
              </w:rPr>
              <w:t xml:space="preserve">C4.I1 </w:t>
            </w:r>
            <w:r>
              <w:rPr>
                <w:rFonts w:ascii="Times New Roman" w:hAnsi="Times New Roman"/>
                <w:noProof/>
              </w:rPr>
              <w:t>Soutien à la rénovation du parc immobilier</w:t>
            </w:r>
          </w:p>
          <w:p w14:paraId="1CEBE619" w14:textId="77777777" w:rsidR="00F74E13" w:rsidRDefault="009274FC">
            <w:pPr>
              <w:pStyle w:val="P68B1DB1-Normal15"/>
              <w:spacing w:before="120" w:after="0" w:line="240" w:lineRule="auto"/>
              <w:rPr>
                <w:noProof/>
              </w:rPr>
            </w:pPr>
            <w:r>
              <w:rPr>
                <w:noProof/>
              </w:rPr>
              <w:t>Sous-mesure 2: Rénovation de bâtiments publics non résidentiels</w:t>
            </w:r>
          </w:p>
          <w:p w14:paraId="1CEBE61B" w14:textId="77777777" w:rsidR="00F74E13" w:rsidRDefault="009274FC">
            <w:pPr>
              <w:pStyle w:val="P68B1DB1-Normal15"/>
              <w:spacing w:before="120" w:after="0" w:line="240" w:lineRule="auto"/>
              <w:rPr>
                <w:noProof/>
              </w:rPr>
            </w:pPr>
            <w:r>
              <w:rPr>
                <w:noProof/>
              </w:rPr>
              <w:t xml:space="preserve">et </w:t>
            </w:r>
          </w:p>
          <w:p w14:paraId="1CEBE61D" w14:textId="77777777" w:rsidR="00F74E13" w:rsidRDefault="009274FC">
            <w:pPr>
              <w:pStyle w:val="P68B1DB1-Normal15"/>
              <w:spacing w:before="120" w:after="0" w:line="240" w:lineRule="auto"/>
              <w:rPr>
                <w:noProof/>
              </w:rPr>
            </w:pPr>
            <w:r>
              <w:rPr>
                <w:noProof/>
              </w:rPr>
              <w:t xml:space="preserve">Sous-mesure </w:t>
            </w:r>
          </w:p>
          <w:p w14:paraId="1CEBE61E" w14:textId="77777777" w:rsidR="00F74E13" w:rsidRDefault="009274FC">
            <w:pPr>
              <w:pStyle w:val="P68B1DB1-Normal15"/>
              <w:spacing w:after="0"/>
              <w:jc w:val="both"/>
              <w:rPr>
                <w:noProof/>
              </w:rPr>
            </w:pPr>
            <w:r>
              <w:rPr>
                <w:noProof/>
              </w:rPr>
              <w:t>3: Rénovation de bâtiments non résidentiels dans l'industrie manufacturière, le commerce et les services</w:t>
            </w:r>
          </w:p>
        </w:tc>
        <w:tc>
          <w:tcPr>
            <w:tcW w:w="1701" w:type="dxa"/>
            <w:shd w:val="clear" w:color="auto" w:fill="C6EFCE"/>
            <w:noWrap/>
          </w:tcPr>
          <w:p w14:paraId="1CEBE61F" w14:textId="77777777" w:rsidR="00F74E13" w:rsidRDefault="009274FC">
            <w:pPr>
              <w:pStyle w:val="P68B1DB1-Normal15"/>
              <w:spacing w:after="0" w:line="240" w:lineRule="auto"/>
              <w:jc w:val="center"/>
              <w:rPr>
                <w:noProof/>
              </w:rPr>
            </w:pPr>
            <w:r>
              <w:rPr>
                <w:noProof/>
              </w:rPr>
              <w:t>Objectif</w:t>
            </w:r>
          </w:p>
        </w:tc>
        <w:tc>
          <w:tcPr>
            <w:tcW w:w="3541" w:type="dxa"/>
            <w:shd w:val="clear" w:color="auto" w:fill="C6EFCE"/>
            <w:noWrap/>
          </w:tcPr>
          <w:p w14:paraId="1CEBE620" w14:textId="6E815869" w:rsidR="00F74E13" w:rsidRDefault="009274FC">
            <w:pPr>
              <w:pStyle w:val="P68B1DB1-Normal13"/>
              <w:spacing w:after="0" w:line="240" w:lineRule="auto"/>
              <w:jc w:val="both"/>
              <w:rPr>
                <w:noProof/>
              </w:rPr>
            </w:pPr>
            <w:r>
              <w:rPr>
                <w:noProof/>
              </w:rPr>
              <w:t>Rénovation de l'efficacité énergétique des bâtiments non résidentiels</w:t>
            </w:r>
          </w:p>
        </w:tc>
      </w:tr>
      <w:tr w:rsidR="00F74E13" w14:paraId="1CEBE626" w14:textId="77777777">
        <w:trPr>
          <w:trHeight w:val="302"/>
          <w:jc w:val="center"/>
        </w:trPr>
        <w:tc>
          <w:tcPr>
            <w:tcW w:w="1665" w:type="dxa"/>
            <w:shd w:val="clear" w:color="auto" w:fill="C6EFCE"/>
            <w:noWrap/>
          </w:tcPr>
          <w:p w14:paraId="1CEBE622" w14:textId="77777777" w:rsidR="00F74E13" w:rsidRDefault="009274FC">
            <w:pPr>
              <w:pStyle w:val="P68B1DB1-Normal35"/>
              <w:spacing w:after="0" w:line="240" w:lineRule="auto"/>
              <w:jc w:val="center"/>
              <w:rPr>
                <w:noProof/>
              </w:rPr>
            </w:pPr>
            <w:r>
              <w:rPr>
                <w:noProof/>
              </w:rPr>
              <w:t>75a</w:t>
            </w:r>
          </w:p>
        </w:tc>
        <w:tc>
          <w:tcPr>
            <w:tcW w:w="3686" w:type="dxa"/>
            <w:shd w:val="clear" w:color="auto" w:fill="C6EFCE"/>
            <w:noWrap/>
          </w:tcPr>
          <w:p w14:paraId="1CEBE623" w14:textId="77777777" w:rsidR="00F74E13" w:rsidRDefault="009274FC">
            <w:pPr>
              <w:pStyle w:val="P68B1DB1-Normal12"/>
              <w:spacing w:after="0"/>
              <w:jc w:val="both"/>
              <w:rPr>
                <w:noProof/>
              </w:rPr>
            </w:pPr>
            <w:r>
              <w:rPr>
                <w:noProof/>
              </w:rPr>
              <w:t>C4.I9 Régime de subventions – rénovation de bâtiments résidentiels</w:t>
            </w:r>
          </w:p>
        </w:tc>
        <w:tc>
          <w:tcPr>
            <w:tcW w:w="1701" w:type="dxa"/>
            <w:shd w:val="clear" w:color="auto" w:fill="C6EFCE"/>
            <w:noWrap/>
          </w:tcPr>
          <w:p w14:paraId="1CEBE624"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25" w14:textId="77777777" w:rsidR="00F74E13" w:rsidRDefault="009274FC">
            <w:pPr>
              <w:pStyle w:val="P68B1DB1-Normal12"/>
              <w:spacing w:after="0" w:line="240" w:lineRule="auto"/>
              <w:jc w:val="both"/>
              <w:rPr>
                <w:noProof/>
              </w:rPr>
            </w:pPr>
            <w:r>
              <w:rPr>
                <w:noProof/>
              </w:rPr>
              <w:t>Accord de mise en œuvre, accords juridiques de subvention et transfert de fonds</w:t>
            </w:r>
          </w:p>
        </w:tc>
      </w:tr>
      <w:tr w:rsidR="00F74E13" w14:paraId="1CEBE62B" w14:textId="77777777">
        <w:trPr>
          <w:trHeight w:val="302"/>
          <w:jc w:val="center"/>
        </w:trPr>
        <w:tc>
          <w:tcPr>
            <w:tcW w:w="1665" w:type="dxa"/>
            <w:shd w:val="clear" w:color="auto" w:fill="C6EFCE"/>
            <w:noWrap/>
          </w:tcPr>
          <w:p w14:paraId="1CEBE627" w14:textId="77777777" w:rsidR="00F74E13" w:rsidRDefault="009274FC">
            <w:pPr>
              <w:pStyle w:val="P68B1DB1-Normal35"/>
              <w:spacing w:after="0" w:line="240" w:lineRule="auto"/>
              <w:jc w:val="center"/>
              <w:rPr>
                <w:noProof/>
              </w:rPr>
            </w:pPr>
            <w:r>
              <w:rPr>
                <w:noProof/>
              </w:rPr>
              <w:t>81</w:t>
            </w:r>
          </w:p>
        </w:tc>
        <w:tc>
          <w:tcPr>
            <w:tcW w:w="3686" w:type="dxa"/>
            <w:shd w:val="clear" w:color="auto" w:fill="C6EFCE"/>
            <w:noWrap/>
          </w:tcPr>
          <w:p w14:paraId="1CEBE628"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C4.I3 Soutien aux</w:t>
            </w:r>
            <w:r>
              <w:rPr>
                <w:rFonts w:ascii="Times New Roman" w:hAnsi="Times New Roman" w:cs="Times New Roman"/>
                <w:noProof/>
                <w:szCs w:val="20"/>
              </w:rPr>
              <w:t xml:space="preserve"> systèmes d'éclairage public économes en</w:t>
            </w:r>
            <w:r>
              <w:rPr>
                <w:rFonts w:ascii="Times New Roman" w:hAnsi="Times New Roman"/>
                <w:noProof/>
              </w:rPr>
              <w:t xml:space="preserve"> énergie</w:t>
            </w:r>
          </w:p>
        </w:tc>
        <w:tc>
          <w:tcPr>
            <w:tcW w:w="1701" w:type="dxa"/>
            <w:shd w:val="clear" w:color="auto" w:fill="C6EFCE"/>
            <w:noWrap/>
          </w:tcPr>
          <w:p w14:paraId="1CEBE629" w14:textId="77777777" w:rsidR="00F74E13" w:rsidRDefault="009274FC">
            <w:pPr>
              <w:pStyle w:val="P68B1DB1-Normal15"/>
              <w:spacing w:after="0" w:line="240" w:lineRule="auto"/>
              <w:jc w:val="center"/>
              <w:rPr>
                <w:noProof/>
              </w:rPr>
            </w:pPr>
            <w:r>
              <w:rPr>
                <w:noProof/>
              </w:rPr>
              <w:t>Objectif</w:t>
            </w:r>
          </w:p>
        </w:tc>
        <w:tc>
          <w:tcPr>
            <w:tcW w:w="3541" w:type="dxa"/>
            <w:shd w:val="clear" w:color="auto" w:fill="C6EFCE"/>
            <w:noWrap/>
          </w:tcPr>
          <w:p w14:paraId="1CEBE62A" w14:textId="78CE52BD" w:rsidR="00F74E13" w:rsidRDefault="009274FC">
            <w:pPr>
              <w:pStyle w:val="P68B1DB1-Normal22"/>
              <w:spacing w:after="0" w:line="240" w:lineRule="auto"/>
              <w:jc w:val="both"/>
              <w:rPr>
                <w:rFonts w:ascii="Times New Roman" w:hAnsi="Times New Roman"/>
                <w:noProof/>
              </w:rPr>
            </w:pPr>
            <w:r>
              <w:rPr>
                <w:rFonts w:ascii="Times New Roman" w:hAnsi="Times New Roman" w:cs="Times New Roman"/>
                <w:noProof/>
                <w:szCs w:val="20"/>
              </w:rPr>
              <w:t>Réduction</w:t>
            </w:r>
            <w:r>
              <w:rPr>
                <w:rFonts w:ascii="Times New Roman" w:hAnsi="Times New Roman"/>
                <w:noProof/>
              </w:rPr>
              <w:t xml:space="preserve"> de la </w:t>
            </w:r>
            <w:r>
              <w:rPr>
                <w:rFonts w:ascii="Times New Roman" w:hAnsi="Times New Roman" w:cs="Times New Roman"/>
                <w:noProof/>
                <w:szCs w:val="20"/>
              </w:rPr>
              <w:t xml:space="preserve">consommation </w:t>
            </w:r>
            <w:r>
              <w:rPr>
                <w:rFonts w:ascii="Times New Roman" w:hAnsi="Times New Roman"/>
                <w:noProof/>
              </w:rPr>
              <w:t xml:space="preserve"> d'énergie primaire</w:t>
            </w:r>
          </w:p>
        </w:tc>
      </w:tr>
      <w:tr w:rsidR="00F74E13" w14:paraId="1CEBE630" w14:textId="77777777">
        <w:trPr>
          <w:trHeight w:val="302"/>
          <w:jc w:val="center"/>
        </w:trPr>
        <w:tc>
          <w:tcPr>
            <w:tcW w:w="1665" w:type="dxa"/>
            <w:shd w:val="clear" w:color="auto" w:fill="C6EFCE"/>
            <w:noWrap/>
          </w:tcPr>
          <w:p w14:paraId="1CEBE62C" w14:textId="77777777" w:rsidR="00F74E13" w:rsidRDefault="009274FC">
            <w:pPr>
              <w:pStyle w:val="P68B1DB1-Normal35"/>
              <w:spacing w:after="0" w:line="240" w:lineRule="auto"/>
              <w:jc w:val="center"/>
              <w:rPr>
                <w:noProof/>
              </w:rPr>
            </w:pPr>
            <w:r>
              <w:rPr>
                <w:noProof/>
              </w:rPr>
              <w:t>89</w:t>
            </w:r>
          </w:p>
        </w:tc>
        <w:tc>
          <w:tcPr>
            <w:tcW w:w="3686" w:type="dxa"/>
            <w:shd w:val="clear" w:color="auto" w:fill="C6EFCE"/>
            <w:noWrap/>
          </w:tcPr>
          <w:p w14:paraId="1CEBE62D" w14:textId="77777777" w:rsidR="00F74E13" w:rsidRDefault="009274FC">
            <w:pPr>
              <w:pStyle w:val="P68B1DB1-Normal15"/>
              <w:spacing w:after="0" w:line="240" w:lineRule="auto"/>
              <w:rPr>
                <w:rFonts w:cs="Times New Roman"/>
                <w:noProof/>
                <w:szCs w:val="20"/>
              </w:rPr>
            </w:pPr>
            <w:r>
              <w:rPr>
                <w:noProof/>
              </w:rPr>
              <w:t>C4.I4 Transformation numérique du réseau de transport d'électricité</w:t>
            </w:r>
          </w:p>
        </w:tc>
        <w:tc>
          <w:tcPr>
            <w:tcW w:w="1701" w:type="dxa"/>
            <w:shd w:val="clear" w:color="auto" w:fill="C6EFCE"/>
            <w:noWrap/>
          </w:tcPr>
          <w:p w14:paraId="1CEBE62E" w14:textId="77777777" w:rsidR="00F74E13" w:rsidRDefault="009274FC">
            <w:pPr>
              <w:pStyle w:val="P68B1DB1-Normal13"/>
              <w:spacing w:after="0" w:line="240" w:lineRule="auto"/>
              <w:jc w:val="center"/>
              <w:rPr>
                <w:rFonts w:cs="Times New Roman"/>
                <w:noProof/>
              </w:rPr>
            </w:pPr>
            <w:r>
              <w:rPr>
                <w:noProof/>
              </w:rPr>
              <w:t>Objectif</w:t>
            </w:r>
          </w:p>
        </w:tc>
        <w:tc>
          <w:tcPr>
            <w:tcW w:w="3541" w:type="dxa"/>
            <w:shd w:val="clear" w:color="auto" w:fill="C6EFCE"/>
            <w:noWrap/>
          </w:tcPr>
          <w:p w14:paraId="1CEBE62F" w14:textId="77777777" w:rsidR="00F74E13" w:rsidRDefault="009274FC">
            <w:pPr>
              <w:pStyle w:val="P68B1DB1-Normal13"/>
              <w:spacing w:after="0" w:line="240" w:lineRule="auto"/>
              <w:jc w:val="both"/>
              <w:rPr>
                <w:rFonts w:cs="Times New Roman"/>
                <w:noProof/>
              </w:rPr>
            </w:pPr>
            <w:r>
              <w:rPr>
                <w:noProof/>
              </w:rPr>
              <w:t>Conditions d'intégration des capacités de production à partir de sources renouvelables dans le système électrique</w:t>
            </w:r>
          </w:p>
        </w:tc>
      </w:tr>
      <w:tr w:rsidR="00F74E13" w14:paraId="1CEBE635" w14:textId="77777777">
        <w:trPr>
          <w:trHeight w:val="302"/>
          <w:jc w:val="center"/>
        </w:trPr>
        <w:tc>
          <w:tcPr>
            <w:tcW w:w="1665" w:type="dxa"/>
            <w:shd w:val="clear" w:color="auto" w:fill="C6EFCE"/>
            <w:noWrap/>
          </w:tcPr>
          <w:p w14:paraId="1CEBE631" w14:textId="77777777" w:rsidR="00F74E13" w:rsidRDefault="009274FC">
            <w:pPr>
              <w:pStyle w:val="P68B1DB1-Normal15"/>
              <w:spacing w:after="0" w:line="240" w:lineRule="auto"/>
              <w:jc w:val="center"/>
              <w:rPr>
                <w:rFonts w:eastAsia="Times New Roman" w:cs="Times New Roman"/>
                <w:noProof/>
                <w:szCs w:val="20"/>
              </w:rPr>
            </w:pPr>
            <w:r>
              <w:rPr>
                <w:noProof/>
              </w:rPr>
              <w:t>96</w:t>
            </w:r>
          </w:p>
        </w:tc>
        <w:tc>
          <w:tcPr>
            <w:tcW w:w="3686" w:type="dxa"/>
            <w:shd w:val="clear" w:color="auto" w:fill="C6EFCE"/>
            <w:noWrap/>
          </w:tcPr>
          <w:p w14:paraId="1CEBE632" w14:textId="77777777" w:rsidR="00F74E13" w:rsidRDefault="009274FC">
            <w:pPr>
              <w:pStyle w:val="P68B1DB1-Normal15"/>
              <w:spacing w:after="0"/>
              <w:rPr>
                <w:rFonts w:cs="Times New Roman"/>
                <w:noProof/>
                <w:szCs w:val="20"/>
              </w:rPr>
            </w:pPr>
            <w:r>
              <w:rPr>
                <w:noProof/>
              </w:rPr>
              <w:t>C4.R6 Accroître la production d'électricité à partir de sources renouvelables</w:t>
            </w:r>
          </w:p>
        </w:tc>
        <w:tc>
          <w:tcPr>
            <w:tcW w:w="1701" w:type="dxa"/>
            <w:shd w:val="clear" w:color="auto" w:fill="C6EFCE"/>
            <w:noWrap/>
          </w:tcPr>
          <w:p w14:paraId="1CEBE633" w14:textId="77777777" w:rsidR="00F74E13" w:rsidRDefault="009274FC">
            <w:pPr>
              <w:pStyle w:val="P68B1DB1-Normal15"/>
              <w:spacing w:after="0" w:line="240" w:lineRule="auto"/>
              <w:jc w:val="center"/>
              <w:rPr>
                <w:rFonts w:cs="Times New Roman"/>
                <w:noProof/>
                <w:szCs w:val="20"/>
              </w:rPr>
            </w:pPr>
            <w:r>
              <w:rPr>
                <w:noProof/>
              </w:rPr>
              <w:t>Étape</w:t>
            </w:r>
          </w:p>
        </w:tc>
        <w:tc>
          <w:tcPr>
            <w:tcW w:w="3541" w:type="dxa"/>
            <w:shd w:val="clear" w:color="auto" w:fill="C6EFCE"/>
            <w:noWrap/>
          </w:tcPr>
          <w:p w14:paraId="1CEBE634" w14:textId="7329AB5A"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noProof/>
              </w:rPr>
              <w:t xml:space="preserve">Entrée en vigueur du </w:t>
            </w:r>
            <w:r>
              <w:rPr>
                <w:rFonts w:ascii="Times New Roman" w:hAnsi="Times New Roman" w:cs="Times New Roman"/>
                <w:noProof/>
                <w:szCs w:val="20"/>
              </w:rPr>
              <w:t>ou des actes juridiques</w:t>
            </w:r>
          </w:p>
        </w:tc>
      </w:tr>
      <w:tr w:rsidR="00F74E13" w14:paraId="1CEBE63A" w14:textId="77777777">
        <w:trPr>
          <w:trHeight w:val="302"/>
          <w:jc w:val="center"/>
        </w:trPr>
        <w:tc>
          <w:tcPr>
            <w:tcW w:w="1665" w:type="dxa"/>
            <w:shd w:val="clear" w:color="auto" w:fill="C6EFCE"/>
            <w:noWrap/>
          </w:tcPr>
          <w:p w14:paraId="1CEBE636" w14:textId="77777777" w:rsidR="00F74E13" w:rsidRDefault="009274FC">
            <w:pPr>
              <w:pStyle w:val="P68B1DB1-Normal35"/>
              <w:spacing w:after="0" w:line="240" w:lineRule="auto"/>
              <w:jc w:val="center"/>
              <w:rPr>
                <w:noProof/>
              </w:rPr>
            </w:pPr>
            <w:r>
              <w:rPr>
                <w:noProof/>
              </w:rPr>
              <w:t>125</w:t>
            </w:r>
          </w:p>
        </w:tc>
        <w:tc>
          <w:tcPr>
            <w:tcW w:w="3686" w:type="dxa"/>
            <w:shd w:val="clear" w:color="auto" w:fill="C6EFCE"/>
            <w:noWrap/>
          </w:tcPr>
          <w:p w14:paraId="1CEBE637" w14:textId="77777777" w:rsidR="00F74E13" w:rsidRDefault="009274FC">
            <w:pPr>
              <w:pStyle w:val="P68B1DB1-Normal12"/>
              <w:spacing w:after="0" w:line="240" w:lineRule="auto"/>
              <w:rPr>
                <w:noProof/>
              </w:rPr>
            </w:pPr>
            <w:r>
              <w:rPr>
                <w:noProof/>
              </w:rPr>
              <w:t>C4.I8 Infrastructure nationale de stockage de l'électricité (RESTORE)</w:t>
            </w:r>
          </w:p>
        </w:tc>
        <w:tc>
          <w:tcPr>
            <w:tcW w:w="1701" w:type="dxa"/>
            <w:shd w:val="clear" w:color="auto" w:fill="C6EFCE"/>
            <w:noWrap/>
          </w:tcPr>
          <w:p w14:paraId="1CEBE638"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639" w14:textId="209F9B9A" w:rsidR="00F74E13" w:rsidRDefault="009274FC">
            <w:pPr>
              <w:pStyle w:val="P68B1DB1-Normal22"/>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Installations de stockage d'électricité </w:t>
            </w:r>
          </w:p>
        </w:tc>
      </w:tr>
      <w:tr w:rsidR="00F74E13" w14:paraId="1CEBE63F" w14:textId="77777777">
        <w:trPr>
          <w:trHeight w:val="898"/>
          <w:jc w:val="center"/>
        </w:trPr>
        <w:tc>
          <w:tcPr>
            <w:tcW w:w="1665" w:type="dxa"/>
            <w:shd w:val="clear" w:color="auto" w:fill="C6EFCE"/>
            <w:noWrap/>
          </w:tcPr>
          <w:p w14:paraId="1CEBE63B" w14:textId="77777777" w:rsidR="00F74E13" w:rsidRDefault="009274FC">
            <w:pPr>
              <w:pStyle w:val="P68B1DB1-Normal35"/>
              <w:spacing w:after="0" w:line="240" w:lineRule="auto"/>
              <w:jc w:val="center"/>
              <w:rPr>
                <w:noProof/>
              </w:rPr>
            </w:pPr>
            <w:r>
              <w:rPr>
                <w:noProof/>
              </w:rPr>
              <w:t>134</w:t>
            </w:r>
          </w:p>
        </w:tc>
        <w:tc>
          <w:tcPr>
            <w:tcW w:w="3686" w:type="dxa"/>
            <w:shd w:val="clear" w:color="auto" w:fill="C6EFCE"/>
            <w:noWrap/>
          </w:tcPr>
          <w:p w14:paraId="1CEBE63C" w14:textId="77777777" w:rsidR="00F74E13" w:rsidRDefault="009274FC">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C6.I1 </w:t>
            </w:r>
            <w:r>
              <w:rPr>
                <w:rFonts w:ascii="Times New Roman" w:hAnsi="Times New Roman"/>
                <w:noProof/>
              </w:rPr>
              <w:t>Transition technologique et écologique de l'agriculture</w:t>
            </w:r>
          </w:p>
        </w:tc>
        <w:tc>
          <w:tcPr>
            <w:tcW w:w="1701" w:type="dxa"/>
            <w:shd w:val="clear" w:color="auto" w:fill="C6EFCE"/>
            <w:noWrap/>
          </w:tcPr>
          <w:p w14:paraId="1CEBE63D" w14:textId="77777777" w:rsidR="00F74E13" w:rsidRDefault="009274FC">
            <w:pPr>
              <w:pStyle w:val="P68B1DB1-Normal15"/>
              <w:spacing w:after="0" w:line="240" w:lineRule="auto"/>
              <w:jc w:val="center"/>
              <w:rPr>
                <w:noProof/>
              </w:rPr>
            </w:pPr>
            <w:r>
              <w:rPr>
                <w:noProof/>
              </w:rPr>
              <w:t>Objectif</w:t>
            </w:r>
          </w:p>
        </w:tc>
        <w:tc>
          <w:tcPr>
            <w:tcW w:w="3541" w:type="dxa"/>
            <w:shd w:val="clear" w:color="auto" w:fill="C6EFCE"/>
            <w:noWrap/>
          </w:tcPr>
          <w:p w14:paraId="1CEBE63E" w14:textId="262118D2" w:rsidR="00F74E13" w:rsidRDefault="009274FC">
            <w:pPr>
              <w:pStyle w:val="P68B1DB1-Normal35"/>
              <w:spacing w:after="0" w:line="240" w:lineRule="auto"/>
              <w:jc w:val="both"/>
              <w:rPr>
                <w:noProof/>
              </w:rPr>
            </w:pPr>
            <w:r>
              <w:rPr>
                <w:noProof/>
              </w:rPr>
              <w:t>Extrait(s) sur paiement(s)</w:t>
            </w:r>
          </w:p>
        </w:tc>
      </w:tr>
      <w:tr w:rsidR="00F74E13" w14:paraId="1CEBE644" w14:textId="77777777">
        <w:trPr>
          <w:trHeight w:val="302"/>
          <w:jc w:val="center"/>
        </w:trPr>
        <w:tc>
          <w:tcPr>
            <w:tcW w:w="1665" w:type="dxa"/>
            <w:shd w:val="clear" w:color="auto" w:fill="C6EFCE"/>
            <w:noWrap/>
          </w:tcPr>
          <w:p w14:paraId="1CEBE640" w14:textId="77777777" w:rsidR="00F74E13" w:rsidRDefault="009274FC">
            <w:pPr>
              <w:pStyle w:val="P68B1DB1-Normal35"/>
              <w:spacing w:after="0" w:line="240" w:lineRule="auto"/>
              <w:jc w:val="center"/>
              <w:rPr>
                <w:noProof/>
              </w:rPr>
            </w:pPr>
            <w:r>
              <w:rPr>
                <w:noProof/>
              </w:rPr>
              <w:t>146</w:t>
            </w:r>
          </w:p>
        </w:tc>
        <w:tc>
          <w:tcPr>
            <w:tcW w:w="3686" w:type="dxa"/>
            <w:shd w:val="clear" w:color="auto" w:fill="C6EFCE"/>
            <w:noWrap/>
          </w:tcPr>
          <w:p w14:paraId="1CEBE641"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C7.I1 Extension à grande échelle </w:t>
            </w:r>
            <w:r>
              <w:rPr>
                <w:rFonts w:ascii="Times New Roman" w:hAnsi="Times New Roman" w:cs="Times New Roman"/>
                <w:noProof/>
                <w:szCs w:val="20"/>
              </w:rPr>
              <w:t>de l'infrastructure numérique</w:t>
            </w:r>
          </w:p>
        </w:tc>
        <w:tc>
          <w:tcPr>
            <w:tcW w:w="1701" w:type="dxa"/>
            <w:shd w:val="clear" w:color="auto" w:fill="C6EFCE"/>
            <w:noWrap/>
          </w:tcPr>
          <w:p w14:paraId="1CEBE642"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43" w14:textId="77777777" w:rsidR="00F74E13" w:rsidRDefault="009274FC">
            <w:pPr>
              <w:pStyle w:val="P68B1DB1-Normal35"/>
              <w:spacing w:after="0" w:line="240" w:lineRule="auto"/>
              <w:jc w:val="both"/>
              <w:rPr>
                <w:noProof/>
              </w:rPr>
            </w:pPr>
            <w:r>
              <w:rPr>
                <w:noProof/>
              </w:rPr>
              <w:t>Mise à niveau du réseau dorsal de l'État</w:t>
            </w:r>
          </w:p>
        </w:tc>
      </w:tr>
      <w:tr w:rsidR="00F74E13" w14:paraId="1CEBE649" w14:textId="77777777">
        <w:trPr>
          <w:trHeight w:val="302"/>
          <w:jc w:val="center"/>
        </w:trPr>
        <w:tc>
          <w:tcPr>
            <w:tcW w:w="1665" w:type="dxa"/>
            <w:shd w:val="clear" w:color="auto" w:fill="C6EFCE"/>
            <w:noWrap/>
          </w:tcPr>
          <w:p w14:paraId="1CEBE645" w14:textId="77777777" w:rsidR="00F74E13" w:rsidRDefault="009274FC">
            <w:pPr>
              <w:pStyle w:val="P68B1DB1-Normal35"/>
              <w:spacing w:after="0" w:line="240" w:lineRule="auto"/>
              <w:jc w:val="center"/>
              <w:rPr>
                <w:noProof/>
              </w:rPr>
            </w:pPr>
            <w:r>
              <w:rPr>
                <w:noProof/>
              </w:rPr>
              <w:t>147</w:t>
            </w:r>
          </w:p>
        </w:tc>
        <w:tc>
          <w:tcPr>
            <w:tcW w:w="3686" w:type="dxa"/>
            <w:shd w:val="clear" w:color="auto" w:fill="C6EFCE"/>
            <w:noWrap/>
          </w:tcPr>
          <w:p w14:paraId="1CEBE646" w14:textId="77777777" w:rsidR="00F74E13" w:rsidRDefault="009274FC">
            <w:pPr>
              <w:pStyle w:val="P68B1DB1-Normal22"/>
              <w:spacing w:after="0" w:line="240" w:lineRule="auto"/>
              <w:rPr>
                <w:rFonts w:ascii="Times New Roman" w:hAnsi="Times New Roman"/>
                <w:noProof/>
              </w:rPr>
            </w:pPr>
            <w:r>
              <w:rPr>
                <w:rFonts w:ascii="Times New Roman" w:hAnsi="Times New Roman"/>
                <w:noProof/>
              </w:rPr>
              <w:t xml:space="preserve">C7.I1 Extension à grande échelle </w:t>
            </w:r>
            <w:r>
              <w:rPr>
                <w:rFonts w:ascii="Times New Roman" w:hAnsi="Times New Roman" w:cs="Times New Roman"/>
                <w:noProof/>
                <w:szCs w:val="20"/>
              </w:rPr>
              <w:t>de l'infrastructure numérique</w:t>
            </w:r>
          </w:p>
        </w:tc>
        <w:tc>
          <w:tcPr>
            <w:tcW w:w="1701" w:type="dxa"/>
            <w:shd w:val="clear" w:color="auto" w:fill="C6EFCE"/>
            <w:noWrap/>
          </w:tcPr>
          <w:p w14:paraId="1CEBE647"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48" w14:textId="77777777" w:rsidR="00F74E13" w:rsidRDefault="009274FC">
            <w:pPr>
              <w:pStyle w:val="P68B1DB1-Normal22"/>
              <w:spacing w:after="0" w:line="240" w:lineRule="auto"/>
              <w:jc w:val="both"/>
              <w:rPr>
                <w:rFonts w:ascii="Times New Roman" w:hAnsi="Times New Roman"/>
                <w:noProof/>
              </w:rPr>
            </w:pPr>
            <w:r>
              <w:rPr>
                <w:rFonts w:ascii="Times New Roman" w:hAnsi="Times New Roman"/>
                <w:noProof/>
              </w:rPr>
              <w:t>Accès</w:t>
            </w:r>
            <w:r>
              <w:rPr>
                <w:rFonts w:ascii="Times New Roman" w:eastAsia="Times New Roman" w:hAnsi="Times New Roman" w:cs="Times New Roman"/>
                <w:noProof/>
                <w:szCs w:val="20"/>
              </w:rPr>
              <w:t xml:space="preserve"> aux réseaux à très haute capacité</w:t>
            </w:r>
            <w:r>
              <w:rPr>
                <w:rFonts w:ascii="Times New Roman" w:hAnsi="Times New Roman"/>
                <w:noProof/>
              </w:rPr>
              <w:t xml:space="preserve"> </w:t>
            </w:r>
            <w:r>
              <w:rPr>
                <w:rFonts w:ascii="Times New Roman" w:eastAsia="Times New Roman" w:hAnsi="Times New Roman" w:cs="Times New Roman"/>
                <w:noProof/>
                <w:szCs w:val="20"/>
              </w:rPr>
              <w:t>(VHCN)</w:t>
            </w:r>
          </w:p>
        </w:tc>
      </w:tr>
      <w:tr w:rsidR="00F74E13" w14:paraId="1CEBE64E" w14:textId="77777777">
        <w:trPr>
          <w:trHeight w:val="302"/>
          <w:jc w:val="center"/>
        </w:trPr>
        <w:tc>
          <w:tcPr>
            <w:tcW w:w="1665" w:type="dxa"/>
            <w:shd w:val="clear" w:color="auto" w:fill="C6EFCE"/>
            <w:noWrap/>
          </w:tcPr>
          <w:p w14:paraId="1CEBE64A" w14:textId="77777777" w:rsidR="00F74E13" w:rsidRDefault="009274FC">
            <w:pPr>
              <w:pStyle w:val="P68B1DB1-Normal35"/>
              <w:spacing w:after="0" w:line="240" w:lineRule="auto"/>
              <w:jc w:val="center"/>
              <w:rPr>
                <w:noProof/>
              </w:rPr>
            </w:pPr>
            <w:r>
              <w:rPr>
                <w:noProof/>
              </w:rPr>
              <w:t>186</w:t>
            </w:r>
          </w:p>
        </w:tc>
        <w:tc>
          <w:tcPr>
            <w:tcW w:w="3686" w:type="dxa"/>
            <w:shd w:val="clear" w:color="auto" w:fill="C6EFCE"/>
            <w:noWrap/>
          </w:tcPr>
          <w:p w14:paraId="1CEBE64B" w14:textId="77777777" w:rsidR="00F74E13" w:rsidRDefault="009274FC">
            <w:pPr>
              <w:pStyle w:val="P68B1DB1-Normal35"/>
              <w:spacing w:after="0"/>
              <w:jc w:val="both"/>
              <w:rPr>
                <w:noProof/>
              </w:rPr>
            </w:pPr>
            <w:r>
              <w:rPr>
                <w:noProof/>
              </w:rPr>
              <w:t>C8.I1 Matériel roulant ferroviaire</w:t>
            </w:r>
          </w:p>
        </w:tc>
        <w:tc>
          <w:tcPr>
            <w:tcW w:w="1701" w:type="dxa"/>
            <w:shd w:val="clear" w:color="auto" w:fill="C6EFCE"/>
            <w:noWrap/>
          </w:tcPr>
          <w:p w14:paraId="1CEBE64C"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64D" w14:textId="77777777" w:rsidR="00F74E13" w:rsidRDefault="009274FC">
            <w:pPr>
              <w:pStyle w:val="P68B1DB1-Normal15"/>
              <w:spacing w:after="0" w:line="240" w:lineRule="auto"/>
              <w:jc w:val="both"/>
              <w:rPr>
                <w:rFonts w:cs="Times New Roman"/>
                <w:noProof/>
                <w:szCs w:val="20"/>
              </w:rPr>
            </w:pPr>
            <w:r>
              <w:rPr>
                <w:noProof/>
              </w:rPr>
              <w:t>Matériel roulant ferroviaire à émissions nulles</w:t>
            </w:r>
          </w:p>
        </w:tc>
      </w:tr>
      <w:tr w:rsidR="00F74E13" w14:paraId="1CEBE653" w14:textId="77777777">
        <w:trPr>
          <w:trHeight w:val="302"/>
          <w:jc w:val="center"/>
        </w:trPr>
        <w:tc>
          <w:tcPr>
            <w:tcW w:w="1665" w:type="dxa"/>
            <w:shd w:val="clear" w:color="auto" w:fill="C6EFCE"/>
            <w:noWrap/>
          </w:tcPr>
          <w:p w14:paraId="1CEBE64F" w14:textId="77777777" w:rsidR="00F74E13" w:rsidRDefault="009274FC">
            <w:pPr>
              <w:pStyle w:val="P68B1DB1-Normal35"/>
              <w:spacing w:after="0" w:line="240" w:lineRule="auto"/>
              <w:jc w:val="center"/>
              <w:rPr>
                <w:noProof/>
              </w:rPr>
            </w:pPr>
            <w:r>
              <w:rPr>
                <w:noProof/>
              </w:rPr>
              <w:t>197</w:t>
            </w:r>
          </w:p>
        </w:tc>
        <w:tc>
          <w:tcPr>
            <w:tcW w:w="3686" w:type="dxa"/>
            <w:shd w:val="clear" w:color="auto" w:fill="C6EFCE"/>
            <w:noWrap/>
          </w:tcPr>
          <w:p w14:paraId="1CEBE650" w14:textId="77777777" w:rsidR="00F74E13" w:rsidRDefault="009274FC">
            <w:pPr>
              <w:pStyle w:val="P68B1DB1-Normal35"/>
              <w:spacing w:after="0" w:line="240" w:lineRule="auto"/>
              <w:rPr>
                <w:noProof/>
              </w:rPr>
            </w:pPr>
            <w:r>
              <w:rPr>
                <w:noProof/>
              </w:rPr>
              <w:t>C8.I5 Sécurité routière</w:t>
            </w:r>
          </w:p>
        </w:tc>
        <w:tc>
          <w:tcPr>
            <w:tcW w:w="1701" w:type="dxa"/>
            <w:shd w:val="clear" w:color="auto" w:fill="C6EFCE"/>
            <w:noWrap/>
          </w:tcPr>
          <w:p w14:paraId="1CEBE651"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652" w14:textId="4FABBD74" w:rsidR="00F74E13" w:rsidRDefault="009274FC">
            <w:pPr>
              <w:pStyle w:val="P68B1DB1-Normal35"/>
              <w:spacing w:after="0" w:line="240" w:lineRule="auto"/>
              <w:jc w:val="both"/>
              <w:rPr>
                <w:noProof/>
              </w:rPr>
            </w:pPr>
            <w:r>
              <w:rPr>
                <w:noProof/>
              </w:rPr>
              <w:t xml:space="preserve">Signature des contrats d'achat d'équipements </w:t>
            </w:r>
          </w:p>
        </w:tc>
      </w:tr>
      <w:tr w:rsidR="00F74E13" w14:paraId="1CEBE658" w14:textId="77777777">
        <w:trPr>
          <w:trHeight w:val="302"/>
          <w:jc w:val="center"/>
        </w:trPr>
        <w:tc>
          <w:tcPr>
            <w:tcW w:w="1665" w:type="dxa"/>
            <w:shd w:val="clear" w:color="auto" w:fill="C6EFCE"/>
            <w:noWrap/>
          </w:tcPr>
          <w:p w14:paraId="1CEBE654" w14:textId="77777777" w:rsidR="00F74E13" w:rsidRDefault="009274FC">
            <w:pPr>
              <w:pStyle w:val="P68B1DB1-Normal35"/>
              <w:spacing w:after="0" w:line="240" w:lineRule="auto"/>
              <w:jc w:val="center"/>
              <w:rPr>
                <w:noProof/>
              </w:rPr>
            </w:pPr>
            <w:r>
              <w:rPr>
                <w:noProof/>
              </w:rPr>
              <w:t>201</w:t>
            </w:r>
          </w:p>
        </w:tc>
        <w:tc>
          <w:tcPr>
            <w:tcW w:w="3686" w:type="dxa"/>
            <w:shd w:val="clear" w:color="auto" w:fill="C6EFCE"/>
            <w:noWrap/>
          </w:tcPr>
          <w:p w14:paraId="1CEBE655" w14:textId="77777777" w:rsidR="00F74E13" w:rsidRDefault="009274FC">
            <w:pPr>
              <w:pStyle w:val="P68B1DB1-Normal35"/>
              <w:spacing w:after="0"/>
              <w:jc w:val="both"/>
              <w:rPr>
                <w:noProof/>
              </w:rPr>
            </w:pPr>
            <w:r>
              <w:rPr>
                <w:noProof/>
              </w:rPr>
              <w:t>C8.I6 Ligne 3 du métro de Sofia</w:t>
            </w:r>
          </w:p>
        </w:tc>
        <w:tc>
          <w:tcPr>
            <w:tcW w:w="1701" w:type="dxa"/>
            <w:shd w:val="clear" w:color="auto" w:fill="C6EFCE"/>
            <w:noWrap/>
          </w:tcPr>
          <w:p w14:paraId="1CEBE656"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657" w14:textId="77777777" w:rsidR="00F74E13" w:rsidRDefault="009274FC">
            <w:pPr>
              <w:pStyle w:val="P68B1DB1-Normal35"/>
              <w:spacing w:after="0" w:line="240" w:lineRule="auto"/>
              <w:jc w:val="both"/>
              <w:rPr>
                <w:noProof/>
              </w:rPr>
            </w:pPr>
            <w:r>
              <w:rPr>
                <w:noProof/>
              </w:rPr>
              <w:t>Métro ligne 3 à Sofia</w:t>
            </w:r>
          </w:p>
        </w:tc>
      </w:tr>
      <w:tr w:rsidR="00F74E13" w14:paraId="1CEBE65D" w14:textId="77777777">
        <w:trPr>
          <w:trHeight w:val="302"/>
          <w:jc w:val="center"/>
        </w:trPr>
        <w:tc>
          <w:tcPr>
            <w:tcW w:w="1665" w:type="dxa"/>
            <w:shd w:val="clear" w:color="auto" w:fill="C6EFCE"/>
            <w:noWrap/>
          </w:tcPr>
          <w:p w14:paraId="1CEBE659" w14:textId="77777777" w:rsidR="00F74E13" w:rsidRDefault="009274FC">
            <w:pPr>
              <w:pStyle w:val="P68B1DB1-Normal35"/>
              <w:spacing w:after="0" w:line="240" w:lineRule="auto"/>
              <w:jc w:val="center"/>
              <w:rPr>
                <w:noProof/>
              </w:rPr>
            </w:pPr>
            <w:r>
              <w:rPr>
                <w:noProof/>
              </w:rPr>
              <w:t>201 bis</w:t>
            </w:r>
          </w:p>
        </w:tc>
        <w:tc>
          <w:tcPr>
            <w:tcW w:w="3686" w:type="dxa"/>
            <w:shd w:val="clear" w:color="auto" w:fill="C6EFCE"/>
            <w:noWrap/>
          </w:tcPr>
          <w:p w14:paraId="1CEBE65A" w14:textId="77777777" w:rsidR="00F74E13" w:rsidRDefault="009274FC">
            <w:pPr>
              <w:pStyle w:val="P68B1DB1-Normal35"/>
              <w:spacing w:after="0"/>
              <w:jc w:val="both"/>
              <w:rPr>
                <w:noProof/>
              </w:rPr>
            </w:pPr>
            <w:r>
              <w:rPr>
                <w:noProof/>
              </w:rPr>
              <w:t>C8.I10 Matériel roulant du métro</w:t>
            </w:r>
          </w:p>
        </w:tc>
        <w:tc>
          <w:tcPr>
            <w:tcW w:w="1701" w:type="dxa"/>
            <w:shd w:val="clear" w:color="auto" w:fill="C6EFCE"/>
            <w:noWrap/>
          </w:tcPr>
          <w:p w14:paraId="1CEBE65B"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65C" w14:textId="77777777" w:rsidR="00F74E13" w:rsidRDefault="009274FC">
            <w:pPr>
              <w:pStyle w:val="P68B1DB1-Normal35"/>
              <w:spacing w:after="0" w:line="240" w:lineRule="auto"/>
              <w:jc w:val="both"/>
              <w:rPr>
                <w:noProof/>
              </w:rPr>
            </w:pPr>
            <w:r>
              <w:rPr>
                <w:noProof/>
              </w:rPr>
              <w:t>Trains de métro</w:t>
            </w:r>
          </w:p>
        </w:tc>
      </w:tr>
      <w:tr w:rsidR="00F74E13" w14:paraId="1CEBE662" w14:textId="77777777">
        <w:trPr>
          <w:trHeight w:val="302"/>
          <w:jc w:val="center"/>
        </w:trPr>
        <w:tc>
          <w:tcPr>
            <w:tcW w:w="1665" w:type="dxa"/>
            <w:shd w:val="clear" w:color="auto" w:fill="C6EFCE"/>
            <w:noWrap/>
          </w:tcPr>
          <w:p w14:paraId="1CEBE65E" w14:textId="77777777" w:rsidR="00F74E13" w:rsidRDefault="009274FC">
            <w:pPr>
              <w:pStyle w:val="P68B1DB1-Normal15"/>
              <w:spacing w:after="0" w:line="240" w:lineRule="auto"/>
              <w:jc w:val="center"/>
              <w:rPr>
                <w:noProof/>
              </w:rPr>
            </w:pPr>
            <w:r>
              <w:rPr>
                <w:noProof/>
              </w:rPr>
              <w:t>203</w:t>
            </w:r>
          </w:p>
        </w:tc>
        <w:tc>
          <w:tcPr>
            <w:tcW w:w="3686" w:type="dxa"/>
            <w:shd w:val="clear" w:color="auto" w:fill="C6EFCE"/>
            <w:noWrap/>
          </w:tcPr>
          <w:p w14:paraId="1CEBE65F" w14:textId="77777777" w:rsidR="00F74E13" w:rsidRDefault="009274FC">
            <w:pPr>
              <w:pStyle w:val="P68B1DB1-Normal35"/>
              <w:spacing w:after="0"/>
              <w:jc w:val="both"/>
              <w:rPr>
                <w:noProof/>
              </w:rPr>
            </w:pPr>
            <w:r>
              <w:rPr>
                <w:noProof/>
              </w:rPr>
              <w:t>C8.I7 Mobilité verte</w:t>
            </w:r>
          </w:p>
        </w:tc>
        <w:tc>
          <w:tcPr>
            <w:tcW w:w="1701" w:type="dxa"/>
            <w:shd w:val="clear" w:color="auto" w:fill="C6EFCE"/>
            <w:noWrap/>
          </w:tcPr>
          <w:p w14:paraId="1CEBE660"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61" w14:textId="469642CD" w:rsidR="00F74E13" w:rsidRDefault="009274FC">
            <w:pPr>
              <w:pStyle w:val="P68B1DB1-Normal35"/>
              <w:spacing w:after="0" w:line="240" w:lineRule="auto"/>
              <w:jc w:val="both"/>
              <w:rPr>
                <w:noProof/>
              </w:rPr>
            </w:pPr>
            <w:r>
              <w:rPr>
                <w:noProof/>
              </w:rPr>
              <w:t>Autobus et/ou trolleybus à émissions nulles, bornes de recharge, éclairage des passages pour piétons et infrastructures cyclables</w:t>
            </w:r>
          </w:p>
        </w:tc>
      </w:tr>
      <w:tr w:rsidR="00F74E13" w14:paraId="1CEBE667" w14:textId="77777777">
        <w:trPr>
          <w:trHeight w:val="302"/>
          <w:jc w:val="center"/>
        </w:trPr>
        <w:tc>
          <w:tcPr>
            <w:tcW w:w="1665" w:type="dxa"/>
            <w:shd w:val="clear" w:color="auto" w:fill="C6EFCE"/>
            <w:noWrap/>
          </w:tcPr>
          <w:p w14:paraId="1CEBE663" w14:textId="77777777" w:rsidR="00F74E13" w:rsidRDefault="009274FC">
            <w:pPr>
              <w:pStyle w:val="P68B1DB1-Normal35"/>
              <w:spacing w:after="0" w:line="240" w:lineRule="auto"/>
              <w:jc w:val="center"/>
              <w:rPr>
                <w:noProof/>
              </w:rPr>
            </w:pPr>
            <w:r>
              <w:rPr>
                <w:noProof/>
              </w:rPr>
              <w:t>206 bis</w:t>
            </w:r>
          </w:p>
        </w:tc>
        <w:tc>
          <w:tcPr>
            <w:tcW w:w="3686" w:type="dxa"/>
            <w:shd w:val="clear" w:color="auto" w:fill="C6EFCE"/>
            <w:noWrap/>
          </w:tcPr>
          <w:p w14:paraId="1CEBE664" w14:textId="514B3A79" w:rsidR="00F74E13" w:rsidRDefault="009274FC">
            <w:pPr>
              <w:pStyle w:val="P68B1DB1-Normal35"/>
              <w:spacing w:after="0"/>
              <w:jc w:val="both"/>
              <w:rPr>
                <w:noProof/>
              </w:rPr>
            </w:pPr>
            <w:r>
              <w:rPr>
                <w:noProof/>
              </w:rPr>
              <w:t>C8.I8 Équipements et wagons pour la surveillance ou l'entretien des voies ferrées et des lignes aériennes</w:t>
            </w:r>
          </w:p>
        </w:tc>
        <w:tc>
          <w:tcPr>
            <w:tcW w:w="1701" w:type="dxa"/>
            <w:shd w:val="clear" w:color="auto" w:fill="C6EFCE"/>
            <w:noWrap/>
          </w:tcPr>
          <w:p w14:paraId="1CEBE665"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666" w14:textId="666E23A9" w:rsidR="00F74E13" w:rsidRDefault="009274FC">
            <w:pPr>
              <w:pStyle w:val="P68B1DB1-Normal35"/>
              <w:spacing w:after="0" w:line="240" w:lineRule="auto"/>
              <w:jc w:val="both"/>
              <w:rPr>
                <w:noProof/>
              </w:rPr>
            </w:pPr>
            <w:r>
              <w:rPr>
                <w:noProof/>
              </w:rPr>
              <w:t>Réception et/ou livraison d'équipements et de wagons</w:t>
            </w:r>
          </w:p>
        </w:tc>
      </w:tr>
      <w:tr w:rsidR="00F74E13" w14:paraId="1CEBE66C" w14:textId="77777777">
        <w:trPr>
          <w:trHeight w:val="302"/>
          <w:jc w:val="center"/>
        </w:trPr>
        <w:tc>
          <w:tcPr>
            <w:tcW w:w="1665" w:type="dxa"/>
            <w:shd w:val="clear" w:color="auto" w:fill="C6EFCE"/>
            <w:noWrap/>
          </w:tcPr>
          <w:p w14:paraId="1CEBE668" w14:textId="77777777" w:rsidR="00F74E13" w:rsidRDefault="009274FC">
            <w:pPr>
              <w:pStyle w:val="P68B1DB1-Normal35"/>
              <w:spacing w:after="0" w:line="240" w:lineRule="auto"/>
              <w:jc w:val="center"/>
              <w:rPr>
                <w:noProof/>
              </w:rPr>
            </w:pPr>
            <w:r>
              <w:rPr>
                <w:noProof/>
              </w:rPr>
              <w:t>206 ter</w:t>
            </w:r>
          </w:p>
        </w:tc>
        <w:tc>
          <w:tcPr>
            <w:tcW w:w="3686" w:type="dxa"/>
            <w:shd w:val="clear" w:color="auto" w:fill="C6EFCE"/>
            <w:noWrap/>
          </w:tcPr>
          <w:p w14:paraId="1CEBE669" w14:textId="77777777" w:rsidR="00F74E13" w:rsidRDefault="009274FC">
            <w:pPr>
              <w:pStyle w:val="P68B1DB1-Normal35"/>
              <w:spacing w:after="0"/>
              <w:jc w:val="both"/>
              <w:rPr>
                <w:noProof/>
              </w:rPr>
            </w:pPr>
            <w:r>
              <w:rPr>
                <w:noProof/>
              </w:rPr>
              <w:t>C8.I9 Rénovation de l'infrastructure ferroviaire</w:t>
            </w:r>
          </w:p>
        </w:tc>
        <w:tc>
          <w:tcPr>
            <w:tcW w:w="1701" w:type="dxa"/>
            <w:shd w:val="clear" w:color="auto" w:fill="C6EFCE"/>
            <w:noWrap/>
          </w:tcPr>
          <w:p w14:paraId="1CEBE66A"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66B" w14:textId="2A5AE715" w:rsidR="00F74E13" w:rsidRDefault="009274FC">
            <w:pPr>
              <w:pStyle w:val="P68B1DB1-Normal35"/>
              <w:spacing w:after="0" w:line="240" w:lineRule="auto"/>
              <w:jc w:val="both"/>
              <w:rPr>
                <w:noProof/>
              </w:rPr>
            </w:pPr>
            <w:r>
              <w:rPr>
                <w:noProof/>
              </w:rPr>
              <w:t>Rénovation des lignes ferroviaires, des lignes aériennes et de l'aménagement des voies ferrées</w:t>
            </w:r>
          </w:p>
        </w:tc>
      </w:tr>
      <w:tr w:rsidR="00F74E13" w14:paraId="716FFFE4" w14:textId="77777777">
        <w:trPr>
          <w:trHeight w:val="302"/>
          <w:jc w:val="center"/>
        </w:trPr>
        <w:tc>
          <w:tcPr>
            <w:tcW w:w="1665" w:type="dxa"/>
            <w:shd w:val="clear" w:color="auto" w:fill="C6EFCE"/>
            <w:noWrap/>
          </w:tcPr>
          <w:p w14:paraId="0931634D" w14:textId="081A63A8" w:rsidR="00F74E13" w:rsidRDefault="009274FC">
            <w:pPr>
              <w:pStyle w:val="P68B1DB1-Normal35"/>
              <w:spacing w:after="0" w:line="240" w:lineRule="auto"/>
              <w:jc w:val="center"/>
              <w:rPr>
                <w:noProof/>
              </w:rPr>
            </w:pPr>
            <w:r>
              <w:rPr>
                <w:noProof/>
              </w:rPr>
              <w:t>208</w:t>
            </w:r>
          </w:p>
        </w:tc>
        <w:tc>
          <w:tcPr>
            <w:tcW w:w="3686" w:type="dxa"/>
            <w:shd w:val="clear" w:color="auto" w:fill="C6EFCE"/>
            <w:noWrap/>
          </w:tcPr>
          <w:p w14:paraId="46BB2ADC" w14:textId="2429A071" w:rsidR="00F74E13" w:rsidRDefault="009274FC">
            <w:pPr>
              <w:pStyle w:val="P68B1DB1-Normal12"/>
              <w:spacing w:after="0"/>
              <w:jc w:val="both"/>
              <w:rPr>
                <w:rFonts w:eastAsia="Times New Roman"/>
                <w:noProof/>
              </w:rPr>
            </w:pPr>
            <w:r>
              <w:rPr>
                <w:noProof/>
              </w:rPr>
              <w:t>C9.R2 Réforme de l'approvisionnement en eau et de l'assainissement</w:t>
            </w:r>
          </w:p>
        </w:tc>
        <w:tc>
          <w:tcPr>
            <w:tcW w:w="1701" w:type="dxa"/>
            <w:shd w:val="clear" w:color="auto" w:fill="C6EFCE"/>
            <w:noWrap/>
          </w:tcPr>
          <w:p w14:paraId="15680201" w14:textId="39AA7C69"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5221B029" w14:textId="2BAB6861" w:rsidR="00F74E13" w:rsidRDefault="009274FC">
            <w:pPr>
              <w:pStyle w:val="P68B1DB1-Normal35"/>
              <w:spacing w:after="0" w:line="240" w:lineRule="auto"/>
              <w:jc w:val="both"/>
              <w:rPr>
                <w:noProof/>
              </w:rPr>
            </w:pPr>
            <w:r>
              <w:rPr>
                <w:noProof/>
              </w:rPr>
              <w:t>Adoption et entrée en vigueur d’un ou de plusieurs actes juridiques sur les incitations à la consolidation</w:t>
            </w:r>
          </w:p>
        </w:tc>
      </w:tr>
      <w:tr w:rsidR="00F74E13" w14:paraId="1CEBE671" w14:textId="77777777">
        <w:trPr>
          <w:trHeight w:val="302"/>
          <w:jc w:val="center"/>
        </w:trPr>
        <w:tc>
          <w:tcPr>
            <w:tcW w:w="1665" w:type="dxa"/>
            <w:shd w:val="clear" w:color="auto" w:fill="C6EFCE"/>
            <w:noWrap/>
          </w:tcPr>
          <w:p w14:paraId="1CEBE66D" w14:textId="77777777" w:rsidR="00F74E13" w:rsidRDefault="009274FC">
            <w:pPr>
              <w:pStyle w:val="P68B1DB1-Normal35"/>
              <w:spacing w:after="0" w:line="240" w:lineRule="auto"/>
              <w:jc w:val="center"/>
              <w:rPr>
                <w:noProof/>
              </w:rPr>
            </w:pPr>
            <w:r>
              <w:rPr>
                <w:noProof/>
              </w:rPr>
              <w:t>220</w:t>
            </w:r>
          </w:p>
        </w:tc>
        <w:tc>
          <w:tcPr>
            <w:tcW w:w="3686" w:type="dxa"/>
            <w:shd w:val="clear" w:color="auto" w:fill="C6EFCE"/>
            <w:noWrap/>
          </w:tcPr>
          <w:p w14:paraId="1CEBE66E" w14:textId="77777777" w:rsidR="00F74E13" w:rsidRDefault="009274FC">
            <w:pPr>
              <w:pStyle w:val="P68B1DB1-Normal35"/>
              <w:spacing w:after="0"/>
              <w:jc w:val="both"/>
              <w:rPr>
                <w:noProof/>
              </w:rPr>
            </w:pPr>
            <w:r>
              <w:rPr>
                <w:noProof/>
              </w:rPr>
              <w:t>C10.R2 Lutte contre la corruption</w:t>
            </w:r>
          </w:p>
        </w:tc>
        <w:tc>
          <w:tcPr>
            <w:tcW w:w="1701" w:type="dxa"/>
            <w:shd w:val="clear" w:color="auto" w:fill="C6EFCE"/>
            <w:noWrap/>
          </w:tcPr>
          <w:p w14:paraId="1CEBE66F"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670" w14:textId="0D8D984E" w:rsidR="00F74E13" w:rsidRDefault="009274FC">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Membres et Président de l'organe </w:t>
            </w:r>
            <w:r>
              <w:rPr>
                <w:rFonts w:ascii="Times New Roman" w:eastAsia="Times New Roman" w:hAnsi="Times New Roman" w:cs="Times New Roman"/>
                <w:noProof/>
                <w:szCs w:val="20"/>
              </w:rPr>
              <w:t xml:space="preserve">de lutte contre la corruption </w:t>
            </w:r>
          </w:p>
        </w:tc>
      </w:tr>
      <w:tr w:rsidR="00F74E13" w14:paraId="1CEBE676" w14:textId="77777777">
        <w:trPr>
          <w:trHeight w:val="302"/>
          <w:jc w:val="center"/>
        </w:trPr>
        <w:tc>
          <w:tcPr>
            <w:tcW w:w="1665" w:type="dxa"/>
            <w:shd w:val="clear" w:color="auto" w:fill="C6EFCE"/>
            <w:noWrap/>
          </w:tcPr>
          <w:p w14:paraId="1CEBE672" w14:textId="77777777" w:rsidR="00F74E13" w:rsidRDefault="009274FC">
            <w:pPr>
              <w:pStyle w:val="P68B1DB1-Normal35"/>
              <w:spacing w:after="0" w:line="240" w:lineRule="auto"/>
              <w:jc w:val="center"/>
              <w:rPr>
                <w:noProof/>
              </w:rPr>
            </w:pPr>
            <w:r>
              <w:rPr>
                <w:noProof/>
              </w:rPr>
              <w:t>226 bis</w:t>
            </w:r>
          </w:p>
        </w:tc>
        <w:tc>
          <w:tcPr>
            <w:tcW w:w="3686" w:type="dxa"/>
            <w:shd w:val="clear" w:color="auto" w:fill="C6EFCE"/>
            <w:noWrap/>
          </w:tcPr>
          <w:p w14:paraId="1CEBE673" w14:textId="77777777" w:rsidR="00F74E13" w:rsidRDefault="009274FC">
            <w:pPr>
              <w:pStyle w:val="P68B1DB1-Normal22"/>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Lutte contre la corruption</w:t>
            </w:r>
          </w:p>
        </w:tc>
        <w:tc>
          <w:tcPr>
            <w:tcW w:w="1701" w:type="dxa"/>
            <w:shd w:val="clear" w:color="auto" w:fill="C6EFCE"/>
            <w:noWrap/>
          </w:tcPr>
          <w:p w14:paraId="1CEBE674"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75" w14:textId="2D2C0927" w:rsidR="00F74E13" w:rsidRDefault="009274FC">
            <w:pPr>
              <w:pStyle w:val="P68B1DB1-Normal13"/>
              <w:spacing w:after="0" w:line="240" w:lineRule="auto"/>
              <w:jc w:val="both"/>
              <w:rPr>
                <w:noProof/>
              </w:rPr>
            </w:pPr>
            <w:r>
              <w:rPr>
                <w:noProof/>
              </w:rPr>
              <w:t>Mesures d'intégrité et de lutte contre la corruption</w:t>
            </w:r>
          </w:p>
        </w:tc>
      </w:tr>
      <w:tr w:rsidR="00F74E13" w14:paraId="1CEBE67B" w14:textId="77777777">
        <w:trPr>
          <w:trHeight w:val="302"/>
          <w:jc w:val="center"/>
        </w:trPr>
        <w:tc>
          <w:tcPr>
            <w:tcW w:w="1665" w:type="dxa"/>
            <w:shd w:val="clear" w:color="auto" w:fill="C6EFCE"/>
            <w:noWrap/>
          </w:tcPr>
          <w:p w14:paraId="1CEBE677" w14:textId="77777777" w:rsidR="00F74E13" w:rsidRDefault="009274FC">
            <w:pPr>
              <w:pStyle w:val="P68B1DB1-Normal35"/>
              <w:spacing w:after="0" w:line="240" w:lineRule="auto"/>
              <w:jc w:val="center"/>
              <w:rPr>
                <w:noProof/>
              </w:rPr>
            </w:pPr>
            <w:r>
              <w:rPr>
                <w:noProof/>
              </w:rPr>
              <w:t>245a</w:t>
            </w:r>
          </w:p>
        </w:tc>
        <w:tc>
          <w:tcPr>
            <w:tcW w:w="3686" w:type="dxa"/>
            <w:shd w:val="clear" w:color="auto" w:fill="C6EFCE"/>
            <w:noWrap/>
          </w:tcPr>
          <w:p w14:paraId="1CEBE678" w14:textId="77777777" w:rsidR="00F74E13" w:rsidRDefault="009274FC">
            <w:pPr>
              <w:pStyle w:val="P68B1DB1-Normal35"/>
              <w:spacing w:after="0"/>
              <w:jc w:val="both"/>
              <w:rPr>
                <w:noProof/>
              </w:rPr>
            </w:pPr>
            <w:r>
              <w:rPr>
                <w:noProof/>
              </w:rPr>
              <w:t>C10.R10 Marchés publics</w:t>
            </w:r>
          </w:p>
        </w:tc>
        <w:tc>
          <w:tcPr>
            <w:tcW w:w="1701" w:type="dxa"/>
            <w:shd w:val="clear" w:color="auto" w:fill="C6EFCE"/>
            <w:noWrap/>
          </w:tcPr>
          <w:p w14:paraId="1CEBE679"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7A" w14:textId="77777777" w:rsidR="00F74E13" w:rsidRDefault="009274FC">
            <w:pPr>
              <w:pStyle w:val="P68B1DB1-Normal35"/>
              <w:spacing w:after="0" w:line="240" w:lineRule="auto"/>
              <w:jc w:val="both"/>
              <w:rPr>
                <w:noProof/>
              </w:rPr>
            </w:pPr>
            <w:r>
              <w:rPr>
                <w:noProof/>
              </w:rPr>
              <w:t>Mesures relatives aux marchés publics</w:t>
            </w:r>
          </w:p>
        </w:tc>
      </w:tr>
      <w:tr w:rsidR="00F74E13" w14:paraId="1CEBE680" w14:textId="77777777">
        <w:trPr>
          <w:trHeight w:val="302"/>
          <w:jc w:val="center"/>
        </w:trPr>
        <w:tc>
          <w:tcPr>
            <w:tcW w:w="1665" w:type="dxa"/>
            <w:shd w:val="clear" w:color="auto" w:fill="C6EFCE"/>
            <w:noWrap/>
          </w:tcPr>
          <w:p w14:paraId="1CEBE67C" w14:textId="77777777" w:rsidR="00F74E13" w:rsidRDefault="009274FC">
            <w:pPr>
              <w:pStyle w:val="P68B1DB1-Normal35"/>
              <w:spacing w:after="0" w:line="240" w:lineRule="auto"/>
              <w:jc w:val="center"/>
              <w:rPr>
                <w:noProof/>
              </w:rPr>
            </w:pPr>
            <w:r>
              <w:rPr>
                <w:noProof/>
              </w:rPr>
              <w:t>248</w:t>
            </w:r>
          </w:p>
        </w:tc>
        <w:tc>
          <w:tcPr>
            <w:tcW w:w="3686" w:type="dxa"/>
            <w:shd w:val="clear" w:color="auto" w:fill="C6EFCE"/>
            <w:noWrap/>
          </w:tcPr>
          <w:p w14:paraId="1CEBE67D" w14:textId="77777777" w:rsidR="00F74E13" w:rsidRDefault="009274FC">
            <w:pPr>
              <w:pStyle w:val="P68B1DB1-Normal35"/>
              <w:spacing w:after="0"/>
              <w:jc w:val="both"/>
              <w:rPr>
                <w:noProof/>
              </w:rPr>
            </w:pPr>
            <w:r>
              <w:rPr>
                <w:noProof/>
              </w:rPr>
              <w:t>C10.R10 Marchés publics</w:t>
            </w:r>
          </w:p>
        </w:tc>
        <w:tc>
          <w:tcPr>
            <w:tcW w:w="1701" w:type="dxa"/>
            <w:shd w:val="clear" w:color="auto" w:fill="C6EFCE"/>
            <w:noWrap/>
          </w:tcPr>
          <w:p w14:paraId="1CEBE67E"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67F" w14:textId="6795E3BE" w:rsidR="00F74E13" w:rsidRDefault="009274FC">
            <w:pPr>
              <w:pStyle w:val="P68B1DB1-Normal13"/>
              <w:spacing w:after="0" w:line="240" w:lineRule="auto"/>
              <w:jc w:val="both"/>
              <w:rPr>
                <w:rFonts w:cs="Times New Roman"/>
                <w:noProof/>
              </w:rPr>
            </w:pPr>
            <w:r>
              <w:rPr>
                <w:noProof/>
              </w:rPr>
              <w:t>Part des procédures de passation de marchés avec un seul soumissionnaire et part des procédures négociées sans publication préalable</w:t>
            </w:r>
          </w:p>
        </w:tc>
      </w:tr>
      <w:tr w:rsidR="00F74E13" w14:paraId="1CEBE685" w14:textId="77777777">
        <w:trPr>
          <w:trHeight w:val="302"/>
          <w:jc w:val="center"/>
        </w:trPr>
        <w:tc>
          <w:tcPr>
            <w:tcW w:w="1665" w:type="dxa"/>
            <w:shd w:val="clear" w:color="auto" w:fill="C6EFCE"/>
            <w:noWrap/>
          </w:tcPr>
          <w:p w14:paraId="1CEBE681" w14:textId="77777777" w:rsidR="00F74E13" w:rsidRDefault="009274FC">
            <w:pPr>
              <w:pStyle w:val="P68B1DB1-Normal15"/>
              <w:spacing w:after="0" w:line="240" w:lineRule="auto"/>
              <w:jc w:val="center"/>
              <w:rPr>
                <w:rFonts w:eastAsia="Times New Roman" w:cs="Times New Roman"/>
                <w:noProof/>
                <w:szCs w:val="20"/>
              </w:rPr>
            </w:pPr>
            <w:r>
              <w:rPr>
                <w:noProof/>
              </w:rPr>
              <w:t>265</w:t>
            </w:r>
          </w:p>
        </w:tc>
        <w:tc>
          <w:tcPr>
            <w:tcW w:w="3686" w:type="dxa"/>
            <w:shd w:val="clear" w:color="auto" w:fill="C6EFCE"/>
            <w:noWrap/>
          </w:tcPr>
          <w:p w14:paraId="1CEBE682" w14:textId="77777777" w:rsidR="00F74E13" w:rsidRDefault="009274FC">
            <w:pPr>
              <w:pStyle w:val="P68B1DB1-Normal15"/>
              <w:spacing w:after="0"/>
              <w:jc w:val="both"/>
              <w:rPr>
                <w:rFonts w:eastAsia="Times New Roman" w:cs="Times New Roman"/>
                <w:noProof/>
                <w:szCs w:val="20"/>
              </w:rPr>
            </w:pPr>
            <w:r>
              <w:rPr>
                <w:noProof/>
              </w:rPr>
              <w:t>C10.I4 Services de sécurité</w:t>
            </w:r>
          </w:p>
        </w:tc>
        <w:tc>
          <w:tcPr>
            <w:tcW w:w="1701" w:type="dxa"/>
            <w:shd w:val="clear" w:color="auto" w:fill="C6EFCE"/>
            <w:noWrap/>
          </w:tcPr>
          <w:p w14:paraId="1CEBE683" w14:textId="77777777" w:rsidR="00F74E13" w:rsidRDefault="009274FC">
            <w:pPr>
              <w:pStyle w:val="P68B1DB1-Normal15"/>
              <w:spacing w:after="0" w:line="240" w:lineRule="auto"/>
              <w:jc w:val="center"/>
              <w:rPr>
                <w:rFonts w:eastAsia="Times New Roman" w:cs="Times New Roman"/>
                <w:noProof/>
                <w:szCs w:val="20"/>
              </w:rPr>
            </w:pPr>
            <w:r>
              <w:rPr>
                <w:noProof/>
              </w:rPr>
              <w:t>Étape</w:t>
            </w:r>
          </w:p>
        </w:tc>
        <w:tc>
          <w:tcPr>
            <w:tcW w:w="3541" w:type="dxa"/>
            <w:shd w:val="clear" w:color="auto" w:fill="C6EFCE"/>
            <w:noWrap/>
          </w:tcPr>
          <w:p w14:paraId="1CEBE684" w14:textId="7C4EE030" w:rsidR="00F74E13" w:rsidRDefault="009274FC">
            <w:pPr>
              <w:pStyle w:val="P68B1DB1-Normal13"/>
              <w:spacing w:after="0" w:line="240" w:lineRule="auto"/>
              <w:jc w:val="both"/>
              <w:rPr>
                <w:rFonts w:eastAsia="Times New Roman" w:cs="Times New Roman"/>
                <w:noProof/>
              </w:rPr>
            </w:pPr>
            <w:r>
              <w:rPr>
                <w:noProof/>
              </w:rPr>
              <w:t>Mise à niveau des systèmes de sécurité et de vidéosurveillance et acquisition de véhicules de police</w:t>
            </w:r>
          </w:p>
        </w:tc>
      </w:tr>
      <w:tr w:rsidR="00F74E13" w14:paraId="1CEBE68A" w14:textId="77777777">
        <w:trPr>
          <w:trHeight w:val="302"/>
          <w:jc w:val="center"/>
        </w:trPr>
        <w:tc>
          <w:tcPr>
            <w:tcW w:w="1665" w:type="dxa"/>
            <w:shd w:val="clear" w:color="auto" w:fill="C6EFCE"/>
            <w:noWrap/>
          </w:tcPr>
          <w:p w14:paraId="1CEBE686" w14:textId="77777777" w:rsidR="00F74E13" w:rsidRDefault="009274FC">
            <w:pPr>
              <w:pStyle w:val="P68B1DB1-Normal35"/>
              <w:spacing w:after="0" w:line="240" w:lineRule="auto"/>
              <w:jc w:val="center"/>
              <w:rPr>
                <w:noProof/>
              </w:rPr>
            </w:pPr>
            <w:r>
              <w:rPr>
                <w:noProof/>
              </w:rPr>
              <w:t>270</w:t>
            </w:r>
          </w:p>
        </w:tc>
        <w:tc>
          <w:tcPr>
            <w:tcW w:w="3686" w:type="dxa"/>
            <w:shd w:val="clear" w:color="auto" w:fill="C6EFCE"/>
            <w:noWrap/>
          </w:tcPr>
          <w:p w14:paraId="1CEBE687" w14:textId="6568316A" w:rsidR="00F74E13" w:rsidRDefault="009274FC">
            <w:pPr>
              <w:pStyle w:val="P68B1DB1-Normal15"/>
              <w:spacing w:after="0"/>
              <w:jc w:val="both"/>
              <w:rPr>
                <w:noProof/>
              </w:rPr>
            </w:pPr>
            <w:r>
              <w:rPr>
                <w:noProof/>
              </w:rPr>
              <w:t>C10.I6 Formations et configurations informatiques pour l'introduction de la modélisation de l'information du bâtiment</w:t>
            </w:r>
          </w:p>
        </w:tc>
        <w:tc>
          <w:tcPr>
            <w:tcW w:w="1701" w:type="dxa"/>
            <w:shd w:val="clear" w:color="auto" w:fill="C6EFCE"/>
            <w:noWrap/>
          </w:tcPr>
          <w:p w14:paraId="1CEBE688"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89" w14:textId="55116E9D" w:rsidR="00F74E13" w:rsidRDefault="009274FC">
            <w:pPr>
              <w:pStyle w:val="P68B1DB1-Normal35"/>
              <w:spacing w:after="0" w:line="240" w:lineRule="auto"/>
              <w:jc w:val="both"/>
              <w:rPr>
                <w:noProof/>
              </w:rPr>
            </w:pPr>
            <w:r>
              <w:rPr>
                <w:noProof/>
              </w:rPr>
              <w:t>Formations sur la modélisation de l'information du bâtiment et les configurations informatiques pour l'administration publique (s)</w:t>
            </w:r>
          </w:p>
        </w:tc>
      </w:tr>
      <w:tr w:rsidR="00F74E13" w14:paraId="17694D08" w14:textId="77777777">
        <w:trPr>
          <w:trHeight w:val="302"/>
          <w:jc w:val="center"/>
        </w:trPr>
        <w:tc>
          <w:tcPr>
            <w:tcW w:w="1665" w:type="dxa"/>
            <w:shd w:val="clear" w:color="auto" w:fill="C6EFCE"/>
            <w:noWrap/>
          </w:tcPr>
          <w:p w14:paraId="097F3139" w14:textId="4B6A7567" w:rsidR="00F74E13" w:rsidRDefault="009274FC">
            <w:pPr>
              <w:pStyle w:val="P68B1DB1-Normal35"/>
              <w:spacing w:after="0" w:line="240" w:lineRule="auto"/>
              <w:jc w:val="center"/>
              <w:rPr>
                <w:noProof/>
              </w:rPr>
            </w:pPr>
            <w:r>
              <w:rPr>
                <w:noProof/>
              </w:rPr>
              <w:t>285a</w:t>
            </w:r>
          </w:p>
        </w:tc>
        <w:tc>
          <w:tcPr>
            <w:tcW w:w="3686" w:type="dxa"/>
            <w:shd w:val="clear" w:color="auto" w:fill="C6EFCE"/>
            <w:noWrap/>
          </w:tcPr>
          <w:p w14:paraId="6F9011B3" w14:textId="4E26BFB1" w:rsidR="00F74E13" w:rsidRDefault="009274FC">
            <w:pPr>
              <w:pStyle w:val="P68B1DB1-Normal12"/>
              <w:spacing w:after="0"/>
              <w:jc w:val="both"/>
              <w:rPr>
                <w:noProof/>
              </w:rPr>
            </w:pPr>
            <w:r>
              <w:rPr>
                <w:noProof/>
              </w:rPr>
              <w:t>C10.I12 Numérisation de l’Agence des douanes</w:t>
            </w:r>
          </w:p>
        </w:tc>
        <w:tc>
          <w:tcPr>
            <w:tcW w:w="1701" w:type="dxa"/>
            <w:shd w:val="clear" w:color="auto" w:fill="C6EFCE"/>
            <w:noWrap/>
          </w:tcPr>
          <w:p w14:paraId="0503F080" w14:textId="3F94C9E2"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032E0458" w14:textId="2AFD7B6A" w:rsidR="00F74E13" w:rsidRDefault="009274FC">
            <w:pPr>
              <w:pStyle w:val="P68B1DB1-Normal35"/>
              <w:spacing w:after="0" w:line="240" w:lineRule="auto"/>
              <w:jc w:val="both"/>
              <w:rPr>
                <w:noProof/>
              </w:rPr>
            </w:pPr>
            <w:r>
              <w:rPr>
                <w:noProof/>
              </w:rPr>
              <w:t>Numérisation de l’Agence des douanes</w:t>
            </w:r>
          </w:p>
        </w:tc>
      </w:tr>
      <w:tr w:rsidR="00F74E13" w14:paraId="4C9D3524" w14:textId="77777777">
        <w:trPr>
          <w:trHeight w:val="302"/>
          <w:jc w:val="center"/>
        </w:trPr>
        <w:tc>
          <w:tcPr>
            <w:tcW w:w="1665" w:type="dxa"/>
            <w:shd w:val="clear" w:color="auto" w:fill="C6EFCE"/>
            <w:noWrap/>
          </w:tcPr>
          <w:p w14:paraId="6DD28671" w14:textId="4A11C21C" w:rsidR="00F74E13" w:rsidRDefault="009274FC">
            <w:pPr>
              <w:pStyle w:val="P68B1DB1-Normal35"/>
              <w:spacing w:after="0" w:line="240" w:lineRule="auto"/>
              <w:jc w:val="center"/>
              <w:rPr>
                <w:noProof/>
              </w:rPr>
            </w:pPr>
            <w:r>
              <w:rPr>
                <w:noProof/>
              </w:rPr>
              <w:t>285b</w:t>
            </w:r>
          </w:p>
        </w:tc>
        <w:tc>
          <w:tcPr>
            <w:tcW w:w="3686" w:type="dxa"/>
            <w:shd w:val="clear" w:color="auto" w:fill="C6EFCE"/>
            <w:noWrap/>
          </w:tcPr>
          <w:p w14:paraId="407C81AE" w14:textId="2650924D" w:rsidR="00F74E13" w:rsidRDefault="009274FC">
            <w:pPr>
              <w:pStyle w:val="P68B1DB1-Normal35"/>
              <w:spacing w:after="0"/>
              <w:jc w:val="both"/>
              <w:rPr>
                <w:noProof/>
              </w:rPr>
            </w:pPr>
            <w:r>
              <w:rPr>
                <w:noProof/>
              </w:rPr>
              <w:t>C10.I13 Numérisation de l’Agence nationale du revenu</w:t>
            </w:r>
          </w:p>
        </w:tc>
        <w:tc>
          <w:tcPr>
            <w:tcW w:w="1701" w:type="dxa"/>
            <w:shd w:val="clear" w:color="auto" w:fill="C6EFCE"/>
            <w:noWrap/>
          </w:tcPr>
          <w:p w14:paraId="0387C7F5" w14:textId="7C095D8D"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0B0EAA05" w14:textId="10AD86AA" w:rsidR="00F74E13" w:rsidRDefault="009274FC">
            <w:pPr>
              <w:pStyle w:val="P68B1DB1-Normal35"/>
              <w:spacing w:after="0" w:line="240" w:lineRule="auto"/>
              <w:jc w:val="both"/>
              <w:rPr>
                <w:noProof/>
              </w:rPr>
            </w:pPr>
            <w:r>
              <w:rPr>
                <w:noProof/>
              </w:rPr>
              <w:t>Numérisation de l’Agence nationale du revenu</w:t>
            </w:r>
          </w:p>
        </w:tc>
      </w:tr>
      <w:tr w:rsidR="00F74E13" w14:paraId="1CEBE694" w14:textId="77777777">
        <w:trPr>
          <w:trHeight w:val="302"/>
          <w:jc w:val="center"/>
        </w:trPr>
        <w:tc>
          <w:tcPr>
            <w:tcW w:w="1665" w:type="dxa"/>
            <w:shd w:val="clear" w:color="auto" w:fill="C6EFCE"/>
            <w:noWrap/>
          </w:tcPr>
          <w:p w14:paraId="1CEBE690" w14:textId="77777777" w:rsidR="00F74E13" w:rsidRDefault="009274FC">
            <w:pPr>
              <w:pStyle w:val="P68B1DB1-Normal35"/>
              <w:spacing w:after="0" w:line="240" w:lineRule="auto"/>
              <w:jc w:val="center"/>
              <w:rPr>
                <w:noProof/>
              </w:rPr>
            </w:pPr>
            <w:r>
              <w:rPr>
                <w:noProof/>
              </w:rPr>
              <w:t>293</w:t>
            </w:r>
          </w:p>
        </w:tc>
        <w:tc>
          <w:tcPr>
            <w:tcW w:w="3686" w:type="dxa"/>
            <w:shd w:val="clear" w:color="auto" w:fill="C6EFCE"/>
            <w:noWrap/>
          </w:tcPr>
          <w:p w14:paraId="1CEBE691" w14:textId="77777777" w:rsidR="00F74E13" w:rsidRDefault="009274FC">
            <w:pPr>
              <w:pStyle w:val="P68B1DB1-Normal12"/>
              <w:spacing w:after="0"/>
              <w:jc w:val="both"/>
              <w:rPr>
                <w:noProof/>
              </w:rPr>
            </w:pPr>
            <w:r>
              <w:rPr>
                <w:noProof/>
              </w:rPr>
              <w:t>C11.I1 Travaux d'infrastructure dans des établissements de soins de longue durée</w:t>
            </w:r>
          </w:p>
        </w:tc>
        <w:tc>
          <w:tcPr>
            <w:tcW w:w="1701" w:type="dxa"/>
            <w:shd w:val="clear" w:color="auto" w:fill="C6EFCE"/>
            <w:noWrap/>
          </w:tcPr>
          <w:p w14:paraId="1CEBE692"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693" w14:textId="7C5FDE8D" w:rsidR="00F74E13" w:rsidRDefault="009274FC">
            <w:pPr>
              <w:pStyle w:val="P68B1DB1-Normal13"/>
              <w:spacing w:after="0" w:line="240" w:lineRule="auto"/>
              <w:jc w:val="both"/>
              <w:rPr>
                <w:rFonts w:cs="Times New Roman"/>
                <w:noProof/>
              </w:rPr>
            </w:pPr>
            <w:r>
              <w:rPr>
                <w:noProof/>
              </w:rPr>
              <w:t>Rénovation et/ou construction d'établissements de soins résidentiels, d'établissements d'accompagnement de services sociaux spécialisés et consultatifs aux personnes handicapées et de foyers pour personnes âgées</w:t>
            </w:r>
          </w:p>
        </w:tc>
      </w:tr>
      <w:tr w:rsidR="00F74E13" w14:paraId="1CEBE699" w14:textId="77777777">
        <w:trPr>
          <w:trHeight w:val="302"/>
          <w:jc w:val="center"/>
        </w:trPr>
        <w:tc>
          <w:tcPr>
            <w:tcW w:w="1665" w:type="dxa"/>
            <w:shd w:val="clear" w:color="auto" w:fill="C6EFCE"/>
            <w:noWrap/>
          </w:tcPr>
          <w:p w14:paraId="1CEBE695" w14:textId="77777777" w:rsidR="00F74E13" w:rsidRDefault="009274FC">
            <w:pPr>
              <w:pStyle w:val="P68B1DB1-Normal15"/>
              <w:spacing w:after="0" w:line="240" w:lineRule="auto"/>
              <w:jc w:val="center"/>
              <w:rPr>
                <w:noProof/>
              </w:rPr>
            </w:pPr>
            <w:r>
              <w:rPr>
                <w:noProof/>
              </w:rPr>
              <w:t>298</w:t>
            </w:r>
          </w:p>
        </w:tc>
        <w:tc>
          <w:tcPr>
            <w:tcW w:w="3686" w:type="dxa"/>
            <w:shd w:val="clear" w:color="auto" w:fill="C6EFCE"/>
            <w:noWrap/>
          </w:tcPr>
          <w:p w14:paraId="1CEBE696" w14:textId="77777777" w:rsidR="00F74E13" w:rsidRDefault="009274FC">
            <w:pPr>
              <w:pStyle w:val="P68B1DB1-Normal22"/>
              <w:spacing w:after="0"/>
              <w:jc w:val="both"/>
              <w:rPr>
                <w:rFonts w:ascii="Times New Roman" w:hAnsi="Times New Roman"/>
                <w:noProof/>
              </w:rPr>
            </w:pPr>
            <w:r>
              <w:rPr>
                <w:rFonts w:ascii="Times New Roman" w:hAnsi="Times New Roman" w:cs="Times New Roman"/>
                <w:noProof/>
                <w:szCs w:val="20"/>
              </w:rPr>
              <w:t>C11.I2</w:t>
            </w:r>
            <w:r>
              <w:rPr>
                <w:rFonts w:ascii="Times New Roman" w:hAnsi="Times New Roman"/>
                <w:noProof/>
              </w:rPr>
              <w:t xml:space="preserve"> Fourniture de dispositifs d'assistance aux personnes handicapées permanentes</w:t>
            </w:r>
          </w:p>
        </w:tc>
        <w:tc>
          <w:tcPr>
            <w:tcW w:w="1701" w:type="dxa"/>
            <w:shd w:val="clear" w:color="auto" w:fill="C6EFCE"/>
            <w:noWrap/>
          </w:tcPr>
          <w:p w14:paraId="1CEBE697"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98" w14:textId="77777777" w:rsidR="00F74E13" w:rsidRDefault="009274FC">
            <w:pPr>
              <w:pStyle w:val="P68B1DB1-Normal15"/>
              <w:spacing w:after="0" w:line="240" w:lineRule="auto"/>
              <w:jc w:val="both"/>
              <w:rPr>
                <w:noProof/>
              </w:rPr>
            </w:pPr>
            <w:r>
              <w:rPr>
                <w:noProof/>
                <w:szCs w:val="20"/>
              </w:rPr>
              <w:t>Sélection de personnes</w:t>
            </w:r>
            <w:r>
              <w:rPr>
                <w:noProof/>
              </w:rPr>
              <w:t xml:space="preserve"> ayant une incapacité permanente </w:t>
            </w:r>
            <w:r>
              <w:rPr>
                <w:noProof/>
                <w:szCs w:val="20"/>
              </w:rPr>
              <w:t>à recevoir des</w:t>
            </w:r>
            <w:r>
              <w:rPr>
                <w:noProof/>
              </w:rPr>
              <w:t xml:space="preserve"> appareils d'assistance</w:t>
            </w:r>
          </w:p>
        </w:tc>
      </w:tr>
      <w:tr w:rsidR="00F74E13" w14:paraId="1CEBE69E" w14:textId="77777777">
        <w:trPr>
          <w:trHeight w:val="302"/>
          <w:jc w:val="center"/>
        </w:trPr>
        <w:tc>
          <w:tcPr>
            <w:tcW w:w="1665" w:type="dxa"/>
            <w:shd w:val="clear" w:color="auto" w:fill="C6EFCE"/>
            <w:noWrap/>
          </w:tcPr>
          <w:p w14:paraId="1CEBE69A" w14:textId="77777777" w:rsidR="00F74E13" w:rsidRDefault="009274FC">
            <w:pPr>
              <w:pStyle w:val="P68B1DB1-Normal35"/>
              <w:spacing w:after="0" w:line="240" w:lineRule="auto"/>
              <w:jc w:val="center"/>
              <w:rPr>
                <w:noProof/>
              </w:rPr>
            </w:pPr>
            <w:r>
              <w:rPr>
                <w:noProof/>
              </w:rPr>
              <w:t>306</w:t>
            </w:r>
          </w:p>
        </w:tc>
        <w:tc>
          <w:tcPr>
            <w:tcW w:w="3686" w:type="dxa"/>
            <w:shd w:val="clear" w:color="auto" w:fill="C6EFCE"/>
            <w:noWrap/>
          </w:tcPr>
          <w:p w14:paraId="1CEBE69B" w14:textId="77777777" w:rsidR="00F74E13" w:rsidRDefault="009274FC">
            <w:pPr>
              <w:pStyle w:val="P68B1DB1-Normal22"/>
              <w:spacing w:after="0"/>
              <w:jc w:val="both"/>
              <w:rPr>
                <w:rFonts w:ascii="Times New Roman" w:hAnsi="Times New Roman"/>
                <w:noProof/>
              </w:rPr>
            </w:pPr>
            <w:r>
              <w:rPr>
                <w:rFonts w:ascii="Times New Roman" w:hAnsi="Times New Roman" w:cs="Times New Roman"/>
                <w:noProof/>
                <w:szCs w:val="20"/>
              </w:rPr>
              <w:t>C11.I5</w:t>
            </w:r>
            <w:r>
              <w:rPr>
                <w:rFonts w:ascii="Times New Roman" w:hAnsi="Times New Roman"/>
                <w:noProof/>
              </w:rPr>
              <w:t xml:space="preserve"> </w:t>
            </w:r>
            <w:r>
              <w:rPr>
                <w:rFonts w:ascii="Times New Roman" w:hAnsi="Times New Roman" w:cs="Times New Roman"/>
                <w:noProof/>
                <w:szCs w:val="20"/>
              </w:rPr>
              <w:t>Services numériques à l'Agence pour l'emploi</w:t>
            </w:r>
          </w:p>
        </w:tc>
        <w:tc>
          <w:tcPr>
            <w:tcW w:w="1701" w:type="dxa"/>
            <w:shd w:val="clear" w:color="auto" w:fill="C6EFCE"/>
            <w:noWrap/>
          </w:tcPr>
          <w:p w14:paraId="1CEBE69C" w14:textId="77777777" w:rsidR="00F74E13" w:rsidRDefault="009274FC">
            <w:pPr>
              <w:pStyle w:val="P68B1DB1-Normal15"/>
              <w:spacing w:after="0" w:line="240" w:lineRule="auto"/>
              <w:jc w:val="center"/>
              <w:rPr>
                <w:noProof/>
              </w:rPr>
            </w:pPr>
            <w:r>
              <w:rPr>
                <w:noProof/>
              </w:rPr>
              <w:t>Étape</w:t>
            </w:r>
          </w:p>
        </w:tc>
        <w:tc>
          <w:tcPr>
            <w:tcW w:w="3541" w:type="dxa"/>
            <w:shd w:val="clear" w:color="auto" w:fill="C6EFCE"/>
            <w:noWrap/>
          </w:tcPr>
          <w:p w14:paraId="1CEBE69D" w14:textId="77777777" w:rsidR="00F74E13" w:rsidRDefault="009274FC">
            <w:pPr>
              <w:pStyle w:val="P68B1DB1-Normal13"/>
              <w:spacing w:after="0" w:line="240" w:lineRule="auto"/>
              <w:jc w:val="both"/>
              <w:rPr>
                <w:noProof/>
              </w:rPr>
            </w:pPr>
            <w:r>
              <w:rPr>
                <w:noProof/>
              </w:rPr>
              <w:t>Services numériques pour l’Agence pour l’emploi</w:t>
            </w:r>
          </w:p>
        </w:tc>
      </w:tr>
      <w:tr w:rsidR="00F74E13" w14:paraId="1CEBE6A3" w14:textId="77777777">
        <w:trPr>
          <w:trHeight w:val="302"/>
          <w:jc w:val="center"/>
        </w:trPr>
        <w:tc>
          <w:tcPr>
            <w:tcW w:w="1665" w:type="dxa"/>
            <w:shd w:val="clear" w:color="auto" w:fill="C6EFCE"/>
            <w:noWrap/>
          </w:tcPr>
          <w:p w14:paraId="1CEBE69F" w14:textId="77777777" w:rsidR="00F74E13" w:rsidRDefault="009274FC">
            <w:pPr>
              <w:pStyle w:val="P68B1DB1-Normal35"/>
              <w:spacing w:after="0" w:line="240" w:lineRule="auto"/>
              <w:jc w:val="center"/>
              <w:rPr>
                <w:noProof/>
              </w:rPr>
            </w:pPr>
            <w:r>
              <w:rPr>
                <w:noProof/>
              </w:rPr>
              <w:t>314</w:t>
            </w:r>
          </w:p>
        </w:tc>
        <w:tc>
          <w:tcPr>
            <w:tcW w:w="3686" w:type="dxa"/>
            <w:shd w:val="clear" w:color="auto" w:fill="C6EFCE"/>
            <w:noWrap/>
          </w:tcPr>
          <w:p w14:paraId="1CEBE6A0" w14:textId="77777777" w:rsidR="00F74E13" w:rsidRDefault="009274FC">
            <w:pPr>
              <w:pStyle w:val="P68B1DB1-Normal22"/>
              <w:spacing w:after="0"/>
              <w:jc w:val="both"/>
              <w:rPr>
                <w:rFonts w:ascii="Times New Roman" w:hAnsi="Times New Roman" w:cs="Times New Roman"/>
                <w:noProof/>
                <w:szCs w:val="20"/>
              </w:rPr>
            </w:pPr>
            <w:r>
              <w:rPr>
                <w:rFonts w:ascii="Times New Roman" w:hAnsi="Times New Roman" w:cs="Times New Roman"/>
                <w:noProof/>
                <w:szCs w:val="20"/>
              </w:rPr>
              <w:t xml:space="preserve">C11.I7 Numérisation des </w:t>
            </w:r>
            <w:r>
              <w:rPr>
                <w:rFonts w:ascii="Times New Roman" w:hAnsi="Times New Roman"/>
                <w:noProof/>
              </w:rPr>
              <w:t>archives</w:t>
            </w:r>
          </w:p>
        </w:tc>
        <w:tc>
          <w:tcPr>
            <w:tcW w:w="1701" w:type="dxa"/>
            <w:shd w:val="clear" w:color="auto" w:fill="C6EFCE"/>
            <w:noWrap/>
          </w:tcPr>
          <w:p w14:paraId="1CEBE6A1"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A2" w14:textId="3655F83F" w:rsidR="00F74E13" w:rsidRDefault="009274FC">
            <w:pPr>
              <w:pStyle w:val="P68B1DB1-Normal13"/>
              <w:spacing w:after="0" w:line="240" w:lineRule="auto"/>
              <w:jc w:val="both"/>
              <w:rPr>
                <w:rFonts w:cs="Times New Roman"/>
                <w:noProof/>
              </w:rPr>
            </w:pPr>
            <w:r>
              <w:rPr>
                <w:noProof/>
              </w:rPr>
              <w:t>Contenu numérisé disponible sur la plateforme numérique, équipements de numérisation des contenus livrés</w:t>
            </w:r>
          </w:p>
        </w:tc>
      </w:tr>
      <w:tr w:rsidR="00F74E13" w14:paraId="1CEBE6A8" w14:textId="77777777">
        <w:trPr>
          <w:trHeight w:val="302"/>
          <w:jc w:val="center"/>
        </w:trPr>
        <w:tc>
          <w:tcPr>
            <w:tcW w:w="1665" w:type="dxa"/>
            <w:shd w:val="clear" w:color="auto" w:fill="C6EFCE"/>
            <w:noWrap/>
          </w:tcPr>
          <w:p w14:paraId="1CEBE6A4" w14:textId="77777777" w:rsidR="00F74E13" w:rsidRDefault="009274FC">
            <w:pPr>
              <w:pStyle w:val="P68B1DB1-Normal35"/>
              <w:spacing w:after="0" w:line="240" w:lineRule="auto"/>
              <w:jc w:val="center"/>
              <w:rPr>
                <w:noProof/>
              </w:rPr>
            </w:pPr>
            <w:r>
              <w:rPr>
                <w:noProof/>
              </w:rPr>
              <w:t>314 bis</w:t>
            </w:r>
          </w:p>
        </w:tc>
        <w:tc>
          <w:tcPr>
            <w:tcW w:w="3686" w:type="dxa"/>
            <w:shd w:val="clear" w:color="auto" w:fill="C6EFCE"/>
            <w:noWrap/>
          </w:tcPr>
          <w:p w14:paraId="1CEBE6A5" w14:textId="77777777" w:rsidR="00F74E13" w:rsidRDefault="009274FC">
            <w:pPr>
              <w:pStyle w:val="P68B1DB1-Normal35"/>
              <w:spacing w:after="0"/>
              <w:jc w:val="both"/>
              <w:rPr>
                <w:noProof/>
              </w:rPr>
            </w:pPr>
            <w:r>
              <w:rPr>
                <w:noProof/>
              </w:rPr>
              <w:t>C11.I8 Infrastructure culturelle</w:t>
            </w:r>
          </w:p>
        </w:tc>
        <w:tc>
          <w:tcPr>
            <w:tcW w:w="1701" w:type="dxa"/>
            <w:shd w:val="clear" w:color="auto" w:fill="C6EFCE"/>
            <w:noWrap/>
          </w:tcPr>
          <w:p w14:paraId="1CEBE6A6"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A7" w14:textId="77777777" w:rsidR="00F74E13" w:rsidRDefault="009274FC">
            <w:pPr>
              <w:pStyle w:val="P68B1DB1-Normal12"/>
              <w:spacing w:after="0" w:line="240" w:lineRule="auto"/>
              <w:jc w:val="both"/>
              <w:rPr>
                <w:noProof/>
              </w:rPr>
            </w:pPr>
            <w:r>
              <w:rPr>
                <w:noProof/>
              </w:rPr>
              <w:t>Équipements numériques</w:t>
            </w:r>
          </w:p>
        </w:tc>
      </w:tr>
      <w:tr w:rsidR="00F74E13" w14:paraId="1CEBE6AD" w14:textId="77777777">
        <w:trPr>
          <w:trHeight w:val="302"/>
          <w:jc w:val="center"/>
        </w:trPr>
        <w:tc>
          <w:tcPr>
            <w:tcW w:w="1665" w:type="dxa"/>
            <w:shd w:val="clear" w:color="auto" w:fill="C6EFCE"/>
            <w:noWrap/>
          </w:tcPr>
          <w:p w14:paraId="1CEBE6A9" w14:textId="77777777" w:rsidR="00F74E13" w:rsidRDefault="009274FC">
            <w:pPr>
              <w:pStyle w:val="P68B1DB1-Normal35"/>
              <w:spacing w:after="0" w:line="240" w:lineRule="auto"/>
              <w:jc w:val="center"/>
              <w:rPr>
                <w:noProof/>
              </w:rPr>
            </w:pPr>
            <w:r>
              <w:rPr>
                <w:noProof/>
              </w:rPr>
              <w:t>330</w:t>
            </w:r>
          </w:p>
        </w:tc>
        <w:tc>
          <w:tcPr>
            <w:tcW w:w="3686" w:type="dxa"/>
            <w:shd w:val="clear" w:color="auto" w:fill="C6EFCE"/>
            <w:noWrap/>
          </w:tcPr>
          <w:p w14:paraId="1CEBE6AA" w14:textId="77777777" w:rsidR="00F74E13" w:rsidRDefault="009274FC">
            <w:pPr>
              <w:pStyle w:val="P68B1DB1-Normal12"/>
              <w:spacing w:after="0"/>
              <w:rPr>
                <w:noProof/>
              </w:rPr>
            </w:pPr>
            <w:r>
              <w:rPr>
                <w:noProof/>
              </w:rPr>
              <w:t>C12.I1 Modernisation des structures hospitalières</w:t>
            </w:r>
          </w:p>
        </w:tc>
        <w:tc>
          <w:tcPr>
            <w:tcW w:w="1701" w:type="dxa"/>
            <w:shd w:val="clear" w:color="auto" w:fill="C6EFCE"/>
            <w:noWrap/>
          </w:tcPr>
          <w:p w14:paraId="1CEBE6AB" w14:textId="777777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AC" w14:textId="77777777" w:rsidR="00F74E13" w:rsidRDefault="009274FC">
            <w:pPr>
              <w:pStyle w:val="P68B1DB1-Normal12"/>
              <w:spacing w:after="0" w:line="240" w:lineRule="auto"/>
              <w:jc w:val="both"/>
              <w:rPr>
                <w:noProof/>
              </w:rPr>
            </w:pPr>
            <w:r>
              <w:rPr>
                <w:noProof/>
              </w:rPr>
              <w:t>Installations hospitalières</w:t>
            </w:r>
          </w:p>
        </w:tc>
      </w:tr>
      <w:tr w:rsidR="00F74E13" w14:paraId="1CEBE6B2" w14:textId="77777777">
        <w:trPr>
          <w:trHeight w:val="302"/>
          <w:jc w:val="center"/>
        </w:trPr>
        <w:tc>
          <w:tcPr>
            <w:tcW w:w="1665" w:type="dxa"/>
            <w:shd w:val="clear" w:color="auto" w:fill="C6EFCE"/>
            <w:noWrap/>
          </w:tcPr>
          <w:p w14:paraId="1CEBE6AE" w14:textId="77777777" w:rsidR="00F74E13" w:rsidRDefault="009274FC">
            <w:pPr>
              <w:pStyle w:val="P68B1DB1-Normal35"/>
              <w:spacing w:after="0" w:line="240" w:lineRule="auto"/>
              <w:jc w:val="center"/>
              <w:rPr>
                <w:noProof/>
              </w:rPr>
            </w:pPr>
            <w:r>
              <w:rPr>
                <w:noProof/>
              </w:rPr>
              <w:t>333</w:t>
            </w:r>
          </w:p>
        </w:tc>
        <w:tc>
          <w:tcPr>
            <w:tcW w:w="3686" w:type="dxa"/>
            <w:shd w:val="clear" w:color="auto" w:fill="C6EFCE"/>
            <w:noWrap/>
          </w:tcPr>
          <w:p w14:paraId="1CEBE6AF" w14:textId="77777777" w:rsidR="00F74E13" w:rsidRDefault="009274FC">
            <w:pPr>
              <w:pStyle w:val="P68B1DB1-Normal22"/>
              <w:spacing w:after="0"/>
              <w:rPr>
                <w:rFonts w:ascii="Times New Roman" w:hAnsi="Times New Roman"/>
                <w:noProof/>
              </w:rPr>
            </w:pPr>
            <w:r>
              <w:rPr>
                <w:rFonts w:ascii="Times New Roman" w:hAnsi="Times New Roman" w:cs="Times New Roman"/>
                <w:noProof/>
                <w:szCs w:val="20"/>
              </w:rPr>
              <w:t>C12.I2 Centres</w:t>
            </w:r>
            <w:r>
              <w:rPr>
                <w:rFonts w:ascii="Times New Roman" w:hAnsi="Times New Roman"/>
                <w:noProof/>
              </w:rPr>
              <w:t xml:space="preserve"> de diagnostic interventionnel et de traitement endovasculaire des maladies cérébrovasculaires</w:t>
            </w:r>
          </w:p>
        </w:tc>
        <w:tc>
          <w:tcPr>
            <w:tcW w:w="1701" w:type="dxa"/>
            <w:shd w:val="clear" w:color="auto" w:fill="C6EFCE"/>
            <w:noWrap/>
          </w:tcPr>
          <w:p w14:paraId="1CEBE6B0" w14:textId="1B21571D"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B1" w14:textId="77777777" w:rsidR="00F74E13" w:rsidRDefault="009274FC">
            <w:pPr>
              <w:pStyle w:val="P68B1DB1-Normal12"/>
              <w:spacing w:after="0" w:line="240" w:lineRule="auto"/>
              <w:jc w:val="both"/>
              <w:rPr>
                <w:noProof/>
              </w:rPr>
            </w:pPr>
            <w:r>
              <w:rPr>
                <w:noProof/>
              </w:rPr>
              <w:t>Centres de maladies cérébrovasculaires</w:t>
            </w:r>
          </w:p>
        </w:tc>
      </w:tr>
      <w:tr w:rsidR="00F74E13" w14:paraId="1CEBE6B7" w14:textId="77777777">
        <w:trPr>
          <w:trHeight w:val="302"/>
          <w:jc w:val="center"/>
        </w:trPr>
        <w:tc>
          <w:tcPr>
            <w:tcW w:w="1665" w:type="dxa"/>
            <w:shd w:val="clear" w:color="auto" w:fill="C6EFCE"/>
            <w:noWrap/>
          </w:tcPr>
          <w:p w14:paraId="1CEBE6B3" w14:textId="77777777" w:rsidR="00F74E13" w:rsidRDefault="009274FC">
            <w:pPr>
              <w:pStyle w:val="P68B1DB1-Normal35"/>
              <w:spacing w:after="0" w:line="240" w:lineRule="auto"/>
              <w:jc w:val="center"/>
              <w:rPr>
                <w:noProof/>
              </w:rPr>
            </w:pPr>
            <w:r>
              <w:rPr>
                <w:noProof/>
              </w:rPr>
              <w:t>335</w:t>
            </w:r>
          </w:p>
        </w:tc>
        <w:tc>
          <w:tcPr>
            <w:tcW w:w="3686" w:type="dxa"/>
            <w:shd w:val="clear" w:color="auto" w:fill="C6EFCE"/>
            <w:noWrap/>
          </w:tcPr>
          <w:p w14:paraId="1CEBE6B4" w14:textId="77777777" w:rsidR="00F74E13" w:rsidRDefault="009274FC">
            <w:pPr>
              <w:pStyle w:val="P68B1DB1-Normal12"/>
              <w:spacing w:after="0"/>
              <w:rPr>
                <w:noProof/>
              </w:rPr>
            </w:pPr>
            <w:r>
              <w:rPr>
                <w:noProof/>
              </w:rPr>
              <w:t>C12.I3 Modernisation des soins psychiatriques</w:t>
            </w:r>
          </w:p>
        </w:tc>
        <w:tc>
          <w:tcPr>
            <w:tcW w:w="1701" w:type="dxa"/>
            <w:shd w:val="clear" w:color="auto" w:fill="C6EFCE"/>
            <w:noWrap/>
          </w:tcPr>
          <w:p w14:paraId="1CEBE6B5" w14:textId="6917BF49"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B6" w14:textId="4F1245DC" w:rsidR="00F74E13" w:rsidRDefault="009274FC">
            <w:pPr>
              <w:pStyle w:val="P68B1DB1-Normal12"/>
              <w:spacing w:after="0" w:line="240" w:lineRule="auto"/>
              <w:jc w:val="both"/>
              <w:rPr>
                <w:noProof/>
              </w:rPr>
            </w:pPr>
            <w:r>
              <w:rPr>
                <w:noProof/>
              </w:rPr>
              <w:t>Établissements médicaux fournissant des soins psychiatriques</w:t>
            </w:r>
          </w:p>
        </w:tc>
      </w:tr>
      <w:tr w:rsidR="00F74E13" w14:paraId="1CEBE6BC" w14:textId="77777777">
        <w:trPr>
          <w:trHeight w:val="302"/>
          <w:jc w:val="center"/>
        </w:trPr>
        <w:tc>
          <w:tcPr>
            <w:tcW w:w="1665" w:type="dxa"/>
            <w:shd w:val="clear" w:color="auto" w:fill="C6EFCE"/>
            <w:noWrap/>
          </w:tcPr>
          <w:p w14:paraId="1CEBE6B8" w14:textId="77777777" w:rsidR="00F74E13" w:rsidRDefault="009274FC">
            <w:pPr>
              <w:pStyle w:val="P68B1DB1-Normal35"/>
              <w:spacing w:after="0" w:line="240" w:lineRule="auto"/>
              <w:jc w:val="center"/>
              <w:rPr>
                <w:noProof/>
              </w:rPr>
            </w:pPr>
            <w:r>
              <w:rPr>
                <w:noProof/>
              </w:rPr>
              <w:t>337</w:t>
            </w:r>
          </w:p>
        </w:tc>
        <w:tc>
          <w:tcPr>
            <w:tcW w:w="3686" w:type="dxa"/>
            <w:shd w:val="clear" w:color="auto" w:fill="C6EFCE"/>
            <w:noWrap/>
          </w:tcPr>
          <w:p w14:paraId="1CEBE6B9" w14:textId="77777777" w:rsidR="00F74E13" w:rsidRDefault="009274FC">
            <w:pPr>
              <w:pStyle w:val="P68B1DB1-Normal12"/>
              <w:spacing w:after="0"/>
              <w:rPr>
                <w:noProof/>
              </w:rPr>
            </w:pPr>
            <w:r>
              <w:rPr>
                <w:noProof/>
              </w:rPr>
              <w:t>C12.I4 Mise en place d'un système d'ambulance aérienne</w:t>
            </w:r>
          </w:p>
        </w:tc>
        <w:tc>
          <w:tcPr>
            <w:tcW w:w="1701" w:type="dxa"/>
            <w:shd w:val="clear" w:color="auto" w:fill="C6EFCE"/>
            <w:noWrap/>
          </w:tcPr>
          <w:p w14:paraId="1CEBE6BA"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6BB" w14:textId="0B0EE9CF" w:rsidR="00F74E13" w:rsidRDefault="009274FC">
            <w:pPr>
              <w:pStyle w:val="P68B1DB1-Normal12"/>
              <w:spacing w:after="0" w:line="240" w:lineRule="auto"/>
              <w:jc w:val="both"/>
              <w:rPr>
                <w:noProof/>
              </w:rPr>
            </w:pPr>
            <w:r>
              <w:rPr>
                <w:noProof/>
              </w:rPr>
              <w:t>Livraison d'hélicoptères au système d'ambulance aérienne</w:t>
            </w:r>
          </w:p>
        </w:tc>
      </w:tr>
      <w:tr w:rsidR="00F74E13" w14:paraId="1CEBE6C1" w14:textId="77777777">
        <w:trPr>
          <w:trHeight w:val="302"/>
          <w:jc w:val="center"/>
        </w:trPr>
        <w:tc>
          <w:tcPr>
            <w:tcW w:w="1665" w:type="dxa"/>
            <w:shd w:val="clear" w:color="auto" w:fill="C6EFCE"/>
            <w:noWrap/>
          </w:tcPr>
          <w:p w14:paraId="1CEBE6BD" w14:textId="77777777" w:rsidR="00F74E13" w:rsidRDefault="009274FC">
            <w:pPr>
              <w:pStyle w:val="P68B1DB1-Normal35"/>
              <w:spacing w:after="0" w:line="240" w:lineRule="auto"/>
              <w:jc w:val="center"/>
              <w:rPr>
                <w:noProof/>
              </w:rPr>
            </w:pPr>
            <w:r>
              <w:rPr>
                <w:noProof/>
              </w:rPr>
              <w:t>340</w:t>
            </w:r>
          </w:p>
        </w:tc>
        <w:tc>
          <w:tcPr>
            <w:tcW w:w="3686" w:type="dxa"/>
            <w:shd w:val="clear" w:color="auto" w:fill="C6EFCE"/>
            <w:noWrap/>
          </w:tcPr>
          <w:p w14:paraId="1CEBE6BE" w14:textId="77777777" w:rsidR="00F74E13" w:rsidRDefault="009274FC">
            <w:pPr>
              <w:pStyle w:val="P68B1DB1-Normal12"/>
              <w:spacing w:after="0"/>
              <w:rPr>
                <w:noProof/>
              </w:rPr>
            </w:pPr>
            <w:r>
              <w:rPr>
                <w:noProof/>
              </w:rPr>
              <w:t>C12.I5 Plateforme numérique nationale pour le diagnostic médical</w:t>
            </w:r>
          </w:p>
        </w:tc>
        <w:tc>
          <w:tcPr>
            <w:tcW w:w="1701" w:type="dxa"/>
            <w:shd w:val="clear" w:color="auto" w:fill="C6EFCE"/>
            <w:noWrap/>
          </w:tcPr>
          <w:p w14:paraId="1CEBE6BF" w14:textId="77777777" w:rsidR="00F74E13" w:rsidRDefault="009274FC">
            <w:pPr>
              <w:pStyle w:val="P68B1DB1-Normal12"/>
              <w:spacing w:after="0" w:line="240" w:lineRule="auto"/>
              <w:jc w:val="center"/>
              <w:rPr>
                <w:noProof/>
              </w:rPr>
            </w:pPr>
            <w:r>
              <w:rPr>
                <w:noProof/>
              </w:rPr>
              <w:t>Objectif</w:t>
            </w:r>
          </w:p>
        </w:tc>
        <w:tc>
          <w:tcPr>
            <w:tcW w:w="3541" w:type="dxa"/>
            <w:shd w:val="clear" w:color="auto" w:fill="C6EFCE"/>
            <w:noWrap/>
          </w:tcPr>
          <w:p w14:paraId="1CEBE6C0" w14:textId="77777777" w:rsidR="00F74E13" w:rsidRDefault="009274FC">
            <w:pPr>
              <w:pStyle w:val="P68B1DB1-Normal12"/>
              <w:spacing w:after="0" w:line="240" w:lineRule="auto"/>
              <w:jc w:val="both"/>
              <w:rPr>
                <w:noProof/>
              </w:rPr>
            </w:pPr>
            <w:r>
              <w:rPr>
                <w:noProof/>
              </w:rPr>
              <w:t>Établissements de santé accédant à la plateforme numérique nationale pour le diagnostic médical</w:t>
            </w:r>
          </w:p>
        </w:tc>
      </w:tr>
      <w:tr w:rsidR="00F74E13" w14:paraId="1CEBE6C6" w14:textId="77777777">
        <w:trPr>
          <w:trHeight w:val="302"/>
          <w:jc w:val="center"/>
        </w:trPr>
        <w:tc>
          <w:tcPr>
            <w:tcW w:w="1665" w:type="dxa"/>
            <w:shd w:val="clear" w:color="auto" w:fill="C6EFCE"/>
            <w:noWrap/>
          </w:tcPr>
          <w:p w14:paraId="1CEBE6C2" w14:textId="77777777" w:rsidR="00F74E13" w:rsidRDefault="009274FC">
            <w:pPr>
              <w:pStyle w:val="P68B1DB1-Normal35"/>
              <w:spacing w:after="0" w:line="240" w:lineRule="auto"/>
              <w:jc w:val="center"/>
              <w:rPr>
                <w:noProof/>
              </w:rPr>
            </w:pPr>
            <w:r>
              <w:rPr>
                <w:noProof/>
              </w:rPr>
              <w:t>345</w:t>
            </w:r>
          </w:p>
        </w:tc>
        <w:tc>
          <w:tcPr>
            <w:tcW w:w="3686" w:type="dxa"/>
            <w:shd w:val="clear" w:color="auto" w:fill="C6EFCE"/>
            <w:noWrap/>
          </w:tcPr>
          <w:p w14:paraId="1CEBE6C3" w14:textId="77777777" w:rsidR="00F74E13" w:rsidRDefault="009274FC">
            <w:pPr>
              <w:pStyle w:val="P68B1DB1-Normal12"/>
              <w:spacing w:after="0"/>
              <w:rPr>
                <w:noProof/>
              </w:rPr>
            </w:pPr>
            <w:r>
              <w:rPr>
                <w:noProof/>
              </w:rPr>
              <w:t>C12.I7 Développement des soins ambulatoires</w:t>
            </w:r>
          </w:p>
        </w:tc>
        <w:tc>
          <w:tcPr>
            <w:tcW w:w="1701" w:type="dxa"/>
            <w:shd w:val="clear" w:color="auto" w:fill="C6EFCE"/>
            <w:noWrap/>
          </w:tcPr>
          <w:p w14:paraId="1CEBE6C4" w14:textId="562C585B"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C5" w14:textId="48AD1754" w:rsidR="00F74E13" w:rsidRDefault="009274FC">
            <w:pPr>
              <w:pStyle w:val="P68B1DB1-Normal12"/>
              <w:spacing w:after="0" w:line="240" w:lineRule="auto"/>
              <w:jc w:val="both"/>
              <w:rPr>
                <w:noProof/>
              </w:rPr>
            </w:pPr>
            <w:r>
              <w:rPr>
                <w:noProof/>
              </w:rPr>
              <w:t>Unités de soins ambulatoires et/ou conteneurs ambulatoires mobiles</w:t>
            </w:r>
          </w:p>
        </w:tc>
      </w:tr>
      <w:tr w:rsidR="00F74E13" w14:paraId="1CEBE6CB" w14:textId="77777777">
        <w:trPr>
          <w:trHeight w:val="302"/>
          <w:jc w:val="center"/>
        </w:trPr>
        <w:tc>
          <w:tcPr>
            <w:tcW w:w="1665" w:type="dxa"/>
            <w:shd w:val="clear" w:color="auto" w:fill="C6EFCE"/>
            <w:noWrap/>
          </w:tcPr>
          <w:p w14:paraId="1CEBE6C7" w14:textId="77777777" w:rsidR="00F74E13" w:rsidRDefault="009274FC">
            <w:pPr>
              <w:pStyle w:val="P68B1DB1-Normal35"/>
              <w:spacing w:after="0" w:line="240" w:lineRule="auto"/>
              <w:jc w:val="center"/>
              <w:rPr>
                <w:noProof/>
              </w:rPr>
            </w:pPr>
            <w:r>
              <w:rPr>
                <w:noProof/>
              </w:rPr>
              <w:t>349</w:t>
            </w:r>
          </w:p>
        </w:tc>
        <w:tc>
          <w:tcPr>
            <w:tcW w:w="3686" w:type="dxa"/>
            <w:shd w:val="clear" w:color="auto" w:fill="C6EFCE"/>
            <w:noWrap/>
          </w:tcPr>
          <w:p w14:paraId="1CEBE6C8" w14:textId="77777777" w:rsidR="00F74E13" w:rsidRDefault="009274FC">
            <w:pPr>
              <w:pStyle w:val="P68B1DB1-Normal79"/>
              <w:spacing w:after="0"/>
              <w:jc w:val="both"/>
              <w:rPr>
                <w:noProof/>
              </w:rPr>
            </w:pPr>
            <w:r>
              <w:rPr>
                <w:noProof/>
              </w:rPr>
              <w:t>C13.R2 Transparence des procédures de raccordement pour les nouvelles capacités d’énergie renouvelable et de stockage</w:t>
            </w:r>
          </w:p>
        </w:tc>
        <w:tc>
          <w:tcPr>
            <w:tcW w:w="1701" w:type="dxa"/>
            <w:shd w:val="clear" w:color="auto" w:fill="C6EFCE"/>
            <w:noWrap/>
          </w:tcPr>
          <w:p w14:paraId="1CEBE6C9" w14:textId="77777777" w:rsidR="00F74E13" w:rsidRDefault="009274FC">
            <w:pPr>
              <w:pStyle w:val="P68B1DB1-Normal79"/>
              <w:spacing w:after="0" w:line="240" w:lineRule="auto"/>
              <w:jc w:val="center"/>
              <w:rPr>
                <w:noProof/>
              </w:rPr>
            </w:pPr>
            <w:r>
              <w:rPr>
                <w:noProof/>
              </w:rPr>
              <w:t>Étape</w:t>
            </w:r>
          </w:p>
        </w:tc>
        <w:tc>
          <w:tcPr>
            <w:tcW w:w="3541" w:type="dxa"/>
            <w:shd w:val="clear" w:color="auto" w:fill="C6EFCE"/>
            <w:noWrap/>
          </w:tcPr>
          <w:p w14:paraId="1CEBE6CA" w14:textId="77777777" w:rsidR="00F74E13" w:rsidRDefault="009274FC">
            <w:pPr>
              <w:pStyle w:val="P68B1DB1-Normal12"/>
              <w:spacing w:after="0" w:line="240" w:lineRule="auto"/>
              <w:jc w:val="both"/>
              <w:rPr>
                <w:noProof/>
              </w:rPr>
            </w:pPr>
            <w:r>
              <w:rPr>
                <w:noProof/>
              </w:rPr>
              <w:t>Carte des capacités d’hébergement du réseau</w:t>
            </w:r>
          </w:p>
        </w:tc>
      </w:tr>
      <w:tr w:rsidR="00F74E13" w14:paraId="1CEBE6D0" w14:textId="77777777">
        <w:trPr>
          <w:trHeight w:val="302"/>
          <w:jc w:val="center"/>
        </w:trPr>
        <w:tc>
          <w:tcPr>
            <w:tcW w:w="1665" w:type="dxa"/>
            <w:shd w:val="clear" w:color="auto" w:fill="C6EFCE"/>
            <w:noWrap/>
          </w:tcPr>
          <w:p w14:paraId="1CEBE6CC" w14:textId="77777777" w:rsidR="00F74E13" w:rsidRDefault="009274FC">
            <w:pPr>
              <w:pStyle w:val="P68B1DB1-Normal35"/>
              <w:spacing w:after="0" w:line="240" w:lineRule="auto"/>
              <w:jc w:val="center"/>
              <w:rPr>
                <w:noProof/>
              </w:rPr>
            </w:pPr>
            <w:r>
              <w:rPr>
                <w:noProof/>
              </w:rPr>
              <w:t>351</w:t>
            </w:r>
          </w:p>
        </w:tc>
        <w:tc>
          <w:tcPr>
            <w:tcW w:w="3686" w:type="dxa"/>
            <w:shd w:val="clear" w:color="auto" w:fill="C6EFCE"/>
            <w:noWrap/>
          </w:tcPr>
          <w:p w14:paraId="1CEBE6CD" w14:textId="77777777" w:rsidR="00F74E13" w:rsidRDefault="009274FC">
            <w:pPr>
              <w:pStyle w:val="P68B1DB1-Normal79"/>
              <w:spacing w:after="0"/>
              <w:jc w:val="both"/>
              <w:rPr>
                <w:noProof/>
              </w:rPr>
            </w:pPr>
            <w:r>
              <w:rPr>
                <w:noProof/>
              </w:rPr>
              <w:t>C13.R3 Fonctionnement du marché d'équilibrage et réponse de la demande</w:t>
            </w:r>
          </w:p>
        </w:tc>
        <w:tc>
          <w:tcPr>
            <w:tcW w:w="1701" w:type="dxa"/>
            <w:shd w:val="clear" w:color="auto" w:fill="C6EFCE"/>
            <w:noWrap/>
          </w:tcPr>
          <w:p w14:paraId="1CEBE6CE" w14:textId="77777777" w:rsidR="00F74E13" w:rsidRDefault="009274FC">
            <w:pPr>
              <w:pStyle w:val="P68B1DB1-Normal79"/>
              <w:spacing w:after="0" w:line="240" w:lineRule="auto"/>
              <w:jc w:val="center"/>
              <w:rPr>
                <w:noProof/>
              </w:rPr>
            </w:pPr>
            <w:r>
              <w:rPr>
                <w:noProof/>
              </w:rPr>
              <w:t xml:space="preserve">Étape </w:t>
            </w:r>
          </w:p>
        </w:tc>
        <w:tc>
          <w:tcPr>
            <w:tcW w:w="3541" w:type="dxa"/>
            <w:shd w:val="clear" w:color="auto" w:fill="C6EFCE"/>
            <w:noWrap/>
          </w:tcPr>
          <w:p w14:paraId="1CEBE6CF" w14:textId="77777777" w:rsidR="00F74E13" w:rsidRDefault="009274FC">
            <w:pPr>
              <w:pStyle w:val="P68B1DB1-Normal35"/>
              <w:spacing w:after="0" w:line="240" w:lineRule="auto"/>
              <w:jc w:val="both"/>
              <w:rPr>
                <w:noProof/>
              </w:rPr>
            </w:pPr>
            <w:r>
              <w:rPr>
                <w:noProof/>
              </w:rPr>
              <w:t xml:space="preserve">Rapport de la Semaine européenne des régions et des villes </w:t>
            </w:r>
          </w:p>
        </w:tc>
      </w:tr>
      <w:tr w:rsidR="00F74E13" w14:paraId="1CEBE6D5" w14:textId="77777777">
        <w:trPr>
          <w:trHeight w:val="302"/>
          <w:jc w:val="center"/>
        </w:trPr>
        <w:tc>
          <w:tcPr>
            <w:tcW w:w="1665" w:type="dxa"/>
            <w:shd w:val="clear" w:color="auto" w:fill="C6EFCE"/>
            <w:noWrap/>
          </w:tcPr>
          <w:p w14:paraId="1CEBE6D1" w14:textId="77777777" w:rsidR="00F74E13" w:rsidRDefault="009274FC">
            <w:pPr>
              <w:pStyle w:val="P68B1DB1-Normal35"/>
              <w:spacing w:after="0" w:line="240" w:lineRule="auto"/>
              <w:jc w:val="center"/>
              <w:rPr>
                <w:noProof/>
              </w:rPr>
            </w:pPr>
            <w:r>
              <w:rPr>
                <w:noProof/>
              </w:rPr>
              <w:t>352</w:t>
            </w:r>
          </w:p>
        </w:tc>
        <w:tc>
          <w:tcPr>
            <w:tcW w:w="3686" w:type="dxa"/>
            <w:shd w:val="clear" w:color="auto" w:fill="C6EFCE"/>
            <w:noWrap/>
          </w:tcPr>
          <w:p w14:paraId="1CEBE6D2" w14:textId="77777777" w:rsidR="00F74E13" w:rsidRDefault="009274FC">
            <w:pPr>
              <w:pStyle w:val="P68B1DB1-Normal35"/>
              <w:spacing w:after="0"/>
              <w:jc w:val="both"/>
              <w:rPr>
                <w:noProof/>
              </w:rPr>
            </w:pPr>
            <w:r>
              <w:rPr>
                <w:noProof/>
              </w:rPr>
              <w:t>C13.I1 Système d'information sur les ménages en situation de précarité énergétique et les clients vulnérables</w:t>
            </w:r>
          </w:p>
        </w:tc>
        <w:tc>
          <w:tcPr>
            <w:tcW w:w="1701" w:type="dxa"/>
            <w:shd w:val="clear" w:color="auto" w:fill="C6EFCE"/>
            <w:noWrap/>
          </w:tcPr>
          <w:p w14:paraId="1CEBE6D3"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6D4" w14:textId="77777777" w:rsidR="00F74E13" w:rsidRDefault="009274FC">
            <w:pPr>
              <w:pStyle w:val="P68B1DB1-Normal35"/>
              <w:spacing w:after="0" w:line="240" w:lineRule="auto"/>
              <w:jc w:val="both"/>
              <w:rPr>
                <w:noProof/>
              </w:rPr>
            </w:pPr>
            <w:r>
              <w:rPr>
                <w:noProof/>
              </w:rPr>
              <w:t>Système d'information sur les ménages en situation de précarité énergétique et les clients vulnérables</w:t>
            </w:r>
          </w:p>
        </w:tc>
      </w:tr>
      <w:tr w:rsidR="00F74E13" w14:paraId="1CEBE6DA" w14:textId="77777777">
        <w:trPr>
          <w:trHeight w:val="302"/>
          <w:jc w:val="center"/>
        </w:trPr>
        <w:tc>
          <w:tcPr>
            <w:tcW w:w="1665" w:type="dxa"/>
            <w:shd w:val="clear" w:color="auto" w:fill="C6EFCE"/>
            <w:noWrap/>
          </w:tcPr>
          <w:p w14:paraId="1CEBE6D6" w14:textId="77777777" w:rsidR="00F74E13" w:rsidRDefault="009274FC">
            <w:pPr>
              <w:pStyle w:val="P68B1DB1-Normal35"/>
              <w:spacing w:after="0" w:line="240" w:lineRule="auto"/>
              <w:jc w:val="center"/>
              <w:rPr>
                <w:noProof/>
              </w:rPr>
            </w:pPr>
            <w:r>
              <w:rPr>
                <w:noProof/>
              </w:rPr>
              <w:t>353</w:t>
            </w:r>
          </w:p>
        </w:tc>
        <w:tc>
          <w:tcPr>
            <w:tcW w:w="3686" w:type="dxa"/>
            <w:shd w:val="clear" w:color="auto" w:fill="C6EFCE"/>
            <w:noWrap/>
          </w:tcPr>
          <w:p w14:paraId="1CEBE6D7" w14:textId="77777777" w:rsidR="00F74E13" w:rsidRDefault="009274FC">
            <w:pPr>
              <w:pStyle w:val="P68B1DB1-Normal35"/>
              <w:spacing w:after="0"/>
              <w:jc w:val="both"/>
              <w:rPr>
                <w:noProof/>
              </w:rPr>
            </w:pPr>
            <w:r>
              <w:rPr>
                <w:noProof/>
              </w:rPr>
              <w:t>C13.I2 Infrastructure nationale de stockage de l'électricité (RESTORE) (mise à l'échelle)</w:t>
            </w:r>
          </w:p>
        </w:tc>
        <w:tc>
          <w:tcPr>
            <w:tcW w:w="1701" w:type="dxa"/>
            <w:shd w:val="clear" w:color="auto" w:fill="C6EFCE"/>
            <w:noWrap/>
          </w:tcPr>
          <w:p w14:paraId="1CEBE6D8" w14:textId="77777777" w:rsidR="00F74E13" w:rsidRDefault="009274FC">
            <w:pPr>
              <w:pStyle w:val="P68B1DB1-Normal35"/>
              <w:spacing w:after="0" w:line="240" w:lineRule="auto"/>
              <w:jc w:val="center"/>
              <w:rPr>
                <w:noProof/>
              </w:rPr>
            </w:pPr>
            <w:r>
              <w:rPr>
                <w:noProof/>
              </w:rPr>
              <w:t>Objectif</w:t>
            </w:r>
          </w:p>
        </w:tc>
        <w:tc>
          <w:tcPr>
            <w:tcW w:w="3541" w:type="dxa"/>
            <w:shd w:val="clear" w:color="auto" w:fill="C6EFCE"/>
            <w:noWrap/>
          </w:tcPr>
          <w:p w14:paraId="1CEBE6D9" w14:textId="77777777" w:rsidR="00F74E13" w:rsidRDefault="009274FC">
            <w:pPr>
              <w:pStyle w:val="P68B1DB1-Normal35"/>
              <w:spacing w:after="0" w:line="240" w:lineRule="auto"/>
              <w:jc w:val="both"/>
              <w:rPr>
                <w:noProof/>
              </w:rPr>
            </w:pPr>
            <w:r>
              <w:rPr>
                <w:noProof/>
              </w:rPr>
              <w:t>Installations de stockage d'électricité</w:t>
            </w:r>
          </w:p>
        </w:tc>
      </w:tr>
      <w:tr w:rsidR="00F74E13" w14:paraId="1CEBE6DF" w14:textId="77777777">
        <w:trPr>
          <w:trHeight w:val="302"/>
          <w:jc w:val="center"/>
        </w:trPr>
        <w:tc>
          <w:tcPr>
            <w:tcW w:w="1665" w:type="dxa"/>
            <w:shd w:val="clear" w:color="auto" w:fill="C6EFCE"/>
            <w:noWrap/>
          </w:tcPr>
          <w:p w14:paraId="1CEBE6DB" w14:textId="77777777" w:rsidR="00F74E13" w:rsidRDefault="009274FC">
            <w:pPr>
              <w:pStyle w:val="P68B1DB1-Normal35"/>
              <w:spacing w:after="0" w:line="240" w:lineRule="auto"/>
              <w:jc w:val="center"/>
              <w:rPr>
                <w:noProof/>
              </w:rPr>
            </w:pPr>
            <w:r>
              <w:rPr>
                <w:noProof/>
              </w:rPr>
              <w:t>354</w:t>
            </w:r>
          </w:p>
        </w:tc>
        <w:tc>
          <w:tcPr>
            <w:tcW w:w="3686" w:type="dxa"/>
            <w:shd w:val="clear" w:color="auto" w:fill="C6EFCE"/>
            <w:noWrap/>
          </w:tcPr>
          <w:p w14:paraId="1CEBE6DC" w14:textId="7E4670B3" w:rsidR="00F74E13" w:rsidRDefault="009274FC">
            <w:pPr>
              <w:pStyle w:val="P68B1DB1-Normal35"/>
              <w:spacing w:after="0"/>
              <w:jc w:val="both"/>
              <w:rPr>
                <w:noProof/>
              </w:rPr>
            </w:pPr>
            <w:r>
              <w:rPr>
                <w:noProof/>
              </w:rPr>
              <w:t xml:space="preserve">C13.I3 Installation de systèmes photovoltaïques dans les installations de services sociaux et fourniture de véhicules électriques </w:t>
            </w:r>
          </w:p>
        </w:tc>
        <w:tc>
          <w:tcPr>
            <w:tcW w:w="1701" w:type="dxa"/>
            <w:shd w:val="clear" w:color="auto" w:fill="C6EFCE"/>
            <w:noWrap/>
          </w:tcPr>
          <w:p w14:paraId="1CEBE6DD" w14:textId="77777777" w:rsidR="00F74E13" w:rsidRDefault="009274FC">
            <w:pPr>
              <w:pStyle w:val="P68B1DB1-Normal35"/>
              <w:spacing w:after="0" w:line="240" w:lineRule="auto"/>
              <w:jc w:val="center"/>
              <w:rPr>
                <w:noProof/>
              </w:rPr>
            </w:pPr>
            <w:r>
              <w:rPr>
                <w:noProof/>
              </w:rPr>
              <w:t>Étape</w:t>
            </w:r>
          </w:p>
        </w:tc>
        <w:tc>
          <w:tcPr>
            <w:tcW w:w="3541" w:type="dxa"/>
            <w:shd w:val="clear" w:color="auto" w:fill="C6EFCE"/>
            <w:noWrap/>
          </w:tcPr>
          <w:p w14:paraId="1CEBE6DE" w14:textId="77777777" w:rsidR="00F74E13" w:rsidRDefault="009274FC">
            <w:pPr>
              <w:pStyle w:val="P68B1DB1-Normal35"/>
              <w:spacing w:after="0" w:line="240" w:lineRule="auto"/>
              <w:jc w:val="both"/>
              <w:rPr>
                <w:noProof/>
              </w:rPr>
            </w:pPr>
            <w:r>
              <w:rPr>
                <w:noProof/>
              </w:rPr>
              <w:t>Installation de systèmes photovoltaïques et livraison de véhicules électriques</w:t>
            </w:r>
          </w:p>
        </w:tc>
      </w:tr>
      <w:tr w:rsidR="00F74E13" w14:paraId="1CEBE6E4" w14:textId="77777777">
        <w:trPr>
          <w:trHeight w:val="302"/>
          <w:jc w:val="center"/>
        </w:trPr>
        <w:tc>
          <w:tcPr>
            <w:tcW w:w="1665" w:type="dxa"/>
            <w:shd w:val="clear" w:color="auto" w:fill="C6EFCE"/>
            <w:noWrap/>
          </w:tcPr>
          <w:p w14:paraId="1CEBE6E0" w14:textId="77777777" w:rsidR="00F74E13" w:rsidRDefault="009274FC">
            <w:pPr>
              <w:pStyle w:val="P68B1DB1-Normal35"/>
              <w:spacing w:after="0" w:line="240" w:lineRule="auto"/>
              <w:jc w:val="center"/>
              <w:rPr>
                <w:noProof/>
              </w:rPr>
            </w:pPr>
            <w:r>
              <w:rPr>
                <w:noProof/>
              </w:rPr>
              <w:t>357</w:t>
            </w:r>
          </w:p>
        </w:tc>
        <w:tc>
          <w:tcPr>
            <w:tcW w:w="3686" w:type="dxa"/>
            <w:shd w:val="clear" w:color="auto" w:fill="C6EFCE"/>
            <w:noWrap/>
          </w:tcPr>
          <w:p w14:paraId="1CEBE6E1" w14:textId="77777777" w:rsidR="00F74E13" w:rsidRDefault="009274FC">
            <w:pPr>
              <w:pStyle w:val="P68B1DB1-Normal12"/>
              <w:spacing w:after="0"/>
              <w:rPr>
                <w:noProof/>
              </w:rPr>
            </w:pPr>
            <w:r>
              <w:rPr>
                <w:noProof/>
              </w:rPr>
              <w:t>C13.I4 Soutien aux capacités de production d'électricité à partir de sources renouvelables et de stockage de l'électricité</w:t>
            </w:r>
          </w:p>
        </w:tc>
        <w:tc>
          <w:tcPr>
            <w:tcW w:w="1701" w:type="dxa"/>
            <w:shd w:val="clear" w:color="auto" w:fill="C6EFCE"/>
            <w:noWrap/>
          </w:tcPr>
          <w:p w14:paraId="1CEBE6E2" w14:textId="6F5E7477" w:rsidR="00F74E13" w:rsidRDefault="009274FC">
            <w:pPr>
              <w:pStyle w:val="P68B1DB1-Normal12"/>
              <w:spacing w:after="0" w:line="240" w:lineRule="auto"/>
              <w:jc w:val="center"/>
              <w:rPr>
                <w:noProof/>
              </w:rPr>
            </w:pPr>
            <w:r>
              <w:rPr>
                <w:noProof/>
              </w:rPr>
              <w:t>Étape</w:t>
            </w:r>
          </w:p>
        </w:tc>
        <w:tc>
          <w:tcPr>
            <w:tcW w:w="3541" w:type="dxa"/>
            <w:shd w:val="clear" w:color="auto" w:fill="C6EFCE"/>
            <w:noWrap/>
          </w:tcPr>
          <w:p w14:paraId="1CEBE6E3" w14:textId="15A6F9BC" w:rsidR="00F74E13" w:rsidRDefault="009274FC">
            <w:pPr>
              <w:pStyle w:val="P68B1DB1-Normal12"/>
              <w:spacing w:after="0" w:line="240" w:lineRule="auto"/>
              <w:jc w:val="both"/>
              <w:rPr>
                <w:noProof/>
              </w:rPr>
            </w:pPr>
            <w:r>
              <w:rPr>
                <w:noProof/>
              </w:rPr>
              <w:t>Stockage d’électricité colocalisé avec la capacité d’électricité produite à partir de sources renouvelables</w:t>
            </w:r>
          </w:p>
        </w:tc>
      </w:tr>
      <w:tr w:rsidR="00F74E13" w14:paraId="1CEBE6E9" w14:textId="77777777">
        <w:trPr>
          <w:trHeight w:val="302"/>
          <w:jc w:val="center"/>
        </w:trPr>
        <w:tc>
          <w:tcPr>
            <w:tcW w:w="1665" w:type="dxa"/>
            <w:shd w:val="clear" w:color="auto" w:fill="C6EFCE"/>
            <w:noWrap/>
            <w:vAlign w:val="bottom"/>
          </w:tcPr>
          <w:p w14:paraId="1CEBE6E5" w14:textId="77777777" w:rsidR="00F74E13" w:rsidRDefault="00F74E13">
            <w:pPr>
              <w:spacing w:after="0" w:line="240" w:lineRule="auto"/>
              <w:jc w:val="center"/>
              <w:rPr>
                <w:rFonts w:ascii="Times New Roman" w:hAnsi="Times New Roman"/>
                <w:noProof/>
                <w:color w:val="006100"/>
                <w:sz w:val="20"/>
              </w:rPr>
            </w:pPr>
          </w:p>
        </w:tc>
        <w:tc>
          <w:tcPr>
            <w:tcW w:w="3686" w:type="dxa"/>
            <w:shd w:val="clear" w:color="auto" w:fill="C6EFCE"/>
            <w:noWrap/>
            <w:vAlign w:val="bottom"/>
          </w:tcPr>
          <w:p w14:paraId="1CEBE6E6" w14:textId="77777777" w:rsidR="00F74E13" w:rsidRDefault="00F74E13">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1CEBE6E7" w14:textId="77777777" w:rsidR="00F74E13" w:rsidRDefault="009274FC">
            <w:pPr>
              <w:pStyle w:val="P68B1DB1-Normal15"/>
              <w:spacing w:after="0" w:line="240" w:lineRule="auto"/>
              <w:jc w:val="center"/>
              <w:rPr>
                <w:noProof/>
              </w:rPr>
            </w:pPr>
            <w:r>
              <w:rPr>
                <w:noProof/>
              </w:rPr>
              <w:t>Montant des acomptes provisionnels</w:t>
            </w:r>
          </w:p>
        </w:tc>
        <w:tc>
          <w:tcPr>
            <w:tcW w:w="3541" w:type="dxa"/>
            <w:shd w:val="clear" w:color="auto" w:fill="C6EFCE"/>
            <w:noWrap/>
            <w:vAlign w:val="bottom"/>
          </w:tcPr>
          <w:p w14:paraId="1CEBE6E8" w14:textId="72289148" w:rsidR="00F74E13" w:rsidRDefault="009274FC">
            <w:pPr>
              <w:pStyle w:val="P68B1DB1-Normal13"/>
              <w:spacing w:after="0" w:line="240" w:lineRule="auto"/>
              <w:jc w:val="both"/>
              <w:rPr>
                <w:noProof/>
              </w:rPr>
            </w:pPr>
            <w:r>
              <w:rPr>
                <w:noProof/>
              </w:rPr>
              <w:t>1 822 749 755 EUR</w:t>
            </w:r>
          </w:p>
        </w:tc>
      </w:tr>
    </w:tbl>
    <w:p w14:paraId="1CEBE6EA" w14:textId="77777777" w:rsidR="00F74E13" w:rsidRDefault="00F74E13">
      <w:pPr>
        <w:spacing w:before="120" w:after="120" w:line="240" w:lineRule="auto"/>
        <w:ind w:left="850"/>
        <w:jc w:val="both"/>
        <w:rPr>
          <w:rFonts w:ascii="Times New Roman" w:hAnsi="Times New Roman"/>
          <w:noProof/>
        </w:rPr>
        <w:sectPr w:rsidR="00F74E13">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p>
    <w:p w14:paraId="1CEBE6EB" w14:textId="77777777" w:rsidR="00F74E13" w:rsidRDefault="009274FC">
      <w:pPr>
        <w:pStyle w:val="P68B1DB1-Normal80"/>
        <w:spacing w:after="200" w:line="276" w:lineRule="auto"/>
        <w:rPr>
          <w:noProof/>
        </w:rPr>
      </w:pPr>
      <w:r>
        <w:rPr>
          <w:noProof/>
        </w:rPr>
        <w:t xml:space="preserve">SECTION 3: DISPOSITIONS SUPPLÉMENTAIRES </w:t>
      </w:r>
    </w:p>
    <w:p w14:paraId="1CEBE6EC" w14:textId="77777777" w:rsidR="00F74E13" w:rsidRDefault="009274FC">
      <w:pPr>
        <w:pStyle w:val="P68B1DB1-NumPar181"/>
        <w:numPr>
          <w:ilvl w:val="0"/>
          <w:numId w:val="80"/>
        </w:numPr>
        <w:rPr>
          <w:bCs/>
          <w:noProof/>
        </w:rPr>
      </w:pPr>
      <w:r>
        <w:rPr>
          <w:noProof/>
        </w:rPr>
        <w:t>Modalités de suivi et de mise en œuvre du plan pour la reprise et la résilience</w:t>
      </w:r>
    </w:p>
    <w:p w14:paraId="1CEBE6ED" w14:textId="77777777" w:rsidR="00F74E13" w:rsidRDefault="009274FC">
      <w:pPr>
        <w:pStyle w:val="P68B1DB1-Normal6"/>
        <w:spacing w:before="120" w:after="120" w:line="240" w:lineRule="auto"/>
        <w:ind w:left="360"/>
        <w:jc w:val="both"/>
        <w:rPr>
          <w:noProof/>
        </w:rPr>
      </w:pPr>
      <w:r>
        <w:rPr>
          <w:noProof/>
        </w:rPr>
        <w:t xml:space="preserve">Le suivi et la mise en œuvre du plan pour la reprise et la résilience de la Bulgarie s’effectuent conformément aux dispositions suivantes: </w:t>
      </w:r>
    </w:p>
    <w:p w14:paraId="1CEBE6EE" w14:textId="77777777" w:rsidR="00F74E13" w:rsidRDefault="009274FC">
      <w:pPr>
        <w:pStyle w:val="P68B1DB1-ListParagraph7"/>
        <w:numPr>
          <w:ilvl w:val="0"/>
          <w:numId w:val="81"/>
        </w:numPr>
        <w:spacing w:before="120" w:after="120" w:line="240" w:lineRule="auto"/>
        <w:jc w:val="both"/>
        <w:rPr>
          <w:noProof/>
        </w:rPr>
      </w:pPr>
      <w:r>
        <w:rPr>
          <w:i/>
          <w:noProof/>
        </w:rPr>
        <w:t>La direction du Fonds national</w:t>
      </w:r>
      <w:r>
        <w:rPr>
          <w:noProof/>
        </w:rPr>
        <w:t xml:space="preserve"> du ministère des finances collecte et communique des données sur les progrès accomplis et agit en tant qu’autorité chargée de préparer et de soumettre les demandes de paiement et de recevoir les paiements de la CE. La direction fait office de point de contact au niveau national en ce qui concerne l’élaboration de règles et de procédures communes pour la mise en œuvre de la facilité, la réalisation de contrôles et de vérifications sur la mise en œuvre des investissements et des réformes, y compris le suivi actif des progrès accomplis dans la mise en œuvre des mesures sur la base des jalons et cibles fixés dans le PRR.</w:t>
      </w:r>
    </w:p>
    <w:p w14:paraId="1CEBE6EF" w14:textId="77777777" w:rsidR="00F74E13" w:rsidRDefault="009274FC">
      <w:pPr>
        <w:pStyle w:val="P68B1DB1-ListParagraph7"/>
        <w:numPr>
          <w:ilvl w:val="0"/>
          <w:numId w:val="81"/>
        </w:numPr>
        <w:spacing w:before="120" w:after="120" w:line="240" w:lineRule="auto"/>
        <w:jc w:val="both"/>
        <w:rPr>
          <w:noProof/>
        </w:rPr>
      </w:pPr>
      <w:r>
        <w:rPr>
          <w:i/>
          <w:noProof/>
        </w:rPr>
        <w:t>La direction de la politique économique et financière</w:t>
      </w:r>
      <w:r>
        <w:rPr>
          <w:noProof/>
        </w:rPr>
        <w:t xml:space="preserve"> du ministère des finances est chargée de rendre compte des progrès accomplis dans la mise en œuvre des jalons et cibles du PRR bulgare dans le cadre du cycle du Semestre européen.</w:t>
      </w:r>
    </w:p>
    <w:p w14:paraId="1CEBE6F0" w14:textId="77777777" w:rsidR="00F74E13" w:rsidRDefault="009274FC">
      <w:pPr>
        <w:pStyle w:val="P68B1DB1-ListParagraph7"/>
        <w:numPr>
          <w:ilvl w:val="0"/>
          <w:numId w:val="81"/>
        </w:numPr>
        <w:spacing w:before="120" w:after="120" w:line="240" w:lineRule="auto"/>
        <w:jc w:val="both"/>
        <w:rPr>
          <w:noProof/>
        </w:rPr>
      </w:pPr>
      <w:r>
        <w:rPr>
          <w:i/>
          <w:noProof/>
        </w:rPr>
        <w:t>La direction de l’unité centrale de coordination</w:t>
      </w:r>
      <w:r>
        <w:rPr>
          <w:noProof/>
        </w:rPr>
        <w:t xml:space="preserve"> est responsable de l’élaboration du plan, des documents de programmation, y compris de l’allocation des fonds au titre de la facilité et de l’élaboration d’un cadre stratégique pour les activités d’information et de communication liées à la mise en œuvre du plan. La direction est chargée de suivre la mise en œuvre des jalons et cibles du plan, y compris les progrès accomplis en ce qui concerne les indicateurs communs, la contribution écologique et numérique des investissements, etc. La direction est également responsable de la mise en place du système d’information doté de toutes les fonctionnalités nécessaires au suivi de la mise en œuvre du PRR bulgare ainsi que des mises à niveau ultérieures du système unifié d’information de gestion. </w:t>
      </w:r>
    </w:p>
    <w:p w14:paraId="1CEBE6F1" w14:textId="77777777" w:rsidR="00F74E13" w:rsidRDefault="009274FC">
      <w:pPr>
        <w:pStyle w:val="P68B1DB1-ListParagraph7"/>
        <w:numPr>
          <w:ilvl w:val="0"/>
          <w:numId w:val="81"/>
        </w:numPr>
        <w:spacing w:before="120" w:after="120" w:line="240" w:lineRule="auto"/>
        <w:jc w:val="both"/>
        <w:rPr>
          <w:noProof/>
        </w:rPr>
      </w:pPr>
      <w:r>
        <w:rPr>
          <w:i/>
          <w:noProof/>
        </w:rPr>
        <w:t>L’agence exécutive «Audit des fonds de l’UE»,</w:t>
      </w:r>
      <w:r>
        <w:rPr>
          <w:noProof/>
        </w:rPr>
        <w:t xml:space="preserve"> rattachée au ministre des finances, effectue les travaux d’audit au titre de la facilité afin de fournir une assurance quant à la fiabilité des données sur la mise en œuvre des jalons et objectifs et sur la manière dont ils sont collectés, ainsi qu’une assurance que la mise en œuvre garantit que le double financement, la fraude, la corruption et les conflits d’intérêts sont évités et que le principe de bonne gestion financière est respecté.</w:t>
      </w:r>
    </w:p>
    <w:sectPr w:rsidR="00F74E13">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680DC" w14:textId="77777777" w:rsidR="009274FC" w:rsidRDefault="009274FC">
      <w:r>
        <w:separator/>
      </w:r>
    </w:p>
  </w:endnote>
  <w:endnote w:type="continuationSeparator" w:id="0">
    <w:p w14:paraId="06F1FC1E" w14:textId="77777777" w:rsidR="009274FC" w:rsidRDefault="0092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quot;Times New Roman&quot;,serif">
    <w:altName w:val="Times New Roman"/>
    <w:panose1 w:val="00000000000000000000"/>
    <w:charset w:val="00"/>
    <w:family w:val="roman"/>
    <w:notTrueType/>
    <w:pitch w:val="default"/>
  </w:font>
  <w:font w:name="&quot;Calibri&quot;,sans-serif">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9293A" w14:textId="30C8A530" w:rsidR="00F75C64" w:rsidRPr="00F75C64" w:rsidRDefault="00F75C64" w:rsidP="00F75C64">
    <w:pPr>
      <w:pStyle w:val="FooterCoverPage"/>
      <w:rPr>
        <w:rFonts w:ascii="Arial" w:hAnsi="Arial" w:cs="Arial"/>
        <w:b/>
        <w:sz w:val="48"/>
      </w:rPr>
    </w:pPr>
    <w:r w:rsidRPr="00F75C64">
      <w:rPr>
        <w:rFonts w:ascii="Arial" w:hAnsi="Arial" w:cs="Arial"/>
        <w:b/>
        <w:sz w:val="48"/>
      </w:rPr>
      <w:t>FR</w:t>
    </w:r>
    <w:r w:rsidRPr="00F75C64">
      <w:rPr>
        <w:rFonts w:ascii="Arial" w:hAnsi="Arial" w:cs="Arial"/>
        <w:b/>
        <w:sz w:val="48"/>
      </w:rPr>
      <w:tab/>
    </w:r>
    <w:r w:rsidRPr="00F75C64">
      <w:rPr>
        <w:rFonts w:ascii="Arial" w:hAnsi="Arial" w:cs="Arial"/>
        <w:b/>
        <w:sz w:val="48"/>
      </w:rPr>
      <w:tab/>
    </w:r>
    <w:r w:rsidRPr="00F75C64">
      <w:tab/>
    </w:r>
    <w:r w:rsidRPr="00F75C6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1680" w14:textId="7416CCBA" w:rsidR="00F75C64" w:rsidRPr="00F75C64" w:rsidRDefault="00F75C64" w:rsidP="00F75C64">
    <w:pPr>
      <w:pStyle w:val="FooterCoverPage"/>
      <w:rPr>
        <w:rFonts w:ascii="Arial" w:hAnsi="Arial" w:cs="Arial"/>
        <w:b/>
        <w:sz w:val="48"/>
      </w:rPr>
    </w:pPr>
    <w:r w:rsidRPr="00F75C64">
      <w:rPr>
        <w:rFonts w:ascii="Arial" w:hAnsi="Arial" w:cs="Arial"/>
        <w:b/>
        <w:sz w:val="48"/>
      </w:rPr>
      <w:t>FR</w:t>
    </w:r>
    <w:r w:rsidRPr="00F75C64">
      <w:rPr>
        <w:rFonts w:ascii="Arial" w:hAnsi="Arial" w:cs="Arial"/>
        <w:b/>
        <w:sz w:val="48"/>
      </w:rPr>
      <w:tab/>
    </w:r>
    <w:r w:rsidRPr="00F75C64">
      <w:rPr>
        <w:rFonts w:ascii="Arial" w:hAnsi="Arial" w:cs="Arial"/>
        <w:b/>
        <w:sz w:val="48"/>
      </w:rPr>
      <w:tab/>
    </w:r>
    <w:r w:rsidRPr="00F75C64">
      <w:tab/>
    </w:r>
    <w:r w:rsidRPr="00F75C6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A7B0F" w14:textId="77777777" w:rsidR="00F75C64" w:rsidRPr="00F75C64" w:rsidRDefault="00F75C64" w:rsidP="00F75C6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37E7D" w14:textId="77777777" w:rsidR="00F74E13" w:rsidRDefault="00F74E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44049067"/>
      <w:docPartObj>
        <w:docPartGallery w:val="Page Numbers (Bottom of Page)"/>
        <w:docPartUnique/>
      </w:docPartObj>
    </w:sdtPr>
    <w:sdtEndPr/>
    <w:sdtContent>
      <w:p w14:paraId="3B5AE8C7" w14:textId="41B96853" w:rsidR="00F74E13" w:rsidRDefault="009274FC">
        <w:pPr>
          <w:pStyle w:val="P68B1DB1-Footer83"/>
          <w:jc w:val="center"/>
        </w:pPr>
        <w:r>
          <w:fldChar w:fldCharType="begin"/>
        </w:r>
        <w:r>
          <w:instrText xml:space="preserve"> PAGE   \* MERGEFORMAT </w:instrText>
        </w:r>
        <w:r>
          <w:fldChar w:fldCharType="separate"/>
        </w:r>
        <w:r w:rsidR="00F75C64">
          <w:rPr>
            <w:noProof/>
          </w:rPr>
          <w:t>2</w:t>
        </w:r>
        <w:r>
          <w:fldChar w:fldCharType="end"/>
        </w:r>
      </w:p>
    </w:sdtContent>
  </w:sdt>
  <w:p w14:paraId="3553094F" w14:textId="77777777" w:rsidR="00F74E13" w:rsidRDefault="00F74E13">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45403" w14:textId="77777777" w:rsidR="00F74E13" w:rsidRDefault="00F74E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B" w14:textId="77777777" w:rsidR="00F74E13" w:rsidRDefault="00F74E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27737636"/>
      <w:docPartObj>
        <w:docPartGallery w:val="Page Numbers (Bottom of Page)"/>
        <w:docPartUnique/>
      </w:docPartObj>
    </w:sdtPr>
    <w:sdtEndPr/>
    <w:sdtContent>
      <w:p w14:paraId="085595F4" w14:textId="5C204271" w:rsidR="00F74E13" w:rsidRDefault="009274FC">
        <w:pPr>
          <w:pStyle w:val="P68B1DB1-Footer83"/>
          <w:jc w:val="center"/>
        </w:pPr>
        <w:r>
          <w:fldChar w:fldCharType="begin"/>
        </w:r>
        <w:r>
          <w:instrText xml:space="preserve"> PAGE   \* MERGEFORMAT </w:instrText>
        </w:r>
        <w:r>
          <w:fldChar w:fldCharType="separate"/>
        </w:r>
        <w:r w:rsidR="00F75C64">
          <w:rPr>
            <w:noProof/>
          </w:rPr>
          <w:t>3</w:t>
        </w:r>
        <w:r>
          <w:fldChar w:fldCharType="end"/>
        </w:r>
      </w:p>
    </w:sdtContent>
  </w:sdt>
  <w:p w14:paraId="1CEBE738" w14:textId="77777777" w:rsidR="00F74E13" w:rsidRDefault="00F74E13">
    <w:pPr>
      <w:pStyle w:val="Foo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A" w14:textId="77777777" w:rsidR="00F74E13" w:rsidRDefault="00F74E13">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D" w14:textId="77777777" w:rsidR="00F74E13" w:rsidRDefault="00F74E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66098391"/>
      <w:docPartObj>
        <w:docPartGallery w:val="Page Numbers (Bottom of Page)"/>
        <w:docPartUnique/>
      </w:docPartObj>
    </w:sdtPr>
    <w:sdtEndPr/>
    <w:sdtContent>
      <w:p w14:paraId="2456EB8E" w14:textId="34F69A09" w:rsidR="00F74E13" w:rsidRDefault="009274FC">
        <w:pPr>
          <w:pStyle w:val="P68B1DB1-Footer83"/>
          <w:jc w:val="center"/>
        </w:pPr>
        <w:r>
          <w:fldChar w:fldCharType="begin"/>
        </w:r>
        <w:r>
          <w:instrText xml:space="preserve"> PAGE   \* MERGEFORMAT </w:instrText>
        </w:r>
        <w:r>
          <w:fldChar w:fldCharType="separate"/>
        </w:r>
        <w:r w:rsidR="003A6713">
          <w:rPr>
            <w:noProof/>
          </w:rPr>
          <w:t>10</w:t>
        </w:r>
        <w:r>
          <w:fldChar w:fldCharType="end"/>
        </w:r>
      </w:p>
    </w:sdtContent>
  </w:sdt>
  <w:p w14:paraId="1CEBE74A" w14:textId="77777777" w:rsidR="00F74E13" w:rsidRDefault="00F74E13">
    <w:pPr>
      <w:pStyle w:val="Footer"/>
      <w:rPr>
        <w:rFonts w:ascii="Times New Roman" w:hAnsi="Times New Roman" w:cs="Times New Roman"/>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C" w14:textId="77777777" w:rsidR="00F74E13" w:rsidRDefault="00F74E13">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F" w14:textId="77777777" w:rsidR="00F74E13" w:rsidRDefault="00F74E1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37554252"/>
      <w:docPartObj>
        <w:docPartGallery w:val="Page Numbers (Bottom of Page)"/>
        <w:docPartUnique/>
      </w:docPartObj>
    </w:sdtPr>
    <w:sdtEndPr/>
    <w:sdtContent>
      <w:p w14:paraId="41E0632C" w14:textId="1F234A13" w:rsidR="00F74E13" w:rsidRDefault="009274FC">
        <w:pPr>
          <w:pStyle w:val="P68B1DB1-Footer83"/>
          <w:jc w:val="center"/>
        </w:pPr>
        <w:r>
          <w:fldChar w:fldCharType="begin"/>
        </w:r>
        <w:r>
          <w:instrText xml:space="preserve"> PAGE   \* MERGEFORMAT </w:instrText>
        </w:r>
        <w:r>
          <w:fldChar w:fldCharType="separate"/>
        </w:r>
        <w:r w:rsidR="003A6713">
          <w:rPr>
            <w:noProof/>
          </w:rPr>
          <w:t>14</w:t>
        </w:r>
        <w:r>
          <w:fldChar w:fldCharType="end"/>
        </w:r>
      </w:p>
    </w:sdtContent>
  </w:sdt>
  <w:p w14:paraId="1CEBE75C" w14:textId="77777777" w:rsidR="00F74E13" w:rsidRDefault="00F74E13">
    <w:pPr>
      <w:pStyle w:val="Footer"/>
      <w:rPr>
        <w:rFonts w:ascii="Times New Roman" w:hAnsi="Times New Roman" w:cs="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E" w14:textId="77777777" w:rsidR="00F74E13" w:rsidRDefault="00F74E13">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1" w14:textId="77777777" w:rsidR="00F74E13" w:rsidRDefault="00F74E1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15119559"/>
      <w:docPartObj>
        <w:docPartGallery w:val="Page Numbers (Bottom of Page)"/>
        <w:docPartUnique/>
      </w:docPartObj>
    </w:sdtPr>
    <w:sdtEndPr/>
    <w:sdtContent>
      <w:p w14:paraId="1AFB66B2" w14:textId="4294528D" w:rsidR="00F74E13" w:rsidRDefault="009274FC">
        <w:pPr>
          <w:pStyle w:val="P68B1DB1-Footer83"/>
          <w:jc w:val="center"/>
        </w:pPr>
        <w:r>
          <w:fldChar w:fldCharType="begin"/>
        </w:r>
        <w:r>
          <w:instrText xml:space="preserve"> PAGE   \* MERGEFORMAT </w:instrText>
        </w:r>
        <w:r>
          <w:fldChar w:fldCharType="separate"/>
        </w:r>
        <w:r w:rsidR="003A6713">
          <w:rPr>
            <w:noProof/>
          </w:rPr>
          <w:t>20</w:t>
        </w:r>
        <w:r>
          <w:fldChar w:fldCharType="end"/>
        </w:r>
      </w:p>
    </w:sdtContent>
  </w:sdt>
  <w:p w14:paraId="1CEBE76E" w14:textId="77777777" w:rsidR="00F74E13" w:rsidRDefault="00F74E13">
    <w:pPr>
      <w:pStyle w:val="Footer"/>
      <w:rPr>
        <w:rFonts w:ascii="Times New Roman" w:hAnsi="Times New Roman" w:cs="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0" w14:textId="77777777" w:rsidR="00F74E13" w:rsidRDefault="00F74E1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3" w14:textId="77777777" w:rsidR="00F74E13" w:rsidRDefault="00F74E1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19290325"/>
      <w:docPartObj>
        <w:docPartGallery w:val="Page Numbers (Bottom of Page)"/>
        <w:docPartUnique/>
      </w:docPartObj>
    </w:sdtPr>
    <w:sdtEndPr/>
    <w:sdtContent>
      <w:p w14:paraId="02DFAA9A" w14:textId="77B01570"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80" w14:textId="77777777" w:rsidR="00F74E13" w:rsidRDefault="00F74E13">
    <w:pPr>
      <w:pStyle w:val="Footer"/>
      <w:rPr>
        <w:rFonts w:ascii="Times New Roman" w:hAnsi="Times New Roman" w:cs="Times New Roman"/>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2" w14:textId="77777777" w:rsidR="00F74E13" w:rsidRDefault="00F74E1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5" w14:textId="77777777" w:rsidR="00F74E13" w:rsidRDefault="00F74E1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57012872"/>
      <w:docPartObj>
        <w:docPartGallery w:val="Page Numbers (Bottom of Page)"/>
        <w:docPartUnique/>
      </w:docPartObj>
    </w:sdtPr>
    <w:sdtEndPr/>
    <w:sdtContent>
      <w:p w14:paraId="44BA5456" w14:textId="23FB011F"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92" w14:textId="77777777" w:rsidR="00F74E13" w:rsidRDefault="00F74E13">
    <w:pPr>
      <w:pStyle w:val="Footer"/>
      <w:rPr>
        <w:rFonts w:ascii="Times New Roman" w:hAnsi="Times New Roman" w:cs="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4" w14:textId="77777777" w:rsidR="00F74E13" w:rsidRDefault="00F74E13"/>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7" w14:textId="77777777" w:rsidR="00F74E13" w:rsidRDefault="00F74E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6154426"/>
      <w:docPartObj>
        <w:docPartGallery w:val="Page Numbers (Bottom of Page)"/>
        <w:docPartUnique/>
      </w:docPartObj>
    </w:sdtPr>
    <w:sdtEndPr/>
    <w:sdtContent>
      <w:p w14:paraId="03FD82B7" w14:textId="11E57332"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A4" w14:textId="77777777" w:rsidR="00F74E13" w:rsidRDefault="00F74E13">
    <w:pPr>
      <w:pStyle w:val="Footer"/>
      <w:rPr>
        <w:rFonts w:ascii="Times New Roman" w:hAnsi="Times New Roman" w:cs="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6" w14:textId="77777777" w:rsidR="00F74E13" w:rsidRDefault="00F74E1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9" w14:textId="77777777" w:rsidR="00F74E13" w:rsidRDefault="00F74E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62532001"/>
      <w:docPartObj>
        <w:docPartGallery w:val="Page Numbers (Bottom of Page)"/>
        <w:docPartUnique/>
      </w:docPartObj>
    </w:sdtPr>
    <w:sdtEndPr/>
    <w:sdtContent>
      <w:p w14:paraId="0254627A" w14:textId="42FA20AA"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B6" w14:textId="77777777" w:rsidR="00F74E13" w:rsidRDefault="00F74E13">
    <w:pPr>
      <w:pStyle w:val="Footer"/>
      <w:rPr>
        <w:rFonts w:ascii="Times New Roman" w:hAnsi="Times New Roman"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8" w14:textId="77777777" w:rsidR="00F74E13" w:rsidRDefault="00F74E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B" w14:textId="77777777" w:rsidR="00F74E13" w:rsidRDefault="00F74E1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11513637"/>
      <w:docPartObj>
        <w:docPartGallery w:val="Page Numbers (Bottom of Page)"/>
        <w:docPartUnique/>
      </w:docPartObj>
    </w:sdtPr>
    <w:sdtEndPr/>
    <w:sdtContent>
      <w:p w14:paraId="2DBC5E7D" w14:textId="5A3F28D1"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C8" w14:textId="77777777" w:rsidR="00F74E13" w:rsidRDefault="00F74E13">
    <w:pPr>
      <w:pStyle w:val="Footer"/>
      <w:rPr>
        <w:rFonts w:ascii="Times New Roman" w:hAnsi="Times New Roman" w:cs="Times New Roman"/>
        <w:sz w:val="24"/>
        <w:szCs w:val="24"/>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A" w14:textId="77777777" w:rsidR="00F74E13" w:rsidRDefault="00F74E1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D" w14:textId="77777777" w:rsidR="00F74E13" w:rsidRDefault="00F74E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12504675"/>
      <w:docPartObj>
        <w:docPartGallery w:val="Page Numbers (Bottom of Page)"/>
        <w:docPartUnique/>
      </w:docPartObj>
    </w:sdtPr>
    <w:sdtEndPr/>
    <w:sdtContent>
      <w:p w14:paraId="3F6CE7AB" w14:textId="532360D3"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DA" w14:textId="77777777" w:rsidR="00F74E13" w:rsidRDefault="00F74E13">
    <w:pPr>
      <w:pStyle w:val="Footer"/>
      <w:rPr>
        <w:rFonts w:ascii="Times New Roman" w:hAnsi="Times New Roman" w:cs="Times New Roman"/>
        <w:sz w:val="24"/>
        <w:szCs w:val="24"/>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C" w14:textId="77777777" w:rsidR="00F74E13" w:rsidRDefault="00F74E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F" w14:textId="77777777" w:rsidR="00F74E13" w:rsidRDefault="00F74E1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02106587"/>
      <w:docPartObj>
        <w:docPartGallery w:val="Page Numbers (Bottom of Page)"/>
        <w:docPartUnique/>
      </w:docPartObj>
    </w:sdtPr>
    <w:sdtEndPr/>
    <w:sdtContent>
      <w:p w14:paraId="0AAD2750" w14:textId="31DD8922"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EC" w14:textId="77777777" w:rsidR="00F74E13" w:rsidRDefault="00F74E13">
    <w:pPr>
      <w:pStyle w:val="Footer"/>
      <w:rPr>
        <w:rFonts w:ascii="Times New Roman" w:hAnsi="Times New Roman" w:cs="Times New Roman"/>
        <w:sz w:val="24"/>
        <w:szCs w:val="24"/>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E" w14:textId="77777777" w:rsidR="00F74E13" w:rsidRDefault="00F74E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1" w14:textId="77777777" w:rsidR="00F74E13" w:rsidRDefault="00F74E1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41706478"/>
      <w:docPartObj>
        <w:docPartGallery w:val="Page Numbers (Bottom of Page)"/>
        <w:docPartUnique/>
      </w:docPartObj>
    </w:sdtPr>
    <w:sdtEndPr/>
    <w:sdtContent>
      <w:p w14:paraId="02D4F597" w14:textId="0A262E78"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7FE" w14:textId="77777777" w:rsidR="00F74E13" w:rsidRDefault="00F74E13">
    <w:pPr>
      <w:pStyle w:val="Footer"/>
      <w:rPr>
        <w:rFonts w:ascii="Times New Roman" w:hAnsi="Times New Roman" w:cs="Times New Roman"/>
        <w:sz w:val="24"/>
        <w:szCs w:val="24"/>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0" w14:textId="77777777" w:rsidR="00F74E13" w:rsidRDefault="00F74E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3" w14:textId="77777777" w:rsidR="00F74E13" w:rsidRDefault="00F74E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64536912"/>
      <w:docPartObj>
        <w:docPartGallery w:val="Page Numbers (Bottom of Page)"/>
        <w:docPartUnique/>
      </w:docPartObj>
    </w:sdtPr>
    <w:sdtEndPr/>
    <w:sdtContent>
      <w:p w14:paraId="5D217917" w14:textId="40DCF7E1"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10" w14:textId="77777777" w:rsidR="00F74E13" w:rsidRDefault="00F74E13">
    <w:pPr>
      <w:pStyle w:val="Footer"/>
      <w:rPr>
        <w:rFonts w:ascii="Times New Roman" w:hAnsi="Times New Roman" w:cs="Times New Roman"/>
        <w:sz w:val="24"/>
        <w:szCs w:val="24"/>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2" w14:textId="77777777" w:rsidR="00F74E13" w:rsidRDefault="00F74E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5" w14:textId="77777777" w:rsidR="00F74E13" w:rsidRDefault="00F74E1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0856603"/>
      <w:docPartObj>
        <w:docPartGallery w:val="Page Numbers (Bottom of Page)"/>
        <w:docPartUnique/>
      </w:docPartObj>
    </w:sdtPr>
    <w:sdtEndPr/>
    <w:sdtContent>
      <w:p w14:paraId="6E12E3B4" w14:textId="2D750CE3"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22" w14:textId="77777777" w:rsidR="00F74E13" w:rsidRDefault="00F74E13">
    <w:pPr>
      <w:pStyle w:val="Footer"/>
      <w:rPr>
        <w:rFonts w:ascii="Times New Roman" w:hAnsi="Times New Roman" w:cs="Times New Roman"/>
        <w:sz w:val="24"/>
        <w:szCs w:val="24"/>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4" w14:textId="77777777" w:rsidR="00F74E13" w:rsidRDefault="00F74E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7" w14:textId="77777777" w:rsidR="00F74E13" w:rsidRDefault="00F74E1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5276479"/>
      <w:docPartObj>
        <w:docPartGallery w:val="Page Numbers (Bottom of Page)"/>
        <w:docPartUnique/>
      </w:docPartObj>
    </w:sdtPr>
    <w:sdtEndPr/>
    <w:sdtContent>
      <w:p w14:paraId="74E0DD1B" w14:textId="18191F34"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34" w14:textId="77777777" w:rsidR="00F74E13" w:rsidRDefault="00F74E13">
    <w:pPr>
      <w:pStyle w:val="Footer"/>
      <w:rPr>
        <w:rFonts w:ascii="Times New Roman" w:hAnsi="Times New Roman" w:cs="Times New Roman"/>
        <w:sz w:val="24"/>
        <w:szCs w:val="24"/>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6" w14:textId="77777777" w:rsidR="00F74E13" w:rsidRDefault="00F74E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9" w14:textId="77777777" w:rsidR="00F74E13" w:rsidRDefault="00F74E1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76183647"/>
      <w:docPartObj>
        <w:docPartGallery w:val="Page Numbers (Bottom of Page)"/>
        <w:docPartUnique/>
      </w:docPartObj>
    </w:sdtPr>
    <w:sdtEndPr/>
    <w:sdtContent>
      <w:p w14:paraId="4191212E" w14:textId="078ED93D"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46" w14:textId="77777777" w:rsidR="00F74E13" w:rsidRDefault="00F74E13">
    <w:pPr>
      <w:pStyle w:val="Footer"/>
      <w:rPr>
        <w:rFonts w:ascii="Times New Roman" w:hAnsi="Times New Roman" w:cs="Times New Roman"/>
        <w:sz w:val="24"/>
        <w:szCs w:val="24"/>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8" w14:textId="77777777" w:rsidR="00F74E13" w:rsidRDefault="00F74E1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B" w14:textId="77777777" w:rsidR="00F74E13" w:rsidRDefault="00F74E1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7140362"/>
      <w:docPartObj>
        <w:docPartGallery w:val="Page Numbers (Bottom of Page)"/>
        <w:docPartUnique/>
      </w:docPartObj>
    </w:sdtPr>
    <w:sdtEndPr/>
    <w:sdtContent>
      <w:p w14:paraId="4A92281B" w14:textId="7A03EDE4"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58" w14:textId="77777777" w:rsidR="00F74E13" w:rsidRDefault="00F74E13">
    <w:pPr>
      <w:pStyle w:val="Footer"/>
      <w:rPr>
        <w:rFonts w:ascii="Times New Roman" w:hAnsi="Times New Roman" w:cs="Times New Roman"/>
        <w:sz w:val="24"/>
        <w:szCs w:val="24"/>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A" w14:textId="77777777" w:rsidR="00F74E13" w:rsidRDefault="00F74E1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D" w14:textId="77777777" w:rsidR="00F74E13" w:rsidRDefault="00F74E1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87728862"/>
      <w:docPartObj>
        <w:docPartGallery w:val="Page Numbers (Bottom of Page)"/>
        <w:docPartUnique/>
      </w:docPartObj>
    </w:sdtPr>
    <w:sdtEndPr/>
    <w:sdtContent>
      <w:p w14:paraId="23587BA5" w14:textId="75B20D66"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6A" w14:textId="77777777" w:rsidR="00F74E13" w:rsidRDefault="00F74E13">
    <w:pPr>
      <w:pStyle w:val="Footer"/>
      <w:rPr>
        <w:rFonts w:ascii="Times New Roman" w:hAnsi="Times New Roman" w:cs="Times New Roman"/>
        <w:sz w:val="24"/>
        <w:szCs w:val="24"/>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C" w14:textId="77777777" w:rsidR="00F74E13" w:rsidRDefault="00F74E1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F" w14:textId="77777777" w:rsidR="00F74E13" w:rsidRDefault="00F74E1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1109428"/>
      <w:docPartObj>
        <w:docPartGallery w:val="Page Numbers (Bottom of Page)"/>
        <w:docPartUnique/>
      </w:docPartObj>
    </w:sdtPr>
    <w:sdtEndPr/>
    <w:sdtContent>
      <w:p w14:paraId="23A40214" w14:textId="1A7FC2F3"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7C" w14:textId="77777777" w:rsidR="00F74E13" w:rsidRDefault="00F74E13">
    <w:pPr>
      <w:pStyle w:val="Footer"/>
      <w:rPr>
        <w:rFonts w:ascii="Times New Roman" w:hAnsi="Times New Roman"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E" w14:textId="77777777" w:rsidR="00F74E13" w:rsidRDefault="00F74E1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1" w14:textId="77777777" w:rsidR="00F74E13" w:rsidRDefault="00F74E1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8816911"/>
      <w:docPartObj>
        <w:docPartGallery w:val="Page Numbers (Bottom of Page)"/>
        <w:docPartUnique/>
      </w:docPartObj>
    </w:sdtPr>
    <w:sdtEndPr/>
    <w:sdtContent>
      <w:p w14:paraId="53F0BE67" w14:textId="1DAD2824"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8E" w14:textId="77777777" w:rsidR="00F74E13" w:rsidRDefault="00F74E13">
    <w:pPr>
      <w:pStyle w:val="Footer"/>
      <w:rPr>
        <w:rFonts w:ascii="Times New Roman" w:hAnsi="Times New Roman" w:cs="Times New Roman"/>
        <w:sz w:val="24"/>
        <w:szCs w:val="24"/>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0" w14:textId="77777777" w:rsidR="00F74E13" w:rsidRDefault="00F74E1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3" w14:textId="77777777" w:rsidR="00F74E13" w:rsidRDefault="00F74E1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64418370"/>
      <w:docPartObj>
        <w:docPartGallery w:val="Page Numbers (Bottom of Page)"/>
        <w:docPartUnique/>
      </w:docPartObj>
    </w:sdtPr>
    <w:sdtEndPr/>
    <w:sdtContent>
      <w:p w14:paraId="2E0AFA17" w14:textId="4FE95528"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A0" w14:textId="77777777" w:rsidR="00F74E13" w:rsidRDefault="00F74E13">
    <w:pPr>
      <w:pStyle w:val="Footer"/>
      <w:rPr>
        <w:rFonts w:ascii="Times New Roman" w:hAnsi="Times New Roman" w:cs="Times New Roman"/>
        <w:sz w:val="24"/>
        <w:szCs w:val="24"/>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2" w14:textId="77777777" w:rsidR="00F74E13" w:rsidRDefault="00F74E1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5" w14:textId="77777777" w:rsidR="00F74E13" w:rsidRDefault="00F74E1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05833139"/>
      <w:docPartObj>
        <w:docPartGallery w:val="Page Numbers (Bottom of Page)"/>
        <w:docPartUnique/>
      </w:docPartObj>
    </w:sdtPr>
    <w:sdtEndPr/>
    <w:sdtContent>
      <w:p w14:paraId="5955BEEC" w14:textId="67FCB6E7"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B2" w14:textId="77777777" w:rsidR="00F74E13" w:rsidRDefault="00F74E13">
    <w:pPr>
      <w:pStyle w:val="Footer"/>
      <w:rPr>
        <w:rFonts w:ascii="Times New Roman" w:hAnsi="Times New Roman" w:cs="Times New Roman"/>
        <w:sz w:val="24"/>
        <w:szCs w:val="24"/>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4" w14:textId="77777777" w:rsidR="00F74E13" w:rsidRDefault="00F74E1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7" w14:textId="77777777" w:rsidR="00F74E13" w:rsidRDefault="00F74E1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55238366"/>
      <w:docPartObj>
        <w:docPartGallery w:val="Page Numbers (Bottom of Page)"/>
        <w:docPartUnique/>
      </w:docPartObj>
    </w:sdtPr>
    <w:sdtEndPr/>
    <w:sdtContent>
      <w:p w14:paraId="180F2899" w14:textId="0436CF4B"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C4" w14:textId="77777777" w:rsidR="00F74E13" w:rsidRDefault="00F74E13">
    <w:pPr>
      <w:pStyle w:val="Footer"/>
      <w:rPr>
        <w:rFonts w:ascii="Times New Roman" w:hAnsi="Times New Roman" w:cs="Times New Roman"/>
        <w:sz w:val="24"/>
        <w:szCs w:val="24"/>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6" w14:textId="77777777" w:rsidR="00F74E13" w:rsidRDefault="00F74E1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9" w14:textId="77777777" w:rsidR="00F74E13" w:rsidRDefault="00F74E1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16577020"/>
      <w:docPartObj>
        <w:docPartGallery w:val="Page Numbers (Bottom of Page)"/>
        <w:docPartUnique/>
      </w:docPartObj>
    </w:sdtPr>
    <w:sdtEndPr/>
    <w:sdtContent>
      <w:p w14:paraId="7A021F89" w14:textId="0548970F"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D6" w14:textId="77777777" w:rsidR="00F74E13" w:rsidRDefault="00F74E13">
    <w:pPr>
      <w:pStyle w:val="Footer"/>
      <w:rPr>
        <w:rFonts w:ascii="Times New Roman" w:hAnsi="Times New Roman" w:cs="Times New Roman"/>
        <w:sz w:val="24"/>
        <w:szCs w:val="24"/>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8" w14:textId="77777777" w:rsidR="00F74E13" w:rsidRDefault="00F74E1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B" w14:textId="77777777" w:rsidR="00F74E13" w:rsidRDefault="00F74E1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91971062"/>
      <w:docPartObj>
        <w:docPartGallery w:val="Page Numbers (Bottom of Page)"/>
        <w:docPartUnique/>
      </w:docPartObj>
    </w:sdtPr>
    <w:sdtEndPr/>
    <w:sdtContent>
      <w:p w14:paraId="66ABEE6E" w14:textId="7879D0F2"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E8" w14:textId="77777777" w:rsidR="00F74E13" w:rsidRDefault="00F74E13">
    <w:pPr>
      <w:pStyle w:val="Footer"/>
      <w:rPr>
        <w:rFonts w:ascii="Times New Roman" w:hAnsi="Times New Roman" w:cs="Times New Roman"/>
        <w:sz w:val="24"/>
        <w:szCs w:val="24"/>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A" w14:textId="77777777" w:rsidR="00F74E13" w:rsidRDefault="00F74E1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D" w14:textId="77777777" w:rsidR="00F74E13" w:rsidRDefault="00F74E1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898901247"/>
      <w:docPartObj>
        <w:docPartGallery w:val="Page Numbers (Bottom of Page)"/>
        <w:docPartUnique/>
      </w:docPartObj>
    </w:sdtPr>
    <w:sdtEndPr/>
    <w:sdtContent>
      <w:p w14:paraId="503E7FED" w14:textId="715F0456"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CEBE8FA" w14:textId="77777777" w:rsidR="00F74E13" w:rsidRDefault="00F74E13">
    <w:pPr>
      <w:pStyle w:val="Footer"/>
      <w:rPr>
        <w:rFonts w:ascii="Times New Roman" w:hAnsi="Times New Roman" w:cs="Times New Roman"/>
        <w:sz w:val="24"/>
        <w:szCs w:val="24"/>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C" w14:textId="77777777" w:rsidR="00F74E13" w:rsidRDefault="00F74E1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E" w14:textId="77777777" w:rsidR="00F74E13" w:rsidRDefault="00F74E1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25271252"/>
      <w:docPartObj>
        <w:docPartGallery w:val="Page Numbers (Bottom of Page)"/>
        <w:docPartUnique/>
      </w:docPartObj>
    </w:sdtPr>
    <w:sdtEndPr/>
    <w:sdtContent>
      <w:p w14:paraId="12636A38" w14:textId="6A241E99"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1AF0ABFE" w14:textId="77777777" w:rsidR="00F74E13" w:rsidRDefault="00F74E13">
    <w:pPr>
      <w:pStyle w:val="Footer"/>
      <w:rPr>
        <w:rFonts w:ascii="Times New Roman" w:hAnsi="Times New Roman" w:cs="Times New Roman"/>
        <w:sz w:val="24"/>
        <w:szCs w:val="24"/>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0" w14:textId="77777777" w:rsidR="00F74E13" w:rsidRDefault="00F74E1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2" w14:textId="77777777" w:rsidR="00F74E13" w:rsidRDefault="00F74E1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46605424"/>
      <w:docPartObj>
        <w:docPartGallery w:val="Page Numbers (Bottom of Page)"/>
        <w:docPartUnique/>
      </w:docPartObj>
    </w:sdtPr>
    <w:sdtEndPr/>
    <w:sdtContent>
      <w:p w14:paraId="195A7CFB" w14:textId="0F45F854" w:rsidR="00F74E13" w:rsidRDefault="009274FC">
        <w:pPr>
          <w:pStyle w:val="P68B1DB1-Footer83"/>
          <w:jc w:val="center"/>
        </w:pPr>
        <w:r>
          <w:fldChar w:fldCharType="begin"/>
        </w:r>
        <w:r>
          <w:instrText xml:space="preserve"> PAGE   \* MERGEFORMAT </w:instrText>
        </w:r>
        <w:r>
          <w:fldChar w:fldCharType="separate"/>
        </w:r>
        <w:r>
          <w:t>2</w:t>
        </w:r>
        <w:r>
          <w:fldChar w:fldCharType="end"/>
        </w:r>
      </w:p>
    </w:sdtContent>
  </w:sdt>
  <w:p w14:paraId="04F08540" w14:textId="77777777" w:rsidR="00F74E13" w:rsidRDefault="00F74E13">
    <w:pPr>
      <w:pStyle w:val="Footer"/>
      <w:rPr>
        <w:rFonts w:ascii="Times New Roman" w:hAnsi="Times New Roman" w:cs="Times New Roman"/>
        <w:sz w:val="24"/>
        <w:szCs w:val="24"/>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4" w14:textId="77777777" w:rsidR="00F74E13" w:rsidRDefault="00F74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AA208" w14:textId="77777777" w:rsidR="009274FC" w:rsidRDefault="009274FC">
      <w:pPr>
        <w:spacing w:after="0" w:line="240" w:lineRule="auto"/>
      </w:pPr>
      <w:r>
        <w:separator/>
      </w:r>
    </w:p>
  </w:footnote>
  <w:footnote w:type="continuationSeparator" w:id="0">
    <w:p w14:paraId="6B0F0F9C" w14:textId="77777777" w:rsidR="009274FC" w:rsidRDefault="009274FC">
      <w:pPr>
        <w:spacing w:after="0" w:line="240" w:lineRule="auto"/>
      </w:pPr>
      <w:r>
        <w:continuationSeparator/>
      </w:r>
    </w:p>
  </w:footnote>
  <w:footnote w:type="continuationNotice" w:id="1">
    <w:p w14:paraId="3A09E6FE" w14:textId="77777777" w:rsidR="009274FC" w:rsidRDefault="009274FC">
      <w:pPr>
        <w:spacing w:after="0" w:line="240" w:lineRule="auto"/>
      </w:pPr>
    </w:p>
  </w:footnote>
  <w:footnote w:id="2">
    <w:p w14:paraId="1CEBE905" w14:textId="77777777" w:rsidR="00F74E13" w:rsidRDefault="009274F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3">
    <w:p w14:paraId="1CEBE906"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
    <w:p w14:paraId="1CEBE907" w14:textId="77777777" w:rsidR="00F74E13" w:rsidRDefault="009274F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5">
    <w:p w14:paraId="1CEBE908"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6">
    <w:p w14:paraId="1CEBE909"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7">
    <w:p w14:paraId="1CEBE90A"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
    <w:p w14:paraId="1CEBE90B" w14:textId="77777777" w:rsidR="00F74E13" w:rsidRDefault="009274F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9">
    <w:p w14:paraId="1CEBE90C"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0">
    <w:p w14:paraId="1CEBE90D"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
    <w:p w14:paraId="1CEBE90E"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2">
    <w:p w14:paraId="1CEBE90F"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cs="Times New Roman"/>
        </w:rPr>
        <w:t>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3">
    <w:p w14:paraId="1CEBE910"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4">
    <w:p w14:paraId="1CEBE911"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des projets de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15">
    <w:p w14:paraId="1CEBE912"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16">
    <w:p w14:paraId="1CEBE913"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7">
    <w:p w14:paraId="1CEBE914"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8">
    <w:p w14:paraId="1CEBE915" w14:textId="77777777" w:rsidR="00F74E13" w:rsidRDefault="009274FC">
      <w:pPr>
        <w:pStyle w:val="FootnoteText"/>
        <w:jc w:val="both"/>
        <w:rPr>
          <w:rFonts w:ascii="Times New Roman" w:eastAsia="Times New Roman" w:hAnsi="Times New Roman" w:cs="Times New Roman"/>
        </w:rPr>
      </w:pPr>
      <w:r>
        <w:rPr>
          <w:rStyle w:val="FootnoteReference"/>
          <w:rFonts w:ascii="Times New Roman" w:hAnsi="Times New Roman"/>
        </w:rPr>
        <w:footnoteRef/>
      </w:r>
      <w:r>
        <w:rPr>
          <w:rFonts w:ascii="Times New Roman" w:eastAsia="Times New Roman" w:hAnsi="Times New Roman" w:cs="Times New Roman"/>
        </w:rPr>
        <w:t xml:space="preserve">À l’exception a) des actifs et activités de production d’électricité et/ou de chaleur, ainsi que des infrastructures de transport et de distribution connexes, utilisant du gaz naturel, qui sont conformes aux conditions énoncées à l’annexe III des orientations techniques </w:t>
      </w:r>
      <w:r>
        <w:rPr>
          <w:rFonts w:ascii="Times New Roman" w:eastAsia="Times New Roman" w:hAnsi="Times New Roman" w:cs="Times New Roman" w:hint="eastAsia"/>
        </w:rPr>
        <w:t>«Ne</w:t>
      </w:r>
      <w:r>
        <w:rPr>
          <w:rFonts w:ascii="Times New Roman" w:eastAsia="Times New Roman" w:hAnsi="Times New Roman" w:cs="Times New Roman"/>
        </w:rPr>
        <w:t xml:space="preserv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9">
    <w:p w14:paraId="1CEBE916" w14:textId="5A7C046C" w:rsidR="00F74E13" w:rsidRDefault="009274FC">
      <w:pPr>
        <w:pStyle w:val="FootnoteText"/>
        <w:jc w:val="both"/>
        <w:rPr>
          <w:rFonts w:ascii="Times New Roman" w:eastAsia="EC Square Sans Pro" w:hAnsi="Times New Roman" w:cs="Times New Roman"/>
        </w:rPr>
      </w:pPr>
      <w:r>
        <w:rPr>
          <w:rStyle w:val="FootnoteReference"/>
          <w:rFonts w:ascii="Times New Roman" w:hAnsi="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0">
    <w:p w14:paraId="1CEBE917" w14:textId="77777777" w:rsidR="00F74E13" w:rsidRDefault="009274F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hint="eastAsia"/>
        </w:rPr>
        <w:t xml:space="preserve"> Cette exclusion ne s</w:t>
      </w:r>
      <w:r>
        <w:rPr>
          <w:rFonts w:ascii="Times New Roman" w:hAnsi="Times New Roman" w:cs="Times New Roman" w:hint="eastAsia"/>
        </w:rPr>
        <w:t>’</w:t>
      </w:r>
      <w:r>
        <w:rPr>
          <w:rFonts w:ascii="Times New Roman" w:hAnsi="Times New Roman" w:cs="Times New Roman" w:hint="eastAsia"/>
        </w:rPr>
        <w:t>applique pas aux actions au titre de la présente mesure dans les installations exclusivement consacrées au traitement des déchets dangereux non recyclables, ni aux installations existantes, lorsque les actions au titre de la présente mesure visent à accroître l</w:t>
      </w:r>
      <w:r>
        <w:rPr>
          <w:rFonts w:ascii="Times New Roman" w:hAnsi="Times New Roman" w:cs="Times New Roman" w:hint="eastAsia"/>
        </w:rPr>
        <w:t>’</w:t>
      </w:r>
      <w:r>
        <w:rPr>
          <w:rFonts w:ascii="Times New Roman" w:hAnsi="Times New Roman" w:cs="Times New Roman" w:hint="eastAsia"/>
        </w:rPr>
        <w:t>efficacité énergétique, à capter les gaz d</w:t>
      </w:r>
      <w:r>
        <w:rPr>
          <w:rFonts w:ascii="Times New Roman" w:hAnsi="Times New Roman" w:cs="Times New Roman" w:hint="eastAsia"/>
        </w:rPr>
        <w:t>’</w:t>
      </w:r>
      <w:r>
        <w:rPr>
          <w:rFonts w:ascii="Times New Roman" w:hAnsi="Times New Roman" w:cs="Times New Roman" w:hint="eastAsia"/>
        </w:rPr>
        <w:t>échappement en vue de leur stockage ou de leur utilisation ou à récupérer des matériaux à partir de cendres d</w:t>
      </w:r>
      <w:r>
        <w:rPr>
          <w:rFonts w:ascii="Times New Roman" w:hAnsi="Times New Roman" w:cs="Times New Roman" w:hint="eastAsia"/>
        </w:rPr>
        <w:t>’</w:t>
      </w:r>
      <w:r>
        <w:rPr>
          <w:rFonts w:ascii="Times New Roman" w:hAnsi="Times New Roman" w:cs="Times New Roman" w:hint="eastAsia"/>
        </w:rPr>
        <w:t>incinération, pour autant que ces actions au titre de la présente mesure n</w:t>
      </w:r>
      <w:r>
        <w:rPr>
          <w:rFonts w:ascii="Times New Roman" w:hAnsi="Times New Roman" w:cs="Times New Roman" w:hint="eastAsia"/>
        </w:rPr>
        <w:t>’</w:t>
      </w:r>
      <w:r>
        <w:rPr>
          <w:rFonts w:ascii="Times New Roman" w:hAnsi="Times New Roman" w:cs="Times New Roman" w:hint="eastAsia"/>
        </w:rPr>
        <w:t>entraînent pas une augmentation de la capacité de traitement des déchets des installations ou une prolongation de la durée de vie des installations; pour lesquels des éléments de preuve sont fournis au niveau de l</w:t>
      </w:r>
      <w:r>
        <w:rPr>
          <w:rFonts w:ascii="Times New Roman" w:hAnsi="Times New Roman" w:cs="Times New Roman" w:hint="eastAsia"/>
        </w:rPr>
        <w:t>’</w:t>
      </w:r>
      <w:r>
        <w:rPr>
          <w:rFonts w:ascii="Times New Roman" w:hAnsi="Times New Roman" w:cs="Times New Roman" w:hint="eastAsia"/>
        </w:rPr>
        <w:t>installation.</w:t>
      </w:r>
      <w:r>
        <w:rPr>
          <w:rFonts w:ascii="Times New Roman" w:hAnsi="Times New Roman" w:cs="Times New Roman" w:hint="eastAsia"/>
        </w:rPr>
        <w:t> </w:t>
      </w:r>
    </w:p>
  </w:footnote>
  <w:footnote w:id="21">
    <w:p w14:paraId="1CEBE918" w14:textId="77777777" w:rsidR="00F74E13" w:rsidRDefault="009274FC">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2">
    <w:p w14:paraId="1CEBE919" w14:textId="1B61FCF6" w:rsidR="00F74E13" w:rsidRDefault="009274F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sidR="00F74E13">
          <w:rPr>
            <w:rStyle w:val="Hyperlink"/>
            <w:rFonts w:ascii="Times New Roman" w:hAnsi="Times New Roman" w:cs="Times New Roman"/>
          </w:rPr>
          <w:t>https://ec.europa.eu/newsroom/dae/document.cfm?doc_id=75185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DA63E" w14:textId="77777777" w:rsidR="00F75C64" w:rsidRPr="00F75C64" w:rsidRDefault="00F75C64" w:rsidP="00F75C6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D253F" w14:textId="77777777" w:rsidR="00F75C64" w:rsidRPr="00F75C64" w:rsidRDefault="00F75C64" w:rsidP="00F75C6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085B7" w14:textId="77777777" w:rsidR="00F75C64" w:rsidRPr="00F75C64" w:rsidRDefault="00F75C64" w:rsidP="00F75C6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B226D" w14:textId="77777777" w:rsidR="00F74E13" w:rsidRDefault="00F74E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F6096" w14:textId="77777777" w:rsidR="00F74E13" w:rsidRDefault="009274FC">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CD7C" w14:textId="77777777" w:rsidR="00F74E13" w:rsidRDefault="00F74E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9" w14:textId="77777777" w:rsidR="00F74E13" w:rsidRDefault="00F74E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A" w14:textId="77777777" w:rsidR="00F74E13" w:rsidRDefault="009274FC">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9" w14:textId="77777777" w:rsidR="00F74E13" w:rsidRDefault="00F74E13">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B" w14:textId="77777777" w:rsidR="00F74E13" w:rsidRDefault="00F74E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C" w14:textId="77777777" w:rsidR="00F74E13" w:rsidRDefault="009274FC">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B" w14:textId="77777777" w:rsidR="00F74E13" w:rsidRDefault="00F74E13">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D" w14:textId="77777777" w:rsidR="00F74E13" w:rsidRDefault="00F74E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E" w14:textId="77777777" w:rsidR="00F74E13" w:rsidRDefault="009274FC">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D" w14:textId="77777777" w:rsidR="00F74E13" w:rsidRDefault="00F74E13">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F" w14:textId="77777777" w:rsidR="00F74E13" w:rsidRDefault="00F74E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0" w14:textId="77777777" w:rsidR="00F74E13" w:rsidRDefault="009274FC">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F" w14:textId="77777777" w:rsidR="00F74E13" w:rsidRDefault="00F74E13">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1" w14:textId="77777777" w:rsidR="00F74E13" w:rsidRDefault="00F74E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2" w14:textId="77777777" w:rsidR="00F74E13" w:rsidRDefault="009274FC">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1" w14:textId="77777777" w:rsidR="00F74E13" w:rsidRDefault="00F74E13">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3" w14:textId="77777777" w:rsidR="00F74E13" w:rsidRDefault="00F74E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4" w14:textId="77777777" w:rsidR="00F74E13" w:rsidRDefault="009274FC">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3" w14:textId="77777777" w:rsidR="00F74E13" w:rsidRDefault="00F74E13">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5" w14:textId="77777777" w:rsidR="00F74E13" w:rsidRDefault="00F74E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6" w14:textId="77777777" w:rsidR="00F74E13" w:rsidRDefault="009274FC">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5" w14:textId="77777777" w:rsidR="00F74E13" w:rsidRDefault="00F74E13">
    <w:pPr>
      <w:pStyle w:val="HeaderLandscape"/>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7" w14:textId="77777777" w:rsidR="00F74E13" w:rsidRDefault="00F74E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8" w14:textId="77777777" w:rsidR="00F74E13" w:rsidRDefault="009274FC">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7" w14:textId="77777777" w:rsidR="00F74E13" w:rsidRDefault="00F74E13">
    <w:pPr>
      <w:pStyle w:val="HeaderLandscape"/>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9" w14:textId="77777777" w:rsidR="00F74E13" w:rsidRDefault="00F74E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A" w14:textId="77777777" w:rsidR="00F74E13" w:rsidRDefault="009274FC">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9" w14:textId="77777777" w:rsidR="00F74E13" w:rsidRDefault="00F74E13">
    <w:pPr>
      <w:pStyle w:val="HeaderLandscape"/>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B" w14:textId="77777777" w:rsidR="00F74E13" w:rsidRDefault="00F74E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C" w14:textId="77777777" w:rsidR="00F74E13" w:rsidRDefault="009274FC">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B" w14:textId="77777777" w:rsidR="00F74E13" w:rsidRDefault="00F74E13">
    <w:pPr>
      <w:pStyle w:val="HeaderLandscape"/>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D" w14:textId="77777777" w:rsidR="00F74E13" w:rsidRDefault="00F74E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E" w14:textId="77777777" w:rsidR="00F74E13" w:rsidRDefault="009274FC">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D" w14:textId="77777777" w:rsidR="00F74E13" w:rsidRDefault="00F74E13">
    <w:pPr>
      <w:pStyle w:val="HeaderLandscape"/>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F" w14:textId="77777777" w:rsidR="00F74E13" w:rsidRDefault="00F74E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0" w14:textId="77777777" w:rsidR="00F74E13" w:rsidRDefault="009274FC">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F" w14:textId="77777777" w:rsidR="00F74E13" w:rsidRDefault="00F74E13">
    <w:pPr>
      <w:pStyle w:val="HeaderLandscape"/>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1" w14:textId="77777777" w:rsidR="00F74E13" w:rsidRDefault="00F74E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2" w14:textId="77777777" w:rsidR="00F74E13" w:rsidRDefault="009274FC">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1" w14:textId="77777777" w:rsidR="00F74E13" w:rsidRDefault="00F74E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3" w14:textId="77777777" w:rsidR="00F74E13" w:rsidRDefault="00F74E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4" w14:textId="77777777" w:rsidR="00F74E13" w:rsidRDefault="009274FC">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3" w14:textId="77777777" w:rsidR="00F74E13" w:rsidRDefault="00F74E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5" w14:textId="77777777" w:rsidR="00F74E13" w:rsidRDefault="00F74E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6" w14:textId="77777777" w:rsidR="00F74E13" w:rsidRDefault="009274FC">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5" w14:textId="77777777" w:rsidR="00F74E13" w:rsidRDefault="00F74E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7" w14:textId="77777777" w:rsidR="00F74E13" w:rsidRDefault="00F74E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8" w14:textId="77777777" w:rsidR="00F74E13" w:rsidRDefault="009274FC">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7" w14:textId="77777777" w:rsidR="00F74E13" w:rsidRDefault="00F74E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9" w14:textId="77777777" w:rsidR="00F74E13" w:rsidRDefault="00F74E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A" w14:textId="77777777" w:rsidR="00F74E13" w:rsidRDefault="009274FC">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9" w14:textId="77777777" w:rsidR="00F74E13" w:rsidRDefault="00F74E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B" w14:textId="77777777" w:rsidR="00F74E13" w:rsidRDefault="00F74E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C" w14:textId="77777777" w:rsidR="00F74E13" w:rsidRDefault="009274FC">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B" w14:textId="77777777" w:rsidR="00F74E13" w:rsidRDefault="00F74E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D" w14:textId="77777777" w:rsidR="00F74E13" w:rsidRDefault="00F74E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E" w14:textId="77777777" w:rsidR="00F74E13" w:rsidRDefault="009274FC">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D" w14:textId="77777777" w:rsidR="00F74E13" w:rsidRDefault="00F74E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F" w14:textId="77777777" w:rsidR="00F74E13" w:rsidRDefault="00F74E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0" w14:textId="77777777" w:rsidR="00F74E13" w:rsidRDefault="009274FC">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F" w14:textId="77777777" w:rsidR="00F74E13" w:rsidRDefault="00F74E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1" w14:textId="77777777" w:rsidR="00F74E13" w:rsidRDefault="00F74E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2" w14:textId="77777777" w:rsidR="00F74E13" w:rsidRDefault="009274FC">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1" w14:textId="77777777" w:rsidR="00F74E13" w:rsidRDefault="00F74E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3" w14:textId="77777777" w:rsidR="00F74E13" w:rsidRDefault="00F74E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4" w14:textId="77777777" w:rsidR="00F74E13" w:rsidRDefault="009274FC">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3" w14:textId="77777777" w:rsidR="00F74E13" w:rsidRDefault="00F74E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5" w14:textId="77777777" w:rsidR="00F74E13" w:rsidRDefault="00F74E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6" w14:textId="77777777" w:rsidR="00F74E13" w:rsidRDefault="009274FC">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5" w14:textId="77777777" w:rsidR="00F74E13" w:rsidRDefault="00F74E1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7" w14:textId="77777777" w:rsidR="00F74E13" w:rsidRDefault="00F74E1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8" w14:textId="77777777" w:rsidR="00F74E13" w:rsidRDefault="009274FC">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7" w14:textId="77777777" w:rsidR="00F74E13" w:rsidRDefault="00F74E1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9" w14:textId="77777777" w:rsidR="00F74E13" w:rsidRDefault="00F74E1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A" w14:textId="77777777" w:rsidR="00F74E13" w:rsidRDefault="009274FC">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9" w14:textId="77777777" w:rsidR="00F74E13" w:rsidRDefault="00F74E13">
    <w:pPr>
      <w:pStyle w:val="HeaderLandscape"/>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B" w14:textId="77777777" w:rsidR="00F74E13" w:rsidRDefault="00F74E1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C" w14:textId="77777777" w:rsidR="00F74E13" w:rsidRDefault="009274FC">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B" w14:textId="77777777" w:rsidR="00F74E13" w:rsidRDefault="00F74E13">
    <w:pPr>
      <w:pStyle w:val="HeaderLandscape"/>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D" w14:textId="77777777" w:rsidR="00F74E13" w:rsidRDefault="00F74E1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6BEFC" w14:textId="77777777" w:rsidR="00F74E13" w:rsidRDefault="009274FC">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F" w14:textId="77777777" w:rsidR="00F74E13" w:rsidRDefault="00F74E1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1" w14:textId="77777777" w:rsidR="00F74E13" w:rsidRDefault="00F74E1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73D9" w14:textId="77777777" w:rsidR="00F74E13" w:rsidRDefault="009274FC">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3" w14:textId="77777777" w:rsidR="00F74E13" w:rsidRDefault="00F74E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77D18"/>
    <w:multiLevelType w:val="hybridMultilevel"/>
    <w:tmpl w:val="9DA67D28"/>
    <w:lvl w:ilvl="0" w:tplc="F7F8678E">
      <w:numFmt w:val="bullet"/>
      <w:lvlText w:val="-"/>
      <w:lvlJc w:val="left"/>
      <w:pPr>
        <w:ind w:left="1440" w:hanging="360"/>
      </w:pPr>
      <w:rPr>
        <w:rFonts w:ascii="Times New Roman" w:hAnsi="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0833EE0"/>
    <w:multiLevelType w:val="hybridMultilevel"/>
    <w:tmpl w:val="D13A233A"/>
    <w:lvl w:ilvl="0" w:tplc="906AA176">
      <w:start w:val="10"/>
      <w:numFmt w:val="bullet"/>
      <w:lvlText w:val="-"/>
      <w:lvlJc w:val="left"/>
      <w:pPr>
        <w:ind w:left="1800" w:hanging="360"/>
      </w:pPr>
      <w:rPr>
        <w:rFonts w:ascii="Calibri" w:hAnsi="Calibri" w:hint="default"/>
      </w:rPr>
    </w:lvl>
    <w:lvl w:ilvl="1" w:tplc="9D2E6418">
      <w:start w:val="1"/>
      <w:numFmt w:val="bullet"/>
      <w:lvlText w:val="o"/>
      <w:lvlJc w:val="left"/>
      <w:pPr>
        <w:ind w:left="2520" w:hanging="360"/>
      </w:pPr>
      <w:rPr>
        <w:rFonts w:ascii="Courier New" w:hAnsi="Courier New" w:hint="default"/>
      </w:rPr>
    </w:lvl>
    <w:lvl w:ilvl="2" w:tplc="50B8FCAE" w:tentative="1">
      <w:start w:val="1"/>
      <w:numFmt w:val="bullet"/>
      <w:lvlText w:val=""/>
      <w:lvlJc w:val="left"/>
      <w:pPr>
        <w:ind w:left="3240" w:hanging="360"/>
      </w:pPr>
      <w:rPr>
        <w:rFonts w:ascii="Wingdings" w:hAnsi="Wingdings" w:hint="default"/>
      </w:rPr>
    </w:lvl>
    <w:lvl w:ilvl="3" w:tplc="28AA4426" w:tentative="1">
      <w:start w:val="1"/>
      <w:numFmt w:val="bullet"/>
      <w:lvlText w:val=""/>
      <w:lvlJc w:val="left"/>
      <w:pPr>
        <w:ind w:left="3960" w:hanging="360"/>
      </w:pPr>
      <w:rPr>
        <w:rFonts w:ascii="Symbol" w:hAnsi="Symbol" w:hint="default"/>
      </w:rPr>
    </w:lvl>
    <w:lvl w:ilvl="4" w:tplc="E436A7A2" w:tentative="1">
      <w:start w:val="1"/>
      <w:numFmt w:val="bullet"/>
      <w:lvlText w:val="o"/>
      <w:lvlJc w:val="left"/>
      <w:pPr>
        <w:ind w:left="4680" w:hanging="360"/>
      </w:pPr>
      <w:rPr>
        <w:rFonts w:ascii="Courier New" w:hAnsi="Courier New" w:hint="default"/>
      </w:rPr>
    </w:lvl>
    <w:lvl w:ilvl="5" w:tplc="6C20A0FA" w:tentative="1">
      <w:start w:val="1"/>
      <w:numFmt w:val="bullet"/>
      <w:lvlText w:val=""/>
      <w:lvlJc w:val="left"/>
      <w:pPr>
        <w:ind w:left="5400" w:hanging="360"/>
      </w:pPr>
      <w:rPr>
        <w:rFonts w:ascii="Wingdings" w:hAnsi="Wingdings" w:hint="default"/>
      </w:rPr>
    </w:lvl>
    <w:lvl w:ilvl="6" w:tplc="341A4276" w:tentative="1">
      <w:start w:val="1"/>
      <w:numFmt w:val="bullet"/>
      <w:lvlText w:val=""/>
      <w:lvlJc w:val="left"/>
      <w:pPr>
        <w:ind w:left="6120" w:hanging="360"/>
      </w:pPr>
      <w:rPr>
        <w:rFonts w:ascii="Symbol" w:hAnsi="Symbol" w:hint="default"/>
      </w:rPr>
    </w:lvl>
    <w:lvl w:ilvl="7" w:tplc="0FDE265C" w:tentative="1">
      <w:start w:val="1"/>
      <w:numFmt w:val="bullet"/>
      <w:lvlText w:val="o"/>
      <w:lvlJc w:val="left"/>
      <w:pPr>
        <w:ind w:left="6840" w:hanging="360"/>
      </w:pPr>
      <w:rPr>
        <w:rFonts w:ascii="Courier New" w:hAnsi="Courier New" w:hint="default"/>
      </w:rPr>
    </w:lvl>
    <w:lvl w:ilvl="8" w:tplc="0D8E6F18" w:tentative="1">
      <w:start w:val="1"/>
      <w:numFmt w:val="bullet"/>
      <w:lvlText w:val=""/>
      <w:lvlJc w:val="left"/>
      <w:pPr>
        <w:ind w:left="7560" w:hanging="360"/>
      </w:pPr>
      <w:rPr>
        <w:rFonts w:ascii="Wingdings" w:hAnsi="Wingdings" w:hint="default"/>
      </w:rPr>
    </w:lvl>
  </w:abstractNum>
  <w:abstractNum w:abstractNumId="3" w15:restartNumberingAfterBreak="0">
    <w:nsid w:val="00EB6420"/>
    <w:multiLevelType w:val="hybridMultilevel"/>
    <w:tmpl w:val="9F58597A"/>
    <w:lvl w:ilvl="0" w:tplc="D0BEBE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117ABC"/>
    <w:multiLevelType w:val="hybridMultilevel"/>
    <w:tmpl w:val="FFFFFFFF"/>
    <w:lvl w:ilvl="0" w:tplc="06962438">
      <w:start w:val="1"/>
      <w:numFmt w:val="bullet"/>
      <w:lvlText w:val="-"/>
      <w:lvlJc w:val="left"/>
      <w:pPr>
        <w:ind w:left="720" w:hanging="360"/>
      </w:pPr>
      <w:rPr>
        <w:rFonts w:ascii="Aptos" w:hAnsi="Aptos" w:hint="default"/>
      </w:rPr>
    </w:lvl>
    <w:lvl w:ilvl="1" w:tplc="D85E488C">
      <w:start w:val="1"/>
      <w:numFmt w:val="bullet"/>
      <w:lvlText w:val="o"/>
      <w:lvlJc w:val="left"/>
      <w:pPr>
        <w:ind w:left="1440" w:hanging="360"/>
      </w:pPr>
      <w:rPr>
        <w:rFonts w:ascii="Courier New" w:hAnsi="Courier New" w:hint="default"/>
      </w:rPr>
    </w:lvl>
    <w:lvl w:ilvl="2" w:tplc="6EE23968">
      <w:start w:val="1"/>
      <w:numFmt w:val="bullet"/>
      <w:lvlText w:val=""/>
      <w:lvlJc w:val="left"/>
      <w:pPr>
        <w:ind w:left="2160" w:hanging="360"/>
      </w:pPr>
      <w:rPr>
        <w:rFonts w:ascii="Wingdings" w:hAnsi="Wingdings" w:hint="default"/>
      </w:rPr>
    </w:lvl>
    <w:lvl w:ilvl="3" w:tplc="A030D99C">
      <w:start w:val="1"/>
      <w:numFmt w:val="bullet"/>
      <w:lvlText w:val=""/>
      <w:lvlJc w:val="left"/>
      <w:pPr>
        <w:ind w:left="2880" w:hanging="360"/>
      </w:pPr>
      <w:rPr>
        <w:rFonts w:ascii="Symbol" w:hAnsi="Symbol" w:hint="default"/>
      </w:rPr>
    </w:lvl>
    <w:lvl w:ilvl="4" w:tplc="DB443AC4">
      <w:start w:val="1"/>
      <w:numFmt w:val="bullet"/>
      <w:lvlText w:val="o"/>
      <w:lvlJc w:val="left"/>
      <w:pPr>
        <w:ind w:left="3600" w:hanging="360"/>
      </w:pPr>
      <w:rPr>
        <w:rFonts w:ascii="Courier New" w:hAnsi="Courier New" w:hint="default"/>
      </w:rPr>
    </w:lvl>
    <w:lvl w:ilvl="5" w:tplc="EB026680">
      <w:start w:val="1"/>
      <w:numFmt w:val="bullet"/>
      <w:lvlText w:val=""/>
      <w:lvlJc w:val="left"/>
      <w:pPr>
        <w:ind w:left="4320" w:hanging="360"/>
      </w:pPr>
      <w:rPr>
        <w:rFonts w:ascii="Wingdings" w:hAnsi="Wingdings" w:hint="default"/>
      </w:rPr>
    </w:lvl>
    <w:lvl w:ilvl="6" w:tplc="A4B06448">
      <w:start w:val="1"/>
      <w:numFmt w:val="bullet"/>
      <w:lvlText w:val=""/>
      <w:lvlJc w:val="left"/>
      <w:pPr>
        <w:ind w:left="5040" w:hanging="360"/>
      </w:pPr>
      <w:rPr>
        <w:rFonts w:ascii="Symbol" w:hAnsi="Symbol" w:hint="default"/>
      </w:rPr>
    </w:lvl>
    <w:lvl w:ilvl="7" w:tplc="9CE0D7E8">
      <w:start w:val="1"/>
      <w:numFmt w:val="bullet"/>
      <w:lvlText w:val="o"/>
      <w:lvlJc w:val="left"/>
      <w:pPr>
        <w:ind w:left="5760" w:hanging="360"/>
      </w:pPr>
      <w:rPr>
        <w:rFonts w:ascii="Courier New" w:hAnsi="Courier New" w:hint="default"/>
      </w:rPr>
    </w:lvl>
    <w:lvl w:ilvl="8" w:tplc="60587688">
      <w:start w:val="1"/>
      <w:numFmt w:val="bullet"/>
      <w:lvlText w:val=""/>
      <w:lvlJc w:val="left"/>
      <w:pPr>
        <w:ind w:left="6480" w:hanging="360"/>
      </w:pPr>
      <w:rPr>
        <w:rFonts w:ascii="Wingdings" w:hAnsi="Wingdings" w:hint="default"/>
      </w:rPr>
    </w:lvl>
  </w:abstractNum>
  <w:abstractNum w:abstractNumId="5" w15:restartNumberingAfterBreak="0">
    <w:nsid w:val="03975455"/>
    <w:multiLevelType w:val="hybridMultilevel"/>
    <w:tmpl w:val="1D685FCC"/>
    <w:lvl w:ilvl="0" w:tplc="7D70BF6E">
      <w:start w:val="1"/>
      <w:numFmt w:val="decimal"/>
      <w:lvlText w:val="%1."/>
      <w:lvlJc w:val="left"/>
      <w:pPr>
        <w:ind w:left="720" w:hanging="360"/>
      </w:pPr>
      <w:rPr>
        <w:rFonts w:ascii="Times New Roman" w:hAnsi="Times New Roman" w:cs="Times New Roman"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3A2098C"/>
    <w:multiLevelType w:val="hybridMultilevel"/>
    <w:tmpl w:val="FC2E1534"/>
    <w:lvl w:ilvl="0" w:tplc="50CAAC8E">
      <w:start w:val="1"/>
      <w:numFmt w:val="bullet"/>
      <w:lvlText w:val="-"/>
      <w:lvlJc w:val="left"/>
      <w:pPr>
        <w:ind w:left="720" w:hanging="360"/>
      </w:pPr>
      <w:rPr>
        <w:rFonts w:ascii="&quot;Times New Roman&quot;,serif" w:hAnsi="&quot;Times New Roman&quot;,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D11E79"/>
    <w:multiLevelType w:val="hybridMultilevel"/>
    <w:tmpl w:val="D792A3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 w15:restartNumberingAfterBreak="0">
    <w:nsid w:val="03EC171C"/>
    <w:multiLevelType w:val="hybridMultilevel"/>
    <w:tmpl w:val="78025C8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4ED349A"/>
    <w:multiLevelType w:val="multilevel"/>
    <w:tmpl w:val="72C6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C16CB7"/>
    <w:multiLevelType w:val="hybridMultilevel"/>
    <w:tmpl w:val="FB7ED93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104C94"/>
    <w:multiLevelType w:val="hybridMultilevel"/>
    <w:tmpl w:val="42983CCE"/>
    <w:lvl w:ilvl="0" w:tplc="34806D7A">
      <w:start w:val="1"/>
      <w:numFmt w:val="bullet"/>
      <w:lvlText w:val=""/>
      <w:lvlJc w:val="left"/>
      <w:pPr>
        <w:ind w:left="1080" w:hanging="360"/>
      </w:pPr>
      <w:rPr>
        <w:rFonts w:ascii="Symbol" w:hAnsi="Symbol"/>
      </w:rPr>
    </w:lvl>
    <w:lvl w:ilvl="1" w:tplc="5D6A2214">
      <w:start w:val="1"/>
      <w:numFmt w:val="bullet"/>
      <w:lvlText w:val=""/>
      <w:lvlJc w:val="left"/>
      <w:pPr>
        <w:ind w:left="1080" w:hanging="360"/>
      </w:pPr>
      <w:rPr>
        <w:rFonts w:ascii="Symbol" w:hAnsi="Symbol"/>
      </w:rPr>
    </w:lvl>
    <w:lvl w:ilvl="2" w:tplc="E368941E">
      <w:start w:val="1"/>
      <w:numFmt w:val="bullet"/>
      <w:lvlText w:val=""/>
      <w:lvlJc w:val="left"/>
      <w:pPr>
        <w:ind w:left="1080" w:hanging="360"/>
      </w:pPr>
      <w:rPr>
        <w:rFonts w:ascii="Symbol" w:hAnsi="Symbol"/>
      </w:rPr>
    </w:lvl>
    <w:lvl w:ilvl="3" w:tplc="CF966B12">
      <w:start w:val="1"/>
      <w:numFmt w:val="bullet"/>
      <w:lvlText w:val=""/>
      <w:lvlJc w:val="left"/>
      <w:pPr>
        <w:ind w:left="1080" w:hanging="360"/>
      </w:pPr>
      <w:rPr>
        <w:rFonts w:ascii="Symbol" w:hAnsi="Symbol"/>
      </w:rPr>
    </w:lvl>
    <w:lvl w:ilvl="4" w:tplc="098CB110">
      <w:start w:val="1"/>
      <w:numFmt w:val="bullet"/>
      <w:lvlText w:val=""/>
      <w:lvlJc w:val="left"/>
      <w:pPr>
        <w:ind w:left="1080" w:hanging="360"/>
      </w:pPr>
      <w:rPr>
        <w:rFonts w:ascii="Symbol" w:hAnsi="Symbol"/>
      </w:rPr>
    </w:lvl>
    <w:lvl w:ilvl="5" w:tplc="387419FA">
      <w:start w:val="1"/>
      <w:numFmt w:val="bullet"/>
      <w:lvlText w:val=""/>
      <w:lvlJc w:val="left"/>
      <w:pPr>
        <w:ind w:left="1080" w:hanging="360"/>
      </w:pPr>
      <w:rPr>
        <w:rFonts w:ascii="Symbol" w:hAnsi="Symbol"/>
      </w:rPr>
    </w:lvl>
    <w:lvl w:ilvl="6" w:tplc="DA22EDDC">
      <w:start w:val="1"/>
      <w:numFmt w:val="bullet"/>
      <w:lvlText w:val=""/>
      <w:lvlJc w:val="left"/>
      <w:pPr>
        <w:ind w:left="1080" w:hanging="360"/>
      </w:pPr>
      <w:rPr>
        <w:rFonts w:ascii="Symbol" w:hAnsi="Symbol"/>
      </w:rPr>
    </w:lvl>
    <w:lvl w:ilvl="7" w:tplc="96F845D6">
      <w:start w:val="1"/>
      <w:numFmt w:val="bullet"/>
      <w:lvlText w:val=""/>
      <w:lvlJc w:val="left"/>
      <w:pPr>
        <w:ind w:left="1080" w:hanging="360"/>
      </w:pPr>
      <w:rPr>
        <w:rFonts w:ascii="Symbol" w:hAnsi="Symbol"/>
      </w:rPr>
    </w:lvl>
    <w:lvl w:ilvl="8" w:tplc="8C5C46EE">
      <w:start w:val="1"/>
      <w:numFmt w:val="bullet"/>
      <w:lvlText w:val=""/>
      <w:lvlJc w:val="left"/>
      <w:pPr>
        <w:ind w:left="1080" w:hanging="360"/>
      </w:pPr>
      <w:rPr>
        <w:rFonts w:ascii="Symbol" w:hAnsi="Symbol"/>
      </w:rPr>
    </w:lvl>
  </w:abstractNum>
  <w:abstractNum w:abstractNumId="12" w15:restartNumberingAfterBreak="0">
    <w:nsid w:val="09677712"/>
    <w:multiLevelType w:val="hybridMultilevel"/>
    <w:tmpl w:val="74BCB504"/>
    <w:lvl w:ilvl="0" w:tplc="9702B38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AF1DBC"/>
    <w:multiLevelType w:val="hybridMultilevel"/>
    <w:tmpl w:val="A928D0EA"/>
    <w:lvl w:ilvl="0" w:tplc="5028A44A">
      <w:numFmt w:val="bullet"/>
      <w:lvlText w:val="-"/>
      <w:lvlJc w:val="left"/>
      <w:pPr>
        <w:ind w:left="1210" w:hanging="360"/>
      </w:pPr>
      <w:rPr>
        <w:rFonts w:ascii="Times New Roman" w:hAnsi="Times New Roman" w:hint="default"/>
        <w:lang w:val="en-GB"/>
      </w:rPr>
    </w:lvl>
    <w:lvl w:ilvl="1" w:tplc="550892B4">
      <w:start w:val="1"/>
      <w:numFmt w:val="bullet"/>
      <w:lvlText w:val="o"/>
      <w:lvlJc w:val="left"/>
      <w:pPr>
        <w:ind w:left="2355" w:hanging="360"/>
      </w:pPr>
      <w:rPr>
        <w:rFonts w:ascii="Courier New" w:hAnsi="Courier New" w:hint="default"/>
      </w:rPr>
    </w:lvl>
    <w:lvl w:ilvl="2" w:tplc="68749D3A">
      <w:start w:val="1"/>
      <w:numFmt w:val="bullet"/>
      <w:lvlText w:val=""/>
      <w:lvlJc w:val="left"/>
      <w:pPr>
        <w:ind w:left="3075" w:hanging="360"/>
      </w:pPr>
      <w:rPr>
        <w:rFonts w:ascii="Wingdings" w:hAnsi="Wingdings" w:hint="default"/>
      </w:rPr>
    </w:lvl>
    <w:lvl w:ilvl="3" w:tplc="3F6C9B9E" w:tentative="1">
      <w:start w:val="1"/>
      <w:numFmt w:val="bullet"/>
      <w:lvlText w:val=""/>
      <w:lvlJc w:val="left"/>
      <w:pPr>
        <w:ind w:left="3795" w:hanging="360"/>
      </w:pPr>
      <w:rPr>
        <w:rFonts w:ascii="Symbol" w:hAnsi="Symbol" w:hint="default"/>
      </w:rPr>
    </w:lvl>
    <w:lvl w:ilvl="4" w:tplc="6B7C1166" w:tentative="1">
      <w:start w:val="1"/>
      <w:numFmt w:val="bullet"/>
      <w:lvlText w:val="o"/>
      <w:lvlJc w:val="left"/>
      <w:pPr>
        <w:ind w:left="4515" w:hanging="360"/>
      </w:pPr>
      <w:rPr>
        <w:rFonts w:ascii="Courier New" w:hAnsi="Courier New" w:hint="default"/>
      </w:rPr>
    </w:lvl>
    <w:lvl w:ilvl="5" w:tplc="B62679A8" w:tentative="1">
      <w:start w:val="1"/>
      <w:numFmt w:val="bullet"/>
      <w:lvlText w:val=""/>
      <w:lvlJc w:val="left"/>
      <w:pPr>
        <w:ind w:left="5235" w:hanging="360"/>
      </w:pPr>
      <w:rPr>
        <w:rFonts w:ascii="Wingdings" w:hAnsi="Wingdings" w:hint="default"/>
      </w:rPr>
    </w:lvl>
    <w:lvl w:ilvl="6" w:tplc="C834121A" w:tentative="1">
      <w:start w:val="1"/>
      <w:numFmt w:val="bullet"/>
      <w:lvlText w:val=""/>
      <w:lvlJc w:val="left"/>
      <w:pPr>
        <w:ind w:left="5955" w:hanging="360"/>
      </w:pPr>
      <w:rPr>
        <w:rFonts w:ascii="Symbol" w:hAnsi="Symbol" w:hint="default"/>
      </w:rPr>
    </w:lvl>
    <w:lvl w:ilvl="7" w:tplc="D33AFB0A" w:tentative="1">
      <w:start w:val="1"/>
      <w:numFmt w:val="bullet"/>
      <w:lvlText w:val="o"/>
      <w:lvlJc w:val="left"/>
      <w:pPr>
        <w:ind w:left="6675" w:hanging="360"/>
      </w:pPr>
      <w:rPr>
        <w:rFonts w:ascii="Courier New" w:hAnsi="Courier New" w:hint="default"/>
      </w:rPr>
    </w:lvl>
    <w:lvl w:ilvl="8" w:tplc="6C741C5C" w:tentative="1">
      <w:start w:val="1"/>
      <w:numFmt w:val="bullet"/>
      <w:lvlText w:val=""/>
      <w:lvlJc w:val="left"/>
      <w:pPr>
        <w:ind w:left="7395" w:hanging="360"/>
      </w:pPr>
      <w:rPr>
        <w:rFonts w:ascii="Wingdings" w:hAnsi="Wingdings" w:hint="default"/>
      </w:rPr>
    </w:lvl>
  </w:abstractNum>
  <w:abstractNum w:abstractNumId="14" w15:restartNumberingAfterBreak="0">
    <w:nsid w:val="09D14954"/>
    <w:multiLevelType w:val="hybridMultilevel"/>
    <w:tmpl w:val="207EE0DA"/>
    <w:lvl w:ilvl="0" w:tplc="ADE26600">
      <w:start w:val="1"/>
      <w:numFmt w:val="bullet"/>
      <w:lvlText w:val="-"/>
      <w:lvlJc w:val="left"/>
      <w:pPr>
        <w:ind w:left="720" w:hanging="360"/>
      </w:pPr>
      <w:rPr>
        <w:rFonts w:ascii="Aptos" w:hAnsi="Aptos" w:hint="default"/>
      </w:rPr>
    </w:lvl>
    <w:lvl w:ilvl="1" w:tplc="9D346B54">
      <w:start w:val="1"/>
      <w:numFmt w:val="bullet"/>
      <w:lvlText w:val="o"/>
      <w:lvlJc w:val="left"/>
      <w:pPr>
        <w:ind w:left="1440" w:hanging="360"/>
      </w:pPr>
      <w:rPr>
        <w:rFonts w:ascii="Courier New" w:hAnsi="Courier New" w:hint="default"/>
      </w:rPr>
    </w:lvl>
    <w:lvl w:ilvl="2" w:tplc="FDD2FE06">
      <w:start w:val="1"/>
      <w:numFmt w:val="bullet"/>
      <w:lvlText w:val=""/>
      <w:lvlJc w:val="left"/>
      <w:pPr>
        <w:ind w:left="2160" w:hanging="360"/>
      </w:pPr>
      <w:rPr>
        <w:rFonts w:ascii="Wingdings" w:hAnsi="Wingdings" w:hint="default"/>
      </w:rPr>
    </w:lvl>
    <w:lvl w:ilvl="3" w:tplc="E902A8DA">
      <w:start w:val="1"/>
      <w:numFmt w:val="bullet"/>
      <w:lvlText w:val=""/>
      <w:lvlJc w:val="left"/>
      <w:pPr>
        <w:ind w:left="2880" w:hanging="360"/>
      </w:pPr>
      <w:rPr>
        <w:rFonts w:ascii="Symbol" w:hAnsi="Symbol" w:hint="default"/>
      </w:rPr>
    </w:lvl>
    <w:lvl w:ilvl="4" w:tplc="2FFC4324">
      <w:start w:val="1"/>
      <w:numFmt w:val="bullet"/>
      <w:lvlText w:val="o"/>
      <w:lvlJc w:val="left"/>
      <w:pPr>
        <w:ind w:left="3600" w:hanging="360"/>
      </w:pPr>
      <w:rPr>
        <w:rFonts w:ascii="Courier New" w:hAnsi="Courier New" w:hint="default"/>
      </w:rPr>
    </w:lvl>
    <w:lvl w:ilvl="5" w:tplc="1EC834C2">
      <w:start w:val="1"/>
      <w:numFmt w:val="bullet"/>
      <w:lvlText w:val=""/>
      <w:lvlJc w:val="left"/>
      <w:pPr>
        <w:ind w:left="4320" w:hanging="360"/>
      </w:pPr>
      <w:rPr>
        <w:rFonts w:ascii="Wingdings" w:hAnsi="Wingdings" w:hint="default"/>
      </w:rPr>
    </w:lvl>
    <w:lvl w:ilvl="6" w:tplc="745C58F0">
      <w:start w:val="1"/>
      <w:numFmt w:val="bullet"/>
      <w:lvlText w:val=""/>
      <w:lvlJc w:val="left"/>
      <w:pPr>
        <w:ind w:left="5040" w:hanging="360"/>
      </w:pPr>
      <w:rPr>
        <w:rFonts w:ascii="Symbol" w:hAnsi="Symbol" w:hint="default"/>
      </w:rPr>
    </w:lvl>
    <w:lvl w:ilvl="7" w:tplc="4910382A">
      <w:start w:val="1"/>
      <w:numFmt w:val="bullet"/>
      <w:lvlText w:val="o"/>
      <w:lvlJc w:val="left"/>
      <w:pPr>
        <w:ind w:left="5760" w:hanging="360"/>
      </w:pPr>
      <w:rPr>
        <w:rFonts w:ascii="Courier New" w:hAnsi="Courier New" w:hint="default"/>
      </w:rPr>
    </w:lvl>
    <w:lvl w:ilvl="8" w:tplc="26A25956">
      <w:start w:val="1"/>
      <w:numFmt w:val="bullet"/>
      <w:lvlText w:val=""/>
      <w:lvlJc w:val="left"/>
      <w:pPr>
        <w:ind w:left="6480" w:hanging="360"/>
      </w:pPr>
      <w:rPr>
        <w:rFonts w:ascii="Wingdings" w:hAnsi="Wingdings" w:hint="default"/>
      </w:rPr>
    </w:lvl>
  </w:abstractNum>
  <w:abstractNum w:abstractNumId="15" w15:restartNumberingAfterBreak="0">
    <w:nsid w:val="0A8073B2"/>
    <w:multiLevelType w:val="hybridMultilevel"/>
    <w:tmpl w:val="80A8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7F2DAF"/>
    <w:multiLevelType w:val="hybridMultilevel"/>
    <w:tmpl w:val="AED24E26"/>
    <w:lvl w:ilvl="0" w:tplc="11462D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C85D18"/>
    <w:multiLevelType w:val="hybridMultilevel"/>
    <w:tmpl w:val="FBB639A0"/>
    <w:lvl w:ilvl="0" w:tplc="2456708E">
      <w:start w:val="1"/>
      <w:numFmt w:val="bullet"/>
      <w:lvlText w:val="-"/>
      <w:lvlJc w:val="left"/>
      <w:pPr>
        <w:ind w:left="720" w:hanging="360"/>
      </w:pPr>
      <w:rPr>
        <w:rFonts w:ascii="Aptos" w:hAnsi="Aptos" w:hint="default"/>
      </w:rPr>
    </w:lvl>
    <w:lvl w:ilvl="1" w:tplc="54DE2E38">
      <w:start w:val="1"/>
      <w:numFmt w:val="bullet"/>
      <w:lvlText w:val="o"/>
      <w:lvlJc w:val="left"/>
      <w:pPr>
        <w:ind w:left="1440" w:hanging="360"/>
      </w:pPr>
      <w:rPr>
        <w:rFonts w:ascii="Courier New" w:hAnsi="Courier New" w:hint="default"/>
      </w:rPr>
    </w:lvl>
    <w:lvl w:ilvl="2" w:tplc="7150949E">
      <w:start w:val="1"/>
      <w:numFmt w:val="bullet"/>
      <w:lvlText w:val=""/>
      <w:lvlJc w:val="left"/>
      <w:pPr>
        <w:ind w:left="2160" w:hanging="360"/>
      </w:pPr>
      <w:rPr>
        <w:rFonts w:ascii="Wingdings" w:hAnsi="Wingdings" w:hint="default"/>
      </w:rPr>
    </w:lvl>
    <w:lvl w:ilvl="3" w:tplc="F06E3584">
      <w:start w:val="1"/>
      <w:numFmt w:val="bullet"/>
      <w:lvlText w:val=""/>
      <w:lvlJc w:val="left"/>
      <w:pPr>
        <w:ind w:left="2880" w:hanging="360"/>
      </w:pPr>
      <w:rPr>
        <w:rFonts w:ascii="Symbol" w:hAnsi="Symbol" w:hint="default"/>
      </w:rPr>
    </w:lvl>
    <w:lvl w:ilvl="4" w:tplc="7DE662C4">
      <w:start w:val="1"/>
      <w:numFmt w:val="bullet"/>
      <w:lvlText w:val="o"/>
      <w:lvlJc w:val="left"/>
      <w:pPr>
        <w:ind w:left="3600" w:hanging="360"/>
      </w:pPr>
      <w:rPr>
        <w:rFonts w:ascii="Courier New" w:hAnsi="Courier New" w:hint="default"/>
      </w:rPr>
    </w:lvl>
    <w:lvl w:ilvl="5" w:tplc="7B96A2C0">
      <w:start w:val="1"/>
      <w:numFmt w:val="bullet"/>
      <w:lvlText w:val=""/>
      <w:lvlJc w:val="left"/>
      <w:pPr>
        <w:ind w:left="4320" w:hanging="360"/>
      </w:pPr>
      <w:rPr>
        <w:rFonts w:ascii="Wingdings" w:hAnsi="Wingdings" w:hint="default"/>
      </w:rPr>
    </w:lvl>
    <w:lvl w:ilvl="6" w:tplc="3480A4E0">
      <w:start w:val="1"/>
      <w:numFmt w:val="bullet"/>
      <w:lvlText w:val=""/>
      <w:lvlJc w:val="left"/>
      <w:pPr>
        <w:ind w:left="5040" w:hanging="360"/>
      </w:pPr>
      <w:rPr>
        <w:rFonts w:ascii="Symbol" w:hAnsi="Symbol" w:hint="default"/>
      </w:rPr>
    </w:lvl>
    <w:lvl w:ilvl="7" w:tplc="D682CE68">
      <w:start w:val="1"/>
      <w:numFmt w:val="bullet"/>
      <w:lvlText w:val="o"/>
      <w:lvlJc w:val="left"/>
      <w:pPr>
        <w:ind w:left="5760" w:hanging="360"/>
      </w:pPr>
      <w:rPr>
        <w:rFonts w:ascii="Courier New" w:hAnsi="Courier New" w:hint="default"/>
      </w:rPr>
    </w:lvl>
    <w:lvl w:ilvl="8" w:tplc="281C4512">
      <w:start w:val="1"/>
      <w:numFmt w:val="bullet"/>
      <w:lvlText w:val=""/>
      <w:lvlJc w:val="left"/>
      <w:pPr>
        <w:ind w:left="6480" w:hanging="360"/>
      </w:pPr>
      <w:rPr>
        <w:rFonts w:ascii="Wingdings" w:hAnsi="Wingdings" w:hint="default"/>
      </w:rPr>
    </w:lvl>
  </w:abstractNum>
  <w:abstractNum w:abstractNumId="18" w15:restartNumberingAfterBreak="0">
    <w:nsid w:val="0EDA7252"/>
    <w:multiLevelType w:val="hybridMultilevel"/>
    <w:tmpl w:val="D2048F74"/>
    <w:lvl w:ilvl="0" w:tplc="7A72C7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2D47A8"/>
    <w:multiLevelType w:val="hybridMultilevel"/>
    <w:tmpl w:val="923A47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31F48BE"/>
    <w:multiLevelType w:val="hybridMultilevel"/>
    <w:tmpl w:val="566AAF3E"/>
    <w:lvl w:ilvl="0" w:tplc="08090003">
      <w:start w:val="1"/>
      <w:numFmt w:val="bullet"/>
      <w:lvlText w:val="o"/>
      <w:lvlJc w:val="left"/>
      <w:pPr>
        <w:ind w:left="1570" w:hanging="360"/>
      </w:pPr>
      <w:rPr>
        <w:rFonts w:ascii="Courier New" w:hAnsi="Courier New" w:cs="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1" w15:restartNumberingAfterBreak="0">
    <w:nsid w:val="19B5690F"/>
    <w:multiLevelType w:val="hybridMultilevel"/>
    <w:tmpl w:val="5FDAAF68"/>
    <w:lvl w:ilvl="0" w:tplc="46768498">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1C9D76F9"/>
    <w:multiLevelType w:val="hybridMultilevel"/>
    <w:tmpl w:val="21BA6686"/>
    <w:lvl w:ilvl="0" w:tplc="69D21410">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D25E34"/>
    <w:multiLevelType w:val="hybridMultilevel"/>
    <w:tmpl w:val="53FEC7DE"/>
    <w:lvl w:ilvl="0" w:tplc="36C8F79E">
      <w:start w:val="16"/>
      <w:numFmt w:val="bullet"/>
      <w:lvlText w:val="-"/>
      <w:lvlJc w:val="left"/>
      <w:pPr>
        <w:ind w:left="1154" w:hanging="360"/>
      </w:pPr>
      <w:rPr>
        <w:rFonts w:ascii="Calibri" w:eastAsia="Calibri" w:hAnsi="Calibri" w:cs="Calibri" w:hint="default"/>
      </w:rPr>
    </w:lvl>
    <w:lvl w:ilvl="1" w:tplc="08090003">
      <w:start w:val="1"/>
      <w:numFmt w:val="bullet"/>
      <w:lvlText w:val="o"/>
      <w:lvlJc w:val="left"/>
      <w:pPr>
        <w:ind w:left="1874" w:hanging="360"/>
      </w:pPr>
      <w:rPr>
        <w:rFonts w:ascii="Courier New" w:hAnsi="Courier New" w:cs="Courier New" w:hint="default"/>
      </w:rPr>
    </w:lvl>
    <w:lvl w:ilvl="2" w:tplc="08090005">
      <w:start w:val="1"/>
      <w:numFmt w:val="bullet"/>
      <w:lvlText w:val=""/>
      <w:lvlJc w:val="left"/>
      <w:pPr>
        <w:ind w:left="2594" w:hanging="360"/>
      </w:pPr>
      <w:rPr>
        <w:rFonts w:ascii="Wingdings" w:hAnsi="Wingdings" w:hint="default"/>
      </w:rPr>
    </w:lvl>
    <w:lvl w:ilvl="3" w:tplc="08090001">
      <w:start w:val="1"/>
      <w:numFmt w:val="bullet"/>
      <w:lvlText w:val=""/>
      <w:lvlJc w:val="left"/>
      <w:pPr>
        <w:ind w:left="3314" w:hanging="360"/>
      </w:pPr>
      <w:rPr>
        <w:rFonts w:ascii="Symbol" w:hAnsi="Symbol" w:hint="default"/>
      </w:rPr>
    </w:lvl>
    <w:lvl w:ilvl="4" w:tplc="08090003">
      <w:start w:val="1"/>
      <w:numFmt w:val="bullet"/>
      <w:lvlText w:val="o"/>
      <w:lvlJc w:val="left"/>
      <w:pPr>
        <w:ind w:left="4034" w:hanging="360"/>
      </w:pPr>
      <w:rPr>
        <w:rFonts w:ascii="Courier New" w:hAnsi="Courier New" w:cs="Courier New" w:hint="default"/>
      </w:rPr>
    </w:lvl>
    <w:lvl w:ilvl="5" w:tplc="08090005">
      <w:start w:val="1"/>
      <w:numFmt w:val="bullet"/>
      <w:lvlText w:val=""/>
      <w:lvlJc w:val="left"/>
      <w:pPr>
        <w:ind w:left="4754" w:hanging="360"/>
      </w:pPr>
      <w:rPr>
        <w:rFonts w:ascii="Wingdings" w:hAnsi="Wingdings" w:hint="default"/>
      </w:rPr>
    </w:lvl>
    <w:lvl w:ilvl="6" w:tplc="08090001">
      <w:start w:val="1"/>
      <w:numFmt w:val="bullet"/>
      <w:lvlText w:val=""/>
      <w:lvlJc w:val="left"/>
      <w:pPr>
        <w:ind w:left="5474" w:hanging="360"/>
      </w:pPr>
      <w:rPr>
        <w:rFonts w:ascii="Symbol" w:hAnsi="Symbol" w:hint="default"/>
      </w:rPr>
    </w:lvl>
    <w:lvl w:ilvl="7" w:tplc="08090003">
      <w:start w:val="1"/>
      <w:numFmt w:val="bullet"/>
      <w:lvlText w:val="o"/>
      <w:lvlJc w:val="left"/>
      <w:pPr>
        <w:ind w:left="6194" w:hanging="360"/>
      </w:pPr>
      <w:rPr>
        <w:rFonts w:ascii="Courier New" w:hAnsi="Courier New" w:cs="Courier New" w:hint="default"/>
      </w:rPr>
    </w:lvl>
    <w:lvl w:ilvl="8" w:tplc="08090005">
      <w:start w:val="1"/>
      <w:numFmt w:val="bullet"/>
      <w:lvlText w:val=""/>
      <w:lvlJc w:val="left"/>
      <w:pPr>
        <w:ind w:left="6914" w:hanging="360"/>
      </w:pPr>
      <w:rPr>
        <w:rFonts w:ascii="Wingdings" w:hAnsi="Wingdings" w:hint="default"/>
      </w:rPr>
    </w:lvl>
  </w:abstractNum>
  <w:abstractNum w:abstractNumId="24" w15:restartNumberingAfterBreak="0">
    <w:nsid w:val="1CEC511B"/>
    <w:multiLevelType w:val="hybridMultilevel"/>
    <w:tmpl w:val="1782313E"/>
    <w:lvl w:ilvl="0" w:tplc="4D96FE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9648CD"/>
    <w:multiLevelType w:val="hybridMultilevel"/>
    <w:tmpl w:val="B1187E42"/>
    <w:lvl w:ilvl="0" w:tplc="D528050C">
      <w:numFmt w:val="bullet"/>
      <w:lvlText w:val="-"/>
      <w:lvlJc w:val="left"/>
      <w:pPr>
        <w:ind w:left="1210" w:hanging="360"/>
      </w:pPr>
      <w:rPr>
        <w:rFonts w:ascii="Times New Roman" w:eastAsia="Calibri"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6" w15:restartNumberingAfterBreak="0">
    <w:nsid w:val="1D991E80"/>
    <w:multiLevelType w:val="hybridMultilevel"/>
    <w:tmpl w:val="AF5CCC58"/>
    <w:lvl w:ilvl="0" w:tplc="08090001">
      <w:start w:val="1"/>
      <w:numFmt w:val="bullet"/>
      <w:lvlText w:val=""/>
      <w:lvlJc w:val="left"/>
      <w:pPr>
        <w:ind w:left="1634" w:hanging="360"/>
      </w:pPr>
      <w:rPr>
        <w:rFonts w:ascii="Symbol" w:hAnsi="Symbol" w:hint="default"/>
      </w:rPr>
    </w:lvl>
    <w:lvl w:ilvl="1" w:tplc="08090003" w:tentative="1">
      <w:start w:val="1"/>
      <w:numFmt w:val="bullet"/>
      <w:lvlText w:val="o"/>
      <w:lvlJc w:val="left"/>
      <w:pPr>
        <w:ind w:left="2354" w:hanging="360"/>
      </w:pPr>
      <w:rPr>
        <w:rFonts w:ascii="Courier New" w:hAnsi="Courier New" w:cs="Courier New" w:hint="default"/>
      </w:rPr>
    </w:lvl>
    <w:lvl w:ilvl="2" w:tplc="08090005" w:tentative="1">
      <w:start w:val="1"/>
      <w:numFmt w:val="bullet"/>
      <w:lvlText w:val=""/>
      <w:lvlJc w:val="left"/>
      <w:pPr>
        <w:ind w:left="3074" w:hanging="360"/>
      </w:pPr>
      <w:rPr>
        <w:rFonts w:ascii="Wingdings" w:hAnsi="Wingdings" w:hint="default"/>
      </w:rPr>
    </w:lvl>
    <w:lvl w:ilvl="3" w:tplc="08090001" w:tentative="1">
      <w:start w:val="1"/>
      <w:numFmt w:val="bullet"/>
      <w:lvlText w:val=""/>
      <w:lvlJc w:val="left"/>
      <w:pPr>
        <w:ind w:left="3794" w:hanging="360"/>
      </w:pPr>
      <w:rPr>
        <w:rFonts w:ascii="Symbol" w:hAnsi="Symbol" w:hint="default"/>
      </w:rPr>
    </w:lvl>
    <w:lvl w:ilvl="4" w:tplc="08090003" w:tentative="1">
      <w:start w:val="1"/>
      <w:numFmt w:val="bullet"/>
      <w:lvlText w:val="o"/>
      <w:lvlJc w:val="left"/>
      <w:pPr>
        <w:ind w:left="4514" w:hanging="360"/>
      </w:pPr>
      <w:rPr>
        <w:rFonts w:ascii="Courier New" w:hAnsi="Courier New" w:cs="Courier New" w:hint="default"/>
      </w:rPr>
    </w:lvl>
    <w:lvl w:ilvl="5" w:tplc="08090005" w:tentative="1">
      <w:start w:val="1"/>
      <w:numFmt w:val="bullet"/>
      <w:lvlText w:val=""/>
      <w:lvlJc w:val="left"/>
      <w:pPr>
        <w:ind w:left="5234" w:hanging="360"/>
      </w:pPr>
      <w:rPr>
        <w:rFonts w:ascii="Wingdings" w:hAnsi="Wingdings" w:hint="default"/>
      </w:rPr>
    </w:lvl>
    <w:lvl w:ilvl="6" w:tplc="08090001" w:tentative="1">
      <w:start w:val="1"/>
      <w:numFmt w:val="bullet"/>
      <w:lvlText w:val=""/>
      <w:lvlJc w:val="left"/>
      <w:pPr>
        <w:ind w:left="5954" w:hanging="360"/>
      </w:pPr>
      <w:rPr>
        <w:rFonts w:ascii="Symbol" w:hAnsi="Symbol" w:hint="default"/>
      </w:rPr>
    </w:lvl>
    <w:lvl w:ilvl="7" w:tplc="08090003" w:tentative="1">
      <w:start w:val="1"/>
      <w:numFmt w:val="bullet"/>
      <w:lvlText w:val="o"/>
      <w:lvlJc w:val="left"/>
      <w:pPr>
        <w:ind w:left="6674" w:hanging="360"/>
      </w:pPr>
      <w:rPr>
        <w:rFonts w:ascii="Courier New" w:hAnsi="Courier New" w:cs="Courier New" w:hint="default"/>
      </w:rPr>
    </w:lvl>
    <w:lvl w:ilvl="8" w:tplc="08090005" w:tentative="1">
      <w:start w:val="1"/>
      <w:numFmt w:val="bullet"/>
      <w:lvlText w:val=""/>
      <w:lvlJc w:val="left"/>
      <w:pPr>
        <w:ind w:left="7394" w:hanging="360"/>
      </w:pPr>
      <w:rPr>
        <w:rFonts w:ascii="Wingdings" w:hAnsi="Wingdings" w:hint="default"/>
      </w:rPr>
    </w:lvl>
  </w:abstractNum>
  <w:abstractNum w:abstractNumId="27" w15:restartNumberingAfterBreak="0">
    <w:nsid w:val="1E6E1E02"/>
    <w:multiLevelType w:val="hybridMultilevel"/>
    <w:tmpl w:val="D494A8E4"/>
    <w:lvl w:ilvl="0" w:tplc="63C0261A">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2E44180"/>
    <w:multiLevelType w:val="multilevel"/>
    <w:tmpl w:val="F9EA3A10"/>
    <w:lvl w:ilvl="0">
      <w:start w:val="1"/>
      <w:numFmt w:val="decimal"/>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E72AA5"/>
    <w:multiLevelType w:val="hybridMultilevel"/>
    <w:tmpl w:val="654459E8"/>
    <w:lvl w:ilvl="0" w:tplc="6AD857AE">
      <w:start w:val="1"/>
      <w:numFmt w:val="bullet"/>
      <w:lvlText w:val=""/>
      <w:lvlJc w:val="left"/>
      <w:pPr>
        <w:ind w:left="1440" w:hanging="360"/>
      </w:pPr>
      <w:rPr>
        <w:rFonts w:ascii="Symbol" w:hAnsi="Symbol"/>
      </w:rPr>
    </w:lvl>
    <w:lvl w:ilvl="1" w:tplc="02F85210">
      <w:start w:val="1"/>
      <w:numFmt w:val="bullet"/>
      <w:lvlText w:val=""/>
      <w:lvlJc w:val="left"/>
      <w:pPr>
        <w:ind w:left="1440" w:hanging="360"/>
      </w:pPr>
      <w:rPr>
        <w:rFonts w:ascii="Symbol" w:hAnsi="Symbol"/>
      </w:rPr>
    </w:lvl>
    <w:lvl w:ilvl="2" w:tplc="868C41A2">
      <w:start w:val="1"/>
      <w:numFmt w:val="bullet"/>
      <w:lvlText w:val=""/>
      <w:lvlJc w:val="left"/>
      <w:pPr>
        <w:ind w:left="1440" w:hanging="360"/>
      </w:pPr>
      <w:rPr>
        <w:rFonts w:ascii="Symbol" w:hAnsi="Symbol"/>
      </w:rPr>
    </w:lvl>
    <w:lvl w:ilvl="3" w:tplc="4680EDA4">
      <w:start w:val="1"/>
      <w:numFmt w:val="bullet"/>
      <w:lvlText w:val=""/>
      <w:lvlJc w:val="left"/>
      <w:pPr>
        <w:ind w:left="1440" w:hanging="360"/>
      </w:pPr>
      <w:rPr>
        <w:rFonts w:ascii="Symbol" w:hAnsi="Symbol"/>
      </w:rPr>
    </w:lvl>
    <w:lvl w:ilvl="4" w:tplc="42E6E360">
      <w:start w:val="1"/>
      <w:numFmt w:val="bullet"/>
      <w:lvlText w:val=""/>
      <w:lvlJc w:val="left"/>
      <w:pPr>
        <w:ind w:left="1440" w:hanging="360"/>
      </w:pPr>
      <w:rPr>
        <w:rFonts w:ascii="Symbol" w:hAnsi="Symbol"/>
      </w:rPr>
    </w:lvl>
    <w:lvl w:ilvl="5" w:tplc="85DCC81C">
      <w:start w:val="1"/>
      <w:numFmt w:val="bullet"/>
      <w:lvlText w:val=""/>
      <w:lvlJc w:val="left"/>
      <w:pPr>
        <w:ind w:left="1440" w:hanging="360"/>
      </w:pPr>
      <w:rPr>
        <w:rFonts w:ascii="Symbol" w:hAnsi="Symbol"/>
      </w:rPr>
    </w:lvl>
    <w:lvl w:ilvl="6" w:tplc="87403842">
      <w:start w:val="1"/>
      <w:numFmt w:val="bullet"/>
      <w:lvlText w:val=""/>
      <w:lvlJc w:val="left"/>
      <w:pPr>
        <w:ind w:left="1440" w:hanging="360"/>
      </w:pPr>
      <w:rPr>
        <w:rFonts w:ascii="Symbol" w:hAnsi="Symbol"/>
      </w:rPr>
    </w:lvl>
    <w:lvl w:ilvl="7" w:tplc="B6F0BDFE">
      <w:start w:val="1"/>
      <w:numFmt w:val="bullet"/>
      <w:lvlText w:val=""/>
      <w:lvlJc w:val="left"/>
      <w:pPr>
        <w:ind w:left="1440" w:hanging="360"/>
      </w:pPr>
      <w:rPr>
        <w:rFonts w:ascii="Symbol" w:hAnsi="Symbol"/>
      </w:rPr>
    </w:lvl>
    <w:lvl w:ilvl="8" w:tplc="614862A2">
      <w:start w:val="1"/>
      <w:numFmt w:val="bullet"/>
      <w:lvlText w:val=""/>
      <w:lvlJc w:val="left"/>
      <w:pPr>
        <w:ind w:left="1440" w:hanging="360"/>
      </w:pPr>
      <w:rPr>
        <w:rFonts w:ascii="Symbol" w:hAnsi="Symbol"/>
      </w:rPr>
    </w:lvl>
  </w:abstractNum>
  <w:abstractNum w:abstractNumId="30" w15:restartNumberingAfterBreak="0">
    <w:nsid w:val="23C564E4"/>
    <w:multiLevelType w:val="hybridMultilevel"/>
    <w:tmpl w:val="73A86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2403854E"/>
    <w:multiLevelType w:val="hybridMultilevel"/>
    <w:tmpl w:val="06400FDC"/>
    <w:lvl w:ilvl="0" w:tplc="E4C873FA">
      <w:start w:val="1"/>
      <w:numFmt w:val="bullet"/>
      <w:lvlText w:val="-"/>
      <w:lvlJc w:val="left"/>
      <w:pPr>
        <w:ind w:left="720" w:hanging="360"/>
      </w:pPr>
      <w:rPr>
        <w:rFonts w:ascii="Aptos" w:hAnsi="Aptos" w:hint="default"/>
      </w:rPr>
    </w:lvl>
    <w:lvl w:ilvl="1" w:tplc="B5005084">
      <w:start w:val="1"/>
      <w:numFmt w:val="bullet"/>
      <w:lvlText w:val="o"/>
      <w:lvlJc w:val="left"/>
      <w:pPr>
        <w:ind w:left="1440" w:hanging="360"/>
      </w:pPr>
      <w:rPr>
        <w:rFonts w:ascii="Courier New" w:hAnsi="Courier New" w:hint="default"/>
      </w:rPr>
    </w:lvl>
    <w:lvl w:ilvl="2" w:tplc="390CF152">
      <w:start w:val="1"/>
      <w:numFmt w:val="bullet"/>
      <w:lvlText w:val=""/>
      <w:lvlJc w:val="left"/>
      <w:pPr>
        <w:ind w:left="2160" w:hanging="360"/>
      </w:pPr>
      <w:rPr>
        <w:rFonts w:ascii="Wingdings" w:hAnsi="Wingdings" w:hint="default"/>
      </w:rPr>
    </w:lvl>
    <w:lvl w:ilvl="3" w:tplc="78FAAB56">
      <w:start w:val="1"/>
      <w:numFmt w:val="bullet"/>
      <w:lvlText w:val=""/>
      <w:lvlJc w:val="left"/>
      <w:pPr>
        <w:ind w:left="2880" w:hanging="360"/>
      </w:pPr>
      <w:rPr>
        <w:rFonts w:ascii="Symbol" w:hAnsi="Symbol" w:hint="default"/>
      </w:rPr>
    </w:lvl>
    <w:lvl w:ilvl="4" w:tplc="91A4C5CE">
      <w:start w:val="1"/>
      <w:numFmt w:val="bullet"/>
      <w:lvlText w:val="o"/>
      <w:lvlJc w:val="left"/>
      <w:pPr>
        <w:ind w:left="3600" w:hanging="360"/>
      </w:pPr>
      <w:rPr>
        <w:rFonts w:ascii="Courier New" w:hAnsi="Courier New" w:hint="default"/>
      </w:rPr>
    </w:lvl>
    <w:lvl w:ilvl="5" w:tplc="E5B623F2">
      <w:start w:val="1"/>
      <w:numFmt w:val="bullet"/>
      <w:lvlText w:val=""/>
      <w:lvlJc w:val="left"/>
      <w:pPr>
        <w:ind w:left="4320" w:hanging="360"/>
      </w:pPr>
      <w:rPr>
        <w:rFonts w:ascii="Wingdings" w:hAnsi="Wingdings" w:hint="default"/>
      </w:rPr>
    </w:lvl>
    <w:lvl w:ilvl="6" w:tplc="58B215D0">
      <w:start w:val="1"/>
      <w:numFmt w:val="bullet"/>
      <w:lvlText w:val=""/>
      <w:lvlJc w:val="left"/>
      <w:pPr>
        <w:ind w:left="5040" w:hanging="360"/>
      </w:pPr>
      <w:rPr>
        <w:rFonts w:ascii="Symbol" w:hAnsi="Symbol" w:hint="default"/>
      </w:rPr>
    </w:lvl>
    <w:lvl w:ilvl="7" w:tplc="2584B2A6">
      <w:start w:val="1"/>
      <w:numFmt w:val="bullet"/>
      <w:lvlText w:val="o"/>
      <w:lvlJc w:val="left"/>
      <w:pPr>
        <w:ind w:left="5760" w:hanging="360"/>
      </w:pPr>
      <w:rPr>
        <w:rFonts w:ascii="Courier New" w:hAnsi="Courier New" w:hint="default"/>
      </w:rPr>
    </w:lvl>
    <w:lvl w:ilvl="8" w:tplc="41129B46">
      <w:start w:val="1"/>
      <w:numFmt w:val="bullet"/>
      <w:lvlText w:val=""/>
      <w:lvlJc w:val="left"/>
      <w:pPr>
        <w:ind w:left="6480" w:hanging="360"/>
      </w:pPr>
      <w:rPr>
        <w:rFonts w:ascii="Wingdings" w:hAnsi="Wingdings" w:hint="default"/>
      </w:rPr>
    </w:lvl>
  </w:abstractNum>
  <w:abstractNum w:abstractNumId="32" w15:restartNumberingAfterBreak="0">
    <w:nsid w:val="247568B0"/>
    <w:multiLevelType w:val="hybridMultilevel"/>
    <w:tmpl w:val="D410EF78"/>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5565152"/>
    <w:multiLevelType w:val="hybridMultilevel"/>
    <w:tmpl w:val="B1FECB4A"/>
    <w:lvl w:ilvl="0" w:tplc="51B02480">
      <w:start w:val="1"/>
      <w:numFmt w:val="bullet"/>
      <w:lvlText w:val="-"/>
      <w:lvlJc w:val="left"/>
      <w:pPr>
        <w:ind w:left="720" w:hanging="360"/>
      </w:pPr>
      <w:rPr>
        <w:rFonts w:ascii="Aptos" w:hAnsi="Aptos" w:hint="default"/>
      </w:rPr>
    </w:lvl>
    <w:lvl w:ilvl="1" w:tplc="C79A09DC">
      <w:start w:val="1"/>
      <w:numFmt w:val="bullet"/>
      <w:lvlText w:val="o"/>
      <w:lvlJc w:val="left"/>
      <w:pPr>
        <w:ind w:left="1440" w:hanging="360"/>
      </w:pPr>
      <w:rPr>
        <w:rFonts w:ascii="Courier New" w:hAnsi="Courier New" w:hint="default"/>
      </w:rPr>
    </w:lvl>
    <w:lvl w:ilvl="2" w:tplc="BD7612CA">
      <w:start w:val="1"/>
      <w:numFmt w:val="bullet"/>
      <w:lvlText w:val=""/>
      <w:lvlJc w:val="left"/>
      <w:pPr>
        <w:ind w:left="2160" w:hanging="360"/>
      </w:pPr>
      <w:rPr>
        <w:rFonts w:ascii="Wingdings" w:hAnsi="Wingdings" w:hint="default"/>
      </w:rPr>
    </w:lvl>
    <w:lvl w:ilvl="3" w:tplc="1FB025E8">
      <w:start w:val="1"/>
      <w:numFmt w:val="bullet"/>
      <w:lvlText w:val=""/>
      <w:lvlJc w:val="left"/>
      <w:pPr>
        <w:ind w:left="2880" w:hanging="360"/>
      </w:pPr>
      <w:rPr>
        <w:rFonts w:ascii="Symbol" w:hAnsi="Symbol" w:hint="default"/>
      </w:rPr>
    </w:lvl>
    <w:lvl w:ilvl="4" w:tplc="9CE44AC6">
      <w:start w:val="1"/>
      <w:numFmt w:val="bullet"/>
      <w:lvlText w:val="o"/>
      <w:lvlJc w:val="left"/>
      <w:pPr>
        <w:ind w:left="3600" w:hanging="360"/>
      </w:pPr>
      <w:rPr>
        <w:rFonts w:ascii="Courier New" w:hAnsi="Courier New" w:hint="default"/>
      </w:rPr>
    </w:lvl>
    <w:lvl w:ilvl="5" w:tplc="17989BC2">
      <w:start w:val="1"/>
      <w:numFmt w:val="bullet"/>
      <w:lvlText w:val=""/>
      <w:lvlJc w:val="left"/>
      <w:pPr>
        <w:ind w:left="4320" w:hanging="360"/>
      </w:pPr>
      <w:rPr>
        <w:rFonts w:ascii="Wingdings" w:hAnsi="Wingdings" w:hint="default"/>
      </w:rPr>
    </w:lvl>
    <w:lvl w:ilvl="6" w:tplc="EBF262FA">
      <w:start w:val="1"/>
      <w:numFmt w:val="bullet"/>
      <w:lvlText w:val=""/>
      <w:lvlJc w:val="left"/>
      <w:pPr>
        <w:ind w:left="5040" w:hanging="360"/>
      </w:pPr>
      <w:rPr>
        <w:rFonts w:ascii="Symbol" w:hAnsi="Symbol" w:hint="default"/>
      </w:rPr>
    </w:lvl>
    <w:lvl w:ilvl="7" w:tplc="6C3240B6">
      <w:start w:val="1"/>
      <w:numFmt w:val="bullet"/>
      <w:lvlText w:val="o"/>
      <w:lvlJc w:val="left"/>
      <w:pPr>
        <w:ind w:left="5760" w:hanging="360"/>
      </w:pPr>
      <w:rPr>
        <w:rFonts w:ascii="Courier New" w:hAnsi="Courier New" w:hint="default"/>
      </w:rPr>
    </w:lvl>
    <w:lvl w:ilvl="8" w:tplc="E8AC9DE2">
      <w:start w:val="1"/>
      <w:numFmt w:val="bullet"/>
      <w:lvlText w:val=""/>
      <w:lvlJc w:val="left"/>
      <w:pPr>
        <w:ind w:left="6480" w:hanging="360"/>
      </w:pPr>
      <w:rPr>
        <w:rFonts w:ascii="Wingdings" w:hAnsi="Wingdings" w:hint="default"/>
      </w:rPr>
    </w:lvl>
  </w:abstractNum>
  <w:abstractNum w:abstractNumId="34" w15:restartNumberingAfterBreak="0">
    <w:nsid w:val="27AC2862"/>
    <w:multiLevelType w:val="hybridMultilevel"/>
    <w:tmpl w:val="028AB2E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9820EA7"/>
    <w:multiLevelType w:val="hybridMultilevel"/>
    <w:tmpl w:val="A8F67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E5031C"/>
    <w:multiLevelType w:val="hybridMultilevel"/>
    <w:tmpl w:val="F6AA823A"/>
    <w:lvl w:ilvl="0" w:tplc="1809000F">
      <w:start w:val="1"/>
      <w:numFmt w:val="decimal"/>
      <w:lvlText w:val="%1."/>
      <w:lvlJc w:val="left"/>
      <w:pPr>
        <w:ind w:left="1571" w:hanging="360"/>
      </w:pPr>
    </w:lvl>
    <w:lvl w:ilvl="1" w:tplc="18090019">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7" w15:restartNumberingAfterBreak="0">
    <w:nsid w:val="2AAE20FE"/>
    <w:multiLevelType w:val="hybridMultilevel"/>
    <w:tmpl w:val="E31C5A1C"/>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B17513A"/>
    <w:multiLevelType w:val="hybridMultilevel"/>
    <w:tmpl w:val="EB688382"/>
    <w:lvl w:ilvl="0" w:tplc="966AECFE">
      <w:numFmt w:val="bullet"/>
      <w:lvlText w:val=""/>
      <w:lvlJc w:val="left"/>
      <w:pPr>
        <w:ind w:left="1420" w:hanging="570"/>
      </w:pPr>
      <w:rPr>
        <w:rFonts w:ascii="Symbol" w:eastAsia="Calibri" w:hAnsi="Symbol"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39" w15:restartNumberingAfterBreak="0">
    <w:nsid w:val="2C979A12"/>
    <w:multiLevelType w:val="hybridMultilevel"/>
    <w:tmpl w:val="FFFFFFFF"/>
    <w:lvl w:ilvl="0" w:tplc="FAB8EEAE">
      <w:start w:val="1"/>
      <w:numFmt w:val="bullet"/>
      <w:lvlText w:val=""/>
      <w:lvlJc w:val="left"/>
      <w:pPr>
        <w:ind w:left="720" w:hanging="360"/>
      </w:pPr>
      <w:rPr>
        <w:rFonts w:ascii="Symbol" w:hAnsi="Symbol" w:hint="default"/>
      </w:rPr>
    </w:lvl>
    <w:lvl w:ilvl="1" w:tplc="48D6AD56">
      <w:start w:val="1"/>
      <w:numFmt w:val="bullet"/>
      <w:lvlText w:val="o"/>
      <w:lvlJc w:val="left"/>
      <w:pPr>
        <w:ind w:left="1440" w:hanging="360"/>
      </w:pPr>
      <w:rPr>
        <w:rFonts w:ascii="Courier New" w:hAnsi="Courier New" w:hint="default"/>
      </w:rPr>
    </w:lvl>
    <w:lvl w:ilvl="2" w:tplc="680AD66A">
      <w:start w:val="1"/>
      <w:numFmt w:val="bullet"/>
      <w:lvlText w:val=""/>
      <w:lvlJc w:val="left"/>
      <w:pPr>
        <w:ind w:left="2160" w:hanging="360"/>
      </w:pPr>
      <w:rPr>
        <w:rFonts w:ascii="Wingdings" w:hAnsi="Wingdings" w:hint="default"/>
      </w:rPr>
    </w:lvl>
    <w:lvl w:ilvl="3" w:tplc="532671BE">
      <w:start w:val="1"/>
      <w:numFmt w:val="bullet"/>
      <w:lvlText w:val=""/>
      <w:lvlJc w:val="left"/>
      <w:pPr>
        <w:ind w:left="2880" w:hanging="360"/>
      </w:pPr>
      <w:rPr>
        <w:rFonts w:ascii="Symbol" w:hAnsi="Symbol" w:hint="default"/>
      </w:rPr>
    </w:lvl>
    <w:lvl w:ilvl="4" w:tplc="161E0160">
      <w:start w:val="1"/>
      <w:numFmt w:val="bullet"/>
      <w:lvlText w:val="o"/>
      <w:lvlJc w:val="left"/>
      <w:pPr>
        <w:ind w:left="3600" w:hanging="360"/>
      </w:pPr>
      <w:rPr>
        <w:rFonts w:ascii="Courier New" w:hAnsi="Courier New" w:hint="default"/>
      </w:rPr>
    </w:lvl>
    <w:lvl w:ilvl="5" w:tplc="2E561528">
      <w:start w:val="1"/>
      <w:numFmt w:val="bullet"/>
      <w:lvlText w:val=""/>
      <w:lvlJc w:val="left"/>
      <w:pPr>
        <w:ind w:left="4320" w:hanging="360"/>
      </w:pPr>
      <w:rPr>
        <w:rFonts w:ascii="Wingdings" w:hAnsi="Wingdings" w:hint="default"/>
      </w:rPr>
    </w:lvl>
    <w:lvl w:ilvl="6" w:tplc="DC509342">
      <w:start w:val="1"/>
      <w:numFmt w:val="bullet"/>
      <w:lvlText w:val=""/>
      <w:lvlJc w:val="left"/>
      <w:pPr>
        <w:ind w:left="5040" w:hanging="360"/>
      </w:pPr>
      <w:rPr>
        <w:rFonts w:ascii="Symbol" w:hAnsi="Symbol" w:hint="default"/>
      </w:rPr>
    </w:lvl>
    <w:lvl w:ilvl="7" w:tplc="B7C0E2AA">
      <w:start w:val="1"/>
      <w:numFmt w:val="bullet"/>
      <w:lvlText w:val="o"/>
      <w:lvlJc w:val="left"/>
      <w:pPr>
        <w:ind w:left="5760" w:hanging="360"/>
      </w:pPr>
      <w:rPr>
        <w:rFonts w:ascii="Courier New" w:hAnsi="Courier New" w:hint="default"/>
      </w:rPr>
    </w:lvl>
    <w:lvl w:ilvl="8" w:tplc="4A26F932">
      <w:start w:val="1"/>
      <w:numFmt w:val="bullet"/>
      <w:lvlText w:val=""/>
      <w:lvlJc w:val="left"/>
      <w:pPr>
        <w:ind w:left="6480" w:hanging="360"/>
      </w:pPr>
      <w:rPr>
        <w:rFonts w:ascii="Wingdings" w:hAnsi="Wingdings" w:hint="default"/>
      </w:rPr>
    </w:lvl>
  </w:abstractNum>
  <w:abstractNum w:abstractNumId="40" w15:restartNumberingAfterBreak="0">
    <w:nsid w:val="2FAD49CC"/>
    <w:multiLevelType w:val="multilevel"/>
    <w:tmpl w:val="54548D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1C76791"/>
    <w:multiLevelType w:val="multilevel"/>
    <w:tmpl w:val="CA98D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2982870"/>
    <w:multiLevelType w:val="hybridMultilevel"/>
    <w:tmpl w:val="3AF8A0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3092BEC"/>
    <w:multiLevelType w:val="hybridMultilevel"/>
    <w:tmpl w:val="4B6A93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33DE1C72"/>
    <w:multiLevelType w:val="multilevel"/>
    <w:tmpl w:val="014C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3EC1F7C"/>
    <w:multiLevelType w:val="hybridMultilevel"/>
    <w:tmpl w:val="C13CAA90"/>
    <w:lvl w:ilvl="0" w:tplc="F7F8678E">
      <w:numFmt w:val="bullet"/>
      <w:lvlText w:val="-"/>
      <w:lvlJc w:val="left"/>
      <w:pPr>
        <w:ind w:left="1210" w:hanging="360"/>
      </w:pPr>
      <w:rPr>
        <w:rFonts w:ascii="Times New Roman" w:hAnsi="Times New Roman" w:hint="default"/>
      </w:rPr>
    </w:lvl>
    <w:lvl w:ilvl="1" w:tplc="0CD6CDCE" w:tentative="1">
      <w:start w:val="1"/>
      <w:numFmt w:val="bullet"/>
      <w:lvlText w:val="o"/>
      <w:lvlJc w:val="left"/>
      <w:pPr>
        <w:ind w:left="1930" w:hanging="360"/>
      </w:pPr>
      <w:rPr>
        <w:rFonts w:ascii="Courier New" w:hAnsi="Courier New" w:hint="default"/>
      </w:rPr>
    </w:lvl>
    <w:lvl w:ilvl="2" w:tplc="D9C4ED92" w:tentative="1">
      <w:start w:val="1"/>
      <w:numFmt w:val="bullet"/>
      <w:lvlText w:val=""/>
      <w:lvlJc w:val="left"/>
      <w:pPr>
        <w:ind w:left="2650" w:hanging="360"/>
      </w:pPr>
      <w:rPr>
        <w:rFonts w:ascii="Wingdings" w:hAnsi="Wingdings" w:hint="default"/>
      </w:rPr>
    </w:lvl>
    <w:lvl w:ilvl="3" w:tplc="9B7EABE2" w:tentative="1">
      <w:start w:val="1"/>
      <w:numFmt w:val="bullet"/>
      <w:lvlText w:val=""/>
      <w:lvlJc w:val="left"/>
      <w:pPr>
        <w:ind w:left="3370" w:hanging="360"/>
      </w:pPr>
      <w:rPr>
        <w:rFonts w:ascii="Symbol" w:hAnsi="Symbol" w:hint="default"/>
      </w:rPr>
    </w:lvl>
    <w:lvl w:ilvl="4" w:tplc="8C1EFC16" w:tentative="1">
      <w:start w:val="1"/>
      <w:numFmt w:val="bullet"/>
      <w:lvlText w:val="o"/>
      <w:lvlJc w:val="left"/>
      <w:pPr>
        <w:ind w:left="4090" w:hanging="360"/>
      </w:pPr>
      <w:rPr>
        <w:rFonts w:ascii="Courier New" w:hAnsi="Courier New" w:hint="default"/>
      </w:rPr>
    </w:lvl>
    <w:lvl w:ilvl="5" w:tplc="96585D48" w:tentative="1">
      <w:start w:val="1"/>
      <w:numFmt w:val="bullet"/>
      <w:lvlText w:val=""/>
      <w:lvlJc w:val="left"/>
      <w:pPr>
        <w:ind w:left="4810" w:hanging="360"/>
      </w:pPr>
      <w:rPr>
        <w:rFonts w:ascii="Wingdings" w:hAnsi="Wingdings" w:hint="default"/>
      </w:rPr>
    </w:lvl>
    <w:lvl w:ilvl="6" w:tplc="E828D10C" w:tentative="1">
      <w:start w:val="1"/>
      <w:numFmt w:val="bullet"/>
      <w:lvlText w:val=""/>
      <w:lvlJc w:val="left"/>
      <w:pPr>
        <w:ind w:left="5530" w:hanging="360"/>
      </w:pPr>
      <w:rPr>
        <w:rFonts w:ascii="Symbol" w:hAnsi="Symbol" w:hint="default"/>
      </w:rPr>
    </w:lvl>
    <w:lvl w:ilvl="7" w:tplc="3E46966A" w:tentative="1">
      <w:start w:val="1"/>
      <w:numFmt w:val="bullet"/>
      <w:lvlText w:val="o"/>
      <w:lvlJc w:val="left"/>
      <w:pPr>
        <w:ind w:left="6250" w:hanging="360"/>
      </w:pPr>
      <w:rPr>
        <w:rFonts w:ascii="Courier New" w:hAnsi="Courier New" w:hint="default"/>
      </w:rPr>
    </w:lvl>
    <w:lvl w:ilvl="8" w:tplc="DE260288" w:tentative="1">
      <w:start w:val="1"/>
      <w:numFmt w:val="bullet"/>
      <w:lvlText w:val=""/>
      <w:lvlJc w:val="left"/>
      <w:pPr>
        <w:ind w:left="6970" w:hanging="360"/>
      </w:pPr>
      <w:rPr>
        <w:rFonts w:ascii="Wingdings" w:hAnsi="Wingdings" w:hint="default"/>
      </w:rPr>
    </w:lvl>
  </w:abstractNum>
  <w:abstractNum w:abstractNumId="46" w15:restartNumberingAfterBreak="0">
    <w:nsid w:val="364F369F"/>
    <w:multiLevelType w:val="hybridMultilevel"/>
    <w:tmpl w:val="0A8263D0"/>
    <w:lvl w:ilvl="0" w:tplc="5028A44A">
      <w:numFmt w:val="bullet"/>
      <w:lvlText w:val="-"/>
      <w:lvlJc w:val="left"/>
      <w:pPr>
        <w:ind w:left="777" w:hanging="360"/>
      </w:pPr>
      <w:rPr>
        <w:rFonts w:ascii="Times New Roman" w:hAnsi="Times New Roman" w:hint="default"/>
        <w:lang w:val="en-GB"/>
      </w:rPr>
    </w:lvl>
    <w:lvl w:ilvl="1" w:tplc="18090003">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47" w15:restartNumberingAfterBreak="0">
    <w:nsid w:val="383D34C9"/>
    <w:multiLevelType w:val="hybridMultilevel"/>
    <w:tmpl w:val="A25890DC"/>
    <w:lvl w:ilvl="0" w:tplc="080C0001">
      <w:start w:val="1"/>
      <w:numFmt w:val="bullet"/>
      <w:lvlText w:val=""/>
      <w:lvlJc w:val="left"/>
      <w:pPr>
        <w:ind w:left="779" w:hanging="360"/>
      </w:pPr>
      <w:rPr>
        <w:rFonts w:ascii="Symbol" w:hAnsi="Symbol" w:hint="default"/>
      </w:rPr>
    </w:lvl>
    <w:lvl w:ilvl="1" w:tplc="080C0003" w:tentative="1">
      <w:start w:val="1"/>
      <w:numFmt w:val="bullet"/>
      <w:lvlText w:val="o"/>
      <w:lvlJc w:val="left"/>
      <w:pPr>
        <w:ind w:left="1499" w:hanging="360"/>
      </w:pPr>
      <w:rPr>
        <w:rFonts w:ascii="Courier New" w:hAnsi="Courier New" w:cs="Courier New" w:hint="default"/>
      </w:rPr>
    </w:lvl>
    <w:lvl w:ilvl="2" w:tplc="080C0005" w:tentative="1">
      <w:start w:val="1"/>
      <w:numFmt w:val="bullet"/>
      <w:lvlText w:val=""/>
      <w:lvlJc w:val="left"/>
      <w:pPr>
        <w:ind w:left="2219" w:hanging="360"/>
      </w:pPr>
      <w:rPr>
        <w:rFonts w:ascii="Wingdings" w:hAnsi="Wingdings" w:hint="default"/>
      </w:rPr>
    </w:lvl>
    <w:lvl w:ilvl="3" w:tplc="080C0001" w:tentative="1">
      <w:start w:val="1"/>
      <w:numFmt w:val="bullet"/>
      <w:lvlText w:val=""/>
      <w:lvlJc w:val="left"/>
      <w:pPr>
        <w:ind w:left="2939" w:hanging="360"/>
      </w:pPr>
      <w:rPr>
        <w:rFonts w:ascii="Symbol" w:hAnsi="Symbol" w:hint="default"/>
      </w:rPr>
    </w:lvl>
    <w:lvl w:ilvl="4" w:tplc="080C0003" w:tentative="1">
      <w:start w:val="1"/>
      <w:numFmt w:val="bullet"/>
      <w:lvlText w:val="o"/>
      <w:lvlJc w:val="left"/>
      <w:pPr>
        <w:ind w:left="3659" w:hanging="360"/>
      </w:pPr>
      <w:rPr>
        <w:rFonts w:ascii="Courier New" w:hAnsi="Courier New" w:cs="Courier New" w:hint="default"/>
      </w:rPr>
    </w:lvl>
    <w:lvl w:ilvl="5" w:tplc="080C0005" w:tentative="1">
      <w:start w:val="1"/>
      <w:numFmt w:val="bullet"/>
      <w:lvlText w:val=""/>
      <w:lvlJc w:val="left"/>
      <w:pPr>
        <w:ind w:left="4379" w:hanging="360"/>
      </w:pPr>
      <w:rPr>
        <w:rFonts w:ascii="Wingdings" w:hAnsi="Wingdings" w:hint="default"/>
      </w:rPr>
    </w:lvl>
    <w:lvl w:ilvl="6" w:tplc="080C0001" w:tentative="1">
      <w:start w:val="1"/>
      <w:numFmt w:val="bullet"/>
      <w:lvlText w:val=""/>
      <w:lvlJc w:val="left"/>
      <w:pPr>
        <w:ind w:left="5099" w:hanging="360"/>
      </w:pPr>
      <w:rPr>
        <w:rFonts w:ascii="Symbol" w:hAnsi="Symbol" w:hint="default"/>
      </w:rPr>
    </w:lvl>
    <w:lvl w:ilvl="7" w:tplc="080C0003" w:tentative="1">
      <w:start w:val="1"/>
      <w:numFmt w:val="bullet"/>
      <w:lvlText w:val="o"/>
      <w:lvlJc w:val="left"/>
      <w:pPr>
        <w:ind w:left="5819" w:hanging="360"/>
      </w:pPr>
      <w:rPr>
        <w:rFonts w:ascii="Courier New" w:hAnsi="Courier New" w:cs="Courier New" w:hint="default"/>
      </w:rPr>
    </w:lvl>
    <w:lvl w:ilvl="8" w:tplc="080C0005" w:tentative="1">
      <w:start w:val="1"/>
      <w:numFmt w:val="bullet"/>
      <w:lvlText w:val=""/>
      <w:lvlJc w:val="left"/>
      <w:pPr>
        <w:ind w:left="6539" w:hanging="360"/>
      </w:pPr>
      <w:rPr>
        <w:rFonts w:ascii="Wingdings" w:hAnsi="Wingdings" w:hint="default"/>
      </w:rPr>
    </w:lvl>
  </w:abstractNum>
  <w:abstractNum w:abstractNumId="48" w15:restartNumberingAfterBreak="0">
    <w:nsid w:val="39257A5D"/>
    <w:multiLevelType w:val="hybridMultilevel"/>
    <w:tmpl w:val="0E2C345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D84B76"/>
    <w:multiLevelType w:val="hybridMultilevel"/>
    <w:tmpl w:val="7F02E988"/>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9F242A2"/>
    <w:multiLevelType w:val="hybridMultilevel"/>
    <w:tmpl w:val="1B060B1A"/>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A697F00"/>
    <w:multiLevelType w:val="multilevel"/>
    <w:tmpl w:val="DE88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B1B4714"/>
    <w:multiLevelType w:val="multilevel"/>
    <w:tmpl w:val="7A8479C8"/>
    <w:lvl w:ilvl="0">
      <w:start w:val="2"/>
      <w:numFmt w:val="decimal"/>
      <w:lvlText w:val="%1."/>
      <w:lvlJc w:val="left"/>
      <w:pPr>
        <w:tabs>
          <w:tab w:val="num" w:pos="720"/>
        </w:tabs>
        <w:ind w:left="720" w:hanging="360"/>
      </w:pPr>
      <w:rPr>
        <w:rFonts w:ascii="Times New Roman" w:hAnsi="Times New Roman" w:cs="Times New Roman" w:hint="default"/>
        <w:color w:val="196B24" w:themeColor="accent3"/>
        <w:sz w:val="20"/>
        <w:szCs w:val="2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B8F163A"/>
    <w:multiLevelType w:val="hybridMultilevel"/>
    <w:tmpl w:val="C7768CB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C2B082B"/>
    <w:multiLevelType w:val="hybridMultilevel"/>
    <w:tmpl w:val="2CA41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FB4386"/>
    <w:multiLevelType w:val="hybridMultilevel"/>
    <w:tmpl w:val="57C21F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66F4087"/>
    <w:multiLevelType w:val="hybridMultilevel"/>
    <w:tmpl w:val="9F10BFE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852430B"/>
    <w:multiLevelType w:val="hybridMultilevel"/>
    <w:tmpl w:val="963AAA8A"/>
    <w:lvl w:ilvl="0" w:tplc="78C6D84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A1254B0"/>
    <w:multiLevelType w:val="hybridMultilevel"/>
    <w:tmpl w:val="574EDD8E"/>
    <w:lvl w:ilvl="0" w:tplc="47643D76">
      <w:start w:val="10"/>
      <w:numFmt w:val="bullet"/>
      <w:lvlText w:val="-"/>
      <w:lvlJc w:val="left"/>
      <w:pPr>
        <w:ind w:left="2160" w:hanging="360"/>
      </w:pPr>
      <w:rPr>
        <w:rFonts w:ascii="Calibri" w:eastAsia="Calibri" w:hAnsi="Calibri" w:cs="Calibri"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60" w15:restartNumberingAfterBreak="0">
    <w:nsid w:val="4A32288F"/>
    <w:multiLevelType w:val="multilevel"/>
    <w:tmpl w:val="EDDCCB2C"/>
    <w:lvl w:ilvl="0">
      <w:start w:val="1"/>
      <w:numFmt w:val="decimal"/>
      <w:lvlText w:val="%1."/>
      <w:lvlJc w:val="left"/>
      <w:pPr>
        <w:ind w:left="1420" w:hanging="570"/>
      </w:pPr>
      <w:rPr>
        <w:rFonts w:hint="default"/>
      </w:rPr>
    </w:lvl>
    <w:lvl w:ilvl="1" w:tentative="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61" w15:restartNumberingAfterBreak="0">
    <w:nsid w:val="4A347EC4"/>
    <w:multiLevelType w:val="hybridMultilevel"/>
    <w:tmpl w:val="CFD0E9C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4C8136A0"/>
    <w:multiLevelType w:val="hybridMultilevel"/>
    <w:tmpl w:val="8EC6E50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4D9169D3"/>
    <w:multiLevelType w:val="hybridMultilevel"/>
    <w:tmpl w:val="2954FAEA"/>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D933B9B"/>
    <w:multiLevelType w:val="hybridMultilevel"/>
    <w:tmpl w:val="CD7A59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F094C30"/>
    <w:multiLevelType w:val="multilevel"/>
    <w:tmpl w:val="B184908C"/>
    <w:lvl w:ilvl="0">
      <w:start w:val="1"/>
      <w:numFmt w:val="lowerLetter"/>
      <w:lvlText w:val="%1."/>
      <w:lvlJc w:val="left"/>
      <w:pPr>
        <w:ind w:left="1931" w:hanging="360"/>
      </w:pPr>
      <w:rPr>
        <w:rFonts w:ascii="Times New Roman" w:hAnsi="Times New Roman" w:cs="Times New Roman" w:hint="default"/>
        <w:sz w:val="24"/>
        <w:szCs w:val="24"/>
      </w:r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66" w15:restartNumberingAfterBreak="0">
    <w:nsid w:val="51B31E0C"/>
    <w:multiLevelType w:val="hybridMultilevel"/>
    <w:tmpl w:val="1E56148A"/>
    <w:lvl w:ilvl="0" w:tplc="4104C714">
      <w:start w:val="1"/>
      <w:numFmt w:val="bullet"/>
      <w:lvlText w:val="-"/>
      <w:lvlJc w:val="left"/>
      <w:pPr>
        <w:ind w:left="720" w:hanging="360"/>
      </w:pPr>
      <w:rPr>
        <w:rFonts w:ascii="Aptos" w:hAnsi="Aptos" w:hint="default"/>
      </w:rPr>
    </w:lvl>
    <w:lvl w:ilvl="1" w:tplc="D4508CD4">
      <w:start w:val="1"/>
      <w:numFmt w:val="bullet"/>
      <w:lvlText w:val="o"/>
      <w:lvlJc w:val="left"/>
      <w:pPr>
        <w:ind w:left="1440" w:hanging="360"/>
      </w:pPr>
      <w:rPr>
        <w:rFonts w:ascii="Courier New" w:hAnsi="Courier New" w:hint="default"/>
      </w:rPr>
    </w:lvl>
    <w:lvl w:ilvl="2" w:tplc="2326CDFE">
      <w:start w:val="1"/>
      <w:numFmt w:val="bullet"/>
      <w:lvlText w:val=""/>
      <w:lvlJc w:val="left"/>
      <w:pPr>
        <w:ind w:left="2160" w:hanging="360"/>
      </w:pPr>
      <w:rPr>
        <w:rFonts w:ascii="Wingdings" w:hAnsi="Wingdings" w:hint="default"/>
      </w:rPr>
    </w:lvl>
    <w:lvl w:ilvl="3" w:tplc="0F545210">
      <w:start w:val="1"/>
      <w:numFmt w:val="bullet"/>
      <w:lvlText w:val=""/>
      <w:lvlJc w:val="left"/>
      <w:pPr>
        <w:ind w:left="2880" w:hanging="360"/>
      </w:pPr>
      <w:rPr>
        <w:rFonts w:ascii="Symbol" w:hAnsi="Symbol" w:hint="default"/>
      </w:rPr>
    </w:lvl>
    <w:lvl w:ilvl="4" w:tplc="B19C5D5E">
      <w:start w:val="1"/>
      <w:numFmt w:val="bullet"/>
      <w:lvlText w:val="o"/>
      <w:lvlJc w:val="left"/>
      <w:pPr>
        <w:ind w:left="3600" w:hanging="360"/>
      </w:pPr>
      <w:rPr>
        <w:rFonts w:ascii="Courier New" w:hAnsi="Courier New" w:hint="default"/>
      </w:rPr>
    </w:lvl>
    <w:lvl w:ilvl="5" w:tplc="68668874">
      <w:start w:val="1"/>
      <w:numFmt w:val="bullet"/>
      <w:lvlText w:val=""/>
      <w:lvlJc w:val="left"/>
      <w:pPr>
        <w:ind w:left="4320" w:hanging="360"/>
      </w:pPr>
      <w:rPr>
        <w:rFonts w:ascii="Wingdings" w:hAnsi="Wingdings" w:hint="default"/>
      </w:rPr>
    </w:lvl>
    <w:lvl w:ilvl="6" w:tplc="735E7EF8">
      <w:start w:val="1"/>
      <w:numFmt w:val="bullet"/>
      <w:lvlText w:val=""/>
      <w:lvlJc w:val="left"/>
      <w:pPr>
        <w:ind w:left="5040" w:hanging="360"/>
      </w:pPr>
      <w:rPr>
        <w:rFonts w:ascii="Symbol" w:hAnsi="Symbol" w:hint="default"/>
      </w:rPr>
    </w:lvl>
    <w:lvl w:ilvl="7" w:tplc="636239C0">
      <w:start w:val="1"/>
      <w:numFmt w:val="bullet"/>
      <w:lvlText w:val="o"/>
      <w:lvlJc w:val="left"/>
      <w:pPr>
        <w:ind w:left="5760" w:hanging="360"/>
      </w:pPr>
      <w:rPr>
        <w:rFonts w:ascii="Courier New" w:hAnsi="Courier New" w:hint="default"/>
      </w:rPr>
    </w:lvl>
    <w:lvl w:ilvl="8" w:tplc="09069CBE">
      <w:start w:val="1"/>
      <w:numFmt w:val="bullet"/>
      <w:lvlText w:val=""/>
      <w:lvlJc w:val="left"/>
      <w:pPr>
        <w:ind w:left="6480" w:hanging="360"/>
      </w:pPr>
      <w:rPr>
        <w:rFonts w:ascii="Wingdings" w:hAnsi="Wingdings" w:hint="default"/>
      </w:rPr>
    </w:lvl>
  </w:abstractNum>
  <w:abstractNum w:abstractNumId="67" w15:restartNumberingAfterBreak="0">
    <w:nsid w:val="52321D53"/>
    <w:multiLevelType w:val="hybridMultilevel"/>
    <w:tmpl w:val="3B1A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4504388"/>
    <w:multiLevelType w:val="hybridMultilevel"/>
    <w:tmpl w:val="82A459B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61D8D9A"/>
    <w:multiLevelType w:val="hybridMultilevel"/>
    <w:tmpl w:val="A8B6CE22"/>
    <w:lvl w:ilvl="0" w:tplc="83A85688">
      <w:start w:val="1"/>
      <w:numFmt w:val="bullet"/>
      <w:lvlText w:val="-"/>
      <w:lvlJc w:val="left"/>
      <w:pPr>
        <w:ind w:left="720" w:hanging="360"/>
      </w:pPr>
      <w:rPr>
        <w:rFonts w:ascii="&quot;Calibri&quot;,sans-serif" w:hAnsi="&quot;Calibri&quot;,sans-serif" w:hint="default"/>
      </w:rPr>
    </w:lvl>
    <w:lvl w:ilvl="1" w:tplc="26782B6C">
      <w:start w:val="1"/>
      <w:numFmt w:val="bullet"/>
      <w:lvlText w:val="o"/>
      <w:lvlJc w:val="left"/>
      <w:pPr>
        <w:ind w:left="1440" w:hanging="360"/>
      </w:pPr>
      <w:rPr>
        <w:rFonts w:ascii="Courier New" w:hAnsi="Courier New" w:hint="default"/>
      </w:rPr>
    </w:lvl>
    <w:lvl w:ilvl="2" w:tplc="223CAE12">
      <w:start w:val="1"/>
      <w:numFmt w:val="bullet"/>
      <w:lvlText w:val=""/>
      <w:lvlJc w:val="left"/>
      <w:pPr>
        <w:ind w:left="2160" w:hanging="360"/>
      </w:pPr>
      <w:rPr>
        <w:rFonts w:ascii="Wingdings" w:hAnsi="Wingdings" w:hint="default"/>
      </w:rPr>
    </w:lvl>
    <w:lvl w:ilvl="3" w:tplc="921824EA">
      <w:start w:val="1"/>
      <w:numFmt w:val="bullet"/>
      <w:lvlText w:val=""/>
      <w:lvlJc w:val="left"/>
      <w:pPr>
        <w:ind w:left="2880" w:hanging="360"/>
      </w:pPr>
      <w:rPr>
        <w:rFonts w:ascii="Symbol" w:hAnsi="Symbol" w:hint="default"/>
      </w:rPr>
    </w:lvl>
    <w:lvl w:ilvl="4" w:tplc="9F8EA0DC">
      <w:start w:val="1"/>
      <w:numFmt w:val="bullet"/>
      <w:lvlText w:val="o"/>
      <w:lvlJc w:val="left"/>
      <w:pPr>
        <w:ind w:left="3600" w:hanging="360"/>
      </w:pPr>
      <w:rPr>
        <w:rFonts w:ascii="Courier New" w:hAnsi="Courier New" w:hint="default"/>
      </w:rPr>
    </w:lvl>
    <w:lvl w:ilvl="5" w:tplc="C16E2678">
      <w:start w:val="1"/>
      <w:numFmt w:val="bullet"/>
      <w:lvlText w:val=""/>
      <w:lvlJc w:val="left"/>
      <w:pPr>
        <w:ind w:left="4320" w:hanging="360"/>
      </w:pPr>
      <w:rPr>
        <w:rFonts w:ascii="Wingdings" w:hAnsi="Wingdings" w:hint="default"/>
      </w:rPr>
    </w:lvl>
    <w:lvl w:ilvl="6" w:tplc="2594E436">
      <w:start w:val="1"/>
      <w:numFmt w:val="bullet"/>
      <w:lvlText w:val=""/>
      <w:lvlJc w:val="left"/>
      <w:pPr>
        <w:ind w:left="5040" w:hanging="360"/>
      </w:pPr>
      <w:rPr>
        <w:rFonts w:ascii="Symbol" w:hAnsi="Symbol" w:hint="default"/>
      </w:rPr>
    </w:lvl>
    <w:lvl w:ilvl="7" w:tplc="6804D50C">
      <w:start w:val="1"/>
      <w:numFmt w:val="bullet"/>
      <w:lvlText w:val="o"/>
      <w:lvlJc w:val="left"/>
      <w:pPr>
        <w:ind w:left="5760" w:hanging="360"/>
      </w:pPr>
      <w:rPr>
        <w:rFonts w:ascii="Courier New" w:hAnsi="Courier New" w:hint="default"/>
      </w:rPr>
    </w:lvl>
    <w:lvl w:ilvl="8" w:tplc="D488E8FE">
      <w:start w:val="1"/>
      <w:numFmt w:val="bullet"/>
      <w:lvlText w:val=""/>
      <w:lvlJc w:val="left"/>
      <w:pPr>
        <w:ind w:left="6480" w:hanging="360"/>
      </w:pPr>
      <w:rPr>
        <w:rFonts w:ascii="Wingdings" w:hAnsi="Wingdings" w:hint="default"/>
      </w:rPr>
    </w:lvl>
  </w:abstractNum>
  <w:abstractNum w:abstractNumId="70" w15:restartNumberingAfterBreak="0">
    <w:nsid w:val="57F109C8"/>
    <w:multiLevelType w:val="hybridMultilevel"/>
    <w:tmpl w:val="7CC4C9EE"/>
    <w:lvl w:ilvl="0" w:tplc="897E434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9444BD8"/>
    <w:multiLevelType w:val="multilevel"/>
    <w:tmpl w:val="21D2ED86"/>
    <w:lvl w:ilvl="0">
      <w:start w:val="1"/>
      <w:numFmt w:val="lowerLetter"/>
      <w:lvlText w:val="%1."/>
      <w:lvlJc w:val="left"/>
      <w:pPr>
        <w:ind w:left="1931" w:hanging="360"/>
      </w:pPr>
      <w:rPr>
        <w:rFonts w:ascii="Times New Roman" w:hAnsi="Times New Roman" w:cs="Times New Roman" w:hint="default"/>
      </w:r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72" w15:restartNumberingAfterBreak="0">
    <w:nsid w:val="5E547FF2"/>
    <w:multiLevelType w:val="hybridMultilevel"/>
    <w:tmpl w:val="81F62E0E"/>
    <w:lvl w:ilvl="0" w:tplc="08090001">
      <w:start w:val="1"/>
      <w:numFmt w:val="bullet"/>
      <w:lvlText w:val=""/>
      <w:lvlJc w:val="left"/>
      <w:pPr>
        <w:ind w:left="1570" w:hanging="360"/>
      </w:pPr>
      <w:rPr>
        <w:rFonts w:ascii="Symbol" w:hAnsi="Symbol" w:hint="default"/>
      </w:rPr>
    </w:lvl>
    <w:lvl w:ilvl="1" w:tplc="44BAED54">
      <w:numFmt w:val="bullet"/>
      <w:lvlText w:val="-"/>
      <w:lvlJc w:val="left"/>
      <w:pPr>
        <w:ind w:left="555" w:hanging="555"/>
      </w:pPr>
      <w:rPr>
        <w:rFonts w:ascii="Times New Roman" w:eastAsia="Calibri" w:hAnsi="Times New Roman" w:cs="Times New Roman" w:hint="default"/>
      </w:rPr>
    </w:lvl>
    <w:lvl w:ilvl="2" w:tplc="08090005">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73" w15:restartNumberingAfterBreak="0">
    <w:nsid w:val="5E6100B8"/>
    <w:multiLevelType w:val="hybridMultilevel"/>
    <w:tmpl w:val="8204384A"/>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74" w15:restartNumberingAfterBreak="0">
    <w:nsid w:val="60834BBE"/>
    <w:multiLevelType w:val="hybridMultilevel"/>
    <w:tmpl w:val="04188B8A"/>
    <w:lvl w:ilvl="0" w:tplc="63C0261A">
      <w:start w:val="1"/>
      <w:numFmt w:val="bullet"/>
      <w:lvlText w:val="-"/>
      <w:lvlJc w:val="left"/>
      <w:pPr>
        <w:ind w:left="1146" w:hanging="360"/>
      </w:pPr>
      <w:rPr>
        <w:rFonts w:ascii="Courier New" w:hAnsi="Courier New"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75" w15:restartNumberingAfterBreak="0">
    <w:nsid w:val="62D676F5"/>
    <w:multiLevelType w:val="hybridMultilevel"/>
    <w:tmpl w:val="B74A0B7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6543042B"/>
    <w:multiLevelType w:val="hybridMultilevel"/>
    <w:tmpl w:val="30BAD778"/>
    <w:lvl w:ilvl="0" w:tplc="518865BA">
      <w:numFmt w:val="bullet"/>
      <w:lvlText w:val="-"/>
      <w:lvlJc w:val="left"/>
      <w:pPr>
        <w:ind w:left="720" w:hanging="360"/>
      </w:pPr>
      <w:rPr>
        <w:rFonts w:ascii="Times New Roman" w:eastAsia="MS Minch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657347CA"/>
    <w:multiLevelType w:val="hybridMultilevel"/>
    <w:tmpl w:val="EF88F7CE"/>
    <w:lvl w:ilvl="0" w:tplc="5526F7E6">
      <w:start w:val="500"/>
      <w:numFmt w:val="bullet"/>
      <w:lvlText w:val="-"/>
      <w:lvlJc w:val="left"/>
      <w:pPr>
        <w:ind w:left="720" w:hanging="36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CB5132"/>
    <w:multiLevelType w:val="hybridMultilevel"/>
    <w:tmpl w:val="4636D672"/>
    <w:lvl w:ilvl="0" w:tplc="5A144AC0">
      <w:start w:val="1"/>
      <w:numFmt w:val="bullet"/>
      <w:lvlText w:val=""/>
      <w:lvlJc w:val="left"/>
      <w:pPr>
        <w:ind w:left="1080" w:hanging="360"/>
      </w:pPr>
      <w:rPr>
        <w:rFonts w:ascii="Symbol" w:hAnsi="Symbol"/>
      </w:rPr>
    </w:lvl>
    <w:lvl w:ilvl="1" w:tplc="37204700">
      <w:start w:val="1"/>
      <w:numFmt w:val="bullet"/>
      <w:lvlText w:val=""/>
      <w:lvlJc w:val="left"/>
      <w:pPr>
        <w:ind w:left="1080" w:hanging="360"/>
      </w:pPr>
      <w:rPr>
        <w:rFonts w:ascii="Symbol" w:hAnsi="Symbol"/>
      </w:rPr>
    </w:lvl>
    <w:lvl w:ilvl="2" w:tplc="1D6043AE">
      <w:start w:val="1"/>
      <w:numFmt w:val="bullet"/>
      <w:lvlText w:val=""/>
      <w:lvlJc w:val="left"/>
      <w:pPr>
        <w:ind w:left="1080" w:hanging="360"/>
      </w:pPr>
      <w:rPr>
        <w:rFonts w:ascii="Symbol" w:hAnsi="Symbol"/>
      </w:rPr>
    </w:lvl>
    <w:lvl w:ilvl="3" w:tplc="CE8AFDAC">
      <w:start w:val="1"/>
      <w:numFmt w:val="bullet"/>
      <w:lvlText w:val=""/>
      <w:lvlJc w:val="left"/>
      <w:pPr>
        <w:ind w:left="1080" w:hanging="360"/>
      </w:pPr>
      <w:rPr>
        <w:rFonts w:ascii="Symbol" w:hAnsi="Symbol"/>
      </w:rPr>
    </w:lvl>
    <w:lvl w:ilvl="4" w:tplc="45FAF000">
      <w:start w:val="1"/>
      <w:numFmt w:val="bullet"/>
      <w:lvlText w:val=""/>
      <w:lvlJc w:val="left"/>
      <w:pPr>
        <w:ind w:left="1080" w:hanging="360"/>
      </w:pPr>
      <w:rPr>
        <w:rFonts w:ascii="Symbol" w:hAnsi="Symbol"/>
      </w:rPr>
    </w:lvl>
    <w:lvl w:ilvl="5" w:tplc="EEC6C410">
      <w:start w:val="1"/>
      <w:numFmt w:val="bullet"/>
      <w:lvlText w:val=""/>
      <w:lvlJc w:val="left"/>
      <w:pPr>
        <w:ind w:left="1080" w:hanging="360"/>
      </w:pPr>
      <w:rPr>
        <w:rFonts w:ascii="Symbol" w:hAnsi="Symbol"/>
      </w:rPr>
    </w:lvl>
    <w:lvl w:ilvl="6" w:tplc="55DE84E8">
      <w:start w:val="1"/>
      <w:numFmt w:val="bullet"/>
      <w:lvlText w:val=""/>
      <w:lvlJc w:val="left"/>
      <w:pPr>
        <w:ind w:left="1080" w:hanging="360"/>
      </w:pPr>
      <w:rPr>
        <w:rFonts w:ascii="Symbol" w:hAnsi="Symbol"/>
      </w:rPr>
    </w:lvl>
    <w:lvl w:ilvl="7" w:tplc="4FE8FA24">
      <w:start w:val="1"/>
      <w:numFmt w:val="bullet"/>
      <w:lvlText w:val=""/>
      <w:lvlJc w:val="left"/>
      <w:pPr>
        <w:ind w:left="1080" w:hanging="360"/>
      </w:pPr>
      <w:rPr>
        <w:rFonts w:ascii="Symbol" w:hAnsi="Symbol"/>
      </w:rPr>
    </w:lvl>
    <w:lvl w:ilvl="8" w:tplc="E30E0DB4">
      <w:start w:val="1"/>
      <w:numFmt w:val="bullet"/>
      <w:lvlText w:val=""/>
      <w:lvlJc w:val="left"/>
      <w:pPr>
        <w:ind w:left="1080" w:hanging="360"/>
      </w:pPr>
      <w:rPr>
        <w:rFonts w:ascii="Symbol" w:hAnsi="Symbol"/>
      </w:rPr>
    </w:lvl>
  </w:abstractNum>
  <w:abstractNum w:abstractNumId="79" w15:restartNumberingAfterBreak="0">
    <w:nsid w:val="67AE431F"/>
    <w:multiLevelType w:val="hybridMultilevel"/>
    <w:tmpl w:val="A2D4380E"/>
    <w:lvl w:ilvl="0" w:tplc="7A72C7A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87E788A"/>
    <w:multiLevelType w:val="multilevel"/>
    <w:tmpl w:val="2BF8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D84C63"/>
    <w:multiLevelType w:val="hybridMultilevel"/>
    <w:tmpl w:val="6CB27466"/>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B375D60"/>
    <w:multiLevelType w:val="hybridMultilevel"/>
    <w:tmpl w:val="C43A74A4"/>
    <w:lvl w:ilvl="0" w:tplc="2D6CCE1A">
      <w:start w:val="1"/>
      <w:numFmt w:val="low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6B6D4E46"/>
    <w:multiLevelType w:val="hybridMultilevel"/>
    <w:tmpl w:val="B6F2DF32"/>
    <w:lvl w:ilvl="0" w:tplc="25243A0A">
      <w:start w:val="1"/>
      <w:numFmt w:val="bullet"/>
      <w:lvlText w:val="-"/>
      <w:lvlJc w:val="left"/>
      <w:pPr>
        <w:ind w:left="720" w:hanging="360"/>
      </w:pPr>
      <w:rPr>
        <w:rFonts w:ascii="Aptos" w:hAnsi="Aptos" w:hint="default"/>
      </w:rPr>
    </w:lvl>
    <w:lvl w:ilvl="1" w:tplc="05C6BC98">
      <w:start w:val="1"/>
      <w:numFmt w:val="bullet"/>
      <w:lvlText w:val="o"/>
      <w:lvlJc w:val="left"/>
      <w:pPr>
        <w:ind w:left="1440" w:hanging="360"/>
      </w:pPr>
      <w:rPr>
        <w:rFonts w:ascii="Courier New" w:hAnsi="Courier New" w:hint="default"/>
      </w:rPr>
    </w:lvl>
    <w:lvl w:ilvl="2" w:tplc="B44071B8">
      <w:start w:val="1"/>
      <w:numFmt w:val="bullet"/>
      <w:lvlText w:val=""/>
      <w:lvlJc w:val="left"/>
      <w:pPr>
        <w:ind w:left="2160" w:hanging="360"/>
      </w:pPr>
      <w:rPr>
        <w:rFonts w:ascii="Wingdings" w:hAnsi="Wingdings" w:hint="default"/>
      </w:rPr>
    </w:lvl>
    <w:lvl w:ilvl="3" w:tplc="43CAE8D6">
      <w:start w:val="1"/>
      <w:numFmt w:val="bullet"/>
      <w:lvlText w:val=""/>
      <w:lvlJc w:val="left"/>
      <w:pPr>
        <w:ind w:left="2880" w:hanging="360"/>
      </w:pPr>
      <w:rPr>
        <w:rFonts w:ascii="Symbol" w:hAnsi="Symbol" w:hint="default"/>
      </w:rPr>
    </w:lvl>
    <w:lvl w:ilvl="4" w:tplc="F89E730A">
      <w:start w:val="1"/>
      <w:numFmt w:val="bullet"/>
      <w:lvlText w:val="o"/>
      <w:lvlJc w:val="left"/>
      <w:pPr>
        <w:ind w:left="3600" w:hanging="360"/>
      </w:pPr>
      <w:rPr>
        <w:rFonts w:ascii="Courier New" w:hAnsi="Courier New" w:hint="default"/>
      </w:rPr>
    </w:lvl>
    <w:lvl w:ilvl="5" w:tplc="D12E6868">
      <w:start w:val="1"/>
      <w:numFmt w:val="bullet"/>
      <w:lvlText w:val=""/>
      <w:lvlJc w:val="left"/>
      <w:pPr>
        <w:ind w:left="4320" w:hanging="360"/>
      </w:pPr>
      <w:rPr>
        <w:rFonts w:ascii="Wingdings" w:hAnsi="Wingdings" w:hint="default"/>
      </w:rPr>
    </w:lvl>
    <w:lvl w:ilvl="6" w:tplc="C63ED9EE">
      <w:start w:val="1"/>
      <w:numFmt w:val="bullet"/>
      <w:lvlText w:val=""/>
      <w:lvlJc w:val="left"/>
      <w:pPr>
        <w:ind w:left="5040" w:hanging="360"/>
      </w:pPr>
      <w:rPr>
        <w:rFonts w:ascii="Symbol" w:hAnsi="Symbol" w:hint="default"/>
      </w:rPr>
    </w:lvl>
    <w:lvl w:ilvl="7" w:tplc="36AE36EA">
      <w:start w:val="1"/>
      <w:numFmt w:val="bullet"/>
      <w:lvlText w:val="o"/>
      <w:lvlJc w:val="left"/>
      <w:pPr>
        <w:ind w:left="5760" w:hanging="360"/>
      </w:pPr>
      <w:rPr>
        <w:rFonts w:ascii="Courier New" w:hAnsi="Courier New" w:hint="default"/>
      </w:rPr>
    </w:lvl>
    <w:lvl w:ilvl="8" w:tplc="FBF463A6">
      <w:start w:val="1"/>
      <w:numFmt w:val="bullet"/>
      <w:lvlText w:val=""/>
      <w:lvlJc w:val="left"/>
      <w:pPr>
        <w:ind w:left="6480" w:hanging="360"/>
      </w:pPr>
      <w:rPr>
        <w:rFonts w:ascii="Wingdings" w:hAnsi="Wingdings" w:hint="default"/>
      </w:rPr>
    </w:lvl>
  </w:abstractNum>
  <w:abstractNum w:abstractNumId="84" w15:restartNumberingAfterBreak="0">
    <w:nsid w:val="6C0F3A3F"/>
    <w:multiLevelType w:val="hybridMultilevel"/>
    <w:tmpl w:val="F43C5544"/>
    <w:lvl w:ilvl="0" w:tplc="FFFFFFFF">
      <w:start w:val="1"/>
      <w:numFmt w:val="bullet"/>
      <w:lvlText w:val="·"/>
      <w:lvlJc w:val="left"/>
      <w:pPr>
        <w:ind w:left="720" w:hanging="360"/>
      </w:pPr>
      <w:rPr>
        <w:rFonts w:ascii="Times New Roman" w:hAnsi="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5" w15:restartNumberingAfterBreak="0">
    <w:nsid w:val="6F8873AA"/>
    <w:multiLevelType w:val="hybridMultilevel"/>
    <w:tmpl w:val="22569C98"/>
    <w:lvl w:ilvl="0" w:tplc="E3ACD6EA">
      <w:start w:val="1"/>
      <w:numFmt w:val="decimal"/>
      <w:lvlText w:val="%1."/>
      <w:lvlJc w:val="left"/>
      <w:pPr>
        <w:ind w:left="720" w:hanging="360"/>
      </w:pPr>
      <w:rPr>
        <w:sz w:val="20"/>
        <w:szCs w:val="20"/>
      </w:rPr>
    </w:lvl>
    <w:lvl w:ilvl="1" w:tplc="96363614">
      <w:start w:val="1"/>
      <w:numFmt w:val="lowerLetter"/>
      <w:lvlText w:val="%2."/>
      <w:lvlJc w:val="left"/>
      <w:pPr>
        <w:ind w:left="1440" w:hanging="360"/>
      </w:pPr>
    </w:lvl>
    <w:lvl w:ilvl="2" w:tplc="E9EA6182">
      <w:start w:val="1"/>
      <w:numFmt w:val="lowerRoman"/>
      <w:lvlText w:val="%3."/>
      <w:lvlJc w:val="right"/>
      <w:pPr>
        <w:ind w:left="2160" w:hanging="180"/>
      </w:pPr>
    </w:lvl>
    <w:lvl w:ilvl="3" w:tplc="3B00B6DA">
      <w:start w:val="1"/>
      <w:numFmt w:val="decimal"/>
      <w:lvlText w:val="%4."/>
      <w:lvlJc w:val="left"/>
      <w:pPr>
        <w:ind w:left="2880" w:hanging="360"/>
      </w:pPr>
    </w:lvl>
    <w:lvl w:ilvl="4" w:tplc="62AE0CCC">
      <w:start w:val="1"/>
      <w:numFmt w:val="lowerLetter"/>
      <w:lvlText w:val="%5."/>
      <w:lvlJc w:val="left"/>
      <w:pPr>
        <w:ind w:left="3600" w:hanging="360"/>
      </w:pPr>
    </w:lvl>
    <w:lvl w:ilvl="5" w:tplc="743CB050">
      <w:start w:val="1"/>
      <w:numFmt w:val="lowerRoman"/>
      <w:lvlText w:val="%6."/>
      <w:lvlJc w:val="right"/>
      <w:pPr>
        <w:ind w:left="4320" w:hanging="180"/>
      </w:pPr>
    </w:lvl>
    <w:lvl w:ilvl="6" w:tplc="5CFE19C8">
      <w:start w:val="1"/>
      <w:numFmt w:val="decimal"/>
      <w:lvlText w:val="%7."/>
      <w:lvlJc w:val="left"/>
      <w:pPr>
        <w:ind w:left="5040" w:hanging="360"/>
      </w:pPr>
    </w:lvl>
    <w:lvl w:ilvl="7" w:tplc="7AF0C9E4">
      <w:start w:val="1"/>
      <w:numFmt w:val="lowerLetter"/>
      <w:lvlText w:val="%8."/>
      <w:lvlJc w:val="left"/>
      <w:pPr>
        <w:ind w:left="5760" w:hanging="360"/>
      </w:pPr>
    </w:lvl>
    <w:lvl w:ilvl="8" w:tplc="C442C7CA">
      <w:start w:val="1"/>
      <w:numFmt w:val="lowerRoman"/>
      <w:lvlText w:val="%9."/>
      <w:lvlJc w:val="right"/>
      <w:pPr>
        <w:ind w:left="6480" w:hanging="180"/>
      </w:pPr>
    </w:lvl>
  </w:abstractNum>
  <w:abstractNum w:abstractNumId="86" w15:restartNumberingAfterBreak="0">
    <w:nsid w:val="70ED7E35"/>
    <w:multiLevelType w:val="hybridMultilevel"/>
    <w:tmpl w:val="3A1C92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7" w15:restartNumberingAfterBreak="0">
    <w:nsid w:val="714D76A7"/>
    <w:multiLevelType w:val="hybridMultilevel"/>
    <w:tmpl w:val="C03EA328"/>
    <w:lvl w:ilvl="0" w:tplc="A574E162">
      <w:start w:val="1"/>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D54955"/>
    <w:multiLevelType w:val="hybridMultilevel"/>
    <w:tmpl w:val="CAB62A3E"/>
    <w:lvl w:ilvl="0" w:tplc="E16C6632">
      <w:start w:val="1"/>
      <w:numFmt w:val="bullet"/>
      <w:lvlText w:val="-"/>
      <w:lvlJc w:val="left"/>
      <w:pPr>
        <w:ind w:left="720" w:hanging="360"/>
      </w:pPr>
      <w:rPr>
        <w:rFonts w:ascii="Aptos" w:hAnsi="Aptos" w:hint="default"/>
      </w:rPr>
    </w:lvl>
    <w:lvl w:ilvl="1" w:tplc="0C20771E">
      <w:start w:val="1"/>
      <w:numFmt w:val="bullet"/>
      <w:lvlText w:val="o"/>
      <w:lvlJc w:val="left"/>
      <w:pPr>
        <w:ind w:left="1440" w:hanging="360"/>
      </w:pPr>
      <w:rPr>
        <w:rFonts w:ascii="Courier New" w:hAnsi="Courier New" w:hint="default"/>
      </w:rPr>
    </w:lvl>
    <w:lvl w:ilvl="2" w:tplc="3B546676">
      <w:start w:val="1"/>
      <w:numFmt w:val="bullet"/>
      <w:lvlText w:val=""/>
      <w:lvlJc w:val="left"/>
      <w:pPr>
        <w:ind w:left="2160" w:hanging="360"/>
      </w:pPr>
      <w:rPr>
        <w:rFonts w:ascii="Wingdings" w:hAnsi="Wingdings" w:hint="default"/>
      </w:rPr>
    </w:lvl>
    <w:lvl w:ilvl="3" w:tplc="34587C9C">
      <w:start w:val="1"/>
      <w:numFmt w:val="bullet"/>
      <w:lvlText w:val=""/>
      <w:lvlJc w:val="left"/>
      <w:pPr>
        <w:ind w:left="2880" w:hanging="360"/>
      </w:pPr>
      <w:rPr>
        <w:rFonts w:ascii="Symbol" w:hAnsi="Symbol" w:hint="default"/>
      </w:rPr>
    </w:lvl>
    <w:lvl w:ilvl="4" w:tplc="0A1E7978">
      <w:start w:val="1"/>
      <w:numFmt w:val="bullet"/>
      <w:lvlText w:val="o"/>
      <w:lvlJc w:val="left"/>
      <w:pPr>
        <w:ind w:left="3600" w:hanging="360"/>
      </w:pPr>
      <w:rPr>
        <w:rFonts w:ascii="Courier New" w:hAnsi="Courier New" w:hint="default"/>
      </w:rPr>
    </w:lvl>
    <w:lvl w:ilvl="5" w:tplc="7CB81EB2">
      <w:start w:val="1"/>
      <w:numFmt w:val="bullet"/>
      <w:lvlText w:val=""/>
      <w:lvlJc w:val="left"/>
      <w:pPr>
        <w:ind w:left="4320" w:hanging="360"/>
      </w:pPr>
      <w:rPr>
        <w:rFonts w:ascii="Wingdings" w:hAnsi="Wingdings" w:hint="default"/>
      </w:rPr>
    </w:lvl>
    <w:lvl w:ilvl="6" w:tplc="F09AE8F6">
      <w:start w:val="1"/>
      <w:numFmt w:val="bullet"/>
      <w:lvlText w:val=""/>
      <w:lvlJc w:val="left"/>
      <w:pPr>
        <w:ind w:left="5040" w:hanging="360"/>
      </w:pPr>
      <w:rPr>
        <w:rFonts w:ascii="Symbol" w:hAnsi="Symbol" w:hint="default"/>
      </w:rPr>
    </w:lvl>
    <w:lvl w:ilvl="7" w:tplc="CFE4D9FE">
      <w:start w:val="1"/>
      <w:numFmt w:val="bullet"/>
      <w:lvlText w:val="o"/>
      <w:lvlJc w:val="left"/>
      <w:pPr>
        <w:ind w:left="5760" w:hanging="360"/>
      </w:pPr>
      <w:rPr>
        <w:rFonts w:ascii="Courier New" w:hAnsi="Courier New" w:hint="default"/>
      </w:rPr>
    </w:lvl>
    <w:lvl w:ilvl="8" w:tplc="7BA289A8">
      <w:start w:val="1"/>
      <w:numFmt w:val="bullet"/>
      <w:lvlText w:val=""/>
      <w:lvlJc w:val="left"/>
      <w:pPr>
        <w:ind w:left="6480" w:hanging="360"/>
      </w:pPr>
      <w:rPr>
        <w:rFonts w:ascii="Wingdings" w:hAnsi="Wingdings" w:hint="default"/>
      </w:rPr>
    </w:lvl>
  </w:abstractNum>
  <w:abstractNum w:abstractNumId="89" w15:restartNumberingAfterBreak="0">
    <w:nsid w:val="76AF6E1E"/>
    <w:multiLevelType w:val="multilevel"/>
    <w:tmpl w:val="134250F4"/>
    <w:lvl w:ilvl="0">
      <w:start w:val="1"/>
      <w:numFmt w:val="lowerLetter"/>
      <w:lvlText w:val="%1."/>
      <w:lvlJc w:val="left"/>
      <w:pPr>
        <w:tabs>
          <w:tab w:val="num" w:pos="720"/>
        </w:tabs>
        <w:ind w:left="720" w:hanging="720"/>
      </w:pPr>
      <w:rPr>
        <w:rFonts w:ascii="Times New Roman" w:eastAsiaTheme="minorHAnsi" w:hAnsi="Times New Roman" w:cs="Times New Roman"/>
        <w:color w:val="196B24" w:themeColor="accent3"/>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79034D5A"/>
    <w:multiLevelType w:val="hybridMultilevel"/>
    <w:tmpl w:val="53E2931A"/>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9364D4F"/>
    <w:multiLevelType w:val="hybridMultilevel"/>
    <w:tmpl w:val="4056A782"/>
    <w:lvl w:ilvl="0" w:tplc="B99AE53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BBE6E60"/>
    <w:multiLevelType w:val="hybridMultilevel"/>
    <w:tmpl w:val="3C26CB9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7DE16FE4"/>
    <w:multiLevelType w:val="hybridMultilevel"/>
    <w:tmpl w:val="77488F8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94" w15:restartNumberingAfterBreak="0">
    <w:nsid w:val="7EBCBDCD"/>
    <w:multiLevelType w:val="hybridMultilevel"/>
    <w:tmpl w:val="FFFFFFFF"/>
    <w:lvl w:ilvl="0" w:tplc="006ECA90">
      <w:start w:val="1"/>
      <w:numFmt w:val="bullet"/>
      <w:lvlText w:val=""/>
      <w:lvlJc w:val="left"/>
      <w:pPr>
        <w:ind w:left="720" w:hanging="360"/>
      </w:pPr>
      <w:rPr>
        <w:rFonts w:ascii="Symbol" w:hAnsi="Symbol" w:hint="default"/>
      </w:rPr>
    </w:lvl>
    <w:lvl w:ilvl="1" w:tplc="88746F2C">
      <w:start w:val="1"/>
      <w:numFmt w:val="bullet"/>
      <w:lvlText w:val="o"/>
      <w:lvlJc w:val="left"/>
      <w:pPr>
        <w:ind w:left="1440" w:hanging="360"/>
      </w:pPr>
      <w:rPr>
        <w:rFonts w:ascii="Courier New" w:hAnsi="Courier New" w:hint="default"/>
      </w:rPr>
    </w:lvl>
    <w:lvl w:ilvl="2" w:tplc="6BB6A062">
      <w:start w:val="1"/>
      <w:numFmt w:val="bullet"/>
      <w:lvlText w:val=""/>
      <w:lvlJc w:val="left"/>
      <w:pPr>
        <w:ind w:left="2160" w:hanging="360"/>
      </w:pPr>
      <w:rPr>
        <w:rFonts w:ascii="Wingdings" w:hAnsi="Wingdings" w:hint="default"/>
      </w:rPr>
    </w:lvl>
    <w:lvl w:ilvl="3" w:tplc="46E2D19A">
      <w:start w:val="1"/>
      <w:numFmt w:val="bullet"/>
      <w:lvlText w:val=""/>
      <w:lvlJc w:val="left"/>
      <w:pPr>
        <w:ind w:left="2880" w:hanging="360"/>
      </w:pPr>
      <w:rPr>
        <w:rFonts w:ascii="Symbol" w:hAnsi="Symbol" w:hint="default"/>
      </w:rPr>
    </w:lvl>
    <w:lvl w:ilvl="4" w:tplc="8B42FD08">
      <w:start w:val="1"/>
      <w:numFmt w:val="bullet"/>
      <w:lvlText w:val="o"/>
      <w:lvlJc w:val="left"/>
      <w:pPr>
        <w:ind w:left="3600" w:hanging="360"/>
      </w:pPr>
      <w:rPr>
        <w:rFonts w:ascii="Courier New" w:hAnsi="Courier New" w:hint="default"/>
      </w:rPr>
    </w:lvl>
    <w:lvl w:ilvl="5" w:tplc="E0C0D9DE">
      <w:start w:val="1"/>
      <w:numFmt w:val="bullet"/>
      <w:lvlText w:val=""/>
      <w:lvlJc w:val="left"/>
      <w:pPr>
        <w:ind w:left="4320" w:hanging="360"/>
      </w:pPr>
      <w:rPr>
        <w:rFonts w:ascii="Wingdings" w:hAnsi="Wingdings" w:hint="default"/>
      </w:rPr>
    </w:lvl>
    <w:lvl w:ilvl="6" w:tplc="92542802">
      <w:start w:val="1"/>
      <w:numFmt w:val="bullet"/>
      <w:lvlText w:val=""/>
      <w:lvlJc w:val="left"/>
      <w:pPr>
        <w:ind w:left="5040" w:hanging="360"/>
      </w:pPr>
      <w:rPr>
        <w:rFonts w:ascii="Symbol" w:hAnsi="Symbol" w:hint="default"/>
      </w:rPr>
    </w:lvl>
    <w:lvl w:ilvl="7" w:tplc="38DEF20A">
      <w:start w:val="1"/>
      <w:numFmt w:val="bullet"/>
      <w:lvlText w:val="o"/>
      <w:lvlJc w:val="left"/>
      <w:pPr>
        <w:ind w:left="5760" w:hanging="360"/>
      </w:pPr>
      <w:rPr>
        <w:rFonts w:ascii="Courier New" w:hAnsi="Courier New" w:hint="default"/>
      </w:rPr>
    </w:lvl>
    <w:lvl w:ilvl="8" w:tplc="1250DDB2">
      <w:start w:val="1"/>
      <w:numFmt w:val="bullet"/>
      <w:lvlText w:val=""/>
      <w:lvlJc w:val="left"/>
      <w:pPr>
        <w:ind w:left="6480" w:hanging="360"/>
      </w:pPr>
      <w:rPr>
        <w:rFonts w:ascii="Wingdings" w:hAnsi="Wingdings" w:hint="default"/>
      </w:rPr>
    </w:lvl>
  </w:abstractNum>
  <w:abstractNum w:abstractNumId="95" w15:restartNumberingAfterBreak="0">
    <w:nsid w:val="7F774F2B"/>
    <w:multiLevelType w:val="multilevel"/>
    <w:tmpl w:val="F8E2BD90"/>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45"/>
  </w:num>
  <w:num w:numId="3">
    <w:abstractNumId w:val="60"/>
  </w:num>
  <w:num w:numId="4">
    <w:abstractNumId w:val="13"/>
  </w:num>
  <w:num w:numId="5">
    <w:abstractNumId w:val="90"/>
  </w:num>
  <w:num w:numId="6">
    <w:abstractNumId w:val="75"/>
  </w:num>
  <w:num w:numId="7">
    <w:abstractNumId w:val="53"/>
  </w:num>
  <w:num w:numId="8">
    <w:abstractNumId w:val="14"/>
  </w:num>
  <w:num w:numId="9">
    <w:abstractNumId w:val="39"/>
  </w:num>
  <w:num w:numId="10">
    <w:abstractNumId w:val="94"/>
  </w:num>
  <w:num w:numId="11">
    <w:abstractNumId w:val="20"/>
  </w:num>
  <w:num w:numId="12">
    <w:abstractNumId w:val="2"/>
  </w:num>
  <w:num w:numId="13">
    <w:abstractNumId w:val="59"/>
  </w:num>
  <w:num w:numId="14">
    <w:abstractNumId w:val="49"/>
  </w:num>
  <w:num w:numId="15">
    <w:abstractNumId w:val="10"/>
  </w:num>
  <w:num w:numId="16">
    <w:abstractNumId w:val="81"/>
  </w:num>
  <w:num w:numId="17">
    <w:abstractNumId w:val="17"/>
  </w:num>
  <w:num w:numId="18">
    <w:abstractNumId w:val="31"/>
  </w:num>
  <w:num w:numId="19">
    <w:abstractNumId w:val="83"/>
  </w:num>
  <w:num w:numId="20">
    <w:abstractNumId w:val="66"/>
  </w:num>
  <w:num w:numId="21">
    <w:abstractNumId w:val="87"/>
  </w:num>
  <w:num w:numId="22">
    <w:abstractNumId w:val="88"/>
  </w:num>
  <w:num w:numId="23">
    <w:abstractNumId w:val="33"/>
  </w:num>
  <w:num w:numId="24">
    <w:abstractNumId w:val="63"/>
  </w:num>
  <w:num w:numId="25">
    <w:abstractNumId w:val="74"/>
  </w:num>
  <w:num w:numId="26">
    <w:abstractNumId w:val="36"/>
  </w:num>
  <w:num w:numId="27">
    <w:abstractNumId w:val="65"/>
  </w:num>
  <w:num w:numId="28">
    <w:abstractNumId w:val="71"/>
  </w:num>
  <w:num w:numId="29">
    <w:abstractNumId w:val="40"/>
  </w:num>
  <w:num w:numId="3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2"/>
  </w:num>
  <w:num w:numId="32">
    <w:abstractNumId w:val="82"/>
  </w:num>
  <w:num w:numId="33">
    <w:abstractNumId w:val="61"/>
  </w:num>
  <w:num w:numId="34">
    <w:abstractNumId w:val="91"/>
  </w:num>
  <w:num w:numId="35">
    <w:abstractNumId w:val="77"/>
  </w:num>
  <w:num w:numId="36">
    <w:abstractNumId w:val="85"/>
  </w:num>
  <w:num w:numId="37">
    <w:abstractNumId w:val="52"/>
  </w:num>
  <w:num w:numId="38">
    <w:abstractNumId w:val="8"/>
  </w:num>
  <w:num w:numId="39">
    <w:abstractNumId w:val="56"/>
  </w:num>
  <w:num w:numId="40">
    <w:abstractNumId w:val="27"/>
  </w:num>
  <w:num w:numId="41">
    <w:abstractNumId w:val="95"/>
  </w:num>
  <w:num w:numId="42">
    <w:abstractNumId w:val="23"/>
  </w:num>
  <w:num w:numId="43">
    <w:abstractNumId w:val="32"/>
  </w:num>
  <w:num w:numId="44">
    <w:abstractNumId w:val="7"/>
  </w:num>
  <w:num w:numId="45">
    <w:abstractNumId w:val="22"/>
  </w:num>
  <w:num w:numId="46">
    <w:abstractNumId w:val="43"/>
  </w:num>
  <w:num w:numId="47">
    <w:abstractNumId w:val="47"/>
  </w:num>
  <w:num w:numId="48">
    <w:abstractNumId w:val="84"/>
  </w:num>
  <w:num w:numId="49">
    <w:abstractNumId w:val="76"/>
  </w:num>
  <w:num w:numId="50">
    <w:abstractNumId w:val="72"/>
  </w:num>
  <w:num w:numId="51">
    <w:abstractNumId w:val="26"/>
  </w:num>
  <w:num w:numId="52">
    <w:abstractNumId w:val="58"/>
  </w:num>
  <w:num w:numId="53">
    <w:abstractNumId w:val="55"/>
  </w:num>
  <w:num w:numId="54">
    <w:abstractNumId w:val="67"/>
  </w:num>
  <w:num w:numId="55">
    <w:abstractNumId w:val="93"/>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5"/>
  </w:num>
  <w:num w:numId="58">
    <w:abstractNumId w:val="37"/>
  </w:num>
  <w:num w:numId="59">
    <w:abstractNumId w:val="50"/>
  </w:num>
  <w:num w:numId="60">
    <w:abstractNumId w:val="15"/>
  </w:num>
  <w:num w:numId="61">
    <w:abstractNumId w:val="12"/>
  </w:num>
  <w:num w:numId="62">
    <w:abstractNumId w:val="3"/>
  </w:num>
  <w:num w:numId="63">
    <w:abstractNumId w:val="30"/>
  </w:num>
  <w:num w:numId="64">
    <w:abstractNumId w:val="54"/>
  </w:num>
  <w:num w:numId="65">
    <w:abstractNumId w:val="25"/>
  </w:num>
  <w:num w:numId="66">
    <w:abstractNumId w:val="16"/>
  </w:num>
  <w:num w:numId="67">
    <w:abstractNumId w:val="79"/>
  </w:num>
  <w:num w:numId="68">
    <w:abstractNumId w:val="18"/>
  </w:num>
  <w:num w:numId="69">
    <w:abstractNumId w:val="69"/>
  </w:num>
  <w:num w:numId="70">
    <w:abstractNumId w:val="38"/>
  </w:num>
  <w:num w:numId="71">
    <w:abstractNumId w:val="68"/>
  </w:num>
  <w:num w:numId="72">
    <w:abstractNumId w:val="73"/>
  </w:num>
  <w:num w:numId="73">
    <w:abstractNumId w:val="48"/>
  </w:num>
  <w:num w:numId="74">
    <w:abstractNumId w:val="24"/>
  </w:num>
  <w:num w:numId="75">
    <w:abstractNumId w:val="62"/>
  </w:num>
  <w:num w:numId="76">
    <w:abstractNumId w:val="70"/>
  </w:num>
  <w:num w:numId="77">
    <w:abstractNumId w:val="4"/>
  </w:num>
  <w:num w:numId="78">
    <w:abstractNumId w:val="28"/>
  </w:num>
  <w:num w:numId="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7"/>
  </w:num>
  <w:num w:numId="81">
    <w:abstractNumId w:val="6"/>
  </w:num>
  <w:num w:numId="82">
    <w:abstractNumId w:val="29"/>
  </w:num>
  <w:num w:numId="83">
    <w:abstractNumId w:val="1"/>
  </w:num>
  <w:num w:numId="84">
    <w:abstractNumId w:val="86"/>
  </w:num>
  <w:num w:numId="85">
    <w:abstractNumId w:val="19"/>
  </w:num>
  <w:num w:numId="86">
    <w:abstractNumId w:val="11"/>
  </w:num>
  <w:num w:numId="87">
    <w:abstractNumId w:val="78"/>
  </w:num>
  <w:num w:numId="88">
    <w:abstractNumId w:val="80"/>
  </w:num>
  <w:num w:numId="89">
    <w:abstractNumId w:val="9"/>
  </w:num>
  <w:num w:numId="90">
    <w:abstractNumId w:val="44"/>
  </w:num>
  <w:num w:numId="91">
    <w:abstractNumId w:val="51"/>
  </w:num>
  <w:num w:numId="92">
    <w:abstractNumId w:val="41"/>
  </w:num>
  <w:num w:numId="93">
    <w:abstractNumId w:val="46"/>
  </w:num>
  <w:num w:numId="94">
    <w:abstractNumId w:val="42"/>
  </w:num>
  <w:num w:numId="95">
    <w:abstractNumId w:val="64"/>
  </w:num>
  <w:num w:numId="96">
    <w:abstractNumId w:val="34"/>
  </w:num>
  <w:num w:numId="97">
    <w:abstractNumId w:val="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6&lt;/text&gt;_x000d__x000a_  &lt;/metadata&gt;_x000d__x000a_  &lt;metadata key=&quot;md_Prefix&quot;&gt;_x000d__x000a_    &lt;text&gt;&lt;/text&gt;_x000d__x000a_  &lt;/metadata&gt;_x000d__x000a_  &lt;metadata key=&quot;md_DocumentNumber&quot;&gt;_x000d__x000a_    &lt;text&gt;881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557&lt;/text&gt;_x000d__x000a_      &lt;text&gt;UEM 156&lt;/text&gt;_x000d__x000a_      &lt;text&gt;FIN 617&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02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4 May 2022 on the approval of the assessment of the recovery and resilience plan for Bulgaria&quot;&gt;&amp;lt;FlowDocument xmlns=&quot;http://schemas.microsoft.com/winfx/2006/xaml/presentation&quot;&amp;gt;&amp;lt;Paragraph&amp;gt;ANNEX to the COUNCIL IMPLEMENTING DECISION amending the Implementing Decision of 4 May 2022 on the approval of the assessment of the recovery and resilience plan for Bulgaria&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31D939C2-6126-43C2-8F84-AF206622889D"/>
    <w:docVar w:name="LW_COVERPAGE_TYPE" w:val="1"/>
    <w:docVar w:name="LW_CROSSREFERENCE" w:val="{SWD(2026) 263 final}"/>
    <w:docVar w:name="LW_DocType" w:val="DW_COUNCIL"/>
    <w:docVar w:name="LW_EMISSION" w:val="4.8.2026"/>
    <w:docVar w:name="LW_EMISSION_ISODATE" w:val="2026-08-04"/>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4 mai 2022 relative à l\u8217?approbation de l\u8217?évaluation du plan pour la reprise et la résilience pour la Bulgarie"/>
    <w:docVar w:name="LW_PART_NBR" w:val="1"/>
    <w:docVar w:name="LW_PART_NBR_TOTAL" w:val="1"/>
    <w:docVar w:name="LW_REF.INST.NEW" w:val="COM"/>
    <w:docVar w:name="LW_REF.INST.NEW_ADOPTED" w:val="final"/>
    <w:docVar w:name="LW_REF.INST.NEW_TEXT" w:val="(2026)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A86151"/>
    <w:rsid w:val="0000019E"/>
    <w:rsid w:val="000006F6"/>
    <w:rsid w:val="00000A0D"/>
    <w:rsid w:val="00000FD3"/>
    <w:rsid w:val="000010B3"/>
    <w:rsid w:val="0000115E"/>
    <w:rsid w:val="00001228"/>
    <w:rsid w:val="00001607"/>
    <w:rsid w:val="00001726"/>
    <w:rsid w:val="00001907"/>
    <w:rsid w:val="00001DD1"/>
    <w:rsid w:val="00001EC4"/>
    <w:rsid w:val="00001F2C"/>
    <w:rsid w:val="00002051"/>
    <w:rsid w:val="0000229D"/>
    <w:rsid w:val="000022AE"/>
    <w:rsid w:val="000023B4"/>
    <w:rsid w:val="000026B3"/>
    <w:rsid w:val="0000276F"/>
    <w:rsid w:val="00002BD6"/>
    <w:rsid w:val="00002D38"/>
    <w:rsid w:val="00002E2F"/>
    <w:rsid w:val="0000351F"/>
    <w:rsid w:val="000035A4"/>
    <w:rsid w:val="00003829"/>
    <w:rsid w:val="00003877"/>
    <w:rsid w:val="00003EA3"/>
    <w:rsid w:val="00004E08"/>
    <w:rsid w:val="0000567C"/>
    <w:rsid w:val="00005895"/>
    <w:rsid w:val="000058C6"/>
    <w:rsid w:val="00006623"/>
    <w:rsid w:val="000067C5"/>
    <w:rsid w:val="000069BD"/>
    <w:rsid w:val="00006F53"/>
    <w:rsid w:val="000072DD"/>
    <w:rsid w:val="00007350"/>
    <w:rsid w:val="00007353"/>
    <w:rsid w:val="00007638"/>
    <w:rsid w:val="000078B3"/>
    <w:rsid w:val="00007CB7"/>
    <w:rsid w:val="00007E7C"/>
    <w:rsid w:val="0001029A"/>
    <w:rsid w:val="000102C3"/>
    <w:rsid w:val="00010390"/>
    <w:rsid w:val="000105C2"/>
    <w:rsid w:val="000112C4"/>
    <w:rsid w:val="000114DE"/>
    <w:rsid w:val="00011557"/>
    <w:rsid w:val="00011884"/>
    <w:rsid w:val="00011CA8"/>
    <w:rsid w:val="00011DCD"/>
    <w:rsid w:val="00012333"/>
    <w:rsid w:val="000126B9"/>
    <w:rsid w:val="00013163"/>
    <w:rsid w:val="00013434"/>
    <w:rsid w:val="0001357B"/>
    <w:rsid w:val="000135BD"/>
    <w:rsid w:val="00014177"/>
    <w:rsid w:val="000144E7"/>
    <w:rsid w:val="0001450B"/>
    <w:rsid w:val="0001455A"/>
    <w:rsid w:val="0001470E"/>
    <w:rsid w:val="000147A3"/>
    <w:rsid w:val="00014CD7"/>
    <w:rsid w:val="00014EFB"/>
    <w:rsid w:val="00014F7A"/>
    <w:rsid w:val="000155EA"/>
    <w:rsid w:val="00015843"/>
    <w:rsid w:val="00015A58"/>
    <w:rsid w:val="00015A79"/>
    <w:rsid w:val="00015E8F"/>
    <w:rsid w:val="00016212"/>
    <w:rsid w:val="000163E0"/>
    <w:rsid w:val="00016F4A"/>
    <w:rsid w:val="0001705C"/>
    <w:rsid w:val="00017125"/>
    <w:rsid w:val="000171AE"/>
    <w:rsid w:val="000173BA"/>
    <w:rsid w:val="000176A7"/>
    <w:rsid w:val="00017827"/>
    <w:rsid w:val="00017863"/>
    <w:rsid w:val="00017CD7"/>
    <w:rsid w:val="00017FDF"/>
    <w:rsid w:val="00020316"/>
    <w:rsid w:val="000204C3"/>
    <w:rsid w:val="00020671"/>
    <w:rsid w:val="00020AAA"/>
    <w:rsid w:val="00020B31"/>
    <w:rsid w:val="00021572"/>
    <w:rsid w:val="00021A1F"/>
    <w:rsid w:val="00021BF7"/>
    <w:rsid w:val="00021E09"/>
    <w:rsid w:val="00021EE0"/>
    <w:rsid w:val="000225AF"/>
    <w:rsid w:val="0002271C"/>
    <w:rsid w:val="00022BA4"/>
    <w:rsid w:val="00022F4E"/>
    <w:rsid w:val="00023028"/>
    <w:rsid w:val="00023322"/>
    <w:rsid w:val="0002344D"/>
    <w:rsid w:val="00024101"/>
    <w:rsid w:val="00025245"/>
    <w:rsid w:val="00025518"/>
    <w:rsid w:val="00025718"/>
    <w:rsid w:val="0002576A"/>
    <w:rsid w:val="00025920"/>
    <w:rsid w:val="00025A1D"/>
    <w:rsid w:val="00025B77"/>
    <w:rsid w:val="000260C2"/>
    <w:rsid w:val="0002613D"/>
    <w:rsid w:val="00027264"/>
    <w:rsid w:val="00027782"/>
    <w:rsid w:val="00027BCF"/>
    <w:rsid w:val="00027E6D"/>
    <w:rsid w:val="00027EE2"/>
    <w:rsid w:val="00030239"/>
    <w:rsid w:val="0003038D"/>
    <w:rsid w:val="000305E2"/>
    <w:rsid w:val="00030A0B"/>
    <w:rsid w:val="00030C06"/>
    <w:rsid w:val="00030F81"/>
    <w:rsid w:val="00031704"/>
    <w:rsid w:val="00032069"/>
    <w:rsid w:val="00032381"/>
    <w:rsid w:val="0003240A"/>
    <w:rsid w:val="00032856"/>
    <w:rsid w:val="00032903"/>
    <w:rsid w:val="000329EE"/>
    <w:rsid w:val="00032C39"/>
    <w:rsid w:val="00032CD6"/>
    <w:rsid w:val="00032D7A"/>
    <w:rsid w:val="000335C6"/>
    <w:rsid w:val="0003377A"/>
    <w:rsid w:val="000337CF"/>
    <w:rsid w:val="00033C85"/>
    <w:rsid w:val="00033CB7"/>
    <w:rsid w:val="00033D1A"/>
    <w:rsid w:val="00033DBB"/>
    <w:rsid w:val="00033E86"/>
    <w:rsid w:val="00034308"/>
    <w:rsid w:val="000343BD"/>
    <w:rsid w:val="0003480C"/>
    <w:rsid w:val="0003496D"/>
    <w:rsid w:val="00034E52"/>
    <w:rsid w:val="00035C0D"/>
    <w:rsid w:val="000363A0"/>
    <w:rsid w:val="000365F1"/>
    <w:rsid w:val="000367AF"/>
    <w:rsid w:val="00036A21"/>
    <w:rsid w:val="00036C3B"/>
    <w:rsid w:val="00036C5D"/>
    <w:rsid w:val="00036F31"/>
    <w:rsid w:val="0003719D"/>
    <w:rsid w:val="000371F8"/>
    <w:rsid w:val="0003736B"/>
    <w:rsid w:val="00037609"/>
    <w:rsid w:val="000376BE"/>
    <w:rsid w:val="00037849"/>
    <w:rsid w:val="00037BEA"/>
    <w:rsid w:val="000403B5"/>
    <w:rsid w:val="000405C8"/>
    <w:rsid w:val="0004089B"/>
    <w:rsid w:val="00040FE2"/>
    <w:rsid w:val="0004101F"/>
    <w:rsid w:val="000412AD"/>
    <w:rsid w:val="00041408"/>
    <w:rsid w:val="000414BF"/>
    <w:rsid w:val="00041BD9"/>
    <w:rsid w:val="0004209B"/>
    <w:rsid w:val="000423FE"/>
    <w:rsid w:val="000426E6"/>
    <w:rsid w:val="00042B96"/>
    <w:rsid w:val="0004320A"/>
    <w:rsid w:val="00043B1E"/>
    <w:rsid w:val="00043EAA"/>
    <w:rsid w:val="00043FDC"/>
    <w:rsid w:val="00044088"/>
    <w:rsid w:val="00044116"/>
    <w:rsid w:val="00044496"/>
    <w:rsid w:val="00044736"/>
    <w:rsid w:val="00045254"/>
    <w:rsid w:val="00045461"/>
    <w:rsid w:val="00045713"/>
    <w:rsid w:val="000459ED"/>
    <w:rsid w:val="00045DDA"/>
    <w:rsid w:val="00046401"/>
    <w:rsid w:val="0004685B"/>
    <w:rsid w:val="00046926"/>
    <w:rsid w:val="00046B77"/>
    <w:rsid w:val="00046CF0"/>
    <w:rsid w:val="00046EC5"/>
    <w:rsid w:val="000475AA"/>
    <w:rsid w:val="00047C6B"/>
    <w:rsid w:val="00047CE8"/>
    <w:rsid w:val="00047F81"/>
    <w:rsid w:val="00050012"/>
    <w:rsid w:val="00050022"/>
    <w:rsid w:val="000501A8"/>
    <w:rsid w:val="00050346"/>
    <w:rsid w:val="000509B8"/>
    <w:rsid w:val="00050AFD"/>
    <w:rsid w:val="00051156"/>
    <w:rsid w:val="00051379"/>
    <w:rsid w:val="00051A41"/>
    <w:rsid w:val="00051B51"/>
    <w:rsid w:val="00051C5C"/>
    <w:rsid w:val="00051F4C"/>
    <w:rsid w:val="00051F87"/>
    <w:rsid w:val="00052144"/>
    <w:rsid w:val="0005221F"/>
    <w:rsid w:val="00052317"/>
    <w:rsid w:val="00052411"/>
    <w:rsid w:val="00052502"/>
    <w:rsid w:val="00052D7C"/>
    <w:rsid w:val="00052F72"/>
    <w:rsid w:val="00053053"/>
    <w:rsid w:val="00053125"/>
    <w:rsid w:val="00053201"/>
    <w:rsid w:val="000539F8"/>
    <w:rsid w:val="00053A86"/>
    <w:rsid w:val="00053CBB"/>
    <w:rsid w:val="00053D7D"/>
    <w:rsid w:val="00053E6E"/>
    <w:rsid w:val="00053F87"/>
    <w:rsid w:val="00054423"/>
    <w:rsid w:val="00054852"/>
    <w:rsid w:val="00054910"/>
    <w:rsid w:val="000549E3"/>
    <w:rsid w:val="00054A36"/>
    <w:rsid w:val="00054B32"/>
    <w:rsid w:val="000550E3"/>
    <w:rsid w:val="00055304"/>
    <w:rsid w:val="0005532E"/>
    <w:rsid w:val="000553E9"/>
    <w:rsid w:val="00055966"/>
    <w:rsid w:val="0005654F"/>
    <w:rsid w:val="00056566"/>
    <w:rsid w:val="00056915"/>
    <w:rsid w:val="00056A97"/>
    <w:rsid w:val="00056B5B"/>
    <w:rsid w:val="00056BED"/>
    <w:rsid w:val="000571AA"/>
    <w:rsid w:val="000571BC"/>
    <w:rsid w:val="0005734E"/>
    <w:rsid w:val="00057506"/>
    <w:rsid w:val="000575A6"/>
    <w:rsid w:val="000575D7"/>
    <w:rsid w:val="00057888"/>
    <w:rsid w:val="000578B5"/>
    <w:rsid w:val="00057CC5"/>
    <w:rsid w:val="00057E04"/>
    <w:rsid w:val="00057FE3"/>
    <w:rsid w:val="000600CB"/>
    <w:rsid w:val="00060720"/>
    <w:rsid w:val="00060809"/>
    <w:rsid w:val="00060972"/>
    <w:rsid w:val="000609CE"/>
    <w:rsid w:val="00060B21"/>
    <w:rsid w:val="00060DC0"/>
    <w:rsid w:val="00060E71"/>
    <w:rsid w:val="000611A3"/>
    <w:rsid w:val="00061392"/>
    <w:rsid w:val="00061D30"/>
    <w:rsid w:val="00061ECF"/>
    <w:rsid w:val="000621C4"/>
    <w:rsid w:val="000622E5"/>
    <w:rsid w:val="00063590"/>
    <w:rsid w:val="00063990"/>
    <w:rsid w:val="000639AA"/>
    <w:rsid w:val="00063AF9"/>
    <w:rsid w:val="00063C7E"/>
    <w:rsid w:val="00063E61"/>
    <w:rsid w:val="00063F3E"/>
    <w:rsid w:val="0006425F"/>
    <w:rsid w:val="0006435B"/>
    <w:rsid w:val="000647CB"/>
    <w:rsid w:val="0006484C"/>
    <w:rsid w:val="0006493F"/>
    <w:rsid w:val="000655D7"/>
    <w:rsid w:val="000657F3"/>
    <w:rsid w:val="00065B5D"/>
    <w:rsid w:val="00065ED3"/>
    <w:rsid w:val="00065FAD"/>
    <w:rsid w:val="0006630F"/>
    <w:rsid w:val="00067729"/>
    <w:rsid w:val="000678C5"/>
    <w:rsid w:val="00067B3D"/>
    <w:rsid w:val="00067FDD"/>
    <w:rsid w:val="00070050"/>
    <w:rsid w:val="000702BA"/>
    <w:rsid w:val="0007076D"/>
    <w:rsid w:val="0007106B"/>
    <w:rsid w:val="00071204"/>
    <w:rsid w:val="00071971"/>
    <w:rsid w:val="00071D05"/>
    <w:rsid w:val="0007254C"/>
    <w:rsid w:val="000727C0"/>
    <w:rsid w:val="00072A0E"/>
    <w:rsid w:val="0007306C"/>
    <w:rsid w:val="00073242"/>
    <w:rsid w:val="000734B5"/>
    <w:rsid w:val="0007353F"/>
    <w:rsid w:val="00073701"/>
    <w:rsid w:val="0007375F"/>
    <w:rsid w:val="00073B0D"/>
    <w:rsid w:val="00073B55"/>
    <w:rsid w:val="00073BCC"/>
    <w:rsid w:val="00073FCF"/>
    <w:rsid w:val="0007404B"/>
    <w:rsid w:val="00074242"/>
    <w:rsid w:val="00075037"/>
    <w:rsid w:val="000750CC"/>
    <w:rsid w:val="00075775"/>
    <w:rsid w:val="00075A55"/>
    <w:rsid w:val="00075B3F"/>
    <w:rsid w:val="00076193"/>
    <w:rsid w:val="00076463"/>
    <w:rsid w:val="00076470"/>
    <w:rsid w:val="00076717"/>
    <w:rsid w:val="0007689F"/>
    <w:rsid w:val="00076CCD"/>
    <w:rsid w:val="000771B7"/>
    <w:rsid w:val="0007753E"/>
    <w:rsid w:val="000778E8"/>
    <w:rsid w:val="00080835"/>
    <w:rsid w:val="00081320"/>
    <w:rsid w:val="000818B2"/>
    <w:rsid w:val="000819B3"/>
    <w:rsid w:val="00081F5D"/>
    <w:rsid w:val="00082196"/>
    <w:rsid w:val="000821C7"/>
    <w:rsid w:val="000821E8"/>
    <w:rsid w:val="000824BC"/>
    <w:rsid w:val="00082607"/>
    <w:rsid w:val="00082A8D"/>
    <w:rsid w:val="00082AA7"/>
    <w:rsid w:val="00082C88"/>
    <w:rsid w:val="00082E9E"/>
    <w:rsid w:val="00083063"/>
    <w:rsid w:val="000832E0"/>
    <w:rsid w:val="000832E7"/>
    <w:rsid w:val="0008342E"/>
    <w:rsid w:val="0008349B"/>
    <w:rsid w:val="0008370C"/>
    <w:rsid w:val="000839C3"/>
    <w:rsid w:val="00083D1D"/>
    <w:rsid w:val="00083E5A"/>
    <w:rsid w:val="00084674"/>
    <w:rsid w:val="0008483D"/>
    <w:rsid w:val="0008528C"/>
    <w:rsid w:val="00085C1B"/>
    <w:rsid w:val="00085E7F"/>
    <w:rsid w:val="000860E4"/>
    <w:rsid w:val="0008616C"/>
    <w:rsid w:val="00086466"/>
    <w:rsid w:val="00086782"/>
    <w:rsid w:val="00086BE5"/>
    <w:rsid w:val="00086CC9"/>
    <w:rsid w:val="00086DC7"/>
    <w:rsid w:val="00086F98"/>
    <w:rsid w:val="00087092"/>
    <w:rsid w:val="00087808"/>
    <w:rsid w:val="00087B24"/>
    <w:rsid w:val="00087D41"/>
    <w:rsid w:val="0009040C"/>
    <w:rsid w:val="000908C3"/>
    <w:rsid w:val="00090C2C"/>
    <w:rsid w:val="00090C9B"/>
    <w:rsid w:val="00090EE2"/>
    <w:rsid w:val="000912CD"/>
    <w:rsid w:val="00091918"/>
    <w:rsid w:val="00091A20"/>
    <w:rsid w:val="00091C4E"/>
    <w:rsid w:val="00091DD2"/>
    <w:rsid w:val="00091F08"/>
    <w:rsid w:val="00091FD4"/>
    <w:rsid w:val="00092253"/>
    <w:rsid w:val="000923D2"/>
    <w:rsid w:val="000925BF"/>
    <w:rsid w:val="0009268D"/>
    <w:rsid w:val="00092CA4"/>
    <w:rsid w:val="00092E5C"/>
    <w:rsid w:val="0009329B"/>
    <w:rsid w:val="000944F3"/>
    <w:rsid w:val="00094681"/>
    <w:rsid w:val="00094887"/>
    <w:rsid w:val="000948F3"/>
    <w:rsid w:val="00094996"/>
    <w:rsid w:val="00094BFB"/>
    <w:rsid w:val="00095CB8"/>
    <w:rsid w:val="00095E03"/>
    <w:rsid w:val="00096316"/>
    <w:rsid w:val="00096571"/>
    <w:rsid w:val="000967DF"/>
    <w:rsid w:val="00096F09"/>
    <w:rsid w:val="0009748C"/>
    <w:rsid w:val="0009770D"/>
    <w:rsid w:val="000A052D"/>
    <w:rsid w:val="000A073D"/>
    <w:rsid w:val="000A09C3"/>
    <w:rsid w:val="000A0E84"/>
    <w:rsid w:val="000A0E96"/>
    <w:rsid w:val="000A1040"/>
    <w:rsid w:val="000A148F"/>
    <w:rsid w:val="000A1501"/>
    <w:rsid w:val="000A15D6"/>
    <w:rsid w:val="000A15DF"/>
    <w:rsid w:val="000A17B3"/>
    <w:rsid w:val="000A1B6C"/>
    <w:rsid w:val="000A1D3F"/>
    <w:rsid w:val="000A1DAB"/>
    <w:rsid w:val="000A2154"/>
    <w:rsid w:val="000A21B0"/>
    <w:rsid w:val="000A242C"/>
    <w:rsid w:val="000A2DA6"/>
    <w:rsid w:val="000A2E95"/>
    <w:rsid w:val="000A30CB"/>
    <w:rsid w:val="000A3A50"/>
    <w:rsid w:val="000A3AEA"/>
    <w:rsid w:val="000A3F67"/>
    <w:rsid w:val="000A43EB"/>
    <w:rsid w:val="000A4D95"/>
    <w:rsid w:val="000A5088"/>
    <w:rsid w:val="000A5598"/>
    <w:rsid w:val="000A55CE"/>
    <w:rsid w:val="000A57B3"/>
    <w:rsid w:val="000A5956"/>
    <w:rsid w:val="000A6012"/>
    <w:rsid w:val="000A62FD"/>
    <w:rsid w:val="000A63A4"/>
    <w:rsid w:val="000A6710"/>
    <w:rsid w:val="000A6CB8"/>
    <w:rsid w:val="000A70E8"/>
    <w:rsid w:val="000A7339"/>
    <w:rsid w:val="000A7ABA"/>
    <w:rsid w:val="000B01D7"/>
    <w:rsid w:val="000B0370"/>
    <w:rsid w:val="000B04DF"/>
    <w:rsid w:val="000B0587"/>
    <w:rsid w:val="000B08D8"/>
    <w:rsid w:val="000B0FA5"/>
    <w:rsid w:val="000B14E3"/>
    <w:rsid w:val="000B1711"/>
    <w:rsid w:val="000B1993"/>
    <w:rsid w:val="000B2245"/>
    <w:rsid w:val="000B2D67"/>
    <w:rsid w:val="000B2E44"/>
    <w:rsid w:val="000B320B"/>
    <w:rsid w:val="000B3476"/>
    <w:rsid w:val="000B36EC"/>
    <w:rsid w:val="000B3809"/>
    <w:rsid w:val="000B3879"/>
    <w:rsid w:val="000B3DCB"/>
    <w:rsid w:val="000B3E36"/>
    <w:rsid w:val="000B3EE1"/>
    <w:rsid w:val="000B41D8"/>
    <w:rsid w:val="000B44D8"/>
    <w:rsid w:val="000B45E4"/>
    <w:rsid w:val="000B4778"/>
    <w:rsid w:val="000B48FB"/>
    <w:rsid w:val="000B4D0C"/>
    <w:rsid w:val="000B4D0F"/>
    <w:rsid w:val="000B4E01"/>
    <w:rsid w:val="000B5585"/>
    <w:rsid w:val="000B5A77"/>
    <w:rsid w:val="000B5C66"/>
    <w:rsid w:val="000B5DF7"/>
    <w:rsid w:val="000B614C"/>
    <w:rsid w:val="000B65C7"/>
    <w:rsid w:val="000B6B09"/>
    <w:rsid w:val="000B6C0B"/>
    <w:rsid w:val="000B6EEF"/>
    <w:rsid w:val="000B7102"/>
    <w:rsid w:val="000B78B4"/>
    <w:rsid w:val="000B7B76"/>
    <w:rsid w:val="000B7F93"/>
    <w:rsid w:val="000B7FCA"/>
    <w:rsid w:val="000C0497"/>
    <w:rsid w:val="000C0C9E"/>
    <w:rsid w:val="000C0D39"/>
    <w:rsid w:val="000C10B5"/>
    <w:rsid w:val="000C11A5"/>
    <w:rsid w:val="000C1483"/>
    <w:rsid w:val="000C1505"/>
    <w:rsid w:val="000C1AC0"/>
    <w:rsid w:val="000C269A"/>
    <w:rsid w:val="000C2722"/>
    <w:rsid w:val="000C2B9C"/>
    <w:rsid w:val="000C2C79"/>
    <w:rsid w:val="000C32C9"/>
    <w:rsid w:val="000C3C36"/>
    <w:rsid w:val="000C3DFC"/>
    <w:rsid w:val="000C3F5C"/>
    <w:rsid w:val="000C4027"/>
    <w:rsid w:val="000C4148"/>
    <w:rsid w:val="000C4D4E"/>
    <w:rsid w:val="000C5236"/>
    <w:rsid w:val="000C536E"/>
    <w:rsid w:val="000C5599"/>
    <w:rsid w:val="000C55AF"/>
    <w:rsid w:val="000C6090"/>
    <w:rsid w:val="000C6154"/>
    <w:rsid w:val="000C679C"/>
    <w:rsid w:val="000C6D31"/>
    <w:rsid w:val="000C6E54"/>
    <w:rsid w:val="000C711D"/>
    <w:rsid w:val="000C772D"/>
    <w:rsid w:val="000C7897"/>
    <w:rsid w:val="000C7CD0"/>
    <w:rsid w:val="000D0479"/>
    <w:rsid w:val="000D070C"/>
    <w:rsid w:val="000D0760"/>
    <w:rsid w:val="000D0839"/>
    <w:rsid w:val="000D1650"/>
    <w:rsid w:val="000D1911"/>
    <w:rsid w:val="000D19D2"/>
    <w:rsid w:val="000D1BEA"/>
    <w:rsid w:val="000D1D11"/>
    <w:rsid w:val="000D1FF9"/>
    <w:rsid w:val="000D218E"/>
    <w:rsid w:val="000D29BD"/>
    <w:rsid w:val="000D2AE8"/>
    <w:rsid w:val="000D2B12"/>
    <w:rsid w:val="000D2C2C"/>
    <w:rsid w:val="000D2C7C"/>
    <w:rsid w:val="000D3324"/>
    <w:rsid w:val="000D33EC"/>
    <w:rsid w:val="000D3599"/>
    <w:rsid w:val="000D38CF"/>
    <w:rsid w:val="000D39E8"/>
    <w:rsid w:val="000D3CC9"/>
    <w:rsid w:val="000D40B3"/>
    <w:rsid w:val="000D41FD"/>
    <w:rsid w:val="000D422F"/>
    <w:rsid w:val="000D4569"/>
    <w:rsid w:val="000D4A05"/>
    <w:rsid w:val="000D4D14"/>
    <w:rsid w:val="000D4F5E"/>
    <w:rsid w:val="000D52CE"/>
    <w:rsid w:val="000D5400"/>
    <w:rsid w:val="000D5A67"/>
    <w:rsid w:val="000D6ABE"/>
    <w:rsid w:val="000D6BBD"/>
    <w:rsid w:val="000D6C9B"/>
    <w:rsid w:val="000D6D7B"/>
    <w:rsid w:val="000D730E"/>
    <w:rsid w:val="000D7946"/>
    <w:rsid w:val="000D799D"/>
    <w:rsid w:val="000D7A5C"/>
    <w:rsid w:val="000D7C32"/>
    <w:rsid w:val="000D7C4C"/>
    <w:rsid w:val="000E0254"/>
    <w:rsid w:val="000E02B9"/>
    <w:rsid w:val="000E03C4"/>
    <w:rsid w:val="000E05A5"/>
    <w:rsid w:val="000E0B39"/>
    <w:rsid w:val="000E0F5C"/>
    <w:rsid w:val="000E1359"/>
    <w:rsid w:val="000E164E"/>
    <w:rsid w:val="000E1C00"/>
    <w:rsid w:val="000E1EB3"/>
    <w:rsid w:val="000E2216"/>
    <w:rsid w:val="000E2224"/>
    <w:rsid w:val="000E22A0"/>
    <w:rsid w:val="000E261A"/>
    <w:rsid w:val="000E3D16"/>
    <w:rsid w:val="000E3EC2"/>
    <w:rsid w:val="000E409B"/>
    <w:rsid w:val="000E44CC"/>
    <w:rsid w:val="000E463C"/>
    <w:rsid w:val="000E46B8"/>
    <w:rsid w:val="000E4823"/>
    <w:rsid w:val="000E4EEB"/>
    <w:rsid w:val="000E4FC0"/>
    <w:rsid w:val="000E50CC"/>
    <w:rsid w:val="000E552E"/>
    <w:rsid w:val="000E58B6"/>
    <w:rsid w:val="000E5A41"/>
    <w:rsid w:val="000E5A74"/>
    <w:rsid w:val="000E5B58"/>
    <w:rsid w:val="000E5BB0"/>
    <w:rsid w:val="000E5BB9"/>
    <w:rsid w:val="000E5C56"/>
    <w:rsid w:val="000E5F82"/>
    <w:rsid w:val="000E630E"/>
    <w:rsid w:val="000E686B"/>
    <w:rsid w:val="000E697C"/>
    <w:rsid w:val="000E71EF"/>
    <w:rsid w:val="000E7375"/>
    <w:rsid w:val="000E740B"/>
    <w:rsid w:val="000E7694"/>
    <w:rsid w:val="000E7B64"/>
    <w:rsid w:val="000E7D2E"/>
    <w:rsid w:val="000F0608"/>
    <w:rsid w:val="000F095C"/>
    <w:rsid w:val="000F0DCC"/>
    <w:rsid w:val="000F127B"/>
    <w:rsid w:val="000F1494"/>
    <w:rsid w:val="000F16E6"/>
    <w:rsid w:val="000F1A11"/>
    <w:rsid w:val="000F1C4C"/>
    <w:rsid w:val="000F1F41"/>
    <w:rsid w:val="000F20EB"/>
    <w:rsid w:val="000F2337"/>
    <w:rsid w:val="000F29F1"/>
    <w:rsid w:val="000F2A27"/>
    <w:rsid w:val="000F2B84"/>
    <w:rsid w:val="000F2C50"/>
    <w:rsid w:val="000F2E9A"/>
    <w:rsid w:val="000F2F3B"/>
    <w:rsid w:val="000F3499"/>
    <w:rsid w:val="000F34C6"/>
    <w:rsid w:val="000F396E"/>
    <w:rsid w:val="000F3F5E"/>
    <w:rsid w:val="000F4157"/>
    <w:rsid w:val="000F45EB"/>
    <w:rsid w:val="000F48B7"/>
    <w:rsid w:val="000F4C02"/>
    <w:rsid w:val="000F4C62"/>
    <w:rsid w:val="000F4E44"/>
    <w:rsid w:val="000F4F0C"/>
    <w:rsid w:val="000F5064"/>
    <w:rsid w:val="000F5080"/>
    <w:rsid w:val="000F5124"/>
    <w:rsid w:val="000F5160"/>
    <w:rsid w:val="000F552B"/>
    <w:rsid w:val="000F564F"/>
    <w:rsid w:val="000F5E87"/>
    <w:rsid w:val="000F6184"/>
    <w:rsid w:val="000F6322"/>
    <w:rsid w:val="000F63D0"/>
    <w:rsid w:val="000F64D1"/>
    <w:rsid w:val="000F6609"/>
    <w:rsid w:val="000F6619"/>
    <w:rsid w:val="000F669E"/>
    <w:rsid w:val="000F686D"/>
    <w:rsid w:val="000F6EE2"/>
    <w:rsid w:val="000F74D4"/>
    <w:rsid w:val="000F75A5"/>
    <w:rsid w:val="000F77DF"/>
    <w:rsid w:val="000F7BB6"/>
    <w:rsid w:val="000F7CE7"/>
    <w:rsid w:val="000F7E5C"/>
    <w:rsid w:val="0010016E"/>
    <w:rsid w:val="0010030A"/>
    <w:rsid w:val="00100345"/>
    <w:rsid w:val="00100513"/>
    <w:rsid w:val="00100638"/>
    <w:rsid w:val="00100A18"/>
    <w:rsid w:val="00100DF7"/>
    <w:rsid w:val="00100FAE"/>
    <w:rsid w:val="001010A9"/>
    <w:rsid w:val="001015B6"/>
    <w:rsid w:val="001016FB"/>
    <w:rsid w:val="001018AE"/>
    <w:rsid w:val="001018C6"/>
    <w:rsid w:val="0010202A"/>
    <w:rsid w:val="00102112"/>
    <w:rsid w:val="0010279E"/>
    <w:rsid w:val="00102920"/>
    <w:rsid w:val="001030BC"/>
    <w:rsid w:val="00103740"/>
    <w:rsid w:val="00103CF0"/>
    <w:rsid w:val="001045E3"/>
    <w:rsid w:val="00104D36"/>
    <w:rsid w:val="00104E20"/>
    <w:rsid w:val="0010541B"/>
    <w:rsid w:val="0010586C"/>
    <w:rsid w:val="00105F0E"/>
    <w:rsid w:val="00106013"/>
    <w:rsid w:val="00106247"/>
    <w:rsid w:val="001063C6"/>
    <w:rsid w:val="0010643A"/>
    <w:rsid w:val="001065D0"/>
    <w:rsid w:val="00106BC3"/>
    <w:rsid w:val="00106C16"/>
    <w:rsid w:val="00106D14"/>
    <w:rsid w:val="00106D50"/>
    <w:rsid w:val="0010714D"/>
    <w:rsid w:val="0010758D"/>
    <w:rsid w:val="001077C9"/>
    <w:rsid w:val="00107C96"/>
    <w:rsid w:val="001105EC"/>
    <w:rsid w:val="001109DC"/>
    <w:rsid w:val="00110A45"/>
    <w:rsid w:val="00110DB5"/>
    <w:rsid w:val="00110FE3"/>
    <w:rsid w:val="00111A3B"/>
    <w:rsid w:val="00111D5A"/>
    <w:rsid w:val="00111DF3"/>
    <w:rsid w:val="00111F2C"/>
    <w:rsid w:val="00112BED"/>
    <w:rsid w:val="00112FBF"/>
    <w:rsid w:val="00113563"/>
    <w:rsid w:val="00113618"/>
    <w:rsid w:val="001136BB"/>
    <w:rsid w:val="00113A72"/>
    <w:rsid w:val="00113B3C"/>
    <w:rsid w:val="0011424B"/>
    <w:rsid w:val="00114342"/>
    <w:rsid w:val="00114354"/>
    <w:rsid w:val="00114748"/>
    <w:rsid w:val="001152A0"/>
    <w:rsid w:val="001155B2"/>
    <w:rsid w:val="00115772"/>
    <w:rsid w:val="00115C2C"/>
    <w:rsid w:val="00115D1B"/>
    <w:rsid w:val="00116238"/>
    <w:rsid w:val="0011624E"/>
    <w:rsid w:val="0011635C"/>
    <w:rsid w:val="001168E2"/>
    <w:rsid w:val="00116A3E"/>
    <w:rsid w:val="00116B9F"/>
    <w:rsid w:val="00117044"/>
    <w:rsid w:val="0011712F"/>
    <w:rsid w:val="00117458"/>
    <w:rsid w:val="001175FF"/>
    <w:rsid w:val="0011779F"/>
    <w:rsid w:val="00117882"/>
    <w:rsid w:val="00117DE7"/>
    <w:rsid w:val="0012073F"/>
    <w:rsid w:val="0012079E"/>
    <w:rsid w:val="00120B5C"/>
    <w:rsid w:val="00120D03"/>
    <w:rsid w:val="001210FC"/>
    <w:rsid w:val="0012134B"/>
    <w:rsid w:val="0012191C"/>
    <w:rsid w:val="0012194F"/>
    <w:rsid w:val="00121A2D"/>
    <w:rsid w:val="00122134"/>
    <w:rsid w:val="001223C4"/>
    <w:rsid w:val="00122533"/>
    <w:rsid w:val="001229BD"/>
    <w:rsid w:val="00122F68"/>
    <w:rsid w:val="00122FFE"/>
    <w:rsid w:val="0012324B"/>
    <w:rsid w:val="001233F1"/>
    <w:rsid w:val="001234D9"/>
    <w:rsid w:val="00123562"/>
    <w:rsid w:val="00123CE3"/>
    <w:rsid w:val="00124D63"/>
    <w:rsid w:val="00124D80"/>
    <w:rsid w:val="001256A2"/>
    <w:rsid w:val="001256E5"/>
    <w:rsid w:val="001257BB"/>
    <w:rsid w:val="00125AC2"/>
    <w:rsid w:val="00125D0B"/>
    <w:rsid w:val="00125DA6"/>
    <w:rsid w:val="001265D6"/>
    <w:rsid w:val="0012660F"/>
    <w:rsid w:val="001268D3"/>
    <w:rsid w:val="00126C84"/>
    <w:rsid w:val="00127922"/>
    <w:rsid w:val="001279FA"/>
    <w:rsid w:val="00127BD8"/>
    <w:rsid w:val="0013004D"/>
    <w:rsid w:val="0013011D"/>
    <w:rsid w:val="001302AF"/>
    <w:rsid w:val="00130AC7"/>
    <w:rsid w:val="00130CB1"/>
    <w:rsid w:val="0013105A"/>
    <w:rsid w:val="0013122F"/>
    <w:rsid w:val="0013130A"/>
    <w:rsid w:val="00131649"/>
    <w:rsid w:val="00131B3C"/>
    <w:rsid w:val="00132105"/>
    <w:rsid w:val="001322F8"/>
    <w:rsid w:val="0013241E"/>
    <w:rsid w:val="00132B6C"/>
    <w:rsid w:val="00132F39"/>
    <w:rsid w:val="00133370"/>
    <w:rsid w:val="0013354E"/>
    <w:rsid w:val="00133796"/>
    <w:rsid w:val="001339BC"/>
    <w:rsid w:val="00133C76"/>
    <w:rsid w:val="00134238"/>
    <w:rsid w:val="00134531"/>
    <w:rsid w:val="001345CB"/>
    <w:rsid w:val="00134B74"/>
    <w:rsid w:val="00134D72"/>
    <w:rsid w:val="00134E0B"/>
    <w:rsid w:val="00135282"/>
    <w:rsid w:val="00135616"/>
    <w:rsid w:val="00135663"/>
    <w:rsid w:val="00135670"/>
    <w:rsid w:val="00135A3D"/>
    <w:rsid w:val="00135C91"/>
    <w:rsid w:val="00135D0C"/>
    <w:rsid w:val="00136C91"/>
    <w:rsid w:val="001374A0"/>
    <w:rsid w:val="001375C2"/>
    <w:rsid w:val="0013774C"/>
    <w:rsid w:val="001377D8"/>
    <w:rsid w:val="001379C2"/>
    <w:rsid w:val="00140221"/>
    <w:rsid w:val="001407F4"/>
    <w:rsid w:val="00140955"/>
    <w:rsid w:val="00140A57"/>
    <w:rsid w:val="00140B05"/>
    <w:rsid w:val="00140C29"/>
    <w:rsid w:val="00141047"/>
    <w:rsid w:val="001411FF"/>
    <w:rsid w:val="0014171B"/>
    <w:rsid w:val="00141CAD"/>
    <w:rsid w:val="00141D5C"/>
    <w:rsid w:val="00141FFC"/>
    <w:rsid w:val="0014204E"/>
    <w:rsid w:val="001422A6"/>
    <w:rsid w:val="001429DE"/>
    <w:rsid w:val="00142B90"/>
    <w:rsid w:val="001430D0"/>
    <w:rsid w:val="00143262"/>
    <w:rsid w:val="001432BD"/>
    <w:rsid w:val="001434C4"/>
    <w:rsid w:val="00143667"/>
    <w:rsid w:val="0014384B"/>
    <w:rsid w:val="00143AD7"/>
    <w:rsid w:val="00143BE7"/>
    <w:rsid w:val="00143C12"/>
    <w:rsid w:val="00143C32"/>
    <w:rsid w:val="001440DF"/>
    <w:rsid w:val="001448F2"/>
    <w:rsid w:val="0014498D"/>
    <w:rsid w:val="00144990"/>
    <w:rsid w:val="00144FF1"/>
    <w:rsid w:val="00145049"/>
    <w:rsid w:val="001450F3"/>
    <w:rsid w:val="001453B0"/>
    <w:rsid w:val="001454C4"/>
    <w:rsid w:val="001456A5"/>
    <w:rsid w:val="00145BEF"/>
    <w:rsid w:val="00146427"/>
    <w:rsid w:val="00146515"/>
    <w:rsid w:val="001465E4"/>
    <w:rsid w:val="001469D1"/>
    <w:rsid w:val="00146F57"/>
    <w:rsid w:val="001471C7"/>
    <w:rsid w:val="00147533"/>
    <w:rsid w:val="00147730"/>
    <w:rsid w:val="00147772"/>
    <w:rsid w:val="00147A3B"/>
    <w:rsid w:val="00147E80"/>
    <w:rsid w:val="00150162"/>
    <w:rsid w:val="00150CDB"/>
    <w:rsid w:val="00150E2D"/>
    <w:rsid w:val="00150FD2"/>
    <w:rsid w:val="0015124B"/>
    <w:rsid w:val="0015133A"/>
    <w:rsid w:val="00151534"/>
    <w:rsid w:val="00151721"/>
    <w:rsid w:val="00151DD4"/>
    <w:rsid w:val="0015299A"/>
    <w:rsid w:val="00152A35"/>
    <w:rsid w:val="00152B40"/>
    <w:rsid w:val="00152C3D"/>
    <w:rsid w:val="00152D09"/>
    <w:rsid w:val="00152F04"/>
    <w:rsid w:val="00153B5F"/>
    <w:rsid w:val="00153C6A"/>
    <w:rsid w:val="001548EC"/>
    <w:rsid w:val="00154F8C"/>
    <w:rsid w:val="00155092"/>
    <w:rsid w:val="001551D4"/>
    <w:rsid w:val="0015535C"/>
    <w:rsid w:val="001557C1"/>
    <w:rsid w:val="00155854"/>
    <w:rsid w:val="00155CC0"/>
    <w:rsid w:val="00155DE1"/>
    <w:rsid w:val="00156020"/>
    <w:rsid w:val="00156093"/>
    <w:rsid w:val="001560ED"/>
    <w:rsid w:val="001561F2"/>
    <w:rsid w:val="00156F0A"/>
    <w:rsid w:val="00157563"/>
    <w:rsid w:val="0015796F"/>
    <w:rsid w:val="00157D1B"/>
    <w:rsid w:val="00157D5F"/>
    <w:rsid w:val="00157DDE"/>
    <w:rsid w:val="00157FDB"/>
    <w:rsid w:val="00160081"/>
    <w:rsid w:val="00160411"/>
    <w:rsid w:val="00160740"/>
    <w:rsid w:val="0016079C"/>
    <w:rsid w:val="001607F9"/>
    <w:rsid w:val="00160A66"/>
    <w:rsid w:val="00160FFB"/>
    <w:rsid w:val="0016106F"/>
    <w:rsid w:val="00161D2C"/>
    <w:rsid w:val="00161FAB"/>
    <w:rsid w:val="001621F7"/>
    <w:rsid w:val="00162817"/>
    <w:rsid w:val="0016294E"/>
    <w:rsid w:val="001636D5"/>
    <w:rsid w:val="0016383F"/>
    <w:rsid w:val="00163A24"/>
    <w:rsid w:val="00163BDF"/>
    <w:rsid w:val="00163BE8"/>
    <w:rsid w:val="00164273"/>
    <w:rsid w:val="00164454"/>
    <w:rsid w:val="00164CE8"/>
    <w:rsid w:val="0016511C"/>
    <w:rsid w:val="00165166"/>
    <w:rsid w:val="00165365"/>
    <w:rsid w:val="00165653"/>
    <w:rsid w:val="0016567A"/>
    <w:rsid w:val="00165AC1"/>
    <w:rsid w:val="00165E38"/>
    <w:rsid w:val="00166AE5"/>
    <w:rsid w:val="00166E98"/>
    <w:rsid w:val="00166F55"/>
    <w:rsid w:val="001670F6"/>
    <w:rsid w:val="00167D73"/>
    <w:rsid w:val="001706E2"/>
    <w:rsid w:val="00170A5A"/>
    <w:rsid w:val="00170A7C"/>
    <w:rsid w:val="00170C6B"/>
    <w:rsid w:val="00171198"/>
    <w:rsid w:val="00171355"/>
    <w:rsid w:val="0017144B"/>
    <w:rsid w:val="001719BD"/>
    <w:rsid w:val="00171A7A"/>
    <w:rsid w:val="00171D5D"/>
    <w:rsid w:val="0017225B"/>
    <w:rsid w:val="0017318F"/>
    <w:rsid w:val="001736B1"/>
    <w:rsid w:val="001738C4"/>
    <w:rsid w:val="00173EE1"/>
    <w:rsid w:val="00173FB3"/>
    <w:rsid w:val="0017458C"/>
    <w:rsid w:val="00174C81"/>
    <w:rsid w:val="00174D4A"/>
    <w:rsid w:val="00174D98"/>
    <w:rsid w:val="00175670"/>
    <w:rsid w:val="001756E7"/>
    <w:rsid w:val="00175B1F"/>
    <w:rsid w:val="00175F3D"/>
    <w:rsid w:val="00176B4B"/>
    <w:rsid w:val="00176F0F"/>
    <w:rsid w:val="001770E1"/>
    <w:rsid w:val="001773D7"/>
    <w:rsid w:val="00177965"/>
    <w:rsid w:val="00177AB2"/>
    <w:rsid w:val="001800F2"/>
    <w:rsid w:val="00180CC6"/>
    <w:rsid w:val="00180D25"/>
    <w:rsid w:val="00181426"/>
    <w:rsid w:val="00181614"/>
    <w:rsid w:val="00181BCD"/>
    <w:rsid w:val="00181DA8"/>
    <w:rsid w:val="00182756"/>
    <w:rsid w:val="00182804"/>
    <w:rsid w:val="00182B2F"/>
    <w:rsid w:val="00182D7E"/>
    <w:rsid w:val="001831F9"/>
    <w:rsid w:val="00183383"/>
    <w:rsid w:val="001836F6"/>
    <w:rsid w:val="00183A50"/>
    <w:rsid w:val="00184144"/>
    <w:rsid w:val="00184282"/>
    <w:rsid w:val="001846EF"/>
    <w:rsid w:val="00184EE0"/>
    <w:rsid w:val="00185026"/>
    <w:rsid w:val="0018536E"/>
    <w:rsid w:val="00185564"/>
    <w:rsid w:val="001855F6"/>
    <w:rsid w:val="001858BC"/>
    <w:rsid w:val="00185C25"/>
    <w:rsid w:val="00185F32"/>
    <w:rsid w:val="00186097"/>
    <w:rsid w:val="0018689B"/>
    <w:rsid w:val="00186B0C"/>
    <w:rsid w:val="00187467"/>
    <w:rsid w:val="00187673"/>
    <w:rsid w:val="00187DF0"/>
    <w:rsid w:val="00187ED0"/>
    <w:rsid w:val="001901AD"/>
    <w:rsid w:val="0019035A"/>
    <w:rsid w:val="00190767"/>
    <w:rsid w:val="001908E1"/>
    <w:rsid w:val="00190E2F"/>
    <w:rsid w:val="00190FB2"/>
    <w:rsid w:val="00191034"/>
    <w:rsid w:val="00191307"/>
    <w:rsid w:val="00191711"/>
    <w:rsid w:val="001919DE"/>
    <w:rsid w:val="00191D45"/>
    <w:rsid w:val="00191E1A"/>
    <w:rsid w:val="00191F2C"/>
    <w:rsid w:val="00192268"/>
    <w:rsid w:val="00192382"/>
    <w:rsid w:val="0019366F"/>
    <w:rsid w:val="001937F6"/>
    <w:rsid w:val="00193852"/>
    <w:rsid w:val="00193AB6"/>
    <w:rsid w:val="00193E77"/>
    <w:rsid w:val="00193F76"/>
    <w:rsid w:val="0019409B"/>
    <w:rsid w:val="00194237"/>
    <w:rsid w:val="001943B0"/>
    <w:rsid w:val="001945DF"/>
    <w:rsid w:val="001947CB"/>
    <w:rsid w:val="00194C9C"/>
    <w:rsid w:val="0019506E"/>
    <w:rsid w:val="0019539A"/>
    <w:rsid w:val="00195953"/>
    <w:rsid w:val="00195F75"/>
    <w:rsid w:val="0019622E"/>
    <w:rsid w:val="001962CD"/>
    <w:rsid w:val="0019664F"/>
    <w:rsid w:val="00196738"/>
    <w:rsid w:val="00196A08"/>
    <w:rsid w:val="00196B16"/>
    <w:rsid w:val="00196BB5"/>
    <w:rsid w:val="00196FD7"/>
    <w:rsid w:val="00197066"/>
    <w:rsid w:val="001975D8"/>
    <w:rsid w:val="001977F5"/>
    <w:rsid w:val="001979A4"/>
    <w:rsid w:val="00197D4D"/>
    <w:rsid w:val="001A01DB"/>
    <w:rsid w:val="001A0484"/>
    <w:rsid w:val="001A0674"/>
    <w:rsid w:val="001A071A"/>
    <w:rsid w:val="001A078B"/>
    <w:rsid w:val="001A08A5"/>
    <w:rsid w:val="001A0970"/>
    <w:rsid w:val="001A0FBA"/>
    <w:rsid w:val="001A116A"/>
    <w:rsid w:val="001A127C"/>
    <w:rsid w:val="001A1E6B"/>
    <w:rsid w:val="001A1F1D"/>
    <w:rsid w:val="001A23B7"/>
    <w:rsid w:val="001A259E"/>
    <w:rsid w:val="001A27EF"/>
    <w:rsid w:val="001A2878"/>
    <w:rsid w:val="001A2DFB"/>
    <w:rsid w:val="001A2EAE"/>
    <w:rsid w:val="001A3132"/>
    <w:rsid w:val="001A3176"/>
    <w:rsid w:val="001A36A0"/>
    <w:rsid w:val="001A3849"/>
    <w:rsid w:val="001A3A11"/>
    <w:rsid w:val="001A3EEF"/>
    <w:rsid w:val="001A3F6D"/>
    <w:rsid w:val="001A4031"/>
    <w:rsid w:val="001A43EC"/>
    <w:rsid w:val="001A469D"/>
    <w:rsid w:val="001A4B36"/>
    <w:rsid w:val="001A4C73"/>
    <w:rsid w:val="001A5487"/>
    <w:rsid w:val="001A5508"/>
    <w:rsid w:val="001A5882"/>
    <w:rsid w:val="001A595C"/>
    <w:rsid w:val="001A5B85"/>
    <w:rsid w:val="001A5CA9"/>
    <w:rsid w:val="001A6009"/>
    <w:rsid w:val="001A6073"/>
    <w:rsid w:val="001A63F5"/>
    <w:rsid w:val="001A65E0"/>
    <w:rsid w:val="001A693D"/>
    <w:rsid w:val="001A6EAE"/>
    <w:rsid w:val="001A71CF"/>
    <w:rsid w:val="001A72CF"/>
    <w:rsid w:val="001A76F8"/>
    <w:rsid w:val="001A7BA8"/>
    <w:rsid w:val="001B0A64"/>
    <w:rsid w:val="001B0CC0"/>
    <w:rsid w:val="001B12FC"/>
    <w:rsid w:val="001B15FA"/>
    <w:rsid w:val="001B16B5"/>
    <w:rsid w:val="001B16C1"/>
    <w:rsid w:val="001B16F6"/>
    <w:rsid w:val="001B1762"/>
    <w:rsid w:val="001B191B"/>
    <w:rsid w:val="001B1D3B"/>
    <w:rsid w:val="001B1F4B"/>
    <w:rsid w:val="001B21F4"/>
    <w:rsid w:val="001B263D"/>
    <w:rsid w:val="001B27C2"/>
    <w:rsid w:val="001B2827"/>
    <w:rsid w:val="001B2969"/>
    <w:rsid w:val="001B29C4"/>
    <w:rsid w:val="001B3041"/>
    <w:rsid w:val="001B306A"/>
    <w:rsid w:val="001B3B11"/>
    <w:rsid w:val="001B3CD8"/>
    <w:rsid w:val="001B426D"/>
    <w:rsid w:val="001B46B4"/>
    <w:rsid w:val="001B4829"/>
    <w:rsid w:val="001B4863"/>
    <w:rsid w:val="001B4B5F"/>
    <w:rsid w:val="001B4DEF"/>
    <w:rsid w:val="001B50B8"/>
    <w:rsid w:val="001B5283"/>
    <w:rsid w:val="001B52A6"/>
    <w:rsid w:val="001B534F"/>
    <w:rsid w:val="001B54AE"/>
    <w:rsid w:val="001B551A"/>
    <w:rsid w:val="001B5856"/>
    <w:rsid w:val="001B5D9D"/>
    <w:rsid w:val="001B5EA4"/>
    <w:rsid w:val="001B61B4"/>
    <w:rsid w:val="001B61F6"/>
    <w:rsid w:val="001B6566"/>
    <w:rsid w:val="001B6758"/>
    <w:rsid w:val="001B6893"/>
    <w:rsid w:val="001B68FD"/>
    <w:rsid w:val="001B693C"/>
    <w:rsid w:val="001B6E74"/>
    <w:rsid w:val="001B701C"/>
    <w:rsid w:val="001B725D"/>
    <w:rsid w:val="001B7D4F"/>
    <w:rsid w:val="001B7D8E"/>
    <w:rsid w:val="001B7EF1"/>
    <w:rsid w:val="001C0204"/>
    <w:rsid w:val="001C0984"/>
    <w:rsid w:val="001C0ABE"/>
    <w:rsid w:val="001C0ACC"/>
    <w:rsid w:val="001C0C63"/>
    <w:rsid w:val="001C0E97"/>
    <w:rsid w:val="001C1155"/>
    <w:rsid w:val="001C11D8"/>
    <w:rsid w:val="001C16E9"/>
    <w:rsid w:val="001C1A5B"/>
    <w:rsid w:val="001C1B29"/>
    <w:rsid w:val="001C20A8"/>
    <w:rsid w:val="001C2AAC"/>
    <w:rsid w:val="001C2C01"/>
    <w:rsid w:val="001C2C74"/>
    <w:rsid w:val="001C2CBF"/>
    <w:rsid w:val="001C2DC9"/>
    <w:rsid w:val="001C3970"/>
    <w:rsid w:val="001C3B2C"/>
    <w:rsid w:val="001C3DA5"/>
    <w:rsid w:val="001C3DDB"/>
    <w:rsid w:val="001C426D"/>
    <w:rsid w:val="001C42D2"/>
    <w:rsid w:val="001C45C2"/>
    <w:rsid w:val="001C4763"/>
    <w:rsid w:val="001C4924"/>
    <w:rsid w:val="001C4A0D"/>
    <w:rsid w:val="001C4A31"/>
    <w:rsid w:val="001C4C46"/>
    <w:rsid w:val="001C4C9E"/>
    <w:rsid w:val="001C4DA4"/>
    <w:rsid w:val="001C4E1F"/>
    <w:rsid w:val="001C4F13"/>
    <w:rsid w:val="001C51CC"/>
    <w:rsid w:val="001C5D46"/>
    <w:rsid w:val="001C5F14"/>
    <w:rsid w:val="001C61B5"/>
    <w:rsid w:val="001C6816"/>
    <w:rsid w:val="001C6929"/>
    <w:rsid w:val="001C6DE7"/>
    <w:rsid w:val="001C70F8"/>
    <w:rsid w:val="001C71CF"/>
    <w:rsid w:val="001C7288"/>
    <w:rsid w:val="001C7603"/>
    <w:rsid w:val="001C7786"/>
    <w:rsid w:val="001C7C08"/>
    <w:rsid w:val="001C7C73"/>
    <w:rsid w:val="001C7F71"/>
    <w:rsid w:val="001D0076"/>
    <w:rsid w:val="001D0A5D"/>
    <w:rsid w:val="001D0BD4"/>
    <w:rsid w:val="001D10AC"/>
    <w:rsid w:val="001D13A4"/>
    <w:rsid w:val="001D1942"/>
    <w:rsid w:val="001D19DE"/>
    <w:rsid w:val="001D19E2"/>
    <w:rsid w:val="001D1A4A"/>
    <w:rsid w:val="001D1CDC"/>
    <w:rsid w:val="001D1E27"/>
    <w:rsid w:val="001D1EB1"/>
    <w:rsid w:val="001D2159"/>
    <w:rsid w:val="001D2308"/>
    <w:rsid w:val="001D23D6"/>
    <w:rsid w:val="001D299D"/>
    <w:rsid w:val="001D2A3C"/>
    <w:rsid w:val="001D2CDD"/>
    <w:rsid w:val="001D2ED5"/>
    <w:rsid w:val="001D2FA4"/>
    <w:rsid w:val="001D322C"/>
    <w:rsid w:val="001D3DFE"/>
    <w:rsid w:val="001D4367"/>
    <w:rsid w:val="001D443E"/>
    <w:rsid w:val="001D4775"/>
    <w:rsid w:val="001D5193"/>
    <w:rsid w:val="001D531B"/>
    <w:rsid w:val="001D53EE"/>
    <w:rsid w:val="001D53F4"/>
    <w:rsid w:val="001D5A0D"/>
    <w:rsid w:val="001D6316"/>
    <w:rsid w:val="001D6419"/>
    <w:rsid w:val="001D6BDD"/>
    <w:rsid w:val="001D6C10"/>
    <w:rsid w:val="001D6CC1"/>
    <w:rsid w:val="001D7007"/>
    <w:rsid w:val="001D72D9"/>
    <w:rsid w:val="001D7319"/>
    <w:rsid w:val="001E063A"/>
    <w:rsid w:val="001E067E"/>
    <w:rsid w:val="001E0737"/>
    <w:rsid w:val="001E0BF3"/>
    <w:rsid w:val="001E0E77"/>
    <w:rsid w:val="001E1057"/>
    <w:rsid w:val="001E1B1A"/>
    <w:rsid w:val="001E22B8"/>
    <w:rsid w:val="001E22DE"/>
    <w:rsid w:val="001E23D5"/>
    <w:rsid w:val="001E2EDD"/>
    <w:rsid w:val="001E34D1"/>
    <w:rsid w:val="001E3A94"/>
    <w:rsid w:val="001E3DCF"/>
    <w:rsid w:val="001E3E97"/>
    <w:rsid w:val="001E3EBA"/>
    <w:rsid w:val="001E3FF1"/>
    <w:rsid w:val="001E42D2"/>
    <w:rsid w:val="001E45B2"/>
    <w:rsid w:val="001E463A"/>
    <w:rsid w:val="001E4742"/>
    <w:rsid w:val="001E4882"/>
    <w:rsid w:val="001E4CBF"/>
    <w:rsid w:val="001E4E78"/>
    <w:rsid w:val="001E5285"/>
    <w:rsid w:val="001E53D4"/>
    <w:rsid w:val="001E5741"/>
    <w:rsid w:val="001E597A"/>
    <w:rsid w:val="001E6363"/>
    <w:rsid w:val="001E658C"/>
    <w:rsid w:val="001E678C"/>
    <w:rsid w:val="001E6B3E"/>
    <w:rsid w:val="001E6C4C"/>
    <w:rsid w:val="001E703F"/>
    <w:rsid w:val="001E70C4"/>
    <w:rsid w:val="001E7483"/>
    <w:rsid w:val="001E7694"/>
    <w:rsid w:val="001E790C"/>
    <w:rsid w:val="001E7E1B"/>
    <w:rsid w:val="001E7EDD"/>
    <w:rsid w:val="001F053F"/>
    <w:rsid w:val="001F079F"/>
    <w:rsid w:val="001F08EE"/>
    <w:rsid w:val="001F0FB4"/>
    <w:rsid w:val="001F117C"/>
    <w:rsid w:val="001F142D"/>
    <w:rsid w:val="001F15CA"/>
    <w:rsid w:val="001F167F"/>
    <w:rsid w:val="001F17C2"/>
    <w:rsid w:val="001F19C2"/>
    <w:rsid w:val="001F1BEA"/>
    <w:rsid w:val="001F1FE0"/>
    <w:rsid w:val="001F20AA"/>
    <w:rsid w:val="001F248C"/>
    <w:rsid w:val="001F2547"/>
    <w:rsid w:val="001F256E"/>
    <w:rsid w:val="001F2932"/>
    <w:rsid w:val="001F2A58"/>
    <w:rsid w:val="001F2B76"/>
    <w:rsid w:val="001F307B"/>
    <w:rsid w:val="001F317C"/>
    <w:rsid w:val="001F31E5"/>
    <w:rsid w:val="001F3297"/>
    <w:rsid w:val="001F3331"/>
    <w:rsid w:val="001F3357"/>
    <w:rsid w:val="001F39CA"/>
    <w:rsid w:val="001F3B0D"/>
    <w:rsid w:val="001F3B47"/>
    <w:rsid w:val="001F3D1C"/>
    <w:rsid w:val="001F3D20"/>
    <w:rsid w:val="001F4323"/>
    <w:rsid w:val="001F4366"/>
    <w:rsid w:val="001F49D7"/>
    <w:rsid w:val="001F4DEB"/>
    <w:rsid w:val="001F4FCD"/>
    <w:rsid w:val="001F51D4"/>
    <w:rsid w:val="001F59FE"/>
    <w:rsid w:val="001F5B57"/>
    <w:rsid w:val="001F5C39"/>
    <w:rsid w:val="001F5D36"/>
    <w:rsid w:val="001F616A"/>
    <w:rsid w:val="001F63B8"/>
    <w:rsid w:val="001F6786"/>
    <w:rsid w:val="001F6D0F"/>
    <w:rsid w:val="001F7979"/>
    <w:rsid w:val="001F7D02"/>
    <w:rsid w:val="001F7D69"/>
    <w:rsid w:val="001F7EA7"/>
    <w:rsid w:val="00200108"/>
    <w:rsid w:val="002001DB"/>
    <w:rsid w:val="00200651"/>
    <w:rsid w:val="00200995"/>
    <w:rsid w:val="00200B6C"/>
    <w:rsid w:val="00201317"/>
    <w:rsid w:val="00201C06"/>
    <w:rsid w:val="0020210E"/>
    <w:rsid w:val="00202D38"/>
    <w:rsid w:val="002030B0"/>
    <w:rsid w:val="002031CB"/>
    <w:rsid w:val="00203CDC"/>
    <w:rsid w:val="00203E1D"/>
    <w:rsid w:val="00203E22"/>
    <w:rsid w:val="00203F65"/>
    <w:rsid w:val="0020451B"/>
    <w:rsid w:val="002045DF"/>
    <w:rsid w:val="0020464A"/>
    <w:rsid w:val="002046ED"/>
    <w:rsid w:val="00204968"/>
    <w:rsid w:val="00204B25"/>
    <w:rsid w:val="00204E94"/>
    <w:rsid w:val="00205020"/>
    <w:rsid w:val="002051EF"/>
    <w:rsid w:val="00205379"/>
    <w:rsid w:val="002056BE"/>
    <w:rsid w:val="00205932"/>
    <w:rsid w:val="002059B6"/>
    <w:rsid w:val="00205CBB"/>
    <w:rsid w:val="00205D6B"/>
    <w:rsid w:val="0020640B"/>
    <w:rsid w:val="00206439"/>
    <w:rsid w:val="002065F1"/>
    <w:rsid w:val="00206922"/>
    <w:rsid w:val="00207262"/>
    <w:rsid w:val="00207530"/>
    <w:rsid w:val="0020764E"/>
    <w:rsid w:val="00207CC4"/>
    <w:rsid w:val="00207EF6"/>
    <w:rsid w:val="0021025A"/>
    <w:rsid w:val="00210371"/>
    <w:rsid w:val="002103A1"/>
    <w:rsid w:val="00210C84"/>
    <w:rsid w:val="00210D12"/>
    <w:rsid w:val="00210D43"/>
    <w:rsid w:val="00210F39"/>
    <w:rsid w:val="002114C7"/>
    <w:rsid w:val="0021197A"/>
    <w:rsid w:val="00211A3E"/>
    <w:rsid w:val="00211E7B"/>
    <w:rsid w:val="00212137"/>
    <w:rsid w:val="00212160"/>
    <w:rsid w:val="00212437"/>
    <w:rsid w:val="002124C4"/>
    <w:rsid w:val="002129A2"/>
    <w:rsid w:val="002129A5"/>
    <w:rsid w:val="00212ED8"/>
    <w:rsid w:val="00212F0B"/>
    <w:rsid w:val="00213271"/>
    <w:rsid w:val="00213323"/>
    <w:rsid w:val="00213A99"/>
    <w:rsid w:val="00213B5A"/>
    <w:rsid w:val="00213D92"/>
    <w:rsid w:val="00213EC2"/>
    <w:rsid w:val="00214BB9"/>
    <w:rsid w:val="00214C3B"/>
    <w:rsid w:val="00214E23"/>
    <w:rsid w:val="00214F03"/>
    <w:rsid w:val="00215887"/>
    <w:rsid w:val="00215978"/>
    <w:rsid w:val="00215C35"/>
    <w:rsid w:val="00215F72"/>
    <w:rsid w:val="00216326"/>
    <w:rsid w:val="0021645C"/>
    <w:rsid w:val="0021661A"/>
    <w:rsid w:val="00216A4B"/>
    <w:rsid w:val="00216C7B"/>
    <w:rsid w:val="00216D7F"/>
    <w:rsid w:val="00216E34"/>
    <w:rsid w:val="00216FC1"/>
    <w:rsid w:val="00217781"/>
    <w:rsid w:val="0021785E"/>
    <w:rsid w:val="00217C1C"/>
    <w:rsid w:val="00217C7A"/>
    <w:rsid w:val="00217D0C"/>
    <w:rsid w:val="00217DBA"/>
    <w:rsid w:val="0022011C"/>
    <w:rsid w:val="0022071D"/>
    <w:rsid w:val="002207F3"/>
    <w:rsid w:val="0022140D"/>
    <w:rsid w:val="002215A8"/>
    <w:rsid w:val="002219A9"/>
    <w:rsid w:val="00221BA3"/>
    <w:rsid w:val="00222402"/>
    <w:rsid w:val="002226C1"/>
    <w:rsid w:val="002229B2"/>
    <w:rsid w:val="002229E0"/>
    <w:rsid w:val="002229FF"/>
    <w:rsid w:val="00222BA3"/>
    <w:rsid w:val="00223064"/>
    <w:rsid w:val="0022358F"/>
    <w:rsid w:val="002239DE"/>
    <w:rsid w:val="00223D8F"/>
    <w:rsid w:val="00223F07"/>
    <w:rsid w:val="00224468"/>
    <w:rsid w:val="00224C2A"/>
    <w:rsid w:val="00224C92"/>
    <w:rsid w:val="00224D54"/>
    <w:rsid w:val="00224F86"/>
    <w:rsid w:val="002254F1"/>
    <w:rsid w:val="00225743"/>
    <w:rsid w:val="002257E9"/>
    <w:rsid w:val="00225827"/>
    <w:rsid w:val="00225B65"/>
    <w:rsid w:val="002264BA"/>
    <w:rsid w:val="00226936"/>
    <w:rsid w:val="00226D2B"/>
    <w:rsid w:val="00227236"/>
    <w:rsid w:val="00227357"/>
    <w:rsid w:val="002277D2"/>
    <w:rsid w:val="00227898"/>
    <w:rsid w:val="002300A8"/>
    <w:rsid w:val="0023024E"/>
    <w:rsid w:val="0023033C"/>
    <w:rsid w:val="00230B0D"/>
    <w:rsid w:val="00230BB2"/>
    <w:rsid w:val="00230F5A"/>
    <w:rsid w:val="0023181B"/>
    <w:rsid w:val="00231C12"/>
    <w:rsid w:val="00231D53"/>
    <w:rsid w:val="00232213"/>
    <w:rsid w:val="00232B72"/>
    <w:rsid w:val="0023316B"/>
    <w:rsid w:val="00233204"/>
    <w:rsid w:val="0023322B"/>
    <w:rsid w:val="00233289"/>
    <w:rsid w:val="00233C69"/>
    <w:rsid w:val="0023425A"/>
    <w:rsid w:val="002343EA"/>
    <w:rsid w:val="0023458B"/>
    <w:rsid w:val="0023476E"/>
    <w:rsid w:val="002348C2"/>
    <w:rsid w:val="00234997"/>
    <w:rsid w:val="002349F9"/>
    <w:rsid w:val="0023511D"/>
    <w:rsid w:val="002356E1"/>
    <w:rsid w:val="00235722"/>
    <w:rsid w:val="00235C1A"/>
    <w:rsid w:val="00235DBF"/>
    <w:rsid w:val="00236F09"/>
    <w:rsid w:val="00237136"/>
    <w:rsid w:val="00237512"/>
    <w:rsid w:val="00237AEF"/>
    <w:rsid w:val="00237FDB"/>
    <w:rsid w:val="00240653"/>
    <w:rsid w:val="00240682"/>
    <w:rsid w:val="0024075B"/>
    <w:rsid w:val="00240846"/>
    <w:rsid w:val="00240904"/>
    <w:rsid w:val="00241233"/>
    <w:rsid w:val="0024190E"/>
    <w:rsid w:val="00242047"/>
    <w:rsid w:val="0024211E"/>
    <w:rsid w:val="00242252"/>
    <w:rsid w:val="00242451"/>
    <w:rsid w:val="00242DAF"/>
    <w:rsid w:val="00243000"/>
    <w:rsid w:val="00243558"/>
    <w:rsid w:val="0024366C"/>
    <w:rsid w:val="002436EC"/>
    <w:rsid w:val="00243A05"/>
    <w:rsid w:val="00243A7C"/>
    <w:rsid w:val="00243E60"/>
    <w:rsid w:val="00243EDE"/>
    <w:rsid w:val="00243F1A"/>
    <w:rsid w:val="00243F95"/>
    <w:rsid w:val="0024418D"/>
    <w:rsid w:val="00244263"/>
    <w:rsid w:val="00244912"/>
    <w:rsid w:val="00244B34"/>
    <w:rsid w:val="002450A7"/>
    <w:rsid w:val="002451B9"/>
    <w:rsid w:val="0024529C"/>
    <w:rsid w:val="00245ABD"/>
    <w:rsid w:val="00245BF6"/>
    <w:rsid w:val="00245F26"/>
    <w:rsid w:val="00245F61"/>
    <w:rsid w:val="00246458"/>
    <w:rsid w:val="00246491"/>
    <w:rsid w:val="002466A7"/>
    <w:rsid w:val="00247277"/>
    <w:rsid w:val="002472CA"/>
    <w:rsid w:val="00247573"/>
    <w:rsid w:val="00247650"/>
    <w:rsid w:val="002476F7"/>
    <w:rsid w:val="00247788"/>
    <w:rsid w:val="002479F4"/>
    <w:rsid w:val="00247A04"/>
    <w:rsid w:val="00247A93"/>
    <w:rsid w:val="00247EC5"/>
    <w:rsid w:val="0025040D"/>
    <w:rsid w:val="002507DE"/>
    <w:rsid w:val="00250A44"/>
    <w:rsid w:val="00250B76"/>
    <w:rsid w:val="00250C73"/>
    <w:rsid w:val="00250E29"/>
    <w:rsid w:val="00251102"/>
    <w:rsid w:val="00251391"/>
    <w:rsid w:val="0025159A"/>
    <w:rsid w:val="00251D16"/>
    <w:rsid w:val="00251E8E"/>
    <w:rsid w:val="00251F50"/>
    <w:rsid w:val="0025223C"/>
    <w:rsid w:val="00252731"/>
    <w:rsid w:val="00252BC5"/>
    <w:rsid w:val="00252C68"/>
    <w:rsid w:val="00252E41"/>
    <w:rsid w:val="00252F21"/>
    <w:rsid w:val="00253906"/>
    <w:rsid w:val="00253BC9"/>
    <w:rsid w:val="00253DF2"/>
    <w:rsid w:val="00254050"/>
    <w:rsid w:val="00254196"/>
    <w:rsid w:val="002543A8"/>
    <w:rsid w:val="002544CC"/>
    <w:rsid w:val="00254EC3"/>
    <w:rsid w:val="00254F38"/>
    <w:rsid w:val="00255628"/>
    <w:rsid w:val="0025564B"/>
    <w:rsid w:val="00256190"/>
    <w:rsid w:val="00256D0E"/>
    <w:rsid w:val="002571F5"/>
    <w:rsid w:val="00257B77"/>
    <w:rsid w:val="00257C16"/>
    <w:rsid w:val="00257CEE"/>
    <w:rsid w:val="00257EEE"/>
    <w:rsid w:val="00260549"/>
    <w:rsid w:val="002607AD"/>
    <w:rsid w:val="00260BAC"/>
    <w:rsid w:val="00261334"/>
    <w:rsid w:val="002613A7"/>
    <w:rsid w:val="002614B5"/>
    <w:rsid w:val="00261871"/>
    <w:rsid w:val="00261978"/>
    <w:rsid w:val="00262598"/>
    <w:rsid w:val="00262D86"/>
    <w:rsid w:val="002637C3"/>
    <w:rsid w:val="00263C6D"/>
    <w:rsid w:val="00263D9C"/>
    <w:rsid w:val="00263FFC"/>
    <w:rsid w:val="0026437D"/>
    <w:rsid w:val="00264520"/>
    <w:rsid w:val="00265742"/>
    <w:rsid w:val="00265780"/>
    <w:rsid w:val="00265921"/>
    <w:rsid w:val="00265BDD"/>
    <w:rsid w:val="0026626E"/>
    <w:rsid w:val="00266356"/>
    <w:rsid w:val="00266490"/>
    <w:rsid w:val="00266F9F"/>
    <w:rsid w:val="00266FDC"/>
    <w:rsid w:val="0026736B"/>
    <w:rsid w:val="002673F9"/>
    <w:rsid w:val="0026741F"/>
    <w:rsid w:val="002675DA"/>
    <w:rsid w:val="002677AD"/>
    <w:rsid w:val="00267AD6"/>
    <w:rsid w:val="00267D85"/>
    <w:rsid w:val="00267DA6"/>
    <w:rsid w:val="00267F27"/>
    <w:rsid w:val="00267FAC"/>
    <w:rsid w:val="00270305"/>
    <w:rsid w:val="00270341"/>
    <w:rsid w:val="00270468"/>
    <w:rsid w:val="002706BF"/>
    <w:rsid w:val="00270EDD"/>
    <w:rsid w:val="00270F45"/>
    <w:rsid w:val="00270FE7"/>
    <w:rsid w:val="00270FEB"/>
    <w:rsid w:val="00271404"/>
    <w:rsid w:val="002717BE"/>
    <w:rsid w:val="00271B6C"/>
    <w:rsid w:val="00271CD2"/>
    <w:rsid w:val="00271ED6"/>
    <w:rsid w:val="002728F4"/>
    <w:rsid w:val="00272D23"/>
    <w:rsid w:val="00272E1C"/>
    <w:rsid w:val="00273125"/>
    <w:rsid w:val="002731E6"/>
    <w:rsid w:val="002735EF"/>
    <w:rsid w:val="00273725"/>
    <w:rsid w:val="00273C8F"/>
    <w:rsid w:val="00273E29"/>
    <w:rsid w:val="002740CC"/>
    <w:rsid w:val="002741AC"/>
    <w:rsid w:val="002748D2"/>
    <w:rsid w:val="00274E4F"/>
    <w:rsid w:val="00275198"/>
    <w:rsid w:val="002751F6"/>
    <w:rsid w:val="002758D6"/>
    <w:rsid w:val="00275BC6"/>
    <w:rsid w:val="00275DF2"/>
    <w:rsid w:val="002761E6"/>
    <w:rsid w:val="00276316"/>
    <w:rsid w:val="002769F1"/>
    <w:rsid w:val="00276D41"/>
    <w:rsid w:val="0027727D"/>
    <w:rsid w:val="00277395"/>
    <w:rsid w:val="0027751D"/>
    <w:rsid w:val="00277692"/>
    <w:rsid w:val="002776AF"/>
    <w:rsid w:val="00277A77"/>
    <w:rsid w:val="00277B34"/>
    <w:rsid w:val="00277DB7"/>
    <w:rsid w:val="00277E02"/>
    <w:rsid w:val="002802E0"/>
    <w:rsid w:val="00280601"/>
    <w:rsid w:val="00280726"/>
    <w:rsid w:val="002808CD"/>
    <w:rsid w:val="00280B38"/>
    <w:rsid w:val="00280EF9"/>
    <w:rsid w:val="00281086"/>
    <w:rsid w:val="002815ED"/>
    <w:rsid w:val="00281644"/>
    <w:rsid w:val="0028197D"/>
    <w:rsid w:val="00281B07"/>
    <w:rsid w:val="00281E52"/>
    <w:rsid w:val="00281EEA"/>
    <w:rsid w:val="00282076"/>
    <w:rsid w:val="00282278"/>
    <w:rsid w:val="0028286A"/>
    <w:rsid w:val="00283058"/>
    <w:rsid w:val="002830D4"/>
    <w:rsid w:val="00283286"/>
    <w:rsid w:val="00283548"/>
    <w:rsid w:val="0028371F"/>
    <w:rsid w:val="00283BFC"/>
    <w:rsid w:val="0028418E"/>
    <w:rsid w:val="00284556"/>
    <w:rsid w:val="0028490D"/>
    <w:rsid w:val="00284E8D"/>
    <w:rsid w:val="00285262"/>
    <w:rsid w:val="0028531E"/>
    <w:rsid w:val="00285852"/>
    <w:rsid w:val="00285898"/>
    <w:rsid w:val="00285933"/>
    <w:rsid w:val="00285C9D"/>
    <w:rsid w:val="00285DB7"/>
    <w:rsid w:val="0028652A"/>
    <w:rsid w:val="0028657C"/>
    <w:rsid w:val="00286697"/>
    <w:rsid w:val="00286885"/>
    <w:rsid w:val="0028695F"/>
    <w:rsid w:val="00286A99"/>
    <w:rsid w:val="00286B37"/>
    <w:rsid w:val="00286E12"/>
    <w:rsid w:val="00286FBF"/>
    <w:rsid w:val="002871F2"/>
    <w:rsid w:val="0028733D"/>
    <w:rsid w:val="00287454"/>
    <w:rsid w:val="002875C7"/>
    <w:rsid w:val="00287C37"/>
    <w:rsid w:val="0029011F"/>
    <w:rsid w:val="00290316"/>
    <w:rsid w:val="0029031B"/>
    <w:rsid w:val="002903F1"/>
    <w:rsid w:val="00290BB6"/>
    <w:rsid w:val="00290F5A"/>
    <w:rsid w:val="002916A6"/>
    <w:rsid w:val="00291854"/>
    <w:rsid w:val="00291B43"/>
    <w:rsid w:val="00292093"/>
    <w:rsid w:val="0029235B"/>
    <w:rsid w:val="00292725"/>
    <w:rsid w:val="00292C04"/>
    <w:rsid w:val="002932B1"/>
    <w:rsid w:val="00293634"/>
    <w:rsid w:val="0029364C"/>
    <w:rsid w:val="00294047"/>
    <w:rsid w:val="0029445F"/>
    <w:rsid w:val="002945AF"/>
    <w:rsid w:val="00295176"/>
    <w:rsid w:val="002952A7"/>
    <w:rsid w:val="002957C1"/>
    <w:rsid w:val="0029593D"/>
    <w:rsid w:val="00295A36"/>
    <w:rsid w:val="00295AB7"/>
    <w:rsid w:val="00295CB1"/>
    <w:rsid w:val="00295F1A"/>
    <w:rsid w:val="002960A0"/>
    <w:rsid w:val="0029662F"/>
    <w:rsid w:val="002966B2"/>
    <w:rsid w:val="0029697B"/>
    <w:rsid w:val="00296A9E"/>
    <w:rsid w:val="00296CCA"/>
    <w:rsid w:val="00296F9C"/>
    <w:rsid w:val="00297266"/>
    <w:rsid w:val="00297269"/>
    <w:rsid w:val="00297E21"/>
    <w:rsid w:val="002A04BF"/>
    <w:rsid w:val="002A0938"/>
    <w:rsid w:val="002A0A3E"/>
    <w:rsid w:val="002A0B4B"/>
    <w:rsid w:val="002A0D7F"/>
    <w:rsid w:val="002A12EB"/>
    <w:rsid w:val="002A13C9"/>
    <w:rsid w:val="002A1545"/>
    <w:rsid w:val="002A1754"/>
    <w:rsid w:val="002A195D"/>
    <w:rsid w:val="002A1C34"/>
    <w:rsid w:val="002A2457"/>
    <w:rsid w:val="002A251A"/>
    <w:rsid w:val="002A264E"/>
    <w:rsid w:val="002A2B64"/>
    <w:rsid w:val="002A2CFD"/>
    <w:rsid w:val="002A2DA9"/>
    <w:rsid w:val="002A2F9C"/>
    <w:rsid w:val="002A3043"/>
    <w:rsid w:val="002A3181"/>
    <w:rsid w:val="002A33DD"/>
    <w:rsid w:val="002A3729"/>
    <w:rsid w:val="002A37BE"/>
    <w:rsid w:val="002A401B"/>
    <w:rsid w:val="002A412E"/>
    <w:rsid w:val="002A412F"/>
    <w:rsid w:val="002A43E8"/>
    <w:rsid w:val="002A44B9"/>
    <w:rsid w:val="002A4613"/>
    <w:rsid w:val="002A46B9"/>
    <w:rsid w:val="002A48C6"/>
    <w:rsid w:val="002A495B"/>
    <w:rsid w:val="002A497D"/>
    <w:rsid w:val="002A539E"/>
    <w:rsid w:val="002A58C0"/>
    <w:rsid w:val="002A5CD1"/>
    <w:rsid w:val="002A5E4B"/>
    <w:rsid w:val="002A61E7"/>
    <w:rsid w:val="002A6300"/>
    <w:rsid w:val="002A67E6"/>
    <w:rsid w:val="002A68CE"/>
    <w:rsid w:val="002A6ACA"/>
    <w:rsid w:val="002A7936"/>
    <w:rsid w:val="002A7A65"/>
    <w:rsid w:val="002A7D4E"/>
    <w:rsid w:val="002A7D5D"/>
    <w:rsid w:val="002B0F4F"/>
    <w:rsid w:val="002B1EC3"/>
    <w:rsid w:val="002B25CD"/>
    <w:rsid w:val="002B272D"/>
    <w:rsid w:val="002B2DF5"/>
    <w:rsid w:val="002B2F5D"/>
    <w:rsid w:val="002B2F7A"/>
    <w:rsid w:val="002B3532"/>
    <w:rsid w:val="002B3A56"/>
    <w:rsid w:val="002B3B30"/>
    <w:rsid w:val="002B3B3F"/>
    <w:rsid w:val="002B3EC6"/>
    <w:rsid w:val="002B40A6"/>
    <w:rsid w:val="002B4357"/>
    <w:rsid w:val="002B4761"/>
    <w:rsid w:val="002B498A"/>
    <w:rsid w:val="002B50F7"/>
    <w:rsid w:val="002B51BE"/>
    <w:rsid w:val="002B523A"/>
    <w:rsid w:val="002B5353"/>
    <w:rsid w:val="002B535B"/>
    <w:rsid w:val="002B5807"/>
    <w:rsid w:val="002B585B"/>
    <w:rsid w:val="002B5E33"/>
    <w:rsid w:val="002B6059"/>
    <w:rsid w:val="002B659E"/>
    <w:rsid w:val="002B65F4"/>
    <w:rsid w:val="002B661F"/>
    <w:rsid w:val="002B70B6"/>
    <w:rsid w:val="002B789F"/>
    <w:rsid w:val="002B7937"/>
    <w:rsid w:val="002C0218"/>
    <w:rsid w:val="002C0654"/>
    <w:rsid w:val="002C0681"/>
    <w:rsid w:val="002C06E5"/>
    <w:rsid w:val="002C0757"/>
    <w:rsid w:val="002C1295"/>
    <w:rsid w:val="002C14E1"/>
    <w:rsid w:val="002C15E8"/>
    <w:rsid w:val="002C19D5"/>
    <w:rsid w:val="002C1D58"/>
    <w:rsid w:val="002C1DB6"/>
    <w:rsid w:val="002C238F"/>
    <w:rsid w:val="002C24FA"/>
    <w:rsid w:val="002C2754"/>
    <w:rsid w:val="002C2A4B"/>
    <w:rsid w:val="002C2E87"/>
    <w:rsid w:val="002C3102"/>
    <w:rsid w:val="002C3270"/>
    <w:rsid w:val="002C3633"/>
    <w:rsid w:val="002C3A0F"/>
    <w:rsid w:val="002C3AAF"/>
    <w:rsid w:val="002C3AEF"/>
    <w:rsid w:val="002C3C97"/>
    <w:rsid w:val="002C3FEE"/>
    <w:rsid w:val="002C4B20"/>
    <w:rsid w:val="002C4B4E"/>
    <w:rsid w:val="002C4BA2"/>
    <w:rsid w:val="002C4F00"/>
    <w:rsid w:val="002C5D3B"/>
    <w:rsid w:val="002C5DEE"/>
    <w:rsid w:val="002C60DB"/>
    <w:rsid w:val="002C60EB"/>
    <w:rsid w:val="002C6366"/>
    <w:rsid w:val="002C63B9"/>
    <w:rsid w:val="002C67E0"/>
    <w:rsid w:val="002C6A73"/>
    <w:rsid w:val="002C6D9C"/>
    <w:rsid w:val="002C6F6B"/>
    <w:rsid w:val="002C7130"/>
    <w:rsid w:val="002C7186"/>
    <w:rsid w:val="002C73A3"/>
    <w:rsid w:val="002C755B"/>
    <w:rsid w:val="002C7B00"/>
    <w:rsid w:val="002C7FF7"/>
    <w:rsid w:val="002D037B"/>
    <w:rsid w:val="002D0F44"/>
    <w:rsid w:val="002D1040"/>
    <w:rsid w:val="002D1156"/>
    <w:rsid w:val="002D1225"/>
    <w:rsid w:val="002D12F2"/>
    <w:rsid w:val="002D15C3"/>
    <w:rsid w:val="002D160D"/>
    <w:rsid w:val="002D17AA"/>
    <w:rsid w:val="002D1990"/>
    <w:rsid w:val="002D1AB7"/>
    <w:rsid w:val="002D1DE7"/>
    <w:rsid w:val="002D228B"/>
    <w:rsid w:val="002D24AB"/>
    <w:rsid w:val="002D2A43"/>
    <w:rsid w:val="002D310F"/>
    <w:rsid w:val="002D318E"/>
    <w:rsid w:val="002D3497"/>
    <w:rsid w:val="002D408A"/>
    <w:rsid w:val="002D4121"/>
    <w:rsid w:val="002D435A"/>
    <w:rsid w:val="002D455D"/>
    <w:rsid w:val="002D45E6"/>
    <w:rsid w:val="002D4728"/>
    <w:rsid w:val="002D4BBC"/>
    <w:rsid w:val="002D4F9A"/>
    <w:rsid w:val="002D5508"/>
    <w:rsid w:val="002D57A6"/>
    <w:rsid w:val="002D5A63"/>
    <w:rsid w:val="002D5BEA"/>
    <w:rsid w:val="002D5F6E"/>
    <w:rsid w:val="002D6524"/>
    <w:rsid w:val="002D6843"/>
    <w:rsid w:val="002D69FB"/>
    <w:rsid w:val="002D6E58"/>
    <w:rsid w:val="002D6FC8"/>
    <w:rsid w:val="002D7333"/>
    <w:rsid w:val="002D7CEC"/>
    <w:rsid w:val="002D7E1F"/>
    <w:rsid w:val="002E03A3"/>
    <w:rsid w:val="002E05C2"/>
    <w:rsid w:val="002E10B9"/>
    <w:rsid w:val="002E143E"/>
    <w:rsid w:val="002E156D"/>
    <w:rsid w:val="002E17A5"/>
    <w:rsid w:val="002E1824"/>
    <w:rsid w:val="002E1826"/>
    <w:rsid w:val="002E1B90"/>
    <w:rsid w:val="002E1FFE"/>
    <w:rsid w:val="002E2493"/>
    <w:rsid w:val="002E2766"/>
    <w:rsid w:val="002E2815"/>
    <w:rsid w:val="002E2CC0"/>
    <w:rsid w:val="002E2DE8"/>
    <w:rsid w:val="002E3020"/>
    <w:rsid w:val="002E30FF"/>
    <w:rsid w:val="002E31B6"/>
    <w:rsid w:val="002E360C"/>
    <w:rsid w:val="002E3620"/>
    <w:rsid w:val="002E389E"/>
    <w:rsid w:val="002E3F0C"/>
    <w:rsid w:val="002E3FA6"/>
    <w:rsid w:val="002E4460"/>
    <w:rsid w:val="002E4BDA"/>
    <w:rsid w:val="002E4BFC"/>
    <w:rsid w:val="002E590B"/>
    <w:rsid w:val="002E5BAD"/>
    <w:rsid w:val="002E5DEC"/>
    <w:rsid w:val="002E60E5"/>
    <w:rsid w:val="002E618A"/>
    <w:rsid w:val="002E66DC"/>
    <w:rsid w:val="002E6CF8"/>
    <w:rsid w:val="002E6FD7"/>
    <w:rsid w:val="002E708F"/>
    <w:rsid w:val="002E717F"/>
    <w:rsid w:val="002E720A"/>
    <w:rsid w:val="002E750F"/>
    <w:rsid w:val="002E7DF8"/>
    <w:rsid w:val="002E7E46"/>
    <w:rsid w:val="002E7E80"/>
    <w:rsid w:val="002F01D2"/>
    <w:rsid w:val="002F05DC"/>
    <w:rsid w:val="002F0725"/>
    <w:rsid w:val="002F0BE0"/>
    <w:rsid w:val="002F0F57"/>
    <w:rsid w:val="002F0FC8"/>
    <w:rsid w:val="002F0FDF"/>
    <w:rsid w:val="002F13FD"/>
    <w:rsid w:val="002F156D"/>
    <w:rsid w:val="002F1DAC"/>
    <w:rsid w:val="002F2584"/>
    <w:rsid w:val="002F2B32"/>
    <w:rsid w:val="002F2C8B"/>
    <w:rsid w:val="002F2EE5"/>
    <w:rsid w:val="002F3115"/>
    <w:rsid w:val="002F325A"/>
    <w:rsid w:val="002F3660"/>
    <w:rsid w:val="002F3F65"/>
    <w:rsid w:val="002F4014"/>
    <w:rsid w:val="002F46D3"/>
    <w:rsid w:val="002F48EE"/>
    <w:rsid w:val="002F499D"/>
    <w:rsid w:val="002F4A4E"/>
    <w:rsid w:val="002F4C26"/>
    <w:rsid w:val="002F4F14"/>
    <w:rsid w:val="002F51EF"/>
    <w:rsid w:val="002F5224"/>
    <w:rsid w:val="002F5590"/>
    <w:rsid w:val="002F5A86"/>
    <w:rsid w:val="002F6565"/>
    <w:rsid w:val="002F683E"/>
    <w:rsid w:val="002F6A5B"/>
    <w:rsid w:val="002F6BA4"/>
    <w:rsid w:val="002F6D29"/>
    <w:rsid w:val="002F6E32"/>
    <w:rsid w:val="002F6F75"/>
    <w:rsid w:val="002F7815"/>
    <w:rsid w:val="002F7B48"/>
    <w:rsid w:val="002F7BC9"/>
    <w:rsid w:val="002F7CFC"/>
    <w:rsid w:val="003005A4"/>
    <w:rsid w:val="00300A32"/>
    <w:rsid w:val="00300A6F"/>
    <w:rsid w:val="00300B52"/>
    <w:rsid w:val="00301033"/>
    <w:rsid w:val="003017F5"/>
    <w:rsid w:val="00301D3D"/>
    <w:rsid w:val="00301F38"/>
    <w:rsid w:val="003021B2"/>
    <w:rsid w:val="003026AD"/>
    <w:rsid w:val="00302CCA"/>
    <w:rsid w:val="003038C5"/>
    <w:rsid w:val="00303998"/>
    <w:rsid w:val="00303CBB"/>
    <w:rsid w:val="003041FF"/>
    <w:rsid w:val="00304354"/>
    <w:rsid w:val="0030451D"/>
    <w:rsid w:val="00304B99"/>
    <w:rsid w:val="00304EAA"/>
    <w:rsid w:val="00304EFE"/>
    <w:rsid w:val="00304F4F"/>
    <w:rsid w:val="00305166"/>
    <w:rsid w:val="0030561C"/>
    <w:rsid w:val="00305683"/>
    <w:rsid w:val="00305B27"/>
    <w:rsid w:val="00305BC9"/>
    <w:rsid w:val="00305CED"/>
    <w:rsid w:val="0030621E"/>
    <w:rsid w:val="003062B9"/>
    <w:rsid w:val="00306462"/>
    <w:rsid w:val="00306470"/>
    <w:rsid w:val="00306BDC"/>
    <w:rsid w:val="00306E1F"/>
    <w:rsid w:val="00307587"/>
    <w:rsid w:val="003078D4"/>
    <w:rsid w:val="00307ADB"/>
    <w:rsid w:val="00307B56"/>
    <w:rsid w:val="00307DB4"/>
    <w:rsid w:val="00310AAF"/>
    <w:rsid w:val="00310C26"/>
    <w:rsid w:val="00310EBE"/>
    <w:rsid w:val="0031110A"/>
    <w:rsid w:val="003113F5"/>
    <w:rsid w:val="00311613"/>
    <w:rsid w:val="00311A35"/>
    <w:rsid w:val="00311E60"/>
    <w:rsid w:val="00312149"/>
    <w:rsid w:val="003125D1"/>
    <w:rsid w:val="003125F5"/>
    <w:rsid w:val="00312609"/>
    <w:rsid w:val="003127BC"/>
    <w:rsid w:val="00312F2E"/>
    <w:rsid w:val="00312F83"/>
    <w:rsid w:val="00313594"/>
    <w:rsid w:val="00313DB6"/>
    <w:rsid w:val="00313DFC"/>
    <w:rsid w:val="00313E68"/>
    <w:rsid w:val="00314567"/>
    <w:rsid w:val="003145C7"/>
    <w:rsid w:val="00314C24"/>
    <w:rsid w:val="00314F61"/>
    <w:rsid w:val="0031509D"/>
    <w:rsid w:val="00315107"/>
    <w:rsid w:val="00315176"/>
    <w:rsid w:val="003151AC"/>
    <w:rsid w:val="0031546F"/>
    <w:rsid w:val="00315693"/>
    <w:rsid w:val="00315736"/>
    <w:rsid w:val="00315AC6"/>
    <w:rsid w:val="003172E3"/>
    <w:rsid w:val="0031734D"/>
    <w:rsid w:val="003177C7"/>
    <w:rsid w:val="00317A2C"/>
    <w:rsid w:val="00317AE4"/>
    <w:rsid w:val="003204A0"/>
    <w:rsid w:val="00320567"/>
    <w:rsid w:val="00320B0E"/>
    <w:rsid w:val="00320F9C"/>
    <w:rsid w:val="0032108E"/>
    <w:rsid w:val="00321183"/>
    <w:rsid w:val="00321330"/>
    <w:rsid w:val="00321622"/>
    <w:rsid w:val="0032184A"/>
    <w:rsid w:val="00321C03"/>
    <w:rsid w:val="00321D06"/>
    <w:rsid w:val="003221DA"/>
    <w:rsid w:val="00322226"/>
    <w:rsid w:val="00322629"/>
    <w:rsid w:val="00322BCF"/>
    <w:rsid w:val="00322D36"/>
    <w:rsid w:val="00323589"/>
    <w:rsid w:val="00323853"/>
    <w:rsid w:val="00323A24"/>
    <w:rsid w:val="00324028"/>
    <w:rsid w:val="003247E4"/>
    <w:rsid w:val="00324F33"/>
    <w:rsid w:val="003250CB"/>
    <w:rsid w:val="0032534A"/>
    <w:rsid w:val="00325416"/>
    <w:rsid w:val="00325545"/>
    <w:rsid w:val="0032567A"/>
    <w:rsid w:val="00326317"/>
    <w:rsid w:val="003264AF"/>
    <w:rsid w:val="00326726"/>
    <w:rsid w:val="0032683F"/>
    <w:rsid w:val="0032763F"/>
    <w:rsid w:val="00327A32"/>
    <w:rsid w:val="00327D6D"/>
    <w:rsid w:val="00327E00"/>
    <w:rsid w:val="00327F88"/>
    <w:rsid w:val="003301D9"/>
    <w:rsid w:val="003304DB"/>
    <w:rsid w:val="003307B6"/>
    <w:rsid w:val="00330AC3"/>
    <w:rsid w:val="00330C91"/>
    <w:rsid w:val="00330CD1"/>
    <w:rsid w:val="00330E43"/>
    <w:rsid w:val="00331A9B"/>
    <w:rsid w:val="00331C84"/>
    <w:rsid w:val="00331D6E"/>
    <w:rsid w:val="0033259C"/>
    <w:rsid w:val="0033271C"/>
    <w:rsid w:val="003329B8"/>
    <w:rsid w:val="0033331D"/>
    <w:rsid w:val="003333CB"/>
    <w:rsid w:val="00333852"/>
    <w:rsid w:val="003339C8"/>
    <w:rsid w:val="00333C87"/>
    <w:rsid w:val="0033438F"/>
    <w:rsid w:val="00334445"/>
    <w:rsid w:val="00334585"/>
    <w:rsid w:val="00334A85"/>
    <w:rsid w:val="00334E9C"/>
    <w:rsid w:val="00335029"/>
    <w:rsid w:val="003355B7"/>
    <w:rsid w:val="00335BA9"/>
    <w:rsid w:val="00335F79"/>
    <w:rsid w:val="00335FA4"/>
    <w:rsid w:val="00335FCD"/>
    <w:rsid w:val="0033695C"/>
    <w:rsid w:val="00336972"/>
    <w:rsid w:val="003372B5"/>
    <w:rsid w:val="00337349"/>
    <w:rsid w:val="00337353"/>
    <w:rsid w:val="003373E1"/>
    <w:rsid w:val="00337985"/>
    <w:rsid w:val="00337FDB"/>
    <w:rsid w:val="0034021D"/>
    <w:rsid w:val="003402F6"/>
    <w:rsid w:val="00340686"/>
    <w:rsid w:val="003408A2"/>
    <w:rsid w:val="00340EF5"/>
    <w:rsid w:val="00340FED"/>
    <w:rsid w:val="00341376"/>
    <w:rsid w:val="00341597"/>
    <w:rsid w:val="00341767"/>
    <w:rsid w:val="00341936"/>
    <w:rsid w:val="00341A79"/>
    <w:rsid w:val="00341B5A"/>
    <w:rsid w:val="00341D42"/>
    <w:rsid w:val="0034246D"/>
    <w:rsid w:val="0034252D"/>
    <w:rsid w:val="003428AC"/>
    <w:rsid w:val="00342CEA"/>
    <w:rsid w:val="00342F5E"/>
    <w:rsid w:val="00343210"/>
    <w:rsid w:val="003433F1"/>
    <w:rsid w:val="003434BD"/>
    <w:rsid w:val="003437DF"/>
    <w:rsid w:val="00343DA8"/>
    <w:rsid w:val="00344448"/>
    <w:rsid w:val="00344E5A"/>
    <w:rsid w:val="003450BE"/>
    <w:rsid w:val="00345796"/>
    <w:rsid w:val="00345B67"/>
    <w:rsid w:val="00345C8C"/>
    <w:rsid w:val="00345CFF"/>
    <w:rsid w:val="00345DEB"/>
    <w:rsid w:val="00345F64"/>
    <w:rsid w:val="00346286"/>
    <w:rsid w:val="003463AD"/>
    <w:rsid w:val="00346899"/>
    <w:rsid w:val="003468A2"/>
    <w:rsid w:val="00346DCA"/>
    <w:rsid w:val="003474DD"/>
    <w:rsid w:val="003478B7"/>
    <w:rsid w:val="00347A91"/>
    <w:rsid w:val="00350035"/>
    <w:rsid w:val="003500B2"/>
    <w:rsid w:val="00350118"/>
    <w:rsid w:val="00350243"/>
    <w:rsid w:val="00350254"/>
    <w:rsid w:val="003502D4"/>
    <w:rsid w:val="00350880"/>
    <w:rsid w:val="003508D0"/>
    <w:rsid w:val="00351318"/>
    <w:rsid w:val="00351491"/>
    <w:rsid w:val="0035178D"/>
    <w:rsid w:val="00351BF9"/>
    <w:rsid w:val="00351E68"/>
    <w:rsid w:val="003520E3"/>
    <w:rsid w:val="0035216F"/>
    <w:rsid w:val="00352F60"/>
    <w:rsid w:val="00353708"/>
    <w:rsid w:val="00353749"/>
    <w:rsid w:val="00353878"/>
    <w:rsid w:val="00353E63"/>
    <w:rsid w:val="0035405A"/>
    <w:rsid w:val="003540E5"/>
    <w:rsid w:val="0035412E"/>
    <w:rsid w:val="00354583"/>
    <w:rsid w:val="00354866"/>
    <w:rsid w:val="003548CB"/>
    <w:rsid w:val="003549CD"/>
    <w:rsid w:val="00354DE3"/>
    <w:rsid w:val="00355636"/>
    <w:rsid w:val="00355808"/>
    <w:rsid w:val="003558E4"/>
    <w:rsid w:val="00355C0C"/>
    <w:rsid w:val="00355D38"/>
    <w:rsid w:val="003564E2"/>
    <w:rsid w:val="003566A9"/>
    <w:rsid w:val="00356857"/>
    <w:rsid w:val="00356C23"/>
    <w:rsid w:val="00356C69"/>
    <w:rsid w:val="00356FC1"/>
    <w:rsid w:val="00356FCF"/>
    <w:rsid w:val="00357329"/>
    <w:rsid w:val="00357768"/>
    <w:rsid w:val="00357784"/>
    <w:rsid w:val="003577EE"/>
    <w:rsid w:val="003578FA"/>
    <w:rsid w:val="00357C9F"/>
    <w:rsid w:val="00357D29"/>
    <w:rsid w:val="0036002D"/>
    <w:rsid w:val="00360235"/>
    <w:rsid w:val="003608F6"/>
    <w:rsid w:val="00360D90"/>
    <w:rsid w:val="00361348"/>
    <w:rsid w:val="003614C7"/>
    <w:rsid w:val="003619E6"/>
    <w:rsid w:val="00361FC9"/>
    <w:rsid w:val="003621EA"/>
    <w:rsid w:val="00362CBB"/>
    <w:rsid w:val="00362E69"/>
    <w:rsid w:val="00362EC3"/>
    <w:rsid w:val="003630EA"/>
    <w:rsid w:val="003631F4"/>
    <w:rsid w:val="00363361"/>
    <w:rsid w:val="00363B75"/>
    <w:rsid w:val="00364005"/>
    <w:rsid w:val="0036411C"/>
    <w:rsid w:val="0036466E"/>
    <w:rsid w:val="003646ED"/>
    <w:rsid w:val="003648B8"/>
    <w:rsid w:val="003648C2"/>
    <w:rsid w:val="003650C3"/>
    <w:rsid w:val="003650CF"/>
    <w:rsid w:val="00365158"/>
    <w:rsid w:val="003652E2"/>
    <w:rsid w:val="00365566"/>
    <w:rsid w:val="0036586A"/>
    <w:rsid w:val="00365CCE"/>
    <w:rsid w:val="00365D84"/>
    <w:rsid w:val="003663C8"/>
    <w:rsid w:val="003663E6"/>
    <w:rsid w:val="00366906"/>
    <w:rsid w:val="00366FDD"/>
    <w:rsid w:val="00367101"/>
    <w:rsid w:val="003671F7"/>
    <w:rsid w:val="0036725D"/>
    <w:rsid w:val="003677E5"/>
    <w:rsid w:val="003679D2"/>
    <w:rsid w:val="00367AF2"/>
    <w:rsid w:val="00367F04"/>
    <w:rsid w:val="00370033"/>
    <w:rsid w:val="00370114"/>
    <w:rsid w:val="00370189"/>
    <w:rsid w:val="00370419"/>
    <w:rsid w:val="003707E5"/>
    <w:rsid w:val="00370940"/>
    <w:rsid w:val="00370C13"/>
    <w:rsid w:val="00370D1F"/>
    <w:rsid w:val="00371518"/>
    <w:rsid w:val="00371A6B"/>
    <w:rsid w:val="00371EFE"/>
    <w:rsid w:val="0037262D"/>
    <w:rsid w:val="00372892"/>
    <w:rsid w:val="00372AB6"/>
    <w:rsid w:val="0037339B"/>
    <w:rsid w:val="003736E0"/>
    <w:rsid w:val="003737F0"/>
    <w:rsid w:val="00373845"/>
    <w:rsid w:val="00373E3D"/>
    <w:rsid w:val="00374011"/>
    <w:rsid w:val="0037454A"/>
    <w:rsid w:val="0037467C"/>
    <w:rsid w:val="00374B42"/>
    <w:rsid w:val="0037501B"/>
    <w:rsid w:val="00375339"/>
    <w:rsid w:val="00375682"/>
    <w:rsid w:val="00375889"/>
    <w:rsid w:val="00375958"/>
    <w:rsid w:val="00375A18"/>
    <w:rsid w:val="00375D68"/>
    <w:rsid w:val="0037639F"/>
    <w:rsid w:val="00376406"/>
    <w:rsid w:val="0037698D"/>
    <w:rsid w:val="00376A85"/>
    <w:rsid w:val="00376CB3"/>
    <w:rsid w:val="003777EA"/>
    <w:rsid w:val="00377B49"/>
    <w:rsid w:val="00380289"/>
    <w:rsid w:val="003803AB"/>
    <w:rsid w:val="00380487"/>
    <w:rsid w:val="00380538"/>
    <w:rsid w:val="003809EB"/>
    <w:rsid w:val="00380DB3"/>
    <w:rsid w:val="00380DD0"/>
    <w:rsid w:val="00380E28"/>
    <w:rsid w:val="00381C70"/>
    <w:rsid w:val="00381DC5"/>
    <w:rsid w:val="00381E25"/>
    <w:rsid w:val="00381F76"/>
    <w:rsid w:val="0038252E"/>
    <w:rsid w:val="00382842"/>
    <w:rsid w:val="00382A3C"/>
    <w:rsid w:val="00382F1B"/>
    <w:rsid w:val="003831A9"/>
    <w:rsid w:val="0038335D"/>
    <w:rsid w:val="00383556"/>
    <w:rsid w:val="00383B5C"/>
    <w:rsid w:val="00383C54"/>
    <w:rsid w:val="0038447E"/>
    <w:rsid w:val="0038478C"/>
    <w:rsid w:val="0038535F"/>
    <w:rsid w:val="00385B63"/>
    <w:rsid w:val="00385DAD"/>
    <w:rsid w:val="00385E76"/>
    <w:rsid w:val="00386169"/>
    <w:rsid w:val="0038627D"/>
    <w:rsid w:val="003864B5"/>
    <w:rsid w:val="003864F3"/>
    <w:rsid w:val="003866DE"/>
    <w:rsid w:val="003871D5"/>
    <w:rsid w:val="00387291"/>
    <w:rsid w:val="00387435"/>
    <w:rsid w:val="00387772"/>
    <w:rsid w:val="00387785"/>
    <w:rsid w:val="00387831"/>
    <w:rsid w:val="0038788E"/>
    <w:rsid w:val="00387981"/>
    <w:rsid w:val="00387BFA"/>
    <w:rsid w:val="00387EA7"/>
    <w:rsid w:val="00390172"/>
    <w:rsid w:val="00390454"/>
    <w:rsid w:val="00390561"/>
    <w:rsid w:val="00390681"/>
    <w:rsid w:val="00390767"/>
    <w:rsid w:val="00390B71"/>
    <w:rsid w:val="00390B8D"/>
    <w:rsid w:val="00390D2D"/>
    <w:rsid w:val="00390D5F"/>
    <w:rsid w:val="00390FB6"/>
    <w:rsid w:val="00391173"/>
    <w:rsid w:val="0039166D"/>
    <w:rsid w:val="00391720"/>
    <w:rsid w:val="00391F94"/>
    <w:rsid w:val="0039205F"/>
    <w:rsid w:val="0039258A"/>
    <w:rsid w:val="003928FF"/>
    <w:rsid w:val="00392AC9"/>
    <w:rsid w:val="00392B09"/>
    <w:rsid w:val="00392DD2"/>
    <w:rsid w:val="00392E67"/>
    <w:rsid w:val="003931D0"/>
    <w:rsid w:val="003932FD"/>
    <w:rsid w:val="0039353C"/>
    <w:rsid w:val="00393AEF"/>
    <w:rsid w:val="00393B47"/>
    <w:rsid w:val="003945FF"/>
    <w:rsid w:val="003949A2"/>
    <w:rsid w:val="003949B6"/>
    <w:rsid w:val="00394CBC"/>
    <w:rsid w:val="00394FBE"/>
    <w:rsid w:val="003954C1"/>
    <w:rsid w:val="00395593"/>
    <w:rsid w:val="003955E0"/>
    <w:rsid w:val="003957FE"/>
    <w:rsid w:val="003958D9"/>
    <w:rsid w:val="00395C10"/>
    <w:rsid w:val="0039608A"/>
    <w:rsid w:val="00396494"/>
    <w:rsid w:val="00396512"/>
    <w:rsid w:val="00396749"/>
    <w:rsid w:val="00396A50"/>
    <w:rsid w:val="00396B83"/>
    <w:rsid w:val="00396BE9"/>
    <w:rsid w:val="00396D5E"/>
    <w:rsid w:val="0039757A"/>
    <w:rsid w:val="00397860"/>
    <w:rsid w:val="003978C9"/>
    <w:rsid w:val="00397DAF"/>
    <w:rsid w:val="00397E10"/>
    <w:rsid w:val="0039DA71"/>
    <w:rsid w:val="003A0090"/>
    <w:rsid w:val="003A01A0"/>
    <w:rsid w:val="003A028F"/>
    <w:rsid w:val="003A0419"/>
    <w:rsid w:val="003A0AC3"/>
    <w:rsid w:val="003A0E1A"/>
    <w:rsid w:val="003A0EE5"/>
    <w:rsid w:val="003A11E7"/>
    <w:rsid w:val="003A142C"/>
    <w:rsid w:val="003A1D28"/>
    <w:rsid w:val="003A22DE"/>
    <w:rsid w:val="003A2439"/>
    <w:rsid w:val="003A29FD"/>
    <w:rsid w:val="003A2C34"/>
    <w:rsid w:val="003A2DB9"/>
    <w:rsid w:val="003A2F56"/>
    <w:rsid w:val="003A3056"/>
    <w:rsid w:val="003A311E"/>
    <w:rsid w:val="003A35AA"/>
    <w:rsid w:val="003A3689"/>
    <w:rsid w:val="003A371E"/>
    <w:rsid w:val="003A3B6C"/>
    <w:rsid w:val="003A3D94"/>
    <w:rsid w:val="003A44AC"/>
    <w:rsid w:val="003A497C"/>
    <w:rsid w:val="003A4CCA"/>
    <w:rsid w:val="003A57B1"/>
    <w:rsid w:val="003A5FE4"/>
    <w:rsid w:val="003A66F7"/>
    <w:rsid w:val="003A6713"/>
    <w:rsid w:val="003A6825"/>
    <w:rsid w:val="003A6D53"/>
    <w:rsid w:val="003A707F"/>
    <w:rsid w:val="003A71AD"/>
    <w:rsid w:val="003B0079"/>
    <w:rsid w:val="003B0115"/>
    <w:rsid w:val="003B04D7"/>
    <w:rsid w:val="003B0580"/>
    <w:rsid w:val="003B06AB"/>
    <w:rsid w:val="003B095C"/>
    <w:rsid w:val="003B0995"/>
    <w:rsid w:val="003B1315"/>
    <w:rsid w:val="003B1378"/>
    <w:rsid w:val="003B13F8"/>
    <w:rsid w:val="003B1419"/>
    <w:rsid w:val="003B15C8"/>
    <w:rsid w:val="003B16A2"/>
    <w:rsid w:val="003B17B4"/>
    <w:rsid w:val="003B1D5C"/>
    <w:rsid w:val="003B1F7A"/>
    <w:rsid w:val="003B23C4"/>
    <w:rsid w:val="003B2C1D"/>
    <w:rsid w:val="003B2C73"/>
    <w:rsid w:val="003B346D"/>
    <w:rsid w:val="003B3627"/>
    <w:rsid w:val="003B38B6"/>
    <w:rsid w:val="003B4F96"/>
    <w:rsid w:val="003B50C6"/>
    <w:rsid w:val="003B5B30"/>
    <w:rsid w:val="003B68C9"/>
    <w:rsid w:val="003B6B56"/>
    <w:rsid w:val="003B6CDF"/>
    <w:rsid w:val="003B7568"/>
    <w:rsid w:val="003B758C"/>
    <w:rsid w:val="003B7B5A"/>
    <w:rsid w:val="003B7C0B"/>
    <w:rsid w:val="003B7D52"/>
    <w:rsid w:val="003C013B"/>
    <w:rsid w:val="003C0156"/>
    <w:rsid w:val="003C01B7"/>
    <w:rsid w:val="003C0468"/>
    <w:rsid w:val="003C0472"/>
    <w:rsid w:val="003C0849"/>
    <w:rsid w:val="003C0861"/>
    <w:rsid w:val="003C0BD4"/>
    <w:rsid w:val="003C0D61"/>
    <w:rsid w:val="003C136E"/>
    <w:rsid w:val="003C153E"/>
    <w:rsid w:val="003C1566"/>
    <w:rsid w:val="003C182A"/>
    <w:rsid w:val="003C184A"/>
    <w:rsid w:val="003C19DD"/>
    <w:rsid w:val="003C1B38"/>
    <w:rsid w:val="003C2E95"/>
    <w:rsid w:val="003C30B6"/>
    <w:rsid w:val="003C3357"/>
    <w:rsid w:val="003C364E"/>
    <w:rsid w:val="003C38F7"/>
    <w:rsid w:val="003C3CB1"/>
    <w:rsid w:val="003C3DB3"/>
    <w:rsid w:val="003C3E48"/>
    <w:rsid w:val="003C3F17"/>
    <w:rsid w:val="003C3F52"/>
    <w:rsid w:val="003C3FDB"/>
    <w:rsid w:val="003C400C"/>
    <w:rsid w:val="003C4367"/>
    <w:rsid w:val="003C444B"/>
    <w:rsid w:val="003C450C"/>
    <w:rsid w:val="003C4C04"/>
    <w:rsid w:val="003C5311"/>
    <w:rsid w:val="003C5358"/>
    <w:rsid w:val="003C56A9"/>
    <w:rsid w:val="003C56B2"/>
    <w:rsid w:val="003C579D"/>
    <w:rsid w:val="003C58B2"/>
    <w:rsid w:val="003C59A2"/>
    <w:rsid w:val="003C5A11"/>
    <w:rsid w:val="003C5A12"/>
    <w:rsid w:val="003C5B0F"/>
    <w:rsid w:val="003C5C28"/>
    <w:rsid w:val="003C65F0"/>
    <w:rsid w:val="003C6B40"/>
    <w:rsid w:val="003C6C4A"/>
    <w:rsid w:val="003C6C72"/>
    <w:rsid w:val="003C6F72"/>
    <w:rsid w:val="003C71F7"/>
    <w:rsid w:val="003C7246"/>
    <w:rsid w:val="003C7596"/>
    <w:rsid w:val="003C7A05"/>
    <w:rsid w:val="003C7B86"/>
    <w:rsid w:val="003C7CA7"/>
    <w:rsid w:val="003C7D44"/>
    <w:rsid w:val="003C7EAF"/>
    <w:rsid w:val="003D0FB0"/>
    <w:rsid w:val="003D1483"/>
    <w:rsid w:val="003D1BAD"/>
    <w:rsid w:val="003D1CE5"/>
    <w:rsid w:val="003D2084"/>
    <w:rsid w:val="003D2338"/>
    <w:rsid w:val="003D27C6"/>
    <w:rsid w:val="003D2849"/>
    <w:rsid w:val="003D2B22"/>
    <w:rsid w:val="003D2B3F"/>
    <w:rsid w:val="003D2DC4"/>
    <w:rsid w:val="003D3141"/>
    <w:rsid w:val="003D3188"/>
    <w:rsid w:val="003D3241"/>
    <w:rsid w:val="003D3DCC"/>
    <w:rsid w:val="003D4181"/>
    <w:rsid w:val="003D466F"/>
    <w:rsid w:val="003D4E8C"/>
    <w:rsid w:val="003D5452"/>
    <w:rsid w:val="003D54AA"/>
    <w:rsid w:val="003D564F"/>
    <w:rsid w:val="003D569A"/>
    <w:rsid w:val="003D58B3"/>
    <w:rsid w:val="003D5A03"/>
    <w:rsid w:val="003D6118"/>
    <w:rsid w:val="003D6125"/>
    <w:rsid w:val="003D6391"/>
    <w:rsid w:val="003D6431"/>
    <w:rsid w:val="003D6F9F"/>
    <w:rsid w:val="003D7045"/>
    <w:rsid w:val="003D7186"/>
    <w:rsid w:val="003D72B4"/>
    <w:rsid w:val="003D7630"/>
    <w:rsid w:val="003D7D61"/>
    <w:rsid w:val="003E014A"/>
    <w:rsid w:val="003E02B5"/>
    <w:rsid w:val="003E0D9B"/>
    <w:rsid w:val="003E10E1"/>
    <w:rsid w:val="003E123A"/>
    <w:rsid w:val="003E12F3"/>
    <w:rsid w:val="003E16DD"/>
    <w:rsid w:val="003E2238"/>
    <w:rsid w:val="003E27D1"/>
    <w:rsid w:val="003E2C09"/>
    <w:rsid w:val="003E3008"/>
    <w:rsid w:val="003E32CE"/>
    <w:rsid w:val="003E373E"/>
    <w:rsid w:val="003E3860"/>
    <w:rsid w:val="003E38CE"/>
    <w:rsid w:val="003E3B2E"/>
    <w:rsid w:val="003E3D6A"/>
    <w:rsid w:val="003E3E5C"/>
    <w:rsid w:val="003E3E80"/>
    <w:rsid w:val="003E3FA4"/>
    <w:rsid w:val="003E3FE0"/>
    <w:rsid w:val="003E4329"/>
    <w:rsid w:val="003E45E2"/>
    <w:rsid w:val="003E4C05"/>
    <w:rsid w:val="003E5058"/>
    <w:rsid w:val="003E50C1"/>
    <w:rsid w:val="003E530B"/>
    <w:rsid w:val="003E5453"/>
    <w:rsid w:val="003E5479"/>
    <w:rsid w:val="003E54EA"/>
    <w:rsid w:val="003E5754"/>
    <w:rsid w:val="003E5859"/>
    <w:rsid w:val="003E6120"/>
    <w:rsid w:val="003E6554"/>
    <w:rsid w:val="003E67A7"/>
    <w:rsid w:val="003E693B"/>
    <w:rsid w:val="003E6942"/>
    <w:rsid w:val="003E6C0D"/>
    <w:rsid w:val="003E6C39"/>
    <w:rsid w:val="003E6DC8"/>
    <w:rsid w:val="003E71EA"/>
    <w:rsid w:val="003E73DD"/>
    <w:rsid w:val="003E755E"/>
    <w:rsid w:val="003E769F"/>
    <w:rsid w:val="003E7724"/>
    <w:rsid w:val="003E7988"/>
    <w:rsid w:val="003E7B8C"/>
    <w:rsid w:val="003E7C71"/>
    <w:rsid w:val="003E7CA9"/>
    <w:rsid w:val="003E7E8D"/>
    <w:rsid w:val="003E7FA5"/>
    <w:rsid w:val="003F000F"/>
    <w:rsid w:val="003F007D"/>
    <w:rsid w:val="003F00FD"/>
    <w:rsid w:val="003F072A"/>
    <w:rsid w:val="003F0841"/>
    <w:rsid w:val="003F0D15"/>
    <w:rsid w:val="003F1625"/>
    <w:rsid w:val="003F174C"/>
    <w:rsid w:val="003F1AF6"/>
    <w:rsid w:val="003F1D41"/>
    <w:rsid w:val="003F2054"/>
    <w:rsid w:val="003F2331"/>
    <w:rsid w:val="003F2524"/>
    <w:rsid w:val="003F25A4"/>
    <w:rsid w:val="003F260D"/>
    <w:rsid w:val="003F2887"/>
    <w:rsid w:val="003F2BF5"/>
    <w:rsid w:val="003F2E71"/>
    <w:rsid w:val="003F31DE"/>
    <w:rsid w:val="003F33B3"/>
    <w:rsid w:val="003F3533"/>
    <w:rsid w:val="003F35B4"/>
    <w:rsid w:val="003F378C"/>
    <w:rsid w:val="003F3E84"/>
    <w:rsid w:val="003F408C"/>
    <w:rsid w:val="003F40BC"/>
    <w:rsid w:val="003F46E5"/>
    <w:rsid w:val="003F472C"/>
    <w:rsid w:val="003F4EEC"/>
    <w:rsid w:val="003F505C"/>
    <w:rsid w:val="003F545E"/>
    <w:rsid w:val="003F5540"/>
    <w:rsid w:val="003F5653"/>
    <w:rsid w:val="003F58E1"/>
    <w:rsid w:val="003F681F"/>
    <w:rsid w:val="003F6842"/>
    <w:rsid w:val="003F6961"/>
    <w:rsid w:val="003F6D6E"/>
    <w:rsid w:val="003F70B0"/>
    <w:rsid w:val="003F720A"/>
    <w:rsid w:val="003F77FF"/>
    <w:rsid w:val="003F79A2"/>
    <w:rsid w:val="003F7FD3"/>
    <w:rsid w:val="00400346"/>
    <w:rsid w:val="004003FC"/>
    <w:rsid w:val="004006A6"/>
    <w:rsid w:val="0040088F"/>
    <w:rsid w:val="00400D9D"/>
    <w:rsid w:val="004010E7"/>
    <w:rsid w:val="0040110F"/>
    <w:rsid w:val="004012DD"/>
    <w:rsid w:val="004015DD"/>
    <w:rsid w:val="00401B70"/>
    <w:rsid w:val="00401D31"/>
    <w:rsid w:val="00401F06"/>
    <w:rsid w:val="00401F20"/>
    <w:rsid w:val="00402060"/>
    <w:rsid w:val="0040237E"/>
    <w:rsid w:val="00402661"/>
    <w:rsid w:val="0040296C"/>
    <w:rsid w:val="00402ACA"/>
    <w:rsid w:val="00402AF2"/>
    <w:rsid w:val="004034E1"/>
    <w:rsid w:val="00403B8D"/>
    <w:rsid w:val="00403C66"/>
    <w:rsid w:val="00403D13"/>
    <w:rsid w:val="00403D42"/>
    <w:rsid w:val="00403F2D"/>
    <w:rsid w:val="004040B0"/>
    <w:rsid w:val="00404397"/>
    <w:rsid w:val="004045E7"/>
    <w:rsid w:val="0040464E"/>
    <w:rsid w:val="00404854"/>
    <w:rsid w:val="00404D58"/>
    <w:rsid w:val="00404EB0"/>
    <w:rsid w:val="0040526F"/>
    <w:rsid w:val="00405678"/>
    <w:rsid w:val="00405845"/>
    <w:rsid w:val="00406213"/>
    <w:rsid w:val="00406612"/>
    <w:rsid w:val="004073CB"/>
    <w:rsid w:val="0040782F"/>
    <w:rsid w:val="00407AD4"/>
    <w:rsid w:val="00407FB5"/>
    <w:rsid w:val="004106FE"/>
    <w:rsid w:val="004107D0"/>
    <w:rsid w:val="00410821"/>
    <w:rsid w:val="00411551"/>
    <w:rsid w:val="0041173B"/>
    <w:rsid w:val="004119E5"/>
    <w:rsid w:val="00411B0F"/>
    <w:rsid w:val="00412806"/>
    <w:rsid w:val="004129E9"/>
    <w:rsid w:val="00412BB1"/>
    <w:rsid w:val="00413489"/>
    <w:rsid w:val="00413942"/>
    <w:rsid w:val="004141A6"/>
    <w:rsid w:val="00414914"/>
    <w:rsid w:val="00414D1E"/>
    <w:rsid w:val="004151C8"/>
    <w:rsid w:val="004151E7"/>
    <w:rsid w:val="0041530A"/>
    <w:rsid w:val="004153BE"/>
    <w:rsid w:val="00415675"/>
    <w:rsid w:val="004156CF"/>
    <w:rsid w:val="004166C3"/>
    <w:rsid w:val="00416DDB"/>
    <w:rsid w:val="00417023"/>
    <w:rsid w:val="004172C3"/>
    <w:rsid w:val="004176D2"/>
    <w:rsid w:val="00417DCF"/>
    <w:rsid w:val="004200EB"/>
    <w:rsid w:val="0042056D"/>
    <w:rsid w:val="00420621"/>
    <w:rsid w:val="00420721"/>
    <w:rsid w:val="00421035"/>
    <w:rsid w:val="0042168B"/>
    <w:rsid w:val="0042238F"/>
    <w:rsid w:val="00422F0A"/>
    <w:rsid w:val="0042319B"/>
    <w:rsid w:val="00423324"/>
    <w:rsid w:val="00423BB1"/>
    <w:rsid w:val="00423DF2"/>
    <w:rsid w:val="004240BD"/>
    <w:rsid w:val="00424176"/>
    <w:rsid w:val="004248E5"/>
    <w:rsid w:val="00424997"/>
    <w:rsid w:val="004249CF"/>
    <w:rsid w:val="00424A49"/>
    <w:rsid w:val="00424CF3"/>
    <w:rsid w:val="00424F26"/>
    <w:rsid w:val="004256F6"/>
    <w:rsid w:val="00425747"/>
    <w:rsid w:val="00425817"/>
    <w:rsid w:val="00425BFA"/>
    <w:rsid w:val="00425C34"/>
    <w:rsid w:val="004261C6"/>
    <w:rsid w:val="00426350"/>
    <w:rsid w:val="00426AB1"/>
    <w:rsid w:val="00427072"/>
    <w:rsid w:val="00427486"/>
    <w:rsid w:val="00427B18"/>
    <w:rsid w:val="00427E7B"/>
    <w:rsid w:val="00427EB9"/>
    <w:rsid w:val="00427EE2"/>
    <w:rsid w:val="00427F92"/>
    <w:rsid w:val="00430363"/>
    <w:rsid w:val="00430371"/>
    <w:rsid w:val="00430519"/>
    <w:rsid w:val="00430617"/>
    <w:rsid w:val="00430D70"/>
    <w:rsid w:val="00431AE2"/>
    <w:rsid w:val="0043204F"/>
    <w:rsid w:val="0043227F"/>
    <w:rsid w:val="00432AFA"/>
    <w:rsid w:val="00432E5F"/>
    <w:rsid w:val="0043301B"/>
    <w:rsid w:val="00433363"/>
    <w:rsid w:val="00433613"/>
    <w:rsid w:val="00433A13"/>
    <w:rsid w:val="00433C3E"/>
    <w:rsid w:val="004347D6"/>
    <w:rsid w:val="00434914"/>
    <w:rsid w:val="004349B2"/>
    <w:rsid w:val="00434B1F"/>
    <w:rsid w:val="00434DD8"/>
    <w:rsid w:val="00435289"/>
    <w:rsid w:val="004352A1"/>
    <w:rsid w:val="00435A72"/>
    <w:rsid w:val="00435DA5"/>
    <w:rsid w:val="004365E0"/>
    <w:rsid w:val="00436705"/>
    <w:rsid w:val="004367AD"/>
    <w:rsid w:val="004369E1"/>
    <w:rsid w:val="00436F8D"/>
    <w:rsid w:val="00437474"/>
    <w:rsid w:val="004405BE"/>
    <w:rsid w:val="004416C8"/>
    <w:rsid w:val="00441746"/>
    <w:rsid w:val="00441898"/>
    <w:rsid w:val="0044209D"/>
    <w:rsid w:val="004423EC"/>
    <w:rsid w:val="00443156"/>
    <w:rsid w:val="004432C4"/>
    <w:rsid w:val="004433EE"/>
    <w:rsid w:val="0044358D"/>
    <w:rsid w:val="0044379A"/>
    <w:rsid w:val="004437E2"/>
    <w:rsid w:val="00443A64"/>
    <w:rsid w:val="00443A70"/>
    <w:rsid w:val="00443B57"/>
    <w:rsid w:val="00443D0B"/>
    <w:rsid w:val="00443FC0"/>
    <w:rsid w:val="00444871"/>
    <w:rsid w:val="004448CE"/>
    <w:rsid w:val="00444ACE"/>
    <w:rsid w:val="00444BCF"/>
    <w:rsid w:val="00444DAD"/>
    <w:rsid w:val="00445341"/>
    <w:rsid w:val="00445629"/>
    <w:rsid w:val="00445824"/>
    <w:rsid w:val="00445E96"/>
    <w:rsid w:val="0044600B"/>
    <w:rsid w:val="0044607B"/>
    <w:rsid w:val="004462D2"/>
    <w:rsid w:val="004463E5"/>
    <w:rsid w:val="004465A6"/>
    <w:rsid w:val="00446600"/>
    <w:rsid w:val="00446742"/>
    <w:rsid w:val="00446A54"/>
    <w:rsid w:val="00446AF8"/>
    <w:rsid w:val="00446F67"/>
    <w:rsid w:val="0044711D"/>
    <w:rsid w:val="004471F6"/>
    <w:rsid w:val="004478BC"/>
    <w:rsid w:val="00447CD9"/>
    <w:rsid w:val="00447E25"/>
    <w:rsid w:val="004507E0"/>
    <w:rsid w:val="004509EA"/>
    <w:rsid w:val="00450A06"/>
    <w:rsid w:val="00450B39"/>
    <w:rsid w:val="0045101A"/>
    <w:rsid w:val="004513C5"/>
    <w:rsid w:val="0045165E"/>
    <w:rsid w:val="0045172F"/>
    <w:rsid w:val="004517BD"/>
    <w:rsid w:val="00452380"/>
    <w:rsid w:val="0045246B"/>
    <w:rsid w:val="00452EBC"/>
    <w:rsid w:val="00452F5A"/>
    <w:rsid w:val="0045321F"/>
    <w:rsid w:val="00453420"/>
    <w:rsid w:val="00453C5F"/>
    <w:rsid w:val="00453DA0"/>
    <w:rsid w:val="00453E98"/>
    <w:rsid w:val="00453F75"/>
    <w:rsid w:val="004542EE"/>
    <w:rsid w:val="004546BD"/>
    <w:rsid w:val="004554D4"/>
    <w:rsid w:val="00455697"/>
    <w:rsid w:val="004557C5"/>
    <w:rsid w:val="00455BAF"/>
    <w:rsid w:val="0045615E"/>
    <w:rsid w:val="0045619A"/>
    <w:rsid w:val="00456225"/>
    <w:rsid w:val="00456739"/>
    <w:rsid w:val="004568D3"/>
    <w:rsid w:val="00456A94"/>
    <w:rsid w:val="00456F7A"/>
    <w:rsid w:val="00456FF4"/>
    <w:rsid w:val="0045717E"/>
    <w:rsid w:val="004573E7"/>
    <w:rsid w:val="004578C9"/>
    <w:rsid w:val="00457F0A"/>
    <w:rsid w:val="004604F0"/>
    <w:rsid w:val="00460685"/>
    <w:rsid w:val="00460BF8"/>
    <w:rsid w:val="00460F7A"/>
    <w:rsid w:val="00461269"/>
    <w:rsid w:val="00461296"/>
    <w:rsid w:val="004613C8"/>
    <w:rsid w:val="0046153C"/>
    <w:rsid w:val="00461957"/>
    <w:rsid w:val="00461B8D"/>
    <w:rsid w:val="00461E8F"/>
    <w:rsid w:val="00462234"/>
    <w:rsid w:val="00462555"/>
    <w:rsid w:val="0046269E"/>
    <w:rsid w:val="00462920"/>
    <w:rsid w:val="00462ABB"/>
    <w:rsid w:val="00462B3E"/>
    <w:rsid w:val="004632F1"/>
    <w:rsid w:val="004634E8"/>
    <w:rsid w:val="00463505"/>
    <w:rsid w:val="004635C9"/>
    <w:rsid w:val="004635EC"/>
    <w:rsid w:val="00463721"/>
    <w:rsid w:val="00463C1B"/>
    <w:rsid w:val="004640FE"/>
    <w:rsid w:val="004642A3"/>
    <w:rsid w:val="00464303"/>
    <w:rsid w:val="004645DF"/>
    <w:rsid w:val="00464953"/>
    <w:rsid w:val="004649F0"/>
    <w:rsid w:val="00464AEC"/>
    <w:rsid w:val="00464AF2"/>
    <w:rsid w:val="0046507C"/>
    <w:rsid w:val="004651E2"/>
    <w:rsid w:val="00465429"/>
    <w:rsid w:val="0046544B"/>
    <w:rsid w:val="004655F9"/>
    <w:rsid w:val="0046570C"/>
    <w:rsid w:val="004659DA"/>
    <w:rsid w:val="00465A91"/>
    <w:rsid w:val="00465B8F"/>
    <w:rsid w:val="004660AB"/>
    <w:rsid w:val="0046622E"/>
    <w:rsid w:val="004662F8"/>
    <w:rsid w:val="004666BF"/>
    <w:rsid w:val="004667FF"/>
    <w:rsid w:val="00466925"/>
    <w:rsid w:val="00466FA7"/>
    <w:rsid w:val="00467030"/>
    <w:rsid w:val="00467145"/>
    <w:rsid w:val="00467238"/>
    <w:rsid w:val="004676EB"/>
    <w:rsid w:val="00467708"/>
    <w:rsid w:val="00467A52"/>
    <w:rsid w:val="00467B15"/>
    <w:rsid w:val="00467CC6"/>
    <w:rsid w:val="00467D2F"/>
    <w:rsid w:val="00467F1A"/>
    <w:rsid w:val="004702E8"/>
    <w:rsid w:val="00470499"/>
    <w:rsid w:val="00470B09"/>
    <w:rsid w:val="00470C29"/>
    <w:rsid w:val="0047119A"/>
    <w:rsid w:val="0047141E"/>
    <w:rsid w:val="0047154A"/>
    <w:rsid w:val="004717DD"/>
    <w:rsid w:val="00471883"/>
    <w:rsid w:val="00471A28"/>
    <w:rsid w:val="00471D98"/>
    <w:rsid w:val="00472348"/>
    <w:rsid w:val="004723C4"/>
    <w:rsid w:val="00472606"/>
    <w:rsid w:val="004726FC"/>
    <w:rsid w:val="004727B3"/>
    <w:rsid w:val="00472833"/>
    <w:rsid w:val="00472984"/>
    <w:rsid w:val="004729FA"/>
    <w:rsid w:val="00472D23"/>
    <w:rsid w:val="00472FFB"/>
    <w:rsid w:val="004730A9"/>
    <w:rsid w:val="00473ABB"/>
    <w:rsid w:val="00473B4A"/>
    <w:rsid w:val="00473E36"/>
    <w:rsid w:val="004740C6"/>
    <w:rsid w:val="00474115"/>
    <w:rsid w:val="004744EE"/>
    <w:rsid w:val="00474574"/>
    <w:rsid w:val="004747DA"/>
    <w:rsid w:val="00474ABD"/>
    <w:rsid w:val="00475561"/>
    <w:rsid w:val="00475747"/>
    <w:rsid w:val="00475E4E"/>
    <w:rsid w:val="00475F0F"/>
    <w:rsid w:val="00476140"/>
    <w:rsid w:val="004767F2"/>
    <w:rsid w:val="0047680A"/>
    <w:rsid w:val="00476A6B"/>
    <w:rsid w:val="00476C64"/>
    <w:rsid w:val="004770C0"/>
    <w:rsid w:val="0047747A"/>
    <w:rsid w:val="0047765B"/>
    <w:rsid w:val="00477E1B"/>
    <w:rsid w:val="00477F16"/>
    <w:rsid w:val="00480368"/>
    <w:rsid w:val="00480B56"/>
    <w:rsid w:val="0048127F"/>
    <w:rsid w:val="004812BA"/>
    <w:rsid w:val="0048156E"/>
    <w:rsid w:val="004816D9"/>
    <w:rsid w:val="00482491"/>
    <w:rsid w:val="00482593"/>
    <w:rsid w:val="004826FA"/>
    <w:rsid w:val="0048280D"/>
    <w:rsid w:val="0048282A"/>
    <w:rsid w:val="00482E3E"/>
    <w:rsid w:val="00483145"/>
    <w:rsid w:val="00483575"/>
    <w:rsid w:val="004840B3"/>
    <w:rsid w:val="004841EE"/>
    <w:rsid w:val="00484424"/>
    <w:rsid w:val="004845ED"/>
    <w:rsid w:val="004847AB"/>
    <w:rsid w:val="0048483A"/>
    <w:rsid w:val="00484937"/>
    <w:rsid w:val="00484E48"/>
    <w:rsid w:val="004855E5"/>
    <w:rsid w:val="004856EC"/>
    <w:rsid w:val="00485A1D"/>
    <w:rsid w:val="00485B48"/>
    <w:rsid w:val="00485DD2"/>
    <w:rsid w:val="00486098"/>
    <w:rsid w:val="004862A4"/>
    <w:rsid w:val="00486A2D"/>
    <w:rsid w:val="00486E3F"/>
    <w:rsid w:val="00487513"/>
    <w:rsid w:val="0048776C"/>
    <w:rsid w:val="00487F26"/>
    <w:rsid w:val="004901B3"/>
    <w:rsid w:val="004902F0"/>
    <w:rsid w:val="004903D5"/>
    <w:rsid w:val="004906BC"/>
    <w:rsid w:val="00490726"/>
    <w:rsid w:val="00490733"/>
    <w:rsid w:val="00490972"/>
    <w:rsid w:val="00490984"/>
    <w:rsid w:val="00490C2A"/>
    <w:rsid w:val="00490CAA"/>
    <w:rsid w:val="00490D05"/>
    <w:rsid w:val="00491015"/>
    <w:rsid w:val="0049112C"/>
    <w:rsid w:val="00491199"/>
    <w:rsid w:val="00491239"/>
    <w:rsid w:val="004916C0"/>
    <w:rsid w:val="0049175E"/>
    <w:rsid w:val="00491F66"/>
    <w:rsid w:val="004920B7"/>
    <w:rsid w:val="004921FC"/>
    <w:rsid w:val="00492DBF"/>
    <w:rsid w:val="0049340B"/>
    <w:rsid w:val="004934C2"/>
    <w:rsid w:val="00493A58"/>
    <w:rsid w:val="00493F80"/>
    <w:rsid w:val="0049401D"/>
    <w:rsid w:val="00494682"/>
    <w:rsid w:val="00494B71"/>
    <w:rsid w:val="00494DA9"/>
    <w:rsid w:val="00494DF8"/>
    <w:rsid w:val="00495488"/>
    <w:rsid w:val="00495737"/>
    <w:rsid w:val="00495920"/>
    <w:rsid w:val="00495BFB"/>
    <w:rsid w:val="00495E63"/>
    <w:rsid w:val="00495F54"/>
    <w:rsid w:val="00496532"/>
    <w:rsid w:val="00496654"/>
    <w:rsid w:val="004968DD"/>
    <w:rsid w:val="00496F9F"/>
    <w:rsid w:val="0049704C"/>
    <w:rsid w:val="0049799D"/>
    <w:rsid w:val="00497C71"/>
    <w:rsid w:val="00497E77"/>
    <w:rsid w:val="004A00A5"/>
    <w:rsid w:val="004A01B1"/>
    <w:rsid w:val="004A0A29"/>
    <w:rsid w:val="004A0B3D"/>
    <w:rsid w:val="004A0CD4"/>
    <w:rsid w:val="004A0FFC"/>
    <w:rsid w:val="004A1941"/>
    <w:rsid w:val="004A19A2"/>
    <w:rsid w:val="004A245B"/>
    <w:rsid w:val="004A2695"/>
    <w:rsid w:val="004A2964"/>
    <w:rsid w:val="004A2A07"/>
    <w:rsid w:val="004A2FA7"/>
    <w:rsid w:val="004A2FEE"/>
    <w:rsid w:val="004A34DD"/>
    <w:rsid w:val="004A3A66"/>
    <w:rsid w:val="004A3D41"/>
    <w:rsid w:val="004A42AD"/>
    <w:rsid w:val="004A49F1"/>
    <w:rsid w:val="004A4A5D"/>
    <w:rsid w:val="004A5575"/>
    <w:rsid w:val="004A6209"/>
    <w:rsid w:val="004A654F"/>
    <w:rsid w:val="004A66DE"/>
    <w:rsid w:val="004A6EA4"/>
    <w:rsid w:val="004A787A"/>
    <w:rsid w:val="004A78E9"/>
    <w:rsid w:val="004A7984"/>
    <w:rsid w:val="004A7C79"/>
    <w:rsid w:val="004A7E83"/>
    <w:rsid w:val="004B0067"/>
    <w:rsid w:val="004B044C"/>
    <w:rsid w:val="004B0785"/>
    <w:rsid w:val="004B081A"/>
    <w:rsid w:val="004B0CAA"/>
    <w:rsid w:val="004B0EB8"/>
    <w:rsid w:val="004B1003"/>
    <w:rsid w:val="004B1723"/>
    <w:rsid w:val="004B1852"/>
    <w:rsid w:val="004B1AC4"/>
    <w:rsid w:val="004B20EB"/>
    <w:rsid w:val="004B2421"/>
    <w:rsid w:val="004B2456"/>
    <w:rsid w:val="004B2612"/>
    <w:rsid w:val="004B26E7"/>
    <w:rsid w:val="004B274D"/>
    <w:rsid w:val="004B2932"/>
    <w:rsid w:val="004B299C"/>
    <w:rsid w:val="004B2BC1"/>
    <w:rsid w:val="004B2D89"/>
    <w:rsid w:val="004B2FCC"/>
    <w:rsid w:val="004B3970"/>
    <w:rsid w:val="004B3D84"/>
    <w:rsid w:val="004B443A"/>
    <w:rsid w:val="004B44D9"/>
    <w:rsid w:val="004B45D5"/>
    <w:rsid w:val="004B47A1"/>
    <w:rsid w:val="004B481E"/>
    <w:rsid w:val="004B4A47"/>
    <w:rsid w:val="004B4CF6"/>
    <w:rsid w:val="004B5602"/>
    <w:rsid w:val="004B5623"/>
    <w:rsid w:val="004B5A49"/>
    <w:rsid w:val="004B5A77"/>
    <w:rsid w:val="004B60FC"/>
    <w:rsid w:val="004B61D0"/>
    <w:rsid w:val="004B6360"/>
    <w:rsid w:val="004B63E9"/>
    <w:rsid w:val="004B6BD4"/>
    <w:rsid w:val="004B6CC1"/>
    <w:rsid w:val="004B7427"/>
    <w:rsid w:val="004B7E76"/>
    <w:rsid w:val="004C02D9"/>
    <w:rsid w:val="004C038D"/>
    <w:rsid w:val="004C0555"/>
    <w:rsid w:val="004C059D"/>
    <w:rsid w:val="004C0CC5"/>
    <w:rsid w:val="004C0D49"/>
    <w:rsid w:val="004C0DB7"/>
    <w:rsid w:val="004C0DE6"/>
    <w:rsid w:val="004C1077"/>
    <w:rsid w:val="004C1422"/>
    <w:rsid w:val="004C1552"/>
    <w:rsid w:val="004C1AC8"/>
    <w:rsid w:val="004C221D"/>
    <w:rsid w:val="004C24F0"/>
    <w:rsid w:val="004C2B72"/>
    <w:rsid w:val="004C3518"/>
    <w:rsid w:val="004C36C4"/>
    <w:rsid w:val="004C3CF7"/>
    <w:rsid w:val="004C40CA"/>
    <w:rsid w:val="004C4267"/>
    <w:rsid w:val="004C42B9"/>
    <w:rsid w:val="004C4D58"/>
    <w:rsid w:val="004C504B"/>
    <w:rsid w:val="004C516D"/>
    <w:rsid w:val="004C526A"/>
    <w:rsid w:val="004C568C"/>
    <w:rsid w:val="004C5695"/>
    <w:rsid w:val="004C57F3"/>
    <w:rsid w:val="004C5B51"/>
    <w:rsid w:val="004C5BC4"/>
    <w:rsid w:val="004C5BEE"/>
    <w:rsid w:val="004C5E4E"/>
    <w:rsid w:val="004C5F85"/>
    <w:rsid w:val="004C64CE"/>
    <w:rsid w:val="004C651E"/>
    <w:rsid w:val="004C69F2"/>
    <w:rsid w:val="004C7242"/>
    <w:rsid w:val="004C7702"/>
    <w:rsid w:val="004C7BA5"/>
    <w:rsid w:val="004C7BB0"/>
    <w:rsid w:val="004D01C8"/>
    <w:rsid w:val="004D0316"/>
    <w:rsid w:val="004D07AE"/>
    <w:rsid w:val="004D13CA"/>
    <w:rsid w:val="004D155F"/>
    <w:rsid w:val="004D1855"/>
    <w:rsid w:val="004D1D61"/>
    <w:rsid w:val="004D1F1C"/>
    <w:rsid w:val="004D1F3F"/>
    <w:rsid w:val="004D201F"/>
    <w:rsid w:val="004D21CE"/>
    <w:rsid w:val="004D252A"/>
    <w:rsid w:val="004D29AE"/>
    <w:rsid w:val="004D2A18"/>
    <w:rsid w:val="004D2C45"/>
    <w:rsid w:val="004D2CA0"/>
    <w:rsid w:val="004D2E2E"/>
    <w:rsid w:val="004D354F"/>
    <w:rsid w:val="004D3BFA"/>
    <w:rsid w:val="004D4019"/>
    <w:rsid w:val="004D40F9"/>
    <w:rsid w:val="004D48AA"/>
    <w:rsid w:val="004D4B07"/>
    <w:rsid w:val="004D50A2"/>
    <w:rsid w:val="004D527B"/>
    <w:rsid w:val="004D5CCC"/>
    <w:rsid w:val="004D5ED6"/>
    <w:rsid w:val="004D6068"/>
    <w:rsid w:val="004D609A"/>
    <w:rsid w:val="004D60BA"/>
    <w:rsid w:val="004D6279"/>
    <w:rsid w:val="004D68DB"/>
    <w:rsid w:val="004D6C97"/>
    <w:rsid w:val="004D6D90"/>
    <w:rsid w:val="004D6FB3"/>
    <w:rsid w:val="004D73C3"/>
    <w:rsid w:val="004D742A"/>
    <w:rsid w:val="004D76A9"/>
    <w:rsid w:val="004D7773"/>
    <w:rsid w:val="004D7AAF"/>
    <w:rsid w:val="004E02F3"/>
    <w:rsid w:val="004E06B1"/>
    <w:rsid w:val="004E0737"/>
    <w:rsid w:val="004E08EB"/>
    <w:rsid w:val="004E16E7"/>
    <w:rsid w:val="004E19E2"/>
    <w:rsid w:val="004E1CB0"/>
    <w:rsid w:val="004E1DC3"/>
    <w:rsid w:val="004E2044"/>
    <w:rsid w:val="004E2162"/>
    <w:rsid w:val="004E2D37"/>
    <w:rsid w:val="004E2D3D"/>
    <w:rsid w:val="004E308C"/>
    <w:rsid w:val="004E3299"/>
    <w:rsid w:val="004E34FF"/>
    <w:rsid w:val="004E359C"/>
    <w:rsid w:val="004E35C9"/>
    <w:rsid w:val="004E43C4"/>
    <w:rsid w:val="004E46E2"/>
    <w:rsid w:val="004E6D7C"/>
    <w:rsid w:val="004E6E17"/>
    <w:rsid w:val="004E73F4"/>
    <w:rsid w:val="004E7459"/>
    <w:rsid w:val="004E7DC1"/>
    <w:rsid w:val="004F033D"/>
    <w:rsid w:val="004F052E"/>
    <w:rsid w:val="004F06D9"/>
    <w:rsid w:val="004F0DF4"/>
    <w:rsid w:val="004F104C"/>
    <w:rsid w:val="004F1986"/>
    <w:rsid w:val="004F1C90"/>
    <w:rsid w:val="004F1D10"/>
    <w:rsid w:val="004F235F"/>
    <w:rsid w:val="004F2EAD"/>
    <w:rsid w:val="004F321F"/>
    <w:rsid w:val="004F3586"/>
    <w:rsid w:val="004F377F"/>
    <w:rsid w:val="004F3784"/>
    <w:rsid w:val="004F3978"/>
    <w:rsid w:val="004F3FC2"/>
    <w:rsid w:val="004F5999"/>
    <w:rsid w:val="004F5EAC"/>
    <w:rsid w:val="004F5EEC"/>
    <w:rsid w:val="004F61A1"/>
    <w:rsid w:val="004F6540"/>
    <w:rsid w:val="004F6735"/>
    <w:rsid w:val="004F6F11"/>
    <w:rsid w:val="004F72DB"/>
    <w:rsid w:val="004F75FC"/>
    <w:rsid w:val="00500004"/>
    <w:rsid w:val="0050003C"/>
    <w:rsid w:val="005001D3"/>
    <w:rsid w:val="0050083F"/>
    <w:rsid w:val="00500C5D"/>
    <w:rsid w:val="00501188"/>
    <w:rsid w:val="00501855"/>
    <w:rsid w:val="005021A2"/>
    <w:rsid w:val="0050226D"/>
    <w:rsid w:val="00502583"/>
    <w:rsid w:val="00502B5E"/>
    <w:rsid w:val="00503169"/>
    <w:rsid w:val="0050346A"/>
    <w:rsid w:val="005034DD"/>
    <w:rsid w:val="0050351A"/>
    <w:rsid w:val="00503628"/>
    <w:rsid w:val="005043C5"/>
    <w:rsid w:val="00504618"/>
    <w:rsid w:val="00504CCF"/>
    <w:rsid w:val="00504E94"/>
    <w:rsid w:val="00505638"/>
    <w:rsid w:val="005056DA"/>
    <w:rsid w:val="00505C3B"/>
    <w:rsid w:val="0050661D"/>
    <w:rsid w:val="00506C2E"/>
    <w:rsid w:val="00506C74"/>
    <w:rsid w:val="00506D84"/>
    <w:rsid w:val="00506E29"/>
    <w:rsid w:val="00506FAB"/>
    <w:rsid w:val="005075A1"/>
    <w:rsid w:val="00510356"/>
    <w:rsid w:val="0051063E"/>
    <w:rsid w:val="005108E4"/>
    <w:rsid w:val="00510CE6"/>
    <w:rsid w:val="00511AC7"/>
    <w:rsid w:val="00511DD5"/>
    <w:rsid w:val="00511DF0"/>
    <w:rsid w:val="00511FD4"/>
    <w:rsid w:val="00512059"/>
    <w:rsid w:val="005122AD"/>
    <w:rsid w:val="005128DE"/>
    <w:rsid w:val="00512D3A"/>
    <w:rsid w:val="005130F5"/>
    <w:rsid w:val="0051353D"/>
    <w:rsid w:val="00513743"/>
    <w:rsid w:val="00513F85"/>
    <w:rsid w:val="00514036"/>
    <w:rsid w:val="005140A3"/>
    <w:rsid w:val="00514413"/>
    <w:rsid w:val="00514475"/>
    <w:rsid w:val="005148F6"/>
    <w:rsid w:val="00515220"/>
    <w:rsid w:val="0051533E"/>
    <w:rsid w:val="0051558A"/>
    <w:rsid w:val="0051559A"/>
    <w:rsid w:val="00515920"/>
    <w:rsid w:val="00515C49"/>
    <w:rsid w:val="0051608F"/>
    <w:rsid w:val="00516490"/>
    <w:rsid w:val="005166A5"/>
    <w:rsid w:val="0051670F"/>
    <w:rsid w:val="005167A1"/>
    <w:rsid w:val="005167DF"/>
    <w:rsid w:val="00516AC0"/>
    <w:rsid w:val="00516C85"/>
    <w:rsid w:val="00516EE3"/>
    <w:rsid w:val="005170F4"/>
    <w:rsid w:val="0051717A"/>
    <w:rsid w:val="005171C6"/>
    <w:rsid w:val="00517667"/>
    <w:rsid w:val="00517C22"/>
    <w:rsid w:val="00517E90"/>
    <w:rsid w:val="005200C5"/>
    <w:rsid w:val="005205E4"/>
    <w:rsid w:val="005219E8"/>
    <w:rsid w:val="00521A52"/>
    <w:rsid w:val="00521BBF"/>
    <w:rsid w:val="00521E86"/>
    <w:rsid w:val="00522283"/>
    <w:rsid w:val="005222DC"/>
    <w:rsid w:val="0052248E"/>
    <w:rsid w:val="005227D8"/>
    <w:rsid w:val="005228E3"/>
    <w:rsid w:val="0052294D"/>
    <w:rsid w:val="005232A1"/>
    <w:rsid w:val="00523737"/>
    <w:rsid w:val="005237F8"/>
    <w:rsid w:val="00523834"/>
    <w:rsid w:val="00523D66"/>
    <w:rsid w:val="00523EF6"/>
    <w:rsid w:val="0052453F"/>
    <w:rsid w:val="005245E3"/>
    <w:rsid w:val="00524A7D"/>
    <w:rsid w:val="00524D72"/>
    <w:rsid w:val="00524E1F"/>
    <w:rsid w:val="00524E7F"/>
    <w:rsid w:val="00524ED4"/>
    <w:rsid w:val="00524FFA"/>
    <w:rsid w:val="0052503A"/>
    <w:rsid w:val="005254C7"/>
    <w:rsid w:val="00525663"/>
    <w:rsid w:val="00525770"/>
    <w:rsid w:val="005258C7"/>
    <w:rsid w:val="00525A00"/>
    <w:rsid w:val="00525ABC"/>
    <w:rsid w:val="00525B50"/>
    <w:rsid w:val="00525DEF"/>
    <w:rsid w:val="00525FA2"/>
    <w:rsid w:val="00525FCC"/>
    <w:rsid w:val="00526262"/>
    <w:rsid w:val="005267C4"/>
    <w:rsid w:val="005268A6"/>
    <w:rsid w:val="00526A67"/>
    <w:rsid w:val="00526A8C"/>
    <w:rsid w:val="00526D49"/>
    <w:rsid w:val="00526F17"/>
    <w:rsid w:val="005275D8"/>
    <w:rsid w:val="0052761F"/>
    <w:rsid w:val="00527969"/>
    <w:rsid w:val="00527CB8"/>
    <w:rsid w:val="00527EEC"/>
    <w:rsid w:val="00530021"/>
    <w:rsid w:val="00530081"/>
    <w:rsid w:val="00530123"/>
    <w:rsid w:val="0053023A"/>
    <w:rsid w:val="0053028B"/>
    <w:rsid w:val="00530346"/>
    <w:rsid w:val="0053039D"/>
    <w:rsid w:val="005303A3"/>
    <w:rsid w:val="00530876"/>
    <w:rsid w:val="00530A3A"/>
    <w:rsid w:val="00530D23"/>
    <w:rsid w:val="00530D74"/>
    <w:rsid w:val="00531D08"/>
    <w:rsid w:val="00531E2C"/>
    <w:rsid w:val="0053284D"/>
    <w:rsid w:val="00532959"/>
    <w:rsid w:val="00532ACA"/>
    <w:rsid w:val="00532D1B"/>
    <w:rsid w:val="005332FA"/>
    <w:rsid w:val="005334CA"/>
    <w:rsid w:val="00533936"/>
    <w:rsid w:val="0053393B"/>
    <w:rsid w:val="00533FFC"/>
    <w:rsid w:val="005342DC"/>
    <w:rsid w:val="0053433B"/>
    <w:rsid w:val="00534891"/>
    <w:rsid w:val="0053492E"/>
    <w:rsid w:val="00534F60"/>
    <w:rsid w:val="0053524F"/>
    <w:rsid w:val="00535345"/>
    <w:rsid w:val="00535F5F"/>
    <w:rsid w:val="00536753"/>
    <w:rsid w:val="00536D98"/>
    <w:rsid w:val="00537474"/>
    <w:rsid w:val="00537B5D"/>
    <w:rsid w:val="00537D27"/>
    <w:rsid w:val="00537DBB"/>
    <w:rsid w:val="00537E6D"/>
    <w:rsid w:val="00537F8C"/>
    <w:rsid w:val="00540394"/>
    <w:rsid w:val="0054070F"/>
    <w:rsid w:val="0054071D"/>
    <w:rsid w:val="005408AF"/>
    <w:rsid w:val="00540A74"/>
    <w:rsid w:val="00540AC2"/>
    <w:rsid w:val="005412B5"/>
    <w:rsid w:val="0054146C"/>
    <w:rsid w:val="00541BFA"/>
    <w:rsid w:val="00542284"/>
    <w:rsid w:val="0054289D"/>
    <w:rsid w:val="005430E0"/>
    <w:rsid w:val="005431EE"/>
    <w:rsid w:val="00543446"/>
    <w:rsid w:val="005434B7"/>
    <w:rsid w:val="005437F8"/>
    <w:rsid w:val="00543ABE"/>
    <w:rsid w:val="00543E69"/>
    <w:rsid w:val="00544046"/>
    <w:rsid w:val="00544096"/>
    <w:rsid w:val="0054438B"/>
    <w:rsid w:val="00544412"/>
    <w:rsid w:val="005446A9"/>
    <w:rsid w:val="00544781"/>
    <w:rsid w:val="00544A16"/>
    <w:rsid w:val="00544D93"/>
    <w:rsid w:val="00544F45"/>
    <w:rsid w:val="00544FF7"/>
    <w:rsid w:val="005456D7"/>
    <w:rsid w:val="00545F41"/>
    <w:rsid w:val="00545FE7"/>
    <w:rsid w:val="00546796"/>
    <w:rsid w:val="00546C79"/>
    <w:rsid w:val="00546CD7"/>
    <w:rsid w:val="00546DF9"/>
    <w:rsid w:val="005470DA"/>
    <w:rsid w:val="0054716E"/>
    <w:rsid w:val="00547F0C"/>
    <w:rsid w:val="00550120"/>
    <w:rsid w:val="005502A3"/>
    <w:rsid w:val="00550791"/>
    <w:rsid w:val="005514AD"/>
    <w:rsid w:val="00551527"/>
    <w:rsid w:val="0055164E"/>
    <w:rsid w:val="00551678"/>
    <w:rsid w:val="00551AB6"/>
    <w:rsid w:val="00552014"/>
    <w:rsid w:val="00552237"/>
    <w:rsid w:val="0055275B"/>
    <w:rsid w:val="00552FE7"/>
    <w:rsid w:val="0055332A"/>
    <w:rsid w:val="00553A0B"/>
    <w:rsid w:val="00553ADE"/>
    <w:rsid w:val="00554346"/>
    <w:rsid w:val="00554660"/>
    <w:rsid w:val="00554DB7"/>
    <w:rsid w:val="0055506E"/>
    <w:rsid w:val="00555A0C"/>
    <w:rsid w:val="00555C1D"/>
    <w:rsid w:val="00555D54"/>
    <w:rsid w:val="0055668B"/>
    <w:rsid w:val="00556922"/>
    <w:rsid w:val="00556964"/>
    <w:rsid w:val="00556FCE"/>
    <w:rsid w:val="00557995"/>
    <w:rsid w:val="00557BC0"/>
    <w:rsid w:val="00557F74"/>
    <w:rsid w:val="00560070"/>
    <w:rsid w:val="005601CC"/>
    <w:rsid w:val="005604ED"/>
    <w:rsid w:val="005609FC"/>
    <w:rsid w:val="00560A38"/>
    <w:rsid w:val="00560F5D"/>
    <w:rsid w:val="0056143A"/>
    <w:rsid w:val="00561662"/>
    <w:rsid w:val="005619CB"/>
    <w:rsid w:val="00561C00"/>
    <w:rsid w:val="0056230E"/>
    <w:rsid w:val="00562580"/>
    <w:rsid w:val="00562ED0"/>
    <w:rsid w:val="0056304D"/>
    <w:rsid w:val="0056343C"/>
    <w:rsid w:val="00563D4B"/>
    <w:rsid w:val="00564221"/>
    <w:rsid w:val="0056426C"/>
    <w:rsid w:val="0056433F"/>
    <w:rsid w:val="005646B8"/>
    <w:rsid w:val="00564CEA"/>
    <w:rsid w:val="00564FBA"/>
    <w:rsid w:val="00565357"/>
    <w:rsid w:val="00565A75"/>
    <w:rsid w:val="00565ADE"/>
    <w:rsid w:val="00565E4C"/>
    <w:rsid w:val="005662A1"/>
    <w:rsid w:val="0056649A"/>
    <w:rsid w:val="005665C6"/>
    <w:rsid w:val="005665E1"/>
    <w:rsid w:val="0056684A"/>
    <w:rsid w:val="00566A94"/>
    <w:rsid w:val="00566E7F"/>
    <w:rsid w:val="005674C5"/>
    <w:rsid w:val="00567523"/>
    <w:rsid w:val="00567D61"/>
    <w:rsid w:val="0057069E"/>
    <w:rsid w:val="00570BC0"/>
    <w:rsid w:val="00570D23"/>
    <w:rsid w:val="00570EAB"/>
    <w:rsid w:val="00571185"/>
    <w:rsid w:val="005713C0"/>
    <w:rsid w:val="00571EF0"/>
    <w:rsid w:val="005723CA"/>
    <w:rsid w:val="00572556"/>
    <w:rsid w:val="00572A6A"/>
    <w:rsid w:val="00572EBC"/>
    <w:rsid w:val="005734A7"/>
    <w:rsid w:val="0057356A"/>
    <w:rsid w:val="00573900"/>
    <w:rsid w:val="00573960"/>
    <w:rsid w:val="00573F88"/>
    <w:rsid w:val="00574AB6"/>
    <w:rsid w:val="005754A7"/>
    <w:rsid w:val="0057567D"/>
    <w:rsid w:val="00575F20"/>
    <w:rsid w:val="00575F7E"/>
    <w:rsid w:val="00576085"/>
    <w:rsid w:val="005762AA"/>
    <w:rsid w:val="005764C4"/>
    <w:rsid w:val="005766D3"/>
    <w:rsid w:val="005768E6"/>
    <w:rsid w:val="00576995"/>
    <w:rsid w:val="00576B4D"/>
    <w:rsid w:val="00576C64"/>
    <w:rsid w:val="00576F5B"/>
    <w:rsid w:val="005770D2"/>
    <w:rsid w:val="005772A8"/>
    <w:rsid w:val="00577364"/>
    <w:rsid w:val="00577511"/>
    <w:rsid w:val="005777F5"/>
    <w:rsid w:val="00577883"/>
    <w:rsid w:val="00577934"/>
    <w:rsid w:val="00577C73"/>
    <w:rsid w:val="00581647"/>
    <w:rsid w:val="00581BA7"/>
    <w:rsid w:val="00581FDB"/>
    <w:rsid w:val="00582141"/>
    <w:rsid w:val="0058275A"/>
    <w:rsid w:val="00582DEF"/>
    <w:rsid w:val="00582E86"/>
    <w:rsid w:val="00583188"/>
    <w:rsid w:val="00583216"/>
    <w:rsid w:val="0058355C"/>
    <w:rsid w:val="0058388E"/>
    <w:rsid w:val="00583ACF"/>
    <w:rsid w:val="00583D7C"/>
    <w:rsid w:val="005841EA"/>
    <w:rsid w:val="005841FC"/>
    <w:rsid w:val="005842A7"/>
    <w:rsid w:val="00584A6E"/>
    <w:rsid w:val="00584BE7"/>
    <w:rsid w:val="00584F84"/>
    <w:rsid w:val="00585183"/>
    <w:rsid w:val="0058596F"/>
    <w:rsid w:val="00585E22"/>
    <w:rsid w:val="00585F32"/>
    <w:rsid w:val="00586148"/>
    <w:rsid w:val="0058618C"/>
    <w:rsid w:val="00586249"/>
    <w:rsid w:val="0058639E"/>
    <w:rsid w:val="00586A0D"/>
    <w:rsid w:val="00587A9C"/>
    <w:rsid w:val="00587D76"/>
    <w:rsid w:val="00587D7B"/>
    <w:rsid w:val="00587E09"/>
    <w:rsid w:val="005900F7"/>
    <w:rsid w:val="00590552"/>
    <w:rsid w:val="00590F5D"/>
    <w:rsid w:val="0059132C"/>
    <w:rsid w:val="00591519"/>
    <w:rsid w:val="00591639"/>
    <w:rsid w:val="00591649"/>
    <w:rsid w:val="00591858"/>
    <w:rsid w:val="00592097"/>
    <w:rsid w:val="00592A22"/>
    <w:rsid w:val="00592B08"/>
    <w:rsid w:val="00592D16"/>
    <w:rsid w:val="00592E9A"/>
    <w:rsid w:val="00593174"/>
    <w:rsid w:val="00593199"/>
    <w:rsid w:val="005931D7"/>
    <w:rsid w:val="005933B2"/>
    <w:rsid w:val="005940A6"/>
    <w:rsid w:val="00594126"/>
    <w:rsid w:val="0059438C"/>
    <w:rsid w:val="0059479C"/>
    <w:rsid w:val="00594E9D"/>
    <w:rsid w:val="00595130"/>
    <w:rsid w:val="0059541A"/>
    <w:rsid w:val="005956EC"/>
    <w:rsid w:val="005958CD"/>
    <w:rsid w:val="005958DB"/>
    <w:rsid w:val="005958FA"/>
    <w:rsid w:val="00595DCF"/>
    <w:rsid w:val="00595F7D"/>
    <w:rsid w:val="005962C7"/>
    <w:rsid w:val="0059637E"/>
    <w:rsid w:val="00596552"/>
    <w:rsid w:val="005966DE"/>
    <w:rsid w:val="00596E34"/>
    <w:rsid w:val="00596E6E"/>
    <w:rsid w:val="00597668"/>
    <w:rsid w:val="00597B63"/>
    <w:rsid w:val="00597D0A"/>
    <w:rsid w:val="005A0140"/>
    <w:rsid w:val="005A03C3"/>
    <w:rsid w:val="005A03FF"/>
    <w:rsid w:val="005A0A83"/>
    <w:rsid w:val="005A0DFC"/>
    <w:rsid w:val="005A0EFA"/>
    <w:rsid w:val="005A1597"/>
    <w:rsid w:val="005A1BDD"/>
    <w:rsid w:val="005A1EE9"/>
    <w:rsid w:val="005A22DA"/>
    <w:rsid w:val="005A3227"/>
    <w:rsid w:val="005A34F2"/>
    <w:rsid w:val="005A387C"/>
    <w:rsid w:val="005A3F49"/>
    <w:rsid w:val="005A4C1A"/>
    <w:rsid w:val="005A4E2C"/>
    <w:rsid w:val="005A4E9D"/>
    <w:rsid w:val="005A568A"/>
    <w:rsid w:val="005A588F"/>
    <w:rsid w:val="005A5897"/>
    <w:rsid w:val="005A5A12"/>
    <w:rsid w:val="005A5B9B"/>
    <w:rsid w:val="005A5CF3"/>
    <w:rsid w:val="005A5F77"/>
    <w:rsid w:val="005A6040"/>
    <w:rsid w:val="005A6073"/>
    <w:rsid w:val="005A61B4"/>
    <w:rsid w:val="005A67DC"/>
    <w:rsid w:val="005A6810"/>
    <w:rsid w:val="005A6CBB"/>
    <w:rsid w:val="005A6F86"/>
    <w:rsid w:val="005A790F"/>
    <w:rsid w:val="005A79B4"/>
    <w:rsid w:val="005A7B17"/>
    <w:rsid w:val="005A7D7C"/>
    <w:rsid w:val="005A7DE0"/>
    <w:rsid w:val="005A7F34"/>
    <w:rsid w:val="005A7F61"/>
    <w:rsid w:val="005A7FDA"/>
    <w:rsid w:val="005B043D"/>
    <w:rsid w:val="005B0579"/>
    <w:rsid w:val="005B078C"/>
    <w:rsid w:val="005B0A25"/>
    <w:rsid w:val="005B0A48"/>
    <w:rsid w:val="005B150E"/>
    <w:rsid w:val="005B181E"/>
    <w:rsid w:val="005B19C6"/>
    <w:rsid w:val="005B1BFE"/>
    <w:rsid w:val="005B2873"/>
    <w:rsid w:val="005B2A3C"/>
    <w:rsid w:val="005B3061"/>
    <w:rsid w:val="005B30BB"/>
    <w:rsid w:val="005B31AE"/>
    <w:rsid w:val="005B34FE"/>
    <w:rsid w:val="005B4061"/>
    <w:rsid w:val="005B43B1"/>
    <w:rsid w:val="005B48CE"/>
    <w:rsid w:val="005B4948"/>
    <w:rsid w:val="005B4E56"/>
    <w:rsid w:val="005B566C"/>
    <w:rsid w:val="005B5900"/>
    <w:rsid w:val="005B5AFB"/>
    <w:rsid w:val="005B5D1F"/>
    <w:rsid w:val="005B602A"/>
    <w:rsid w:val="005B691E"/>
    <w:rsid w:val="005B6B77"/>
    <w:rsid w:val="005B6FBD"/>
    <w:rsid w:val="005B7094"/>
    <w:rsid w:val="005B7150"/>
    <w:rsid w:val="005B7406"/>
    <w:rsid w:val="005B7D6F"/>
    <w:rsid w:val="005C024E"/>
    <w:rsid w:val="005C0620"/>
    <w:rsid w:val="005C06A6"/>
    <w:rsid w:val="005C06E3"/>
    <w:rsid w:val="005C12CD"/>
    <w:rsid w:val="005C18A4"/>
    <w:rsid w:val="005C1900"/>
    <w:rsid w:val="005C1C2B"/>
    <w:rsid w:val="005C1D56"/>
    <w:rsid w:val="005C2267"/>
    <w:rsid w:val="005C2485"/>
    <w:rsid w:val="005C27E1"/>
    <w:rsid w:val="005C2CDE"/>
    <w:rsid w:val="005C2D4E"/>
    <w:rsid w:val="005C2E6E"/>
    <w:rsid w:val="005C308B"/>
    <w:rsid w:val="005C3174"/>
    <w:rsid w:val="005C32E6"/>
    <w:rsid w:val="005C3647"/>
    <w:rsid w:val="005C385A"/>
    <w:rsid w:val="005C38FB"/>
    <w:rsid w:val="005C41B5"/>
    <w:rsid w:val="005C48AF"/>
    <w:rsid w:val="005C4B84"/>
    <w:rsid w:val="005C4BA5"/>
    <w:rsid w:val="005C4F30"/>
    <w:rsid w:val="005C5184"/>
    <w:rsid w:val="005C5665"/>
    <w:rsid w:val="005C5A2A"/>
    <w:rsid w:val="005C6241"/>
    <w:rsid w:val="005C62BC"/>
    <w:rsid w:val="005C6499"/>
    <w:rsid w:val="005C6518"/>
    <w:rsid w:val="005C655A"/>
    <w:rsid w:val="005C671A"/>
    <w:rsid w:val="005C67E9"/>
    <w:rsid w:val="005C70F3"/>
    <w:rsid w:val="005C7806"/>
    <w:rsid w:val="005C78C6"/>
    <w:rsid w:val="005C79AA"/>
    <w:rsid w:val="005C7C73"/>
    <w:rsid w:val="005C7D11"/>
    <w:rsid w:val="005C7D19"/>
    <w:rsid w:val="005C7DF3"/>
    <w:rsid w:val="005C7F39"/>
    <w:rsid w:val="005D0484"/>
    <w:rsid w:val="005D09E2"/>
    <w:rsid w:val="005D0BB7"/>
    <w:rsid w:val="005D167A"/>
    <w:rsid w:val="005D2177"/>
    <w:rsid w:val="005D233E"/>
    <w:rsid w:val="005D26A8"/>
    <w:rsid w:val="005D28EA"/>
    <w:rsid w:val="005D3040"/>
    <w:rsid w:val="005D35C9"/>
    <w:rsid w:val="005D3A76"/>
    <w:rsid w:val="005D3AEC"/>
    <w:rsid w:val="005D3B1B"/>
    <w:rsid w:val="005D3D5E"/>
    <w:rsid w:val="005D3EA1"/>
    <w:rsid w:val="005D4B15"/>
    <w:rsid w:val="005D4BEE"/>
    <w:rsid w:val="005D4C64"/>
    <w:rsid w:val="005D4EFC"/>
    <w:rsid w:val="005D5076"/>
    <w:rsid w:val="005D527E"/>
    <w:rsid w:val="005D54EC"/>
    <w:rsid w:val="005D5642"/>
    <w:rsid w:val="005D5646"/>
    <w:rsid w:val="005D5710"/>
    <w:rsid w:val="005D5F2B"/>
    <w:rsid w:val="005D5FAA"/>
    <w:rsid w:val="005D6499"/>
    <w:rsid w:val="005D6502"/>
    <w:rsid w:val="005D65FA"/>
    <w:rsid w:val="005D66D8"/>
    <w:rsid w:val="005D6B0B"/>
    <w:rsid w:val="005D6D63"/>
    <w:rsid w:val="005D6E03"/>
    <w:rsid w:val="005D6EA1"/>
    <w:rsid w:val="005D7299"/>
    <w:rsid w:val="005D7D8A"/>
    <w:rsid w:val="005D7E0A"/>
    <w:rsid w:val="005D7E57"/>
    <w:rsid w:val="005D7F76"/>
    <w:rsid w:val="005E04E2"/>
    <w:rsid w:val="005E060D"/>
    <w:rsid w:val="005E0C1E"/>
    <w:rsid w:val="005E10B4"/>
    <w:rsid w:val="005E15D9"/>
    <w:rsid w:val="005E16AD"/>
    <w:rsid w:val="005E171A"/>
    <w:rsid w:val="005E1C1E"/>
    <w:rsid w:val="005E1D53"/>
    <w:rsid w:val="005E1D7D"/>
    <w:rsid w:val="005E2076"/>
    <w:rsid w:val="005E2094"/>
    <w:rsid w:val="005E2110"/>
    <w:rsid w:val="005E3235"/>
    <w:rsid w:val="005E34BC"/>
    <w:rsid w:val="005E3945"/>
    <w:rsid w:val="005E3B3C"/>
    <w:rsid w:val="005E3D6E"/>
    <w:rsid w:val="005E4426"/>
    <w:rsid w:val="005E4C34"/>
    <w:rsid w:val="005E5011"/>
    <w:rsid w:val="005E54C5"/>
    <w:rsid w:val="005E56F4"/>
    <w:rsid w:val="005E574E"/>
    <w:rsid w:val="005E5BC8"/>
    <w:rsid w:val="005E5CA2"/>
    <w:rsid w:val="005E60CD"/>
    <w:rsid w:val="005E6446"/>
    <w:rsid w:val="005E66BE"/>
    <w:rsid w:val="005E680E"/>
    <w:rsid w:val="005E696A"/>
    <w:rsid w:val="005E6DFE"/>
    <w:rsid w:val="005E75BC"/>
    <w:rsid w:val="005E76C9"/>
    <w:rsid w:val="005E76E0"/>
    <w:rsid w:val="005E778C"/>
    <w:rsid w:val="005E77DD"/>
    <w:rsid w:val="005E7A89"/>
    <w:rsid w:val="005E7C17"/>
    <w:rsid w:val="005F0013"/>
    <w:rsid w:val="005F04CC"/>
    <w:rsid w:val="005F0571"/>
    <w:rsid w:val="005F0648"/>
    <w:rsid w:val="005F07CC"/>
    <w:rsid w:val="005F09B2"/>
    <w:rsid w:val="005F0CDE"/>
    <w:rsid w:val="005F0E1E"/>
    <w:rsid w:val="005F0FEA"/>
    <w:rsid w:val="005F1098"/>
    <w:rsid w:val="005F1175"/>
    <w:rsid w:val="005F1283"/>
    <w:rsid w:val="005F1311"/>
    <w:rsid w:val="005F16B2"/>
    <w:rsid w:val="005F21C3"/>
    <w:rsid w:val="005F229D"/>
    <w:rsid w:val="005F237B"/>
    <w:rsid w:val="005F2CEA"/>
    <w:rsid w:val="005F35E6"/>
    <w:rsid w:val="005F36B0"/>
    <w:rsid w:val="005F3806"/>
    <w:rsid w:val="005F3945"/>
    <w:rsid w:val="005F3BA6"/>
    <w:rsid w:val="005F3E16"/>
    <w:rsid w:val="005F3E4A"/>
    <w:rsid w:val="005F40E7"/>
    <w:rsid w:val="005F46D0"/>
    <w:rsid w:val="005F4775"/>
    <w:rsid w:val="005F4A77"/>
    <w:rsid w:val="005F4CCF"/>
    <w:rsid w:val="005F56CA"/>
    <w:rsid w:val="005F5D86"/>
    <w:rsid w:val="005F5E64"/>
    <w:rsid w:val="005F6090"/>
    <w:rsid w:val="005F6C71"/>
    <w:rsid w:val="005F6D94"/>
    <w:rsid w:val="005F7023"/>
    <w:rsid w:val="005F748B"/>
    <w:rsid w:val="005F74DD"/>
    <w:rsid w:val="005F7543"/>
    <w:rsid w:val="005F7BB6"/>
    <w:rsid w:val="005F7BC7"/>
    <w:rsid w:val="005F7E0B"/>
    <w:rsid w:val="00600048"/>
    <w:rsid w:val="006001A6"/>
    <w:rsid w:val="0060064E"/>
    <w:rsid w:val="006006D9"/>
    <w:rsid w:val="00600780"/>
    <w:rsid w:val="006011EF"/>
    <w:rsid w:val="00601811"/>
    <w:rsid w:val="00601ACA"/>
    <w:rsid w:val="00601C73"/>
    <w:rsid w:val="00602104"/>
    <w:rsid w:val="006022CA"/>
    <w:rsid w:val="00602355"/>
    <w:rsid w:val="006023BD"/>
    <w:rsid w:val="00602666"/>
    <w:rsid w:val="006026B9"/>
    <w:rsid w:val="006026D5"/>
    <w:rsid w:val="0060290A"/>
    <w:rsid w:val="006030A8"/>
    <w:rsid w:val="006031F8"/>
    <w:rsid w:val="0060362F"/>
    <w:rsid w:val="00604740"/>
    <w:rsid w:val="00604746"/>
    <w:rsid w:val="00604A37"/>
    <w:rsid w:val="00604B91"/>
    <w:rsid w:val="00605202"/>
    <w:rsid w:val="00605253"/>
    <w:rsid w:val="00605342"/>
    <w:rsid w:val="006055C9"/>
    <w:rsid w:val="0060564A"/>
    <w:rsid w:val="006056EE"/>
    <w:rsid w:val="00605AC0"/>
    <w:rsid w:val="00605D0C"/>
    <w:rsid w:val="00605E85"/>
    <w:rsid w:val="0060609F"/>
    <w:rsid w:val="00606472"/>
    <w:rsid w:val="00606502"/>
    <w:rsid w:val="00606C0D"/>
    <w:rsid w:val="00606CAE"/>
    <w:rsid w:val="00606E24"/>
    <w:rsid w:val="00606F57"/>
    <w:rsid w:val="0060709B"/>
    <w:rsid w:val="00607482"/>
    <w:rsid w:val="006077FE"/>
    <w:rsid w:val="006106B2"/>
    <w:rsid w:val="00610E08"/>
    <w:rsid w:val="00611096"/>
    <w:rsid w:val="00611ACD"/>
    <w:rsid w:val="00611BA6"/>
    <w:rsid w:val="00611CB4"/>
    <w:rsid w:val="00611EFA"/>
    <w:rsid w:val="00611FEE"/>
    <w:rsid w:val="00612006"/>
    <w:rsid w:val="0061264F"/>
    <w:rsid w:val="006128F1"/>
    <w:rsid w:val="0061297F"/>
    <w:rsid w:val="006131BD"/>
    <w:rsid w:val="006137C4"/>
    <w:rsid w:val="00614340"/>
    <w:rsid w:val="00614479"/>
    <w:rsid w:val="00614860"/>
    <w:rsid w:val="00614B07"/>
    <w:rsid w:val="00614B28"/>
    <w:rsid w:val="00614B3F"/>
    <w:rsid w:val="00614CA5"/>
    <w:rsid w:val="00614F75"/>
    <w:rsid w:val="00615053"/>
    <w:rsid w:val="00615192"/>
    <w:rsid w:val="00615313"/>
    <w:rsid w:val="00615858"/>
    <w:rsid w:val="00615895"/>
    <w:rsid w:val="006159B6"/>
    <w:rsid w:val="00615B22"/>
    <w:rsid w:val="00615EC8"/>
    <w:rsid w:val="0061615E"/>
    <w:rsid w:val="00616744"/>
    <w:rsid w:val="00616B15"/>
    <w:rsid w:val="00616FE0"/>
    <w:rsid w:val="00617207"/>
    <w:rsid w:val="00617231"/>
    <w:rsid w:val="006172EC"/>
    <w:rsid w:val="0061760C"/>
    <w:rsid w:val="00617618"/>
    <w:rsid w:val="00617E75"/>
    <w:rsid w:val="006206DD"/>
    <w:rsid w:val="00620FAD"/>
    <w:rsid w:val="00621196"/>
    <w:rsid w:val="006211E3"/>
    <w:rsid w:val="006215A9"/>
    <w:rsid w:val="006218F8"/>
    <w:rsid w:val="00621F13"/>
    <w:rsid w:val="006223B3"/>
    <w:rsid w:val="006223D5"/>
    <w:rsid w:val="00622997"/>
    <w:rsid w:val="00622B5D"/>
    <w:rsid w:val="00622D80"/>
    <w:rsid w:val="00623062"/>
    <w:rsid w:val="00623071"/>
    <w:rsid w:val="006230E3"/>
    <w:rsid w:val="006232C4"/>
    <w:rsid w:val="00623A00"/>
    <w:rsid w:val="00623CE0"/>
    <w:rsid w:val="00623CE5"/>
    <w:rsid w:val="0062442A"/>
    <w:rsid w:val="006250F6"/>
    <w:rsid w:val="00625559"/>
    <w:rsid w:val="00625614"/>
    <w:rsid w:val="00625831"/>
    <w:rsid w:val="00625DE1"/>
    <w:rsid w:val="00625ED4"/>
    <w:rsid w:val="00625F54"/>
    <w:rsid w:val="00625FE9"/>
    <w:rsid w:val="0062648D"/>
    <w:rsid w:val="00626A71"/>
    <w:rsid w:val="00626E3E"/>
    <w:rsid w:val="0062704B"/>
    <w:rsid w:val="00627084"/>
    <w:rsid w:val="00627147"/>
    <w:rsid w:val="0062720B"/>
    <w:rsid w:val="006275EF"/>
    <w:rsid w:val="00627609"/>
    <w:rsid w:val="00627DB9"/>
    <w:rsid w:val="00630183"/>
    <w:rsid w:val="00630233"/>
    <w:rsid w:val="006309CA"/>
    <w:rsid w:val="00630AEC"/>
    <w:rsid w:val="00630C82"/>
    <w:rsid w:val="00630D13"/>
    <w:rsid w:val="00630D16"/>
    <w:rsid w:val="0063100D"/>
    <w:rsid w:val="0063115F"/>
    <w:rsid w:val="00631180"/>
    <w:rsid w:val="00631356"/>
    <w:rsid w:val="00632932"/>
    <w:rsid w:val="00632F8F"/>
    <w:rsid w:val="0063312C"/>
    <w:rsid w:val="006334E7"/>
    <w:rsid w:val="006336F8"/>
    <w:rsid w:val="00633761"/>
    <w:rsid w:val="00633981"/>
    <w:rsid w:val="00633B76"/>
    <w:rsid w:val="00633DBB"/>
    <w:rsid w:val="00633FFF"/>
    <w:rsid w:val="0063414F"/>
    <w:rsid w:val="006341D3"/>
    <w:rsid w:val="006342FD"/>
    <w:rsid w:val="0063483F"/>
    <w:rsid w:val="00634B1A"/>
    <w:rsid w:val="00634DA0"/>
    <w:rsid w:val="00634DFE"/>
    <w:rsid w:val="00634E16"/>
    <w:rsid w:val="00635119"/>
    <w:rsid w:val="006352BB"/>
    <w:rsid w:val="00635900"/>
    <w:rsid w:val="00635A1A"/>
    <w:rsid w:val="00635C34"/>
    <w:rsid w:val="00635DDD"/>
    <w:rsid w:val="00635E83"/>
    <w:rsid w:val="00636258"/>
    <w:rsid w:val="00636322"/>
    <w:rsid w:val="006367B9"/>
    <w:rsid w:val="00636B72"/>
    <w:rsid w:val="0063725B"/>
    <w:rsid w:val="006374F2"/>
    <w:rsid w:val="00637E4B"/>
    <w:rsid w:val="006400DB"/>
    <w:rsid w:val="0064071A"/>
    <w:rsid w:val="00640769"/>
    <w:rsid w:val="00640C55"/>
    <w:rsid w:val="006412BF"/>
    <w:rsid w:val="0064146A"/>
    <w:rsid w:val="00641758"/>
    <w:rsid w:val="006418D8"/>
    <w:rsid w:val="00642596"/>
    <w:rsid w:val="00642C4A"/>
    <w:rsid w:val="00642E5C"/>
    <w:rsid w:val="006433E9"/>
    <w:rsid w:val="00643602"/>
    <w:rsid w:val="006444B4"/>
    <w:rsid w:val="00644889"/>
    <w:rsid w:val="00644CFC"/>
    <w:rsid w:val="00644D04"/>
    <w:rsid w:val="006452C8"/>
    <w:rsid w:val="006453E6"/>
    <w:rsid w:val="006457BD"/>
    <w:rsid w:val="006457C7"/>
    <w:rsid w:val="006457E7"/>
    <w:rsid w:val="00645927"/>
    <w:rsid w:val="00645AE3"/>
    <w:rsid w:val="00645BEB"/>
    <w:rsid w:val="00645D01"/>
    <w:rsid w:val="00645FF3"/>
    <w:rsid w:val="0064605B"/>
    <w:rsid w:val="00646085"/>
    <w:rsid w:val="00646136"/>
    <w:rsid w:val="006464CC"/>
    <w:rsid w:val="00646711"/>
    <w:rsid w:val="00646A49"/>
    <w:rsid w:val="00646D9C"/>
    <w:rsid w:val="00646ECC"/>
    <w:rsid w:val="00647528"/>
    <w:rsid w:val="00647663"/>
    <w:rsid w:val="00647780"/>
    <w:rsid w:val="00647CC6"/>
    <w:rsid w:val="00647E52"/>
    <w:rsid w:val="00650470"/>
    <w:rsid w:val="00650568"/>
    <w:rsid w:val="00650B7C"/>
    <w:rsid w:val="00650D71"/>
    <w:rsid w:val="00650E5B"/>
    <w:rsid w:val="00650FF5"/>
    <w:rsid w:val="00651384"/>
    <w:rsid w:val="006518F4"/>
    <w:rsid w:val="00651BB4"/>
    <w:rsid w:val="00651BF2"/>
    <w:rsid w:val="0065210C"/>
    <w:rsid w:val="006522A0"/>
    <w:rsid w:val="00652C5B"/>
    <w:rsid w:val="00652D85"/>
    <w:rsid w:val="00652FC6"/>
    <w:rsid w:val="00653561"/>
    <w:rsid w:val="006539F6"/>
    <w:rsid w:val="00653E40"/>
    <w:rsid w:val="0065410E"/>
    <w:rsid w:val="006541BC"/>
    <w:rsid w:val="00654503"/>
    <w:rsid w:val="006546D4"/>
    <w:rsid w:val="00654859"/>
    <w:rsid w:val="00654AAE"/>
    <w:rsid w:val="00654B58"/>
    <w:rsid w:val="00654BF5"/>
    <w:rsid w:val="00655675"/>
    <w:rsid w:val="00655783"/>
    <w:rsid w:val="00655BA7"/>
    <w:rsid w:val="0065696C"/>
    <w:rsid w:val="00656EA3"/>
    <w:rsid w:val="006571D1"/>
    <w:rsid w:val="006575A7"/>
    <w:rsid w:val="00657694"/>
    <w:rsid w:val="00657935"/>
    <w:rsid w:val="00657936"/>
    <w:rsid w:val="00657AD3"/>
    <w:rsid w:val="00657EAF"/>
    <w:rsid w:val="00660039"/>
    <w:rsid w:val="0066013A"/>
    <w:rsid w:val="0066015E"/>
    <w:rsid w:val="006603FE"/>
    <w:rsid w:val="00660847"/>
    <w:rsid w:val="00660A0A"/>
    <w:rsid w:val="00660BB9"/>
    <w:rsid w:val="0066113A"/>
    <w:rsid w:val="00661374"/>
    <w:rsid w:val="00661684"/>
    <w:rsid w:val="006616B6"/>
    <w:rsid w:val="00661750"/>
    <w:rsid w:val="00661A32"/>
    <w:rsid w:val="00661C6E"/>
    <w:rsid w:val="00661FA5"/>
    <w:rsid w:val="0066205D"/>
    <w:rsid w:val="006620AD"/>
    <w:rsid w:val="006623D2"/>
    <w:rsid w:val="006624ED"/>
    <w:rsid w:val="006629E3"/>
    <w:rsid w:val="006629FC"/>
    <w:rsid w:val="00662BBC"/>
    <w:rsid w:val="0066301B"/>
    <w:rsid w:val="00663492"/>
    <w:rsid w:val="006634D3"/>
    <w:rsid w:val="00663624"/>
    <w:rsid w:val="00663794"/>
    <w:rsid w:val="0066411E"/>
    <w:rsid w:val="006642BA"/>
    <w:rsid w:val="00664742"/>
    <w:rsid w:val="00664918"/>
    <w:rsid w:val="00664F67"/>
    <w:rsid w:val="00665510"/>
    <w:rsid w:val="006656C3"/>
    <w:rsid w:val="00665702"/>
    <w:rsid w:val="00665CE4"/>
    <w:rsid w:val="00665D67"/>
    <w:rsid w:val="00665DB6"/>
    <w:rsid w:val="00665EA8"/>
    <w:rsid w:val="006661A8"/>
    <w:rsid w:val="0066699B"/>
    <w:rsid w:val="00666C5C"/>
    <w:rsid w:val="00667423"/>
    <w:rsid w:val="00667D1A"/>
    <w:rsid w:val="00667F28"/>
    <w:rsid w:val="006704FE"/>
    <w:rsid w:val="006706A3"/>
    <w:rsid w:val="006706CE"/>
    <w:rsid w:val="00670B18"/>
    <w:rsid w:val="00670CD1"/>
    <w:rsid w:val="00671295"/>
    <w:rsid w:val="0067161A"/>
    <w:rsid w:val="00671751"/>
    <w:rsid w:val="00671878"/>
    <w:rsid w:val="006718FF"/>
    <w:rsid w:val="00671B25"/>
    <w:rsid w:val="00672133"/>
    <w:rsid w:val="00672483"/>
    <w:rsid w:val="00672ABD"/>
    <w:rsid w:val="00672B59"/>
    <w:rsid w:val="00672BDA"/>
    <w:rsid w:val="00672DEF"/>
    <w:rsid w:val="006730FB"/>
    <w:rsid w:val="00673148"/>
    <w:rsid w:val="00673430"/>
    <w:rsid w:val="00673CB0"/>
    <w:rsid w:val="00673D29"/>
    <w:rsid w:val="00673E16"/>
    <w:rsid w:val="00674114"/>
    <w:rsid w:val="0067422D"/>
    <w:rsid w:val="006742C3"/>
    <w:rsid w:val="006747C6"/>
    <w:rsid w:val="006753AA"/>
    <w:rsid w:val="006753E0"/>
    <w:rsid w:val="0067579D"/>
    <w:rsid w:val="00675B06"/>
    <w:rsid w:val="00675C4B"/>
    <w:rsid w:val="00676B4B"/>
    <w:rsid w:val="00676B82"/>
    <w:rsid w:val="00676C09"/>
    <w:rsid w:val="00676DD2"/>
    <w:rsid w:val="00677092"/>
    <w:rsid w:val="0067721C"/>
    <w:rsid w:val="006772DC"/>
    <w:rsid w:val="00677856"/>
    <w:rsid w:val="0068013B"/>
    <w:rsid w:val="006802DE"/>
    <w:rsid w:val="00680668"/>
    <w:rsid w:val="00680714"/>
    <w:rsid w:val="006809FB"/>
    <w:rsid w:val="00680CB3"/>
    <w:rsid w:val="00681349"/>
    <w:rsid w:val="0068139B"/>
    <w:rsid w:val="0068183C"/>
    <w:rsid w:val="0068185B"/>
    <w:rsid w:val="006818E9"/>
    <w:rsid w:val="00681ABA"/>
    <w:rsid w:val="00681B43"/>
    <w:rsid w:val="00681C4F"/>
    <w:rsid w:val="00681CFA"/>
    <w:rsid w:val="00681F82"/>
    <w:rsid w:val="00682401"/>
    <w:rsid w:val="00682801"/>
    <w:rsid w:val="006829E3"/>
    <w:rsid w:val="00682DB0"/>
    <w:rsid w:val="00682E18"/>
    <w:rsid w:val="00682F5E"/>
    <w:rsid w:val="006831B7"/>
    <w:rsid w:val="00683301"/>
    <w:rsid w:val="00683C71"/>
    <w:rsid w:val="00683CB1"/>
    <w:rsid w:val="00683DEB"/>
    <w:rsid w:val="006840F8"/>
    <w:rsid w:val="0068410F"/>
    <w:rsid w:val="00684250"/>
    <w:rsid w:val="006843F1"/>
    <w:rsid w:val="0068450B"/>
    <w:rsid w:val="00684984"/>
    <w:rsid w:val="00684D43"/>
    <w:rsid w:val="00685233"/>
    <w:rsid w:val="0068556C"/>
    <w:rsid w:val="0068575B"/>
    <w:rsid w:val="006858FA"/>
    <w:rsid w:val="00685B5E"/>
    <w:rsid w:val="00685D69"/>
    <w:rsid w:val="0068676A"/>
    <w:rsid w:val="00686C4E"/>
    <w:rsid w:val="0068701B"/>
    <w:rsid w:val="00687C5A"/>
    <w:rsid w:val="006900E1"/>
    <w:rsid w:val="00690332"/>
    <w:rsid w:val="006903B1"/>
    <w:rsid w:val="006903E6"/>
    <w:rsid w:val="006903E8"/>
    <w:rsid w:val="00690895"/>
    <w:rsid w:val="0069099B"/>
    <w:rsid w:val="00690AF6"/>
    <w:rsid w:val="00690DC6"/>
    <w:rsid w:val="00692376"/>
    <w:rsid w:val="006923CD"/>
    <w:rsid w:val="006925F3"/>
    <w:rsid w:val="006927A3"/>
    <w:rsid w:val="006928E4"/>
    <w:rsid w:val="00692CD4"/>
    <w:rsid w:val="00692F31"/>
    <w:rsid w:val="00692FE1"/>
    <w:rsid w:val="00693067"/>
    <w:rsid w:val="00693241"/>
    <w:rsid w:val="00693489"/>
    <w:rsid w:val="00693CB3"/>
    <w:rsid w:val="00693FBF"/>
    <w:rsid w:val="006945B6"/>
    <w:rsid w:val="00694754"/>
    <w:rsid w:val="00694A85"/>
    <w:rsid w:val="00694F1E"/>
    <w:rsid w:val="00694FE9"/>
    <w:rsid w:val="00695902"/>
    <w:rsid w:val="00695B8B"/>
    <w:rsid w:val="00695BA5"/>
    <w:rsid w:val="00696448"/>
    <w:rsid w:val="006968E9"/>
    <w:rsid w:val="0069714C"/>
    <w:rsid w:val="0069763E"/>
    <w:rsid w:val="006A0051"/>
    <w:rsid w:val="006A0178"/>
    <w:rsid w:val="006A021F"/>
    <w:rsid w:val="006A09E6"/>
    <w:rsid w:val="006A09FA"/>
    <w:rsid w:val="006A0E33"/>
    <w:rsid w:val="006A0ECB"/>
    <w:rsid w:val="006A10A8"/>
    <w:rsid w:val="006A1296"/>
    <w:rsid w:val="006A14C8"/>
    <w:rsid w:val="006A17BE"/>
    <w:rsid w:val="006A1F72"/>
    <w:rsid w:val="006A205F"/>
    <w:rsid w:val="006A23DA"/>
    <w:rsid w:val="006A2734"/>
    <w:rsid w:val="006A2BAA"/>
    <w:rsid w:val="006A2C94"/>
    <w:rsid w:val="006A2E39"/>
    <w:rsid w:val="006A2E95"/>
    <w:rsid w:val="006A3F6B"/>
    <w:rsid w:val="006A421D"/>
    <w:rsid w:val="006A42EC"/>
    <w:rsid w:val="006A446D"/>
    <w:rsid w:val="006A44AB"/>
    <w:rsid w:val="006A4A8F"/>
    <w:rsid w:val="006A4D91"/>
    <w:rsid w:val="006A4EE5"/>
    <w:rsid w:val="006A511A"/>
    <w:rsid w:val="006A5372"/>
    <w:rsid w:val="006A5524"/>
    <w:rsid w:val="006A5655"/>
    <w:rsid w:val="006A57A2"/>
    <w:rsid w:val="006A57A4"/>
    <w:rsid w:val="006A6021"/>
    <w:rsid w:val="006A683E"/>
    <w:rsid w:val="006A6A5C"/>
    <w:rsid w:val="006A7145"/>
    <w:rsid w:val="006A7402"/>
    <w:rsid w:val="006A74DC"/>
    <w:rsid w:val="006A7C2A"/>
    <w:rsid w:val="006A7C8B"/>
    <w:rsid w:val="006A7FFA"/>
    <w:rsid w:val="006B05E5"/>
    <w:rsid w:val="006B08C5"/>
    <w:rsid w:val="006B0BF0"/>
    <w:rsid w:val="006B0DB5"/>
    <w:rsid w:val="006B11E5"/>
    <w:rsid w:val="006B158D"/>
    <w:rsid w:val="006B15D4"/>
    <w:rsid w:val="006B16F3"/>
    <w:rsid w:val="006B1A12"/>
    <w:rsid w:val="006B1B6E"/>
    <w:rsid w:val="006B208E"/>
    <w:rsid w:val="006B2113"/>
    <w:rsid w:val="006B28FA"/>
    <w:rsid w:val="006B2B17"/>
    <w:rsid w:val="006B2DBF"/>
    <w:rsid w:val="006B2ED2"/>
    <w:rsid w:val="006B33A8"/>
    <w:rsid w:val="006B39AD"/>
    <w:rsid w:val="006B3A72"/>
    <w:rsid w:val="006B3C64"/>
    <w:rsid w:val="006B3EA7"/>
    <w:rsid w:val="006B47EC"/>
    <w:rsid w:val="006B4849"/>
    <w:rsid w:val="006B4A3F"/>
    <w:rsid w:val="006B4DD4"/>
    <w:rsid w:val="006B5389"/>
    <w:rsid w:val="006B54CC"/>
    <w:rsid w:val="006B5605"/>
    <w:rsid w:val="006B5805"/>
    <w:rsid w:val="006B5A83"/>
    <w:rsid w:val="006B5B1F"/>
    <w:rsid w:val="006B609A"/>
    <w:rsid w:val="006B66AF"/>
    <w:rsid w:val="006B671D"/>
    <w:rsid w:val="006B6F57"/>
    <w:rsid w:val="006B6F91"/>
    <w:rsid w:val="006B7151"/>
    <w:rsid w:val="006B716B"/>
    <w:rsid w:val="006B7185"/>
    <w:rsid w:val="006B71C7"/>
    <w:rsid w:val="006B767E"/>
    <w:rsid w:val="006B798E"/>
    <w:rsid w:val="006C01B5"/>
    <w:rsid w:val="006C0584"/>
    <w:rsid w:val="006C0719"/>
    <w:rsid w:val="006C0A00"/>
    <w:rsid w:val="006C0AF9"/>
    <w:rsid w:val="006C0F55"/>
    <w:rsid w:val="006C113C"/>
    <w:rsid w:val="006C15E0"/>
    <w:rsid w:val="006C1BC4"/>
    <w:rsid w:val="006C1C85"/>
    <w:rsid w:val="006C1DEC"/>
    <w:rsid w:val="006C1E83"/>
    <w:rsid w:val="006C1ECA"/>
    <w:rsid w:val="006C1ED7"/>
    <w:rsid w:val="006C1F59"/>
    <w:rsid w:val="006C262C"/>
    <w:rsid w:val="006C27D5"/>
    <w:rsid w:val="006C2A2E"/>
    <w:rsid w:val="006C2ABF"/>
    <w:rsid w:val="006C2DBC"/>
    <w:rsid w:val="006C311C"/>
    <w:rsid w:val="006C39A3"/>
    <w:rsid w:val="006C3CA4"/>
    <w:rsid w:val="006C3E98"/>
    <w:rsid w:val="006C3FDA"/>
    <w:rsid w:val="006C4229"/>
    <w:rsid w:val="006C4563"/>
    <w:rsid w:val="006C4825"/>
    <w:rsid w:val="006C4FDD"/>
    <w:rsid w:val="006C545B"/>
    <w:rsid w:val="006C54C8"/>
    <w:rsid w:val="006C5C70"/>
    <w:rsid w:val="006C6248"/>
    <w:rsid w:val="006C6595"/>
    <w:rsid w:val="006C66E5"/>
    <w:rsid w:val="006C67BA"/>
    <w:rsid w:val="006C70A8"/>
    <w:rsid w:val="006C76C6"/>
    <w:rsid w:val="006C7A6D"/>
    <w:rsid w:val="006C7B3A"/>
    <w:rsid w:val="006C7F8E"/>
    <w:rsid w:val="006D05C7"/>
    <w:rsid w:val="006D0A0F"/>
    <w:rsid w:val="006D11EC"/>
    <w:rsid w:val="006D14C5"/>
    <w:rsid w:val="006D14CD"/>
    <w:rsid w:val="006D1B73"/>
    <w:rsid w:val="006D26FC"/>
    <w:rsid w:val="006D2C73"/>
    <w:rsid w:val="006D2E1F"/>
    <w:rsid w:val="006D37B8"/>
    <w:rsid w:val="006D3A2E"/>
    <w:rsid w:val="006D3D0D"/>
    <w:rsid w:val="006D3F53"/>
    <w:rsid w:val="006D4163"/>
    <w:rsid w:val="006D44E8"/>
    <w:rsid w:val="006D463E"/>
    <w:rsid w:val="006D4AAF"/>
    <w:rsid w:val="006D54F9"/>
    <w:rsid w:val="006D5A04"/>
    <w:rsid w:val="006D5BC7"/>
    <w:rsid w:val="006D5D24"/>
    <w:rsid w:val="006D60E6"/>
    <w:rsid w:val="006D61E2"/>
    <w:rsid w:val="006D662C"/>
    <w:rsid w:val="006D670E"/>
    <w:rsid w:val="006D68AE"/>
    <w:rsid w:val="006D6A0A"/>
    <w:rsid w:val="006D6A5D"/>
    <w:rsid w:val="006D7173"/>
    <w:rsid w:val="006D7176"/>
    <w:rsid w:val="006D755D"/>
    <w:rsid w:val="006D7600"/>
    <w:rsid w:val="006D7A19"/>
    <w:rsid w:val="006D7BA7"/>
    <w:rsid w:val="006D7E5C"/>
    <w:rsid w:val="006E016A"/>
    <w:rsid w:val="006E09E0"/>
    <w:rsid w:val="006E0B9B"/>
    <w:rsid w:val="006E0CBF"/>
    <w:rsid w:val="006E0D35"/>
    <w:rsid w:val="006E1108"/>
    <w:rsid w:val="006E12E5"/>
    <w:rsid w:val="006E14E6"/>
    <w:rsid w:val="006E1CF4"/>
    <w:rsid w:val="006E1F6F"/>
    <w:rsid w:val="006E20B5"/>
    <w:rsid w:val="006E2318"/>
    <w:rsid w:val="006E2D69"/>
    <w:rsid w:val="006E3364"/>
    <w:rsid w:val="006E3633"/>
    <w:rsid w:val="006E401F"/>
    <w:rsid w:val="006E4174"/>
    <w:rsid w:val="006E4177"/>
    <w:rsid w:val="006E41B8"/>
    <w:rsid w:val="006E4816"/>
    <w:rsid w:val="006E4BF2"/>
    <w:rsid w:val="006E4E09"/>
    <w:rsid w:val="006E4E17"/>
    <w:rsid w:val="006E4EA0"/>
    <w:rsid w:val="006E4F4B"/>
    <w:rsid w:val="006E6140"/>
    <w:rsid w:val="006E622A"/>
    <w:rsid w:val="006E625F"/>
    <w:rsid w:val="006E626A"/>
    <w:rsid w:val="006E6417"/>
    <w:rsid w:val="006E6852"/>
    <w:rsid w:val="006E6CF0"/>
    <w:rsid w:val="006E6D57"/>
    <w:rsid w:val="006E6FD7"/>
    <w:rsid w:val="006E6FDA"/>
    <w:rsid w:val="006E7062"/>
    <w:rsid w:val="006E73D6"/>
    <w:rsid w:val="006E7FEB"/>
    <w:rsid w:val="006F0149"/>
    <w:rsid w:val="006F0492"/>
    <w:rsid w:val="006F060D"/>
    <w:rsid w:val="006F06A0"/>
    <w:rsid w:val="006F08E4"/>
    <w:rsid w:val="006F0A71"/>
    <w:rsid w:val="006F0BA6"/>
    <w:rsid w:val="006F0C57"/>
    <w:rsid w:val="006F0FC8"/>
    <w:rsid w:val="006F1263"/>
    <w:rsid w:val="006F1470"/>
    <w:rsid w:val="006F162B"/>
    <w:rsid w:val="006F16BD"/>
    <w:rsid w:val="006F17E8"/>
    <w:rsid w:val="006F19D7"/>
    <w:rsid w:val="006F2012"/>
    <w:rsid w:val="006F202D"/>
    <w:rsid w:val="006F205A"/>
    <w:rsid w:val="006F2194"/>
    <w:rsid w:val="006F2504"/>
    <w:rsid w:val="006F2B5C"/>
    <w:rsid w:val="006F2BE8"/>
    <w:rsid w:val="006F2D40"/>
    <w:rsid w:val="006F2E8F"/>
    <w:rsid w:val="006F3849"/>
    <w:rsid w:val="006F3B4B"/>
    <w:rsid w:val="006F3C2B"/>
    <w:rsid w:val="006F405A"/>
    <w:rsid w:val="006F4640"/>
    <w:rsid w:val="006F46A0"/>
    <w:rsid w:val="006F4991"/>
    <w:rsid w:val="006F4A58"/>
    <w:rsid w:val="006F4B2C"/>
    <w:rsid w:val="006F4EC9"/>
    <w:rsid w:val="006F54F2"/>
    <w:rsid w:val="006F5573"/>
    <w:rsid w:val="006F55EE"/>
    <w:rsid w:val="006F5953"/>
    <w:rsid w:val="006F5FA5"/>
    <w:rsid w:val="006F600C"/>
    <w:rsid w:val="006F6180"/>
    <w:rsid w:val="006F6229"/>
    <w:rsid w:val="006F6842"/>
    <w:rsid w:val="006F6B8B"/>
    <w:rsid w:val="006F6BDE"/>
    <w:rsid w:val="006F70B6"/>
    <w:rsid w:val="006F7E27"/>
    <w:rsid w:val="006F7F85"/>
    <w:rsid w:val="00700314"/>
    <w:rsid w:val="007003F0"/>
    <w:rsid w:val="00700BA4"/>
    <w:rsid w:val="0070187C"/>
    <w:rsid w:val="007018F3"/>
    <w:rsid w:val="00701AD0"/>
    <w:rsid w:val="00701B6A"/>
    <w:rsid w:val="00702328"/>
    <w:rsid w:val="0070270C"/>
    <w:rsid w:val="0070271E"/>
    <w:rsid w:val="00702AE4"/>
    <w:rsid w:val="00702C39"/>
    <w:rsid w:val="00702D1C"/>
    <w:rsid w:val="00703030"/>
    <w:rsid w:val="00703315"/>
    <w:rsid w:val="007035FF"/>
    <w:rsid w:val="007038CF"/>
    <w:rsid w:val="007038F6"/>
    <w:rsid w:val="00703960"/>
    <w:rsid w:val="00703AAE"/>
    <w:rsid w:val="00703C04"/>
    <w:rsid w:val="00703D71"/>
    <w:rsid w:val="00703F1B"/>
    <w:rsid w:val="00704A06"/>
    <w:rsid w:val="00704C42"/>
    <w:rsid w:val="00705291"/>
    <w:rsid w:val="007057AD"/>
    <w:rsid w:val="00705B90"/>
    <w:rsid w:val="00705C12"/>
    <w:rsid w:val="00705F82"/>
    <w:rsid w:val="00706075"/>
    <w:rsid w:val="00706099"/>
    <w:rsid w:val="0070627B"/>
    <w:rsid w:val="00706697"/>
    <w:rsid w:val="00706801"/>
    <w:rsid w:val="00706B0C"/>
    <w:rsid w:val="00706B6A"/>
    <w:rsid w:val="00706E89"/>
    <w:rsid w:val="007070CA"/>
    <w:rsid w:val="00707351"/>
    <w:rsid w:val="007073DE"/>
    <w:rsid w:val="00707A82"/>
    <w:rsid w:val="00707C9E"/>
    <w:rsid w:val="00707EA9"/>
    <w:rsid w:val="00710636"/>
    <w:rsid w:val="00710A02"/>
    <w:rsid w:val="0071101D"/>
    <w:rsid w:val="0071114B"/>
    <w:rsid w:val="00711160"/>
    <w:rsid w:val="007111D2"/>
    <w:rsid w:val="0071157C"/>
    <w:rsid w:val="007116E9"/>
    <w:rsid w:val="00711B77"/>
    <w:rsid w:val="00711BE9"/>
    <w:rsid w:val="00712074"/>
    <w:rsid w:val="00712205"/>
    <w:rsid w:val="00712452"/>
    <w:rsid w:val="007125C2"/>
    <w:rsid w:val="00712AB9"/>
    <w:rsid w:val="00712BD7"/>
    <w:rsid w:val="00712DBD"/>
    <w:rsid w:val="0071337B"/>
    <w:rsid w:val="00713672"/>
    <w:rsid w:val="00713836"/>
    <w:rsid w:val="00713F93"/>
    <w:rsid w:val="007142B0"/>
    <w:rsid w:val="00714490"/>
    <w:rsid w:val="0071473D"/>
    <w:rsid w:val="0071481F"/>
    <w:rsid w:val="007149A7"/>
    <w:rsid w:val="00714E47"/>
    <w:rsid w:val="00714F72"/>
    <w:rsid w:val="007152B9"/>
    <w:rsid w:val="00715407"/>
    <w:rsid w:val="007155DF"/>
    <w:rsid w:val="00715CD2"/>
    <w:rsid w:val="00715D55"/>
    <w:rsid w:val="007160C3"/>
    <w:rsid w:val="007163F4"/>
    <w:rsid w:val="007166A1"/>
    <w:rsid w:val="007168D3"/>
    <w:rsid w:val="00716BD6"/>
    <w:rsid w:val="00716DAD"/>
    <w:rsid w:val="00717366"/>
    <w:rsid w:val="007174A1"/>
    <w:rsid w:val="00717728"/>
    <w:rsid w:val="007178FA"/>
    <w:rsid w:val="00717EAF"/>
    <w:rsid w:val="00720114"/>
    <w:rsid w:val="0072052E"/>
    <w:rsid w:val="00720942"/>
    <w:rsid w:val="00720A94"/>
    <w:rsid w:val="00720EDC"/>
    <w:rsid w:val="00720F8E"/>
    <w:rsid w:val="00721208"/>
    <w:rsid w:val="007214A5"/>
    <w:rsid w:val="007216DC"/>
    <w:rsid w:val="00721779"/>
    <w:rsid w:val="00721897"/>
    <w:rsid w:val="00721AE9"/>
    <w:rsid w:val="00721BF0"/>
    <w:rsid w:val="00721D68"/>
    <w:rsid w:val="00721D74"/>
    <w:rsid w:val="00722104"/>
    <w:rsid w:val="007221A7"/>
    <w:rsid w:val="007224D6"/>
    <w:rsid w:val="00722BB8"/>
    <w:rsid w:val="00722C81"/>
    <w:rsid w:val="007235FB"/>
    <w:rsid w:val="007236FC"/>
    <w:rsid w:val="00723AE4"/>
    <w:rsid w:val="00723E2F"/>
    <w:rsid w:val="00724326"/>
    <w:rsid w:val="0072434E"/>
    <w:rsid w:val="0072452D"/>
    <w:rsid w:val="00724B59"/>
    <w:rsid w:val="007250AF"/>
    <w:rsid w:val="007250FA"/>
    <w:rsid w:val="007254D7"/>
    <w:rsid w:val="007256B7"/>
    <w:rsid w:val="0072583F"/>
    <w:rsid w:val="007259B3"/>
    <w:rsid w:val="00725F35"/>
    <w:rsid w:val="00726475"/>
    <w:rsid w:val="0072679C"/>
    <w:rsid w:val="0072697A"/>
    <w:rsid w:val="00726D56"/>
    <w:rsid w:val="0072729E"/>
    <w:rsid w:val="0072773A"/>
    <w:rsid w:val="007277B7"/>
    <w:rsid w:val="00727A32"/>
    <w:rsid w:val="00727C21"/>
    <w:rsid w:val="0073007C"/>
    <w:rsid w:val="00730317"/>
    <w:rsid w:val="007305A6"/>
    <w:rsid w:val="0073076C"/>
    <w:rsid w:val="00730E28"/>
    <w:rsid w:val="00730F91"/>
    <w:rsid w:val="007310E3"/>
    <w:rsid w:val="00731A42"/>
    <w:rsid w:val="00731D75"/>
    <w:rsid w:val="00732011"/>
    <w:rsid w:val="0073204E"/>
    <w:rsid w:val="007320EA"/>
    <w:rsid w:val="00732482"/>
    <w:rsid w:val="007328E2"/>
    <w:rsid w:val="00732AF0"/>
    <w:rsid w:val="007331E7"/>
    <w:rsid w:val="007333DD"/>
    <w:rsid w:val="0073384D"/>
    <w:rsid w:val="007338D7"/>
    <w:rsid w:val="00733B57"/>
    <w:rsid w:val="00733D24"/>
    <w:rsid w:val="00733FF3"/>
    <w:rsid w:val="007342FC"/>
    <w:rsid w:val="00734E0D"/>
    <w:rsid w:val="00734E3A"/>
    <w:rsid w:val="00735622"/>
    <w:rsid w:val="00735759"/>
    <w:rsid w:val="007358FE"/>
    <w:rsid w:val="00735CF0"/>
    <w:rsid w:val="00736214"/>
    <w:rsid w:val="007362D6"/>
    <w:rsid w:val="007363BF"/>
    <w:rsid w:val="0073643B"/>
    <w:rsid w:val="007365E9"/>
    <w:rsid w:val="00736C37"/>
    <w:rsid w:val="007370B4"/>
    <w:rsid w:val="00737701"/>
    <w:rsid w:val="00737810"/>
    <w:rsid w:val="00737ABD"/>
    <w:rsid w:val="00737B75"/>
    <w:rsid w:val="00740381"/>
    <w:rsid w:val="00740549"/>
    <w:rsid w:val="00740821"/>
    <w:rsid w:val="0074084B"/>
    <w:rsid w:val="00740B14"/>
    <w:rsid w:val="00740ECC"/>
    <w:rsid w:val="00740EE0"/>
    <w:rsid w:val="00741017"/>
    <w:rsid w:val="00741256"/>
    <w:rsid w:val="00741300"/>
    <w:rsid w:val="00741940"/>
    <w:rsid w:val="00741B3D"/>
    <w:rsid w:val="00741ECC"/>
    <w:rsid w:val="00741F71"/>
    <w:rsid w:val="007424F5"/>
    <w:rsid w:val="00742776"/>
    <w:rsid w:val="00742904"/>
    <w:rsid w:val="00742995"/>
    <w:rsid w:val="00743921"/>
    <w:rsid w:val="00743E79"/>
    <w:rsid w:val="00743EF1"/>
    <w:rsid w:val="007446A2"/>
    <w:rsid w:val="007449BD"/>
    <w:rsid w:val="00744AC4"/>
    <w:rsid w:val="00744C55"/>
    <w:rsid w:val="00744E96"/>
    <w:rsid w:val="007451B8"/>
    <w:rsid w:val="00745383"/>
    <w:rsid w:val="007455D1"/>
    <w:rsid w:val="00745760"/>
    <w:rsid w:val="00745775"/>
    <w:rsid w:val="00745ACB"/>
    <w:rsid w:val="00746069"/>
    <w:rsid w:val="007461B5"/>
    <w:rsid w:val="00746232"/>
    <w:rsid w:val="00746561"/>
    <w:rsid w:val="007465C6"/>
    <w:rsid w:val="0074667F"/>
    <w:rsid w:val="007467A5"/>
    <w:rsid w:val="00746A16"/>
    <w:rsid w:val="00746C74"/>
    <w:rsid w:val="007501AF"/>
    <w:rsid w:val="007508DD"/>
    <w:rsid w:val="007508E4"/>
    <w:rsid w:val="0075099F"/>
    <w:rsid w:val="00750DA7"/>
    <w:rsid w:val="007516A7"/>
    <w:rsid w:val="00751731"/>
    <w:rsid w:val="00751F3A"/>
    <w:rsid w:val="00751F65"/>
    <w:rsid w:val="007523AF"/>
    <w:rsid w:val="0075297C"/>
    <w:rsid w:val="00753005"/>
    <w:rsid w:val="0075336A"/>
    <w:rsid w:val="007538A3"/>
    <w:rsid w:val="007539A3"/>
    <w:rsid w:val="00753C7F"/>
    <w:rsid w:val="007542CF"/>
    <w:rsid w:val="0075475C"/>
    <w:rsid w:val="0075498A"/>
    <w:rsid w:val="00754E5E"/>
    <w:rsid w:val="00755728"/>
    <w:rsid w:val="0075572E"/>
    <w:rsid w:val="007557D5"/>
    <w:rsid w:val="0075594D"/>
    <w:rsid w:val="0075683E"/>
    <w:rsid w:val="0075708C"/>
    <w:rsid w:val="007572BD"/>
    <w:rsid w:val="0075762D"/>
    <w:rsid w:val="00757AA7"/>
    <w:rsid w:val="00760854"/>
    <w:rsid w:val="007609D0"/>
    <w:rsid w:val="00760B55"/>
    <w:rsid w:val="007618AB"/>
    <w:rsid w:val="007625CE"/>
    <w:rsid w:val="00762F24"/>
    <w:rsid w:val="007633EB"/>
    <w:rsid w:val="00763437"/>
    <w:rsid w:val="00763827"/>
    <w:rsid w:val="00763D3B"/>
    <w:rsid w:val="00763E63"/>
    <w:rsid w:val="00763E6F"/>
    <w:rsid w:val="0076401B"/>
    <w:rsid w:val="0076404A"/>
    <w:rsid w:val="007640B7"/>
    <w:rsid w:val="00764120"/>
    <w:rsid w:val="007644BE"/>
    <w:rsid w:val="0076457A"/>
    <w:rsid w:val="007647CC"/>
    <w:rsid w:val="00764911"/>
    <w:rsid w:val="00764CEA"/>
    <w:rsid w:val="00765233"/>
    <w:rsid w:val="007653C6"/>
    <w:rsid w:val="00765BFA"/>
    <w:rsid w:val="00765D3D"/>
    <w:rsid w:val="00765DA1"/>
    <w:rsid w:val="00766054"/>
    <w:rsid w:val="00766168"/>
    <w:rsid w:val="00766267"/>
    <w:rsid w:val="0076633D"/>
    <w:rsid w:val="007664DD"/>
    <w:rsid w:val="00766916"/>
    <w:rsid w:val="007669C2"/>
    <w:rsid w:val="00766F0C"/>
    <w:rsid w:val="007676DA"/>
    <w:rsid w:val="00767851"/>
    <w:rsid w:val="00767DB6"/>
    <w:rsid w:val="00767E4D"/>
    <w:rsid w:val="0077034E"/>
    <w:rsid w:val="0077059A"/>
    <w:rsid w:val="00771645"/>
    <w:rsid w:val="0077195C"/>
    <w:rsid w:val="00771F61"/>
    <w:rsid w:val="00772AFD"/>
    <w:rsid w:val="00772B6D"/>
    <w:rsid w:val="00772E2E"/>
    <w:rsid w:val="007733F2"/>
    <w:rsid w:val="00773D91"/>
    <w:rsid w:val="00773E56"/>
    <w:rsid w:val="00773ECF"/>
    <w:rsid w:val="0077425A"/>
    <w:rsid w:val="007743EF"/>
    <w:rsid w:val="00774728"/>
    <w:rsid w:val="0077475E"/>
    <w:rsid w:val="00774871"/>
    <w:rsid w:val="007748A4"/>
    <w:rsid w:val="00774DB8"/>
    <w:rsid w:val="00774E40"/>
    <w:rsid w:val="00774F6F"/>
    <w:rsid w:val="00775AFD"/>
    <w:rsid w:val="00775C48"/>
    <w:rsid w:val="00776662"/>
    <w:rsid w:val="0077674E"/>
    <w:rsid w:val="007768A5"/>
    <w:rsid w:val="007768B3"/>
    <w:rsid w:val="007768CA"/>
    <w:rsid w:val="00776921"/>
    <w:rsid w:val="00776C32"/>
    <w:rsid w:val="00776C8C"/>
    <w:rsid w:val="00776D90"/>
    <w:rsid w:val="00776E0D"/>
    <w:rsid w:val="00776E4B"/>
    <w:rsid w:val="00776FC3"/>
    <w:rsid w:val="00777547"/>
    <w:rsid w:val="007778EF"/>
    <w:rsid w:val="00777F19"/>
    <w:rsid w:val="00777FD9"/>
    <w:rsid w:val="0078024F"/>
    <w:rsid w:val="0078049D"/>
    <w:rsid w:val="0078060B"/>
    <w:rsid w:val="00780CCA"/>
    <w:rsid w:val="00780E26"/>
    <w:rsid w:val="007817B9"/>
    <w:rsid w:val="0078227A"/>
    <w:rsid w:val="007826C3"/>
    <w:rsid w:val="00783249"/>
    <w:rsid w:val="007832D0"/>
    <w:rsid w:val="007840DD"/>
    <w:rsid w:val="007841EF"/>
    <w:rsid w:val="007842EE"/>
    <w:rsid w:val="00784721"/>
    <w:rsid w:val="007848C0"/>
    <w:rsid w:val="00784ED7"/>
    <w:rsid w:val="00784F99"/>
    <w:rsid w:val="00785827"/>
    <w:rsid w:val="00785B7E"/>
    <w:rsid w:val="00785DF1"/>
    <w:rsid w:val="00785EF5"/>
    <w:rsid w:val="00786168"/>
    <w:rsid w:val="0078647A"/>
    <w:rsid w:val="0078684D"/>
    <w:rsid w:val="00786A8E"/>
    <w:rsid w:val="00786BDC"/>
    <w:rsid w:val="00786F63"/>
    <w:rsid w:val="00787893"/>
    <w:rsid w:val="00787AE7"/>
    <w:rsid w:val="007900D0"/>
    <w:rsid w:val="007902FA"/>
    <w:rsid w:val="00790969"/>
    <w:rsid w:val="00790B50"/>
    <w:rsid w:val="00790D64"/>
    <w:rsid w:val="0079180F"/>
    <w:rsid w:val="00791ADE"/>
    <w:rsid w:val="00791CF4"/>
    <w:rsid w:val="00791E70"/>
    <w:rsid w:val="0079266D"/>
    <w:rsid w:val="00792B4C"/>
    <w:rsid w:val="00793140"/>
    <w:rsid w:val="00793A5D"/>
    <w:rsid w:val="00793DED"/>
    <w:rsid w:val="00793F1F"/>
    <w:rsid w:val="00794040"/>
    <w:rsid w:val="00794757"/>
    <w:rsid w:val="00794EA2"/>
    <w:rsid w:val="00795874"/>
    <w:rsid w:val="00795A3D"/>
    <w:rsid w:val="00795E3D"/>
    <w:rsid w:val="007968B1"/>
    <w:rsid w:val="00796A06"/>
    <w:rsid w:val="00796C23"/>
    <w:rsid w:val="0079745D"/>
    <w:rsid w:val="00797621"/>
    <w:rsid w:val="007977F7"/>
    <w:rsid w:val="007A008C"/>
    <w:rsid w:val="007A01EF"/>
    <w:rsid w:val="007A034C"/>
    <w:rsid w:val="007A03C9"/>
    <w:rsid w:val="007A0707"/>
    <w:rsid w:val="007A072C"/>
    <w:rsid w:val="007A08F9"/>
    <w:rsid w:val="007A0B4D"/>
    <w:rsid w:val="007A1717"/>
    <w:rsid w:val="007A1A81"/>
    <w:rsid w:val="007A1F17"/>
    <w:rsid w:val="007A1F2C"/>
    <w:rsid w:val="007A1F69"/>
    <w:rsid w:val="007A3439"/>
    <w:rsid w:val="007A34F5"/>
    <w:rsid w:val="007A3559"/>
    <w:rsid w:val="007A3725"/>
    <w:rsid w:val="007A37EC"/>
    <w:rsid w:val="007A3C0A"/>
    <w:rsid w:val="007A3CDC"/>
    <w:rsid w:val="007A3EC9"/>
    <w:rsid w:val="007A405F"/>
    <w:rsid w:val="007A43C0"/>
    <w:rsid w:val="007A48E1"/>
    <w:rsid w:val="007A4C0A"/>
    <w:rsid w:val="007A5481"/>
    <w:rsid w:val="007A563D"/>
    <w:rsid w:val="007A5713"/>
    <w:rsid w:val="007A5D7D"/>
    <w:rsid w:val="007A60B1"/>
    <w:rsid w:val="007A60BF"/>
    <w:rsid w:val="007A6806"/>
    <w:rsid w:val="007A68B1"/>
    <w:rsid w:val="007A6925"/>
    <w:rsid w:val="007A69C1"/>
    <w:rsid w:val="007A69EE"/>
    <w:rsid w:val="007A6DC8"/>
    <w:rsid w:val="007A75E9"/>
    <w:rsid w:val="007A761C"/>
    <w:rsid w:val="007A795E"/>
    <w:rsid w:val="007A7F00"/>
    <w:rsid w:val="007B0809"/>
    <w:rsid w:val="007B0C3C"/>
    <w:rsid w:val="007B0DB0"/>
    <w:rsid w:val="007B106A"/>
    <w:rsid w:val="007B1800"/>
    <w:rsid w:val="007B1B24"/>
    <w:rsid w:val="007B1E07"/>
    <w:rsid w:val="007B1E26"/>
    <w:rsid w:val="007B1E48"/>
    <w:rsid w:val="007B2222"/>
    <w:rsid w:val="007B31D1"/>
    <w:rsid w:val="007B32B7"/>
    <w:rsid w:val="007B3900"/>
    <w:rsid w:val="007B3C04"/>
    <w:rsid w:val="007B3F0C"/>
    <w:rsid w:val="007B4288"/>
    <w:rsid w:val="007B42D2"/>
    <w:rsid w:val="007B4342"/>
    <w:rsid w:val="007B44BB"/>
    <w:rsid w:val="007B498B"/>
    <w:rsid w:val="007B5220"/>
    <w:rsid w:val="007B5275"/>
    <w:rsid w:val="007B532B"/>
    <w:rsid w:val="007B564F"/>
    <w:rsid w:val="007B5B79"/>
    <w:rsid w:val="007B5C4C"/>
    <w:rsid w:val="007B5C83"/>
    <w:rsid w:val="007B5F09"/>
    <w:rsid w:val="007B6040"/>
    <w:rsid w:val="007B66C9"/>
    <w:rsid w:val="007B75BF"/>
    <w:rsid w:val="007B793A"/>
    <w:rsid w:val="007B7BD5"/>
    <w:rsid w:val="007B7D03"/>
    <w:rsid w:val="007B7D99"/>
    <w:rsid w:val="007C023C"/>
    <w:rsid w:val="007C048E"/>
    <w:rsid w:val="007C07F1"/>
    <w:rsid w:val="007C1134"/>
    <w:rsid w:val="007C1B09"/>
    <w:rsid w:val="007C1CEB"/>
    <w:rsid w:val="007C1D6B"/>
    <w:rsid w:val="007C1E2C"/>
    <w:rsid w:val="007C1F91"/>
    <w:rsid w:val="007C202C"/>
    <w:rsid w:val="007C23E6"/>
    <w:rsid w:val="007C24B0"/>
    <w:rsid w:val="007C280E"/>
    <w:rsid w:val="007C2A14"/>
    <w:rsid w:val="007C2A1E"/>
    <w:rsid w:val="007C2F4D"/>
    <w:rsid w:val="007C2F5F"/>
    <w:rsid w:val="007C316B"/>
    <w:rsid w:val="007C3667"/>
    <w:rsid w:val="007C3945"/>
    <w:rsid w:val="007C3E55"/>
    <w:rsid w:val="007C4210"/>
    <w:rsid w:val="007C4314"/>
    <w:rsid w:val="007C47C5"/>
    <w:rsid w:val="007C4945"/>
    <w:rsid w:val="007C4A20"/>
    <w:rsid w:val="007C54C4"/>
    <w:rsid w:val="007C54DF"/>
    <w:rsid w:val="007C621C"/>
    <w:rsid w:val="007C65CF"/>
    <w:rsid w:val="007C6DC3"/>
    <w:rsid w:val="007C7461"/>
    <w:rsid w:val="007C758C"/>
    <w:rsid w:val="007C7AEA"/>
    <w:rsid w:val="007C7EAE"/>
    <w:rsid w:val="007D0014"/>
    <w:rsid w:val="007D022F"/>
    <w:rsid w:val="007D0337"/>
    <w:rsid w:val="007D06E0"/>
    <w:rsid w:val="007D07C6"/>
    <w:rsid w:val="007D0864"/>
    <w:rsid w:val="007D0878"/>
    <w:rsid w:val="007D09E0"/>
    <w:rsid w:val="007D0AE2"/>
    <w:rsid w:val="007D0CA9"/>
    <w:rsid w:val="007D0D09"/>
    <w:rsid w:val="007D0EA1"/>
    <w:rsid w:val="007D1393"/>
    <w:rsid w:val="007D1531"/>
    <w:rsid w:val="007D1F88"/>
    <w:rsid w:val="007D2BD2"/>
    <w:rsid w:val="007D2C19"/>
    <w:rsid w:val="007D31EC"/>
    <w:rsid w:val="007D365B"/>
    <w:rsid w:val="007D41F2"/>
    <w:rsid w:val="007D44BF"/>
    <w:rsid w:val="007D46BA"/>
    <w:rsid w:val="007D4D24"/>
    <w:rsid w:val="007D4E59"/>
    <w:rsid w:val="007D4F1A"/>
    <w:rsid w:val="007D54EF"/>
    <w:rsid w:val="007D560E"/>
    <w:rsid w:val="007D573F"/>
    <w:rsid w:val="007D578B"/>
    <w:rsid w:val="007D58CB"/>
    <w:rsid w:val="007D5A86"/>
    <w:rsid w:val="007D5D58"/>
    <w:rsid w:val="007D5ED0"/>
    <w:rsid w:val="007D6389"/>
    <w:rsid w:val="007D656E"/>
    <w:rsid w:val="007D6665"/>
    <w:rsid w:val="007D6B5F"/>
    <w:rsid w:val="007D6F4A"/>
    <w:rsid w:val="007D70CE"/>
    <w:rsid w:val="007D7A1E"/>
    <w:rsid w:val="007D7DF6"/>
    <w:rsid w:val="007D7F56"/>
    <w:rsid w:val="007E0117"/>
    <w:rsid w:val="007E05B3"/>
    <w:rsid w:val="007E0878"/>
    <w:rsid w:val="007E0F28"/>
    <w:rsid w:val="007E10BC"/>
    <w:rsid w:val="007E1376"/>
    <w:rsid w:val="007E1437"/>
    <w:rsid w:val="007E163C"/>
    <w:rsid w:val="007E1A0D"/>
    <w:rsid w:val="007E1D9B"/>
    <w:rsid w:val="007E2373"/>
    <w:rsid w:val="007E2453"/>
    <w:rsid w:val="007E275D"/>
    <w:rsid w:val="007E2831"/>
    <w:rsid w:val="007E2A92"/>
    <w:rsid w:val="007E2B8D"/>
    <w:rsid w:val="007E350D"/>
    <w:rsid w:val="007E35D1"/>
    <w:rsid w:val="007E458F"/>
    <w:rsid w:val="007E463A"/>
    <w:rsid w:val="007E4BDC"/>
    <w:rsid w:val="007E4DC5"/>
    <w:rsid w:val="007E5248"/>
    <w:rsid w:val="007E5255"/>
    <w:rsid w:val="007E5FE3"/>
    <w:rsid w:val="007E6266"/>
    <w:rsid w:val="007E630E"/>
    <w:rsid w:val="007E640C"/>
    <w:rsid w:val="007E66EB"/>
    <w:rsid w:val="007E67B6"/>
    <w:rsid w:val="007E683F"/>
    <w:rsid w:val="007E6E04"/>
    <w:rsid w:val="007E6F83"/>
    <w:rsid w:val="007E7100"/>
    <w:rsid w:val="007E7AED"/>
    <w:rsid w:val="007F0152"/>
    <w:rsid w:val="007F02C4"/>
    <w:rsid w:val="007F037B"/>
    <w:rsid w:val="007F03FC"/>
    <w:rsid w:val="007F0628"/>
    <w:rsid w:val="007F0CA2"/>
    <w:rsid w:val="007F0CE4"/>
    <w:rsid w:val="007F0E7B"/>
    <w:rsid w:val="007F0FE8"/>
    <w:rsid w:val="007F154F"/>
    <w:rsid w:val="007F1716"/>
    <w:rsid w:val="007F1B69"/>
    <w:rsid w:val="007F1CA1"/>
    <w:rsid w:val="007F1CE0"/>
    <w:rsid w:val="007F211E"/>
    <w:rsid w:val="007F23E3"/>
    <w:rsid w:val="007F253B"/>
    <w:rsid w:val="007F2729"/>
    <w:rsid w:val="007F2945"/>
    <w:rsid w:val="007F2BE0"/>
    <w:rsid w:val="007F2D0B"/>
    <w:rsid w:val="007F2F47"/>
    <w:rsid w:val="007F348A"/>
    <w:rsid w:val="007F36DB"/>
    <w:rsid w:val="007F4490"/>
    <w:rsid w:val="007F4702"/>
    <w:rsid w:val="007F499B"/>
    <w:rsid w:val="007F4B46"/>
    <w:rsid w:val="007F4FBF"/>
    <w:rsid w:val="007F5003"/>
    <w:rsid w:val="007F515A"/>
    <w:rsid w:val="007F54EB"/>
    <w:rsid w:val="007F5677"/>
    <w:rsid w:val="007F5A26"/>
    <w:rsid w:val="007F5A6A"/>
    <w:rsid w:val="007F6010"/>
    <w:rsid w:val="007F6172"/>
    <w:rsid w:val="007F66DA"/>
    <w:rsid w:val="007F6C5D"/>
    <w:rsid w:val="007F715E"/>
    <w:rsid w:val="007F720A"/>
    <w:rsid w:val="007F743F"/>
    <w:rsid w:val="00800152"/>
    <w:rsid w:val="008003A0"/>
    <w:rsid w:val="0080051E"/>
    <w:rsid w:val="00800FEA"/>
    <w:rsid w:val="00801005"/>
    <w:rsid w:val="008019D7"/>
    <w:rsid w:val="00801B94"/>
    <w:rsid w:val="00801E6E"/>
    <w:rsid w:val="008028D4"/>
    <w:rsid w:val="0080425F"/>
    <w:rsid w:val="008043A0"/>
    <w:rsid w:val="008043F4"/>
    <w:rsid w:val="00804922"/>
    <w:rsid w:val="0080512A"/>
    <w:rsid w:val="008054BD"/>
    <w:rsid w:val="00805B57"/>
    <w:rsid w:val="00805BAB"/>
    <w:rsid w:val="00806333"/>
    <w:rsid w:val="00806C29"/>
    <w:rsid w:val="008073CE"/>
    <w:rsid w:val="008073DE"/>
    <w:rsid w:val="008077D7"/>
    <w:rsid w:val="008079A4"/>
    <w:rsid w:val="00807F81"/>
    <w:rsid w:val="00810221"/>
    <w:rsid w:val="00810597"/>
    <w:rsid w:val="008109C6"/>
    <w:rsid w:val="00810B21"/>
    <w:rsid w:val="00810B8E"/>
    <w:rsid w:val="00810C75"/>
    <w:rsid w:val="008111B1"/>
    <w:rsid w:val="00811513"/>
    <w:rsid w:val="00811F50"/>
    <w:rsid w:val="00811FD5"/>
    <w:rsid w:val="0081205C"/>
    <w:rsid w:val="00812112"/>
    <w:rsid w:val="008124CF"/>
    <w:rsid w:val="0081251C"/>
    <w:rsid w:val="00812D19"/>
    <w:rsid w:val="00813150"/>
    <w:rsid w:val="0081341E"/>
    <w:rsid w:val="00813478"/>
    <w:rsid w:val="0081373B"/>
    <w:rsid w:val="00813D0E"/>
    <w:rsid w:val="00813E3A"/>
    <w:rsid w:val="008147A9"/>
    <w:rsid w:val="008147D8"/>
    <w:rsid w:val="00814ABE"/>
    <w:rsid w:val="00814ACE"/>
    <w:rsid w:val="00814D5E"/>
    <w:rsid w:val="00814D62"/>
    <w:rsid w:val="00814EA2"/>
    <w:rsid w:val="00814EBC"/>
    <w:rsid w:val="008151BD"/>
    <w:rsid w:val="0081549B"/>
    <w:rsid w:val="008155F6"/>
    <w:rsid w:val="00815B76"/>
    <w:rsid w:val="00816071"/>
    <w:rsid w:val="00816225"/>
    <w:rsid w:val="00816292"/>
    <w:rsid w:val="008165B2"/>
    <w:rsid w:val="00816A39"/>
    <w:rsid w:val="00816AB9"/>
    <w:rsid w:val="00816CB9"/>
    <w:rsid w:val="00817466"/>
    <w:rsid w:val="0081759C"/>
    <w:rsid w:val="008177AE"/>
    <w:rsid w:val="008178BA"/>
    <w:rsid w:val="008202EE"/>
    <w:rsid w:val="00820729"/>
    <w:rsid w:val="00820EAE"/>
    <w:rsid w:val="008214A6"/>
    <w:rsid w:val="00821F57"/>
    <w:rsid w:val="00822150"/>
    <w:rsid w:val="008222E4"/>
    <w:rsid w:val="0082245B"/>
    <w:rsid w:val="00822B91"/>
    <w:rsid w:val="00822CA3"/>
    <w:rsid w:val="00822EBA"/>
    <w:rsid w:val="00823010"/>
    <w:rsid w:val="00823423"/>
    <w:rsid w:val="008236B8"/>
    <w:rsid w:val="0082370E"/>
    <w:rsid w:val="008239A1"/>
    <w:rsid w:val="0082456A"/>
    <w:rsid w:val="00824FA9"/>
    <w:rsid w:val="008256C9"/>
    <w:rsid w:val="0082577F"/>
    <w:rsid w:val="00825D18"/>
    <w:rsid w:val="00825F52"/>
    <w:rsid w:val="00826200"/>
    <w:rsid w:val="00826303"/>
    <w:rsid w:val="00826BF5"/>
    <w:rsid w:val="00826C40"/>
    <w:rsid w:val="0082736F"/>
    <w:rsid w:val="00830337"/>
    <w:rsid w:val="00830468"/>
    <w:rsid w:val="00830773"/>
    <w:rsid w:val="008307C5"/>
    <w:rsid w:val="00831A9A"/>
    <w:rsid w:val="00831CD0"/>
    <w:rsid w:val="00831D62"/>
    <w:rsid w:val="00832653"/>
    <w:rsid w:val="0083293E"/>
    <w:rsid w:val="008329FA"/>
    <w:rsid w:val="00833844"/>
    <w:rsid w:val="00833E38"/>
    <w:rsid w:val="0083431B"/>
    <w:rsid w:val="0083459F"/>
    <w:rsid w:val="008352AF"/>
    <w:rsid w:val="00835B0B"/>
    <w:rsid w:val="0083675A"/>
    <w:rsid w:val="00836A9C"/>
    <w:rsid w:val="00836E6C"/>
    <w:rsid w:val="00837CE3"/>
    <w:rsid w:val="00837D44"/>
    <w:rsid w:val="008401F2"/>
    <w:rsid w:val="0084028D"/>
    <w:rsid w:val="008402A8"/>
    <w:rsid w:val="0084052F"/>
    <w:rsid w:val="00840E0A"/>
    <w:rsid w:val="00841064"/>
    <w:rsid w:val="00841265"/>
    <w:rsid w:val="008412BD"/>
    <w:rsid w:val="00841471"/>
    <w:rsid w:val="00841580"/>
    <w:rsid w:val="00841C19"/>
    <w:rsid w:val="00843216"/>
    <w:rsid w:val="0084376E"/>
    <w:rsid w:val="0084379D"/>
    <w:rsid w:val="00843D8D"/>
    <w:rsid w:val="00843E4C"/>
    <w:rsid w:val="008440B1"/>
    <w:rsid w:val="00844387"/>
    <w:rsid w:val="0084465A"/>
    <w:rsid w:val="008448E2"/>
    <w:rsid w:val="00844B4B"/>
    <w:rsid w:val="00844B8E"/>
    <w:rsid w:val="00844CE3"/>
    <w:rsid w:val="00844E9C"/>
    <w:rsid w:val="0084523A"/>
    <w:rsid w:val="008454C6"/>
    <w:rsid w:val="0084589A"/>
    <w:rsid w:val="00845ABF"/>
    <w:rsid w:val="00845B8B"/>
    <w:rsid w:val="00845BD9"/>
    <w:rsid w:val="0084605B"/>
    <w:rsid w:val="00846170"/>
    <w:rsid w:val="008463B7"/>
    <w:rsid w:val="00846454"/>
    <w:rsid w:val="00846510"/>
    <w:rsid w:val="00846AD2"/>
    <w:rsid w:val="008470D0"/>
    <w:rsid w:val="008471A0"/>
    <w:rsid w:val="008473C8"/>
    <w:rsid w:val="0084740B"/>
    <w:rsid w:val="00847805"/>
    <w:rsid w:val="00847F71"/>
    <w:rsid w:val="00847FFB"/>
    <w:rsid w:val="00850065"/>
    <w:rsid w:val="0085013C"/>
    <w:rsid w:val="00850539"/>
    <w:rsid w:val="00850545"/>
    <w:rsid w:val="00850729"/>
    <w:rsid w:val="008508D0"/>
    <w:rsid w:val="00850BC6"/>
    <w:rsid w:val="00850ED9"/>
    <w:rsid w:val="00850FFE"/>
    <w:rsid w:val="0085101C"/>
    <w:rsid w:val="00851032"/>
    <w:rsid w:val="008511AA"/>
    <w:rsid w:val="00851312"/>
    <w:rsid w:val="00851671"/>
    <w:rsid w:val="00851DDD"/>
    <w:rsid w:val="00852098"/>
    <w:rsid w:val="008520E8"/>
    <w:rsid w:val="008523B2"/>
    <w:rsid w:val="008526E9"/>
    <w:rsid w:val="00852DCE"/>
    <w:rsid w:val="00852F7D"/>
    <w:rsid w:val="00853095"/>
    <w:rsid w:val="00853532"/>
    <w:rsid w:val="008535CB"/>
    <w:rsid w:val="00853719"/>
    <w:rsid w:val="008537FF"/>
    <w:rsid w:val="0085394B"/>
    <w:rsid w:val="00853979"/>
    <w:rsid w:val="00853A1B"/>
    <w:rsid w:val="00853BA6"/>
    <w:rsid w:val="00853BB1"/>
    <w:rsid w:val="00853E31"/>
    <w:rsid w:val="008540A6"/>
    <w:rsid w:val="0085447D"/>
    <w:rsid w:val="00854676"/>
    <w:rsid w:val="008548FE"/>
    <w:rsid w:val="00854AAD"/>
    <w:rsid w:val="00854ADA"/>
    <w:rsid w:val="00854D7D"/>
    <w:rsid w:val="00854E58"/>
    <w:rsid w:val="00854ED2"/>
    <w:rsid w:val="0085570B"/>
    <w:rsid w:val="00855912"/>
    <w:rsid w:val="00855A46"/>
    <w:rsid w:val="008562D9"/>
    <w:rsid w:val="008566A6"/>
    <w:rsid w:val="00856A74"/>
    <w:rsid w:val="0085702F"/>
    <w:rsid w:val="00857091"/>
    <w:rsid w:val="0085715F"/>
    <w:rsid w:val="00857541"/>
    <w:rsid w:val="0085786B"/>
    <w:rsid w:val="00857C7F"/>
    <w:rsid w:val="00857D0B"/>
    <w:rsid w:val="00861013"/>
    <w:rsid w:val="00861475"/>
    <w:rsid w:val="008614D9"/>
    <w:rsid w:val="008615BE"/>
    <w:rsid w:val="008615F6"/>
    <w:rsid w:val="008618C9"/>
    <w:rsid w:val="0086210C"/>
    <w:rsid w:val="0086282A"/>
    <w:rsid w:val="0086297A"/>
    <w:rsid w:val="00862F35"/>
    <w:rsid w:val="00863512"/>
    <w:rsid w:val="00863AB0"/>
    <w:rsid w:val="00864432"/>
    <w:rsid w:val="00864985"/>
    <w:rsid w:val="00865123"/>
    <w:rsid w:val="008654AB"/>
    <w:rsid w:val="0086579C"/>
    <w:rsid w:val="008659AB"/>
    <w:rsid w:val="008660B6"/>
    <w:rsid w:val="008661DA"/>
    <w:rsid w:val="0086661D"/>
    <w:rsid w:val="008669FB"/>
    <w:rsid w:val="00866C01"/>
    <w:rsid w:val="00866CAC"/>
    <w:rsid w:val="00866CE7"/>
    <w:rsid w:val="00867208"/>
    <w:rsid w:val="00867364"/>
    <w:rsid w:val="00867481"/>
    <w:rsid w:val="00867526"/>
    <w:rsid w:val="0086758F"/>
    <w:rsid w:val="0086762A"/>
    <w:rsid w:val="0086774D"/>
    <w:rsid w:val="008677B4"/>
    <w:rsid w:val="00867B9E"/>
    <w:rsid w:val="008700B1"/>
    <w:rsid w:val="008701A7"/>
    <w:rsid w:val="008703C3"/>
    <w:rsid w:val="008703D7"/>
    <w:rsid w:val="00870510"/>
    <w:rsid w:val="00870872"/>
    <w:rsid w:val="0087087F"/>
    <w:rsid w:val="0087094D"/>
    <w:rsid w:val="00870E17"/>
    <w:rsid w:val="00870EF2"/>
    <w:rsid w:val="00871368"/>
    <w:rsid w:val="0087146A"/>
    <w:rsid w:val="0087165A"/>
    <w:rsid w:val="008716EE"/>
    <w:rsid w:val="00871774"/>
    <w:rsid w:val="008717C9"/>
    <w:rsid w:val="00871940"/>
    <w:rsid w:val="00872393"/>
    <w:rsid w:val="00873254"/>
    <w:rsid w:val="00873469"/>
    <w:rsid w:val="00873488"/>
    <w:rsid w:val="00873633"/>
    <w:rsid w:val="00873DCF"/>
    <w:rsid w:val="00873E1E"/>
    <w:rsid w:val="00873EFE"/>
    <w:rsid w:val="0087424B"/>
    <w:rsid w:val="00874916"/>
    <w:rsid w:val="00874AC1"/>
    <w:rsid w:val="00874B43"/>
    <w:rsid w:val="00874EAC"/>
    <w:rsid w:val="00874FAD"/>
    <w:rsid w:val="00875132"/>
    <w:rsid w:val="00875378"/>
    <w:rsid w:val="008753E5"/>
    <w:rsid w:val="0087551C"/>
    <w:rsid w:val="008759F8"/>
    <w:rsid w:val="00875AC8"/>
    <w:rsid w:val="00875E89"/>
    <w:rsid w:val="00876371"/>
    <w:rsid w:val="00876542"/>
    <w:rsid w:val="00876B57"/>
    <w:rsid w:val="00876D3D"/>
    <w:rsid w:val="00876D40"/>
    <w:rsid w:val="0087710A"/>
    <w:rsid w:val="00877445"/>
    <w:rsid w:val="008777F2"/>
    <w:rsid w:val="00877934"/>
    <w:rsid w:val="00877EDF"/>
    <w:rsid w:val="00877FBA"/>
    <w:rsid w:val="00880159"/>
    <w:rsid w:val="00880648"/>
    <w:rsid w:val="008806AD"/>
    <w:rsid w:val="0088084E"/>
    <w:rsid w:val="00880AAA"/>
    <w:rsid w:val="00880B2D"/>
    <w:rsid w:val="00880C27"/>
    <w:rsid w:val="00880FC1"/>
    <w:rsid w:val="00881604"/>
    <w:rsid w:val="00881B1B"/>
    <w:rsid w:val="00881C49"/>
    <w:rsid w:val="00881C74"/>
    <w:rsid w:val="00881EA4"/>
    <w:rsid w:val="0088232B"/>
    <w:rsid w:val="00882C4F"/>
    <w:rsid w:val="00882D54"/>
    <w:rsid w:val="00882FB5"/>
    <w:rsid w:val="00883186"/>
    <w:rsid w:val="008831E3"/>
    <w:rsid w:val="00883488"/>
    <w:rsid w:val="008836F4"/>
    <w:rsid w:val="008837C5"/>
    <w:rsid w:val="00883E8F"/>
    <w:rsid w:val="008841A6"/>
    <w:rsid w:val="00884464"/>
    <w:rsid w:val="008847F9"/>
    <w:rsid w:val="00884D2E"/>
    <w:rsid w:val="008850B2"/>
    <w:rsid w:val="0088598B"/>
    <w:rsid w:val="00885AE5"/>
    <w:rsid w:val="00885CB2"/>
    <w:rsid w:val="00885D5D"/>
    <w:rsid w:val="00885FD2"/>
    <w:rsid w:val="008866A4"/>
    <w:rsid w:val="00886C9D"/>
    <w:rsid w:val="00886C9F"/>
    <w:rsid w:val="00887485"/>
    <w:rsid w:val="00887570"/>
    <w:rsid w:val="00890523"/>
    <w:rsid w:val="00890550"/>
    <w:rsid w:val="0089130C"/>
    <w:rsid w:val="00891353"/>
    <w:rsid w:val="00891447"/>
    <w:rsid w:val="0089170B"/>
    <w:rsid w:val="008918CE"/>
    <w:rsid w:val="00891984"/>
    <w:rsid w:val="00891AEA"/>
    <w:rsid w:val="00891AF9"/>
    <w:rsid w:val="00891CC8"/>
    <w:rsid w:val="00891DB6"/>
    <w:rsid w:val="00891DCB"/>
    <w:rsid w:val="00892122"/>
    <w:rsid w:val="008927FA"/>
    <w:rsid w:val="00892B72"/>
    <w:rsid w:val="00892C7E"/>
    <w:rsid w:val="008935F1"/>
    <w:rsid w:val="00893B5C"/>
    <w:rsid w:val="00893D4B"/>
    <w:rsid w:val="00894139"/>
    <w:rsid w:val="008941F2"/>
    <w:rsid w:val="008945F4"/>
    <w:rsid w:val="008946F3"/>
    <w:rsid w:val="00894A46"/>
    <w:rsid w:val="00894A7E"/>
    <w:rsid w:val="00895248"/>
    <w:rsid w:val="00895528"/>
    <w:rsid w:val="0089588C"/>
    <w:rsid w:val="00895C5D"/>
    <w:rsid w:val="00895FA6"/>
    <w:rsid w:val="008960D9"/>
    <w:rsid w:val="00896197"/>
    <w:rsid w:val="008961A4"/>
    <w:rsid w:val="008964DA"/>
    <w:rsid w:val="00896AFE"/>
    <w:rsid w:val="00896BDE"/>
    <w:rsid w:val="00896E0A"/>
    <w:rsid w:val="008970C7"/>
    <w:rsid w:val="00897355"/>
    <w:rsid w:val="00897632"/>
    <w:rsid w:val="00897770"/>
    <w:rsid w:val="00897A58"/>
    <w:rsid w:val="008A08A3"/>
    <w:rsid w:val="008A0927"/>
    <w:rsid w:val="008A0A83"/>
    <w:rsid w:val="008A0B98"/>
    <w:rsid w:val="008A0BCC"/>
    <w:rsid w:val="008A1DA4"/>
    <w:rsid w:val="008A1F98"/>
    <w:rsid w:val="008A200E"/>
    <w:rsid w:val="008A25C3"/>
    <w:rsid w:val="008A2605"/>
    <w:rsid w:val="008A2B75"/>
    <w:rsid w:val="008A2F95"/>
    <w:rsid w:val="008A30BB"/>
    <w:rsid w:val="008A3AA3"/>
    <w:rsid w:val="008A3D55"/>
    <w:rsid w:val="008A432C"/>
    <w:rsid w:val="008A4945"/>
    <w:rsid w:val="008A49D3"/>
    <w:rsid w:val="008A4B26"/>
    <w:rsid w:val="008A4CA5"/>
    <w:rsid w:val="008A4CE3"/>
    <w:rsid w:val="008A50AA"/>
    <w:rsid w:val="008A51B4"/>
    <w:rsid w:val="008A52D1"/>
    <w:rsid w:val="008A5389"/>
    <w:rsid w:val="008A5872"/>
    <w:rsid w:val="008A5960"/>
    <w:rsid w:val="008A5BB4"/>
    <w:rsid w:val="008A5D91"/>
    <w:rsid w:val="008A67ED"/>
    <w:rsid w:val="008A6973"/>
    <w:rsid w:val="008A6EB9"/>
    <w:rsid w:val="008A6FAA"/>
    <w:rsid w:val="008A7023"/>
    <w:rsid w:val="008A717E"/>
    <w:rsid w:val="008A742C"/>
    <w:rsid w:val="008A78E8"/>
    <w:rsid w:val="008A7C8C"/>
    <w:rsid w:val="008A7D00"/>
    <w:rsid w:val="008A7D66"/>
    <w:rsid w:val="008B015C"/>
    <w:rsid w:val="008B04FF"/>
    <w:rsid w:val="008B0846"/>
    <w:rsid w:val="008B0886"/>
    <w:rsid w:val="008B0998"/>
    <w:rsid w:val="008B0D52"/>
    <w:rsid w:val="008B1159"/>
    <w:rsid w:val="008B125D"/>
    <w:rsid w:val="008B14DE"/>
    <w:rsid w:val="008B1560"/>
    <w:rsid w:val="008B1699"/>
    <w:rsid w:val="008B1B76"/>
    <w:rsid w:val="008B1C9C"/>
    <w:rsid w:val="008B1DEC"/>
    <w:rsid w:val="008B1EFA"/>
    <w:rsid w:val="008B2257"/>
    <w:rsid w:val="008B227C"/>
    <w:rsid w:val="008B2297"/>
    <w:rsid w:val="008B264F"/>
    <w:rsid w:val="008B26ED"/>
    <w:rsid w:val="008B2AE9"/>
    <w:rsid w:val="008B2B01"/>
    <w:rsid w:val="008B2BAF"/>
    <w:rsid w:val="008B304D"/>
    <w:rsid w:val="008B3680"/>
    <w:rsid w:val="008B3689"/>
    <w:rsid w:val="008B3DD0"/>
    <w:rsid w:val="008B3FAA"/>
    <w:rsid w:val="008B40BE"/>
    <w:rsid w:val="008B419C"/>
    <w:rsid w:val="008B41DB"/>
    <w:rsid w:val="008B467A"/>
    <w:rsid w:val="008B46F6"/>
    <w:rsid w:val="008B48D9"/>
    <w:rsid w:val="008B4AC1"/>
    <w:rsid w:val="008B4E2B"/>
    <w:rsid w:val="008B5026"/>
    <w:rsid w:val="008B5291"/>
    <w:rsid w:val="008B628C"/>
    <w:rsid w:val="008B64DD"/>
    <w:rsid w:val="008B6826"/>
    <w:rsid w:val="008B68BB"/>
    <w:rsid w:val="008B68C9"/>
    <w:rsid w:val="008B6957"/>
    <w:rsid w:val="008B6AFB"/>
    <w:rsid w:val="008B6E66"/>
    <w:rsid w:val="008B6F9C"/>
    <w:rsid w:val="008B7255"/>
    <w:rsid w:val="008B730C"/>
    <w:rsid w:val="008B7829"/>
    <w:rsid w:val="008B7EB8"/>
    <w:rsid w:val="008C01DC"/>
    <w:rsid w:val="008C01EF"/>
    <w:rsid w:val="008C02B6"/>
    <w:rsid w:val="008C08BA"/>
    <w:rsid w:val="008C0F10"/>
    <w:rsid w:val="008C132E"/>
    <w:rsid w:val="008C139B"/>
    <w:rsid w:val="008C1660"/>
    <w:rsid w:val="008C17E1"/>
    <w:rsid w:val="008C1870"/>
    <w:rsid w:val="008C1B05"/>
    <w:rsid w:val="008C1B08"/>
    <w:rsid w:val="008C1C0C"/>
    <w:rsid w:val="008C1E25"/>
    <w:rsid w:val="008C2026"/>
    <w:rsid w:val="008C2997"/>
    <w:rsid w:val="008C2A11"/>
    <w:rsid w:val="008C2C10"/>
    <w:rsid w:val="008C2F1C"/>
    <w:rsid w:val="008C30D2"/>
    <w:rsid w:val="008C30FC"/>
    <w:rsid w:val="008C3235"/>
    <w:rsid w:val="008C35A2"/>
    <w:rsid w:val="008C39F3"/>
    <w:rsid w:val="008C3B17"/>
    <w:rsid w:val="008C3B95"/>
    <w:rsid w:val="008C3B9C"/>
    <w:rsid w:val="008C4057"/>
    <w:rsid w:val="008C4296"/>
    <w:rsid w:val="008C430F"/>
    <w:rsid w:val="008C4A86"/>
    <w:rsid w:val="008C4E38"/>
    <w:rsid w:val="008C5188"/>
    <w:rsid w:val="008C5867"/>
    <w:rsid w:val="008C6122"/>
    <w:rsid w:val="008C67A5"/>
    <w:rsid w:val="008C6EAE"/>
    <w:rsid w:val="008C7479"/>
    <w:rsid w:val="008C7F3B"/>
    <w:rsid w:val="008D0565"/>
    <w:rsid w:val="008D0830"/>
    <w:rsid w:val="008D0FEA"/>
    <w:rsid w:val="008D1148"/>
    <w:rsid w:val="008D11CA"/>
    <w:rsid w:val="008D174B"/>
    <w:rsid w:val="008D1D43"/>
    <w:rsid w:val="008D2BBA"/>
    <w:rsid w:val="008D2CBC"/>
    <w:rsid w:val="008D2EAE"/>
    <w:rsid w:val="008D320E"/>
    <w:rsid w:val="008D371F"/>
    <w:rsid w:val="008D378B"/>
    <w:rsid w:val="008D38CB"/>
    <w:rsid w:val="008D414D"/>
    <w:rsid w:val="008D4AC4"/>
    <w:rsid w:val="008D4D1A"/>
    <w:rsid w:val="008D4E83"/>
    <w:rsid w:val="008D4EEA"/>
    <w:rsid w:val="008D52BC"/>
    <w:rsid w:val="008D5307"/>
    <w:rsid w:val="008D5363"/>
    <w:rsid w:val="008D550F"/>
    <w:rsid w:val="008D55C7"/>
    <w:rsid w:val="008D57CE"/>
    <w:rsid w:val="008D5AC9"/>
    <w:rsid w:val="008D5E05"/>
    <w:rsid w:val="008D5FF2"/>
    <w:rsid w:val="008D6576"/>
    <w:rsid w:val="008D6ABD"/>
    <w:rsid w:val="008D6C2B"/>
    <w:rsid w:val="008D6D93"/>
    <w:rsid w:val="008D6FF8"/>
    <w:rsid w:val="008D715B"/>
    <w:rsid w:val="008D73B1"/>
    <w:rsid w:val="008E04E4"/>
    <w:rsid w:val="008E051D"/>
    <w:rsid w:val="008E068A"/>
    <w:rsid w:val="008E079B"/>
    <w:rsid w:val="008E080F"/>
    <w:rsid w:val="008E0B45"/>
    <w:rsid w:val="008E0BA3"/>
    <w:rsid w:val="008E0CCB"/>
    <w:rsid w:val="008E0FE5"/>
    <w:rsid w:val="008E10A7"/>
    <w:rsid w:val="008E175E"/>
    <w:rsid w:val="008E1868"/>
    <w:rsid w:val="008E19D9"/>
    <w:rsid w:val="008E1A06"/>
    <w:rsid w:val="008E1D22"/>
    <w:rsid w:val="008E20B7"/>
    <w:rsid w:val="008E244D"/>
    <w:rsid w:val="008E2C6E"/>
    <w:rsid w:val="008E2FDC"/>
    <w:rsid w:val="008E30D7"/>
    <w:rsid w:val="008E3792"/>
    <w:rsid w:val="008E3898"/>
    <w:rsid w:val="008E39C0"/>
    <w:rsid w:val="008E3BB0"/>
    <w:rsid w:val="008E3D9E"/>
    <w:rsid w:val="008E403E"/>
    <w:rsid w:val="008E466E"/>
    <w:rsid w:val="008E46F2"/>
    <w:rsid w:val="008E4A9C"/>
    <w:rsid w:val="008E50F1"/>
    <w:rsid w:val="008E5131"/>
    <w:rsid w:val="008E516A"/>
    <w:rsid w:val="008E51BB"/>
    <w:rsid w:val="008E5542"/>
    <w:rsid w:val="008E557D"/>
    <w:rsid w:val="008E653C"/>
    <w:rsid w:val="008E6D4A"/>
    <w:rsid w:val="008E6E08"/>
    <w:rsid w:val="008E719D"/>
    <w:rsid w:val="008E72B0"/>
    <w:rsid w:val="008E76B6"/>
    <w:rsid w:val="008E7C88"/>
    <w:rsid w:val="008E7F08"/>
    <w:rsid w:val="008F0207"/>
    <w:rsid w:val="008F038C"/>
    <w:rsid w:val="008F03E0"/>
    <w:rsid w:val="008F042A"/>
    <w:rsid w:val="008F08C4"/>
    <w:rsid w:val="008F0940"/>
    <w:rsid w:val="008F0A6F"/>
    <w:rsid w:val="008F0E4B"/>
    <w:rsid w:val="008F0E80"/>
    <w:rsid w:val="008F0FFB"/>
    <w:rsid w:val="008F10FB"/>
    <w:rsid w:val="008F1171"/>
    <w:rsid w:val="008F1307"/>
    <w:rsid w:val="008F19AA"/>
    <w:rsid w:val="008F20BE"/>
    <w:rsid w:val="008F2126"/>
    <w:rsid w:val="008F23EC"/>
    <w:rsid w:val="008F2631"/>
    <w:rsid w:val="008F2C8C"/>
    <w:rsid w:val="008F3493"/>
    <w:rsid w:val="008F4136"/>
    <w:rsid w:val="008F486B"/>
    <w:rsid w:val="008F4CAB"/>
    <w:rsid w:val="008F4D08"/>
    <w:rsid w:val="008F51B8"/>
    <w:rsid w:val="008F55B8"/>
    <w:rsid w:val="008F561D"/>
    <w:rsid w:val="008F5E5E"/>
    <w:rsid w:val="008F6143"/>
    <w:rsid w:val="008F6198"/>
    <w:rsid w:val="008F6261"/>
    <w:rsid w:val="008F68B5"/>
    <w:rsid w:val="008F69DC"/>
    <w:rsid w:val="008F6A59"/>
    <w:rsid w:val="008F6A8C"/>
    <w:rsid w:val="008F6E45"/>
    <w:rsid w:val="008F7517"/>
    <w:rsid w:val="008F7641"/>
    <w:rsid w:val="008F7ADD"/>
    <w:rsid w:val="008F7BD7"/>
    <w:rsid w:val="008F7E7C"/>
    <w:rsid w:val="00900034"/>
    <w:rsid w:val="0090010B"/>
    <w:rsid w:val="0090015E"/>
    <w:rsid w:val="009003C3"/>
    <w:rsid w:val="0090047B"/>
    <w:rsid w:val="0090075F"/>
    <w:rsid w:val="009007B6"/>
    <w:rsid w:val="00900B0E"/>
    <w:rsid w:val="00900FDB"/>
    <w:rsid w:val="009011E9"/>
    <w:rsid w:val="009014CF"/>
    <w:rsid w:val="009016E2"/>
    <w:rsid w:val="009021C2"/>
    <w:rsid w:val="0090225C"/>
    <w:rsid w:val="00902386"/>
    <w:rsid w:val="0090248B"/>
    <w:rsid w:val="009026A2"/>
    <w:rsid w:val="00903198"/>
    <w:rsid w:val="009038A3"/>
    <w:rsid w:val="00903E0E"/>
    <w:rsid w:val="00903FCC"/>
    <w:rsid w:val="009042B5"/>
    <w:rsid w:val="00904498"/>
    <w:rsid w:val="009045BE"/>
    <w:rsid w:val="0090481F"/>
    <w:rsid w:val="00904A5A"/>
    <w:rsid w:val="00904B82"/>
    <w:rsid w:val="009050DE"/>
    <w:rsid w:val="0090576E"/>
    <w:rsid w:val="00905772"/>
    <w:rsid w:val="00905A0E"/>
    <w:rsid w:val="00905F32"/>
    <w:rsid w:val="009062BA"/>
    <w:rsid w:val="00906432"/>
    <w:rsid w:val="009067C6"/>
    <w:rsid w:val="00906866"/>
    <w:rsid w:val="00906A07"/>
    <w:rsid w:val="00906C66"/>
    <w:rsid w:val="00906D4A"/>
    <w:rsid w:val="00906D57"/>
    <w:rsid w:val="0090701D"/>
    <w:rsid w:val="009072D9"/>
    <w:rsid w:val="00907662"/>
    <w:rsid w:val="0090787B"/>
    <w:rsid w:val="00907B80"/>
    <w:rsid w:val="00910223"/>
    <w:rsid w:val="0091052D"/>
    <w:rsid w:val="009105CA"/>
    <w:rsid w:val="00910714"/>
    <w:rsid w:val="009108AF"/>
    <w:rsid w:val="00910A3C"/>
    <w:rsid w:val="009119B0"/>
    <w:rsid w:val="00911B15"/>
    <w:rsid w:val="00911B7B"/>
    <w:rsid w:val="00911C10"/>
    <w:rsid w:val="00911CE6"/>
    <w:rsid w:val="009124BB"/>
    <w:rsid w:val="00912709"/>
    <w:rsid w:val="009127F0"/>
    <w:rsid w:val="00912F71"/>
    <w:rsid w:val="0091301F"/>
    <w:rsid w:val="00913049"/>
    <w:rsid w:val="0091319F"/>
    <w:rsid w:val="009134DF"/>
    <w:rsid w:val="009134EA"/>
    <w:rsid w:val="00913676"/>
    <w:rsid w:val="0091370D"/>
    <w:rsid w:val="00913740"/>
    <w:rsid w:val="00913934"/>
    <w:rsid w:val="00913D27"/>
    <w:rsid w:val="00914026"/>
    <w:rsid w:val="0091481E"/>
    <w:rsid w:val="00914A7B"/>
    <w:rsid w:val="00914F5B"/>
    <w:rsid w:val="0091525C"/>
    <w:rsid w:val="009153BF"/>
    <w:rsid w:val="00915733"/>
    <w:rsid w:val="00915784"/>
    <w:rsid w:val="00915A6E"/>
    <w:rsid w:val="00915E15"/>
    <w:rsid w:val="00915F96"/>
    <w:rsid w:val="00916405"/>
    <w:rsid w:val="0091683D"/>
    <w:rsid w:val="00916938"/>
    <w:rsid w:val="00916AA5"/>
    <w:rsid w:val="00916C84"/>
    <w:rsid w:val="0091718E"/>
    <w:rsid w:val="009171F0"/>
    <w:rsid w:val="00917376"/>
    <w:rsid w:val="00917BA2"/>
    <w:rsid w:val="009206B3"/>
    <w:rsid w:val="00920FF8"/>
    <w:rsid w:val="0092115A"/>
    <w:rsid w:val="00921606"/>
    <w:rsid w:val="0092238A"/>
    <w:rsid w:val="009224D2"/>
    <w:rsid w:val="009225FF"/>
    <w:rsid w:val="00922773"/>
    <w:rsid w:val="00922DCF"/>
    <w:rsid w:val="0092332D"/>
    <w:rsid w:val="00923590"/>
    <w:rsid w:val="0092369E"/>
    <w:rsid w:val="00923A16"/>
    <w:rsid w:val="00923CEC"/>
    <w:rsid w:val="009240E2"/>
    <w:rsid w:val="009248AD"/>
    <w:rsid w:val="00924A63"/>
    <w:rsid w:val="00925556"/>
    <w:rsid w:val="009255D4"/>
    <w:rsid w:val="009258CC"/>
    <w:rsid w:val="00925903"/>
    <w:rsid w:val="00925B7F"/>
    <w:rsid w:val="00926181"/>
    <w:rsid w:val="00926518"/>
    <w:rsid w:val="00926719"/>
    <w:rsid w:val="00926732"/>
    <w:rsid w:val="0092674A"/>
    <w:rsid w:val="00926A64"/>
    <w:rsid w:val="009271D3"/>
    <w:rsid w:val="009274FC"/>
    <w:rsid w:val="0092928B"/>
    <w:rsid w:val="009300F1"/>
    <w:rsid w:val="009303DE"/>
    <w:rsid w:val="0093042E"/>
    <w:rsid w:val="009304CB"/>
    <w:rsid w:val="00930758"/>
    <w:rsid w:val="00930909"/>
    <w:rsid w:val="009310FC"/>
    <w:rsid w:val="00931A5B"/>
    <w:rsid w:val="00932C04"/>
    <w:rsid w:val="00932F43"/>
    <w:rsid w:val="0093366D"/>
    <w:rsid w:val="00933AA3"/>
    <w:rsid w:val="00933CD8"/>
    <w:rsid w:val="0093466C"/>
    <w:rsid w:val="0093479B"/>
    <w:rsid w:val="00934CE3"/>
    <w:rsid w:val="00934F9E"/>
    <w:rsid w:val="00935087"/>
    <w:rsid w:val="009354B8"/>
    <w:rsid w:val="00935502"/>
    <w:rsid w:val="0093584F"/>
    <w:rsid w:val="00935A16"/>
    <w:rsid w:val="00935B7B"/>
    <w:rsid w:val="00935BD1"/>
    <w:rsid w:val="00935CC1"/>
    <w:rsid w:val="00935F6A"/>
    <w:rsid w:val="00936051"/>
    <w:rsid w:val="00936544"/>
    <w:rsid w:val="00936779"/>
    <w:rsid w:val="0093689C"/>
    <w:rsid w:val="00936C58"/>
    <w:rsid w:val="009373EA"/>
    <w:rsid w:val="009373FA"/>
    <w:rsid w:val="00937B69"/>
    <w:rsid w:val="00937C57"/>
    <w:rsid w:val="00937D32"/>
    <w:rsid w:val="00937FBC"/>
    <w:rsid w:val="009403C1"/>
    <w:rsid w:val="009403D6"/>
    <w:rsid w:val="00940927"/>
    <w:rsid w:val="009409F0"/>
    <w:rsid w:val="009410E6"/>
    <w:rsid w:val="00941282"/>
    <w:rsid w:val="00941816"/>
    <w:rsid w:val="00941890"/>
    <w:rsid w:val="00941C51"/>
    <w:rsid w:val="00941C93"/>
    <w:rsid w:val="00941F8D"/>
    <w:rsid w:val="009421AB"/>
    <w:rsid w:val="00942282"/>
    <w:rsid w:val="0094247B"/>
    <w:rsid w:val="00942523"/>
    <w:rsid w:val="0094253B"/>
    <w:rsid w:val="009426C5"/>
    <w:rsid w:val="009427C0"/>
    <w:rsid w:val="00942970"/>
    <w:rsid w:val="009429E6"/>
    <w:rsid w:val="00942B89"/>
    <w:rsid w:val="00942C56"/>
    <w:rsid w:val="00942C77"/>
    <w:rsid w:val="00942CBB"/>
    <w:rsid w:val="00942D89"/>
    <w:rsid w:val="009431AC"/>
    <w:rsid w:val="00943391"/>
    <w:rsid w:val="009436BE"/>
    <w:rsid w:val="009436F1"/>
    <w:rsid w:val="0094393A"/>
    <w:rsid w:val="00943988"/>
    <w:rsid w:val="00943AAF"/>
    <w:rsid w:val="00944029"/>
    <w:rsid w:val="009441CE"/>
    <w:rsid w:val="00944511"/>
    <w:rsid w:val="00944B58"/>
    <w:rsid w:val="00944BC6"/>
    <w:rsid w:val="00945188"/>
    <w:rsid w:val="0094541D"/>
    <w:rsid w:val="0094590B"/>
    <w:rsid w:val="00945957"/>
    <w:rsid w:val="0094598E"/>
    <w:rsid w:val="00945A5D"/>
    <w:rsid w:val="00945B1D"/>
    <w:rsid w:val="00945BA0"/>
    <w:rsid w:val="00945C1E"/>
    <w:rsid w:val="009461CA"/>
    <w:rsid w:val="00946455"/>
    <w:rsid w:val="00946487"/>
    <w:rsid w:val="00946725"/>
    <w:rsid w:val="009467B0"/>
    <w:rsid w:val="00946CAB"/>
    <w:rsid w:val="00947AA3"/>
    <w:rsid w:val="00947E62"/>
    <w:rsid w:val="00950389"/>
    <w:rsid w:val="00950B97"/>
    <w:rsid w:val="00950C31"/>
    <w:rsid w:val="00950DBA"/>
    <w:rsid w:val="00950FAB"/>
    <w:rsid w:val="009510B6"/>
    <w:rsid w:val="00951189"/>
    <w:rsid w:val="00951403"/>
    <w:rsid w:val="009514E5"/>
    <w:rsid w:val="00951CB3"/>
    <w:rsid w:val="00951DB4"/>
    <w:rsid w:val="009521CF"/>
    <w:rsid w:val="009521FA"/>
    <w:rsid w:val="00952890"/>
    <w:rsid w:val="00952D7E"/>
    <w:rsid w:val="00952DDE"/>
    <w:rsid w:val="009534EF"/>
    <w:rsid w:val="00953777"/>
    <w:rsid w:val="00953DCF"/>
    <w:rsid w:val="00954590"/>
    <w:rsid w:val="00954821"/>
    <w:rsid w:val="009549EF"/>
    <w:rsid w:val="00954E45"/>
    <w:rsid w:val="009552A1"/>
    <w:rsid w:val="00955382"/>
    <w:rsid w:val="00955DD4"/>
    <w:rsid w:val="009560A7"/>
    <w:rsid w:val="00956178"/>
    <w:rsid w:val="00956384"/>
    <w:rsid w:val="00956521"/>
    <w:rsid w:val="00956774"/>
    <w:rsid w:val="00956BC2"/>
    <w:rsid w:val="009570A3"/>
    <w:rsid w:val="009579DA"/>
    <w:rsid w:val="00957E97"/>
    <w:rsid w:val="00960376"/>
    <w:rsid w:val="0096042E"/>
    <w:rsid w:val="00960842"/>
    <w:rsid w:val="00960B7E"/>
    <w:rsid w:val="00961278"/>
    <w:rsid w:val="00961311"/>
    <w:rsid w:val="00961B4F"/>
    <w:rsid w:val="00961BB2"/>
    <w:rsid w:val="00961EA6"/>
    <w:rsid w:val="009621CF"/>
    <w:rsid w:val="0096267F"/>
    <w:rsid w:val="00962713"/>
    <w:rsid w:val="00962795"/>
    <w:rsid w:val="00962A5C"/>
    <w:rsid w:val="00962B2D"/>
    <w:rsid w:val="00962E04"/>
    <w:rsid w:val="00963354"/>
    <w:rsid w:val="00963423"/>
    <w:rsid w:val="009635E9"/>
    <w:rsid w:val="00963611"/>
    <w:rsid w:val="009637A0"/>
    <w:rsid w:val="0096384E"/>
    <w:rsid w:val="009638A9"/>
    <w:rsid w:val="00963984"/>
    <w:rsid w:val="00963D59"/>
    <w:rsid w:val="00963F2F"/>
    <w:rsid w:val="009641DB"/>
    <w:rsid w:val="00964601"/>
    <w:rsid w:val="0096468A"/>
    <w:rsid w:val="00964A6A"/>
    <w:rsid w:val="00964B37"/>
    <w:rsid w:val="009651CC"/>
    <w:rsid w:val="0096537D"/>
    <w:rsid w:val="00965767"/>
    <w:rsid w:val="00965B14"/>
    <w:rsid w:val="00966179"/>
    <w:rsid w:val="0096630D"/>
    <w:rsid w:val="00966333"/>
    <w:rsid w:val="00966B23"/>
    <w:rsid w:val="009672F3"/>
    <w:rsid w:val="00967F46"/>
    <w:rsid w:val="009700CD"/>
    <w:rsid w:val="00970845"/>
    <w:rsid w:val="0097141F"/>
    <w:rsid w:val="0097158E"/>
    <w:rsid w:val="009719E5"/>
    <w:rsid w:val="00971BB2"/>
    <w:rsid w:val="00971D1C"/>
    <w:rsid w:val="00972294"/>
    <w:rsid w:val="0097257F"/>
    <w:rsid w:val="00972A0B"/>
    <w:rsid w:val="00973099"/>
    <w:rsid w:val="0097369E"/>
    <w:rsid w:val="00973A5E"/>
    <w:rsid w:val="00973AE4"/>
    <w:rsid w:val="00973B38"/>
    <w:rsid w:val="00973CA1"/>
    <w:rsid w:val="00973D4F"/>
    <w:rsid w:val="00973F80"/>
    <w:rsid w:val="00974178"/>
    <w:rsid w:val="00974296"/>
    <w:rsid w:val="00974CFD"/>
    <w:rsid w:val="009750E4"/>
    <w:rsid w:val="009750F1"/>
    <w:rsid w:val="00975282"/>
    <w:rsid w:val="00975287"/>
    <w:rsid w:val="009757B1"/>
    <w:rsid w:val="0097598F"/>
    <w:rsid w:val="00975E30"/>
    <w:rsid w:val="0097669A"/>
    <w:rsid w:val="00976D33"/>
    <w:rsid w:val="00976D48"/>
    <w:rsid w:val="0097738B"/>
    <w:rsid w:val="009777EB"/>
    <w:rsid w:val="00977885"/>
    <w:rsid w:val="00977D19"/>
    <w:rsid w:val="00980223"/>
    <w:rsid w:val="00980286"/>
    <w:rsid w:val="009803AC"/>
    <w:rsid w:val="009807C6"/>
    <w:rsid w:val="00980CC5"/>
    <w:rsid w:val="00980E30"/>
    <w:rsid w:val="0098152A"/>
    <w:rsid w:val="00981980"/>
    <w:rsid w:val="00981B64"/>
    <w:rsid w:val="00981D82"/>
    <w:rsid w:val="00981E11"/>
    <w:rsid w:val="00982C4F"/>
    <w:rsid w:val="009831A2"/>
    <w:rsid w:val="00984361"/>
    <w:rsid w:val="009843ED"/>
    <w:rsid w:val="0098449C"/>
    <w:rsid w:val="00984DEE"/>
    <w:rsid w:val="00984E97"/>
    <w:rsid w:val="00985213"/>
    <w:rsid w:val="009853EE"/>
    <w:rsid w:val="00985476"/>
    <w:rsid w:val="00985553"/>
    <w:rsid w:val="00985784"/>
    <w:rsid w:val="009858E8"/>
    <w:rsid w:val="00985BD8"/>
    <w:rsid w:val="009860BF"/>
    <w:rsid w:val="0098655F"/>
    <w:rsid w:val="00986AEC"/>
    <w:rsid w:val="00986B62"/>
    <w:rsid w:val="009872A0"/>
    <w:rsid w:val="00987308"/>
    <w:rsid w:val="009873AF"/>
    <w:rsid w:val="00987765"/>
    <w:rsid w:val="009877B8"/>
    <w:rsid w:val="009878B9"/>
    <w:rsid w:val="00987A01"/>
    <w:rsid w:val="00987AD6"/>
    <w:rsid w:val="009901DA"/>
    <w:rsid w:val="0099026E"/>
    <w:rsid w:val="009904B5"/>
    <w:rsid w:val="0099070F"/>
    <w:rsid w:val="00990711"/>
    <w:rsid w:val="00990E45"/>
    <w:rsid w:val="00991829"/>
    <w:rsid w:val="00991AAF"/>
    <w:rsid w:val="00991FC7"/>
    <w:rsid w:val="00992676"/>
    <w:rsid w:val="0099292F"/>
    <w:rsid w:val="00992BCB"/>
    <w:rsid w:val="0099318B"/>
    <w:rsid w:val="009935CD"/>
    <w:rsid w:val="0099386A"/>
    <w:rsid w:val="009940B9"/>
    <w:rsid w:val="00994124"/>
    <w:rsid w:val="009941D1"/>
    <w:rsid w:val="009944EE"/>
    <w:rsid w:val="00994517"/>
    <w:rsid w:val="0099473D"/>
    <w:rsid w:val="009947EB"/>
    <w:rsid w:val="00994BBD"/>
    <w:rsid w:val="00994CAF"/>
    <w:rsid w:val="00994DEF"/>
    <w:rsid w:val="00994EFB"/>
    <w:rsid w:val="0099552A"/>
    <w:rsid w:val="0099558D"/>
    <w:rsid w:val="00995A09"/>
    <w:rsid w:val="00995BAE"/>
    <w:rsid w:val="00996D44"/>
    <w:rsid w:val="00996F45"/>
    <w:rsid w:val="0099714B"/>
    <w:rsid w:val="00997A18"/>
    <w:rsid w:val="00997EEC"/>
    <w:rsid w:val="009A0153"/>
    <w:rsid w:val="009A04BC"/>
    <w:rsid w:val="009A0644"/>
    <w:rsid w:val="009A0802"/>
    <w:rsid w:val="009A0B26"/>
    <w:rsid w:val="009A0D48"/>
    <w:rsid w:val="009A0DE2"/>
    <w:rsid w:val="009A0E4C"/>
    <w:rsid w:val="009A12F1"/>
    <w:rsid w:val="009A13DB"/>
    <w:rsid w:val="009A1B82"/>
    <w:rsid w:val="009A1BC0"/>
    <w:rsid w:val="009A1BC1"/>
    <w:rsid w:val="009A1CFA"/>
    <w:rsid w:val="009A2360"/>
    <w:rsid w:val="009A2B56"/>
    <w:rsid w:val="009A2B91"/>
    <w:rsid w:val="009A2CE5"/>
    <w:rsid w:val="009A3488"/>
    <w:rsid w:val="009A34EB"/>
    <w:rsid w:val="009A374C"/>
    <w:rsid w:val="009A383B"/>
    <w:rsid w:val="009A384E"/>
    <w:rsid w:val="009A3B00"/>
    <w:rsid w:val="009A4140"/>
    <w:rsid w:val="009A48B2"/>
    <w:rsid w:val="009A48FD"/>
    <w:rsid w:val="009A4A7F"/>
    <w:rsid w:val="009A4D30"/>
    <w:rsid w:val="009A4E0D"/>
    <w:rsid w:val="009A4EF4"/>
    <w:rsid w:val="009A5996"/>
    <w:rsid w:val="009A60C2"/>
    <w:rsid w:val="009A6BC3"/>
    <w:rsid w:val="009A6CFB"/>
    <w:rsid w:val="009A6F52"/>
    <w:rsid w:val="009A70A4"/>
    <w:rsid w:val="009A75F4"/>
    <w:rsid w:val="009A7C91"/>
    <w:rsid w:val="009A7E96"/>
    <w:rsid w:val="009B04BB"/>
    <w:rsid w:val="009B088B"/>
    <w:rsid w:val="009B0B98"/>
    <w:rsid w:val="009B0C59"/>
    <w:rsid w:val="009B0C5D"/>
    <w:rsid w:val="009B1038"/>
    <w:rsid w:val="009B145B"/>
    <w:rsid w:val="009B178D"/>
    <w:rsid w:val="009B18A3"/>
    <w:rsid w:val="009B1FA5"/>
    <w:rsid w:val="009B274A"/>
    <w:rsid w:val="009B27B6"/>
    <w:rsid w:val="009B2826"/>
    <w:rsid w:val="009B2CBB"/>
    <w:rsid w:val="009B2D51"/>
    <w:rsid w:val="009B32B6"/>
    <w:rsid w:val="009B3373"/>
    <w:rsid w:val="009B37B6"/>
    <w:rsid w:val="009B3893"/>
    <w:rsid w:val="009B3E60"/>
    <w:rsid w:val="009B3F69"/>
    <w:rsid w:val="009B49A8"/>
    <w:rsid w:val="009B4D61"/>
    <w:rsid w:val="009B55A8"/>
    <w:rsid w:val="009B59F3"/>
    <w:rsid w:val="009B5A74"/>
    <w:rsid w:val="009B6244"/>
    <w:rsid w:val="009B639E"/>
    <w:rsid w:val="009B700B"/>
    <w:rsid w:val="009B72EF"/>
    <w:rsid w:val="009B786E"/>
    <w:rsid w:val="009B78E4"/>
    <w:rsid w:val="009B7983"/>
    <w:rsid w:val="009B7ABB"/>
    <w:rsid w:val="009B7FA6"/>
    <w:rsid w:val="009C0413"/>
    <w:rsid w:val="009C06EA"/>
    <w:rsid w:val="009C070A"/>
    <w:rsid w:val="009C0CF8"/>
    <w:rsid w:val="009C0DFB"/>
    <w:rsid w:val="009C0EB2"/>
    <w:rsid w:val="009C11BC"/>
    <w:rsid w:val="009C12A4"/>
    <w:rsid w:val="009C1812"/>
    <w:rsid w:val="009C203E"/>
    <w:rsid w:val="009C205B"/>
    <w:rsid w:val="009C23AD"/>
    <w:rsid w:val="009C25E2"/>
    <w:rsid w:val="009C26BA"/>
    <w:rsid w:val="009C2F5F"/>
    <w:rsid w:val="009C306A"/>
    <w:rsid w:val="009C3329"/>
    <w:rsid w:val="009C343E"/>
    <w:rsid w:val="009C3737"/>
    <w:rsid w:val="009C3C65"/>
    <w:rsid w:val="009C3F7B"/>
    <w:rsid w:val="009C407D"/>
    <w:rsid w:val="009C528C"/>
    <w:rsid w:val="009C63C5"/>
    <w:rsid w:val="009C6421"/>
    <w:rsid w:val="009C64AB"/>
    <w:rsid w:val="009C6754"/>
    <w:rsid w:val="009C6B88"/>
    <w:rsid w:val="009C6E3E"/>
    <w:rsid w:val="009C702E"/>
    <w:rsid w:val="009C7454"/>
    <w:rsid w:val="009C74F5"/>
    <w:rsid w:val="009C7589"/>
    <w:rsid w:val="009C79DB"/>
    <w:rsid w:val="009C7D4C"/>
    <w:rsid w:val="009C7D9A"/>
    <w:rsid w:val="009C7E30"/>
    <w:rsid w:val="009D0D10"/>
    <w:rsid w:val="009D0DC7"/>
    <w:rsid w:val="009D0F52"/>
    <w:rsid w:val="009D148A"/>
    <w:rsid w:val="009D1881"/>
    <w:rsid w:val="009D1B54"/>
    <w:rsid w:val="009D1BBD"/>
    <w:rsid w:val="009D1C7C"/>
    <w:rsid w:val="009D1F37"/>
    <w:rsid w:val="009D2744"/>
    <w:rsid w:val="009D2DFE"/>
    <w:rsid w:val="009D2F0D"/>
    <w:rsid w:val="009D31B8"/>
    <w:rsid w:val="009D38CC"/>
    <w:rsid w:val="009D3B75"/>
    <w:rsid w:val="009D4149"/>
    <w:rsid w:val="009D4225"/>
    <w:rsid w:val="009D4471"/>
    <w:rsid w:val="009D4EE2"/>
    <w:rsid w:val="009D525C"/>
    <w:rsid w:val="009D53FD"/>
    <w:rsid w:val="009D58E8"/>
    <w:rsid w:val="009D5BB4"/>
    <w:rsid w:val="009D5DC7"/>
    <w:rsid w:val="009D5F04"/>
    <w:rsid w:val="009D6097"/>
    <w:rsid w:val="009D6551"/>
    <w:rsid w:val="009D674C"/>
    <w:rsid w:val="009D678B"/>
    <w:rsid w:val="009D782D"/>
    <w:rsid w:val="009E0275"/>
    <w:rsid w:val="009E02D4"/>
    <w:rsid w:val="009E037F"/>
    <w:rsid w:val="009E086A"/>
    <w:rsid w:val="009E0966"/>
    <w:rsid w:val="009E0DA5"/>
    <w:rsid w:val="009E0EAE"/>
    <w:rsid w:val="009E10FE"/>
    <w:rsid w:val="009E15E4"/>
    <w:rsid w:val="009E1D38"/>
    <w:rsid w:val="009E1F8F"/>
    <w:rsid w:val="009E205A"/>
    <w:rsid w:val="009E24C4"/>
    <w:rsid w:val="009E2534"/>
    <w:rsid w:val="009E2667"/>
    <w:rsid w:val="009E28F7"/>
    <w:rsid w:val="009E2A0A"/>
    <w:rsid w:val="009E3029"/>
    <w:rsid w:val="009E30F7"/>
    <w:rsid w:val="009E355F"/>
    <w:rsid w:val="009E39CC"/>
    <w:rsid w:val="009E3A22"/>
    <w:rsid w:val="009E3B66"/>
    <w:rsid w:val="009E3D4A"/>
    <w:rsid w:val="009E44D5"/>
    <w:rsid w:val="009E44FE"/>
    <w:rsid w:val="009E45F1"/>
    <w:rsid w:val="009E46BD"/>
    <w:rsid w:val="009E47F7"/>
    <w:rsid w:val="009E4A1D"/>
    <w:rsid w:val="009E4D6B"/>
    <w:rsid w:val="009E50CF"/>
    <w:rsid w:val="009E53D7"/>
    <w:rsid w:val="009E56F9"/>
    <w:rsid w:val="009E58F9"/>
    <w:rsid w:val="009E5C15"/>
    <w:rsid w:val="009E5E70"/>
    <w:rsid w:val="009E6154"/>
    <w:rsid w:val="009E6672"/>
    <w:rsid w:val="009E68D9"/>
    <w:rsid w:val="009E6D64"/>
    <w:rsid w:val="009E6EEA"/>
    <w:rsid w:val="009E7206"/>
    <w:rsid w:val="009E730C"/>
    <w:rsid w:val="009E768D"/>
    <w:rsid w:val="009F036B"/>
    <w:rsid w:val="009F0697"/>
    <w:rsid w:val="009F08C1"/>
    <w:rsid w:val="009F1127"/>
    <w:rsid w:val="009F15BB"/>
    <w:rsid w:val="009F186A"/>
    <w:rsid w:val="009F1A93"/>
    <w:rsid w:val="009F1CD5"/>
    <w:rsid w:val="009F1FA3"/>
    <w:rsid w:val="009F2100"/>
    <w:rsid w:val="009F21A0"/>
    <w:rsid w:val="009F22D1"/>
    <w:rsid w:val="009F267A"/>
    <w:rsid w:val="009F287C"/>
    <w:rsid w:val="009F28C0"/>
    <w:rsid w:val="009F28DA"/>
    <w:rsid w:val="009F2AA8"/>
    <w:rsid w:val="009F2CE6"/>
    <w:rsid w:val="009F383D"/>
    <w:rsid w:val="009F38F7"/>
    <w:rsid w:val="009F3A09"/>
    <w:rsid w:val="009F3E6C"/>
    <w:rsid w:val="009F408F"/>
    <w:rsid w:val="009F424E"/>
    <w:rsid w:val="009F4292"/>
    <w:rsid w:val="009F43A5"/>
    <w:rsid w:val="009F4809"/>
    <w:rsid w:val="009F4C54"/>
    <w:rsid w:val="009F4C9A"/>
    <w:rsid w:val="009F4FD4"/>
    <w:rsid w:val="009F52E0"/>
    <w:rsid w:val="009F5405"/>
    <w:rsid w:val="009F54DD"/>
    <w:rsid w:val="009F5525"/>
    <w:rsid w:val="009F5A03"/>
    <w:rsid w:val="009F5D0D"/>
    <w:rsid w:val="009F613A"/>
    <w:rsid w:val="009F62A2"/>
    <w:rsid w:val="009F6AEE"/>
    <w:rsid w:val="009F6CC3"/>
    <w:rsid w:val="009F6DB3"/>
    <w:rsid w:val="009F6F43"/>
    <w:rsid w:val="009F6F64"/>
    <w:rsid w:val="009F72C5"/>
    <w:rsid w:val="009F72D3"/>
    <w:rsid w:val="009F7427"/>
    <w:rsid w:val="009F7557"/>
    <w:rsid w:val="009F75F9"/>
    <w:rsid w:val="009F7616"/>
    <w:rsid w:val="009F7CCD"/>
    <w:rsid w:val="00A002E2"/>
    <w:rsid w:val="00A00686"/>
    <w:rsid w:val="00A00EA9"/>
    <w:rsid w:val="00A010C7"/>
    <w:rsid w:val="00A01556"/>
    <w:rsid w:val="00A01A4C"/>
    <w:rsid w:val="00A01BC3"/>
    <w:rsid w:val="00A01CA5"/>
    <w:rsid w:val="00A01EB5"/>
    <w:rsid w:val="00A01EFE"/>
    <w:rsid w:val="00A02B3F"/>
    <w:rsid w:val="00A02D82"/>
    <w:rsid w:val="00A02F6F"/>
    <w:rsid w:val="00A03240"/>
    <w:rsid w:val="00A03853"/>
    <w:rsid w:val="00A038C0"/>
    <w:rsid w:val="00A03ABD"/>
    <w:rsid w:val="00A03E61"/>
    <w:rsid w:val="00A03E9D"/>
    <w:rsid w:val="00A03F21"/>
    <w:rsid w:val="00A040E3"/>
    <w:rsid w:val="00A041C6"/>
    <w:rsid w:val="00A043EF"/>
    <w:rsid w:val="00A04411"/>
    <w:rsid w:val="00A049B7"/>
    <w:rsid w:val="00A04BE9"/>
    <w:rsid w:val="00A04C84"/>
    <w:rsid w:val="00A04CF0"/>
    <w:rsid w:val="00A05060"/>
    <w:rsid w:val="00A05195"/>
    <w:rsid w:val="00A0537E"/>
    <w:rsid w:val="00A05A69"/>
    <w:rsid w:val="00A05FB4"/>
    <w:rsid w:val="00A06033"/>
    <w:rsid w:val="00A06303"/>
    <w:rsid w:val="00A06542"/>
    <w:rsid w:val="00A06708"/>
    <w:rsid w:val="00A06D2A"/>
    <w:rsid w:val="00A0707F"/>
    <w:rsid w:val="00A070B7"/>
    <w:rsid w:val="00A071A9"/>
    <w:rsid w:val="00A0780E"/>
    <w:rsid w:val="00A07CAB"/>
    <w:rsid w:val="00A10055"/>
    <w:rsid w:val="00A101FE"/>
    <w:rsid w:val="00A1042F"/>
    <w:rsid w:val="00A10A3B"/>
    <w:rsid w:val="00A10E6E"/>
    <w:rsid w:val="00A10F21"/>
    <w:rsid w:val="00A10F68"/>
    <w:rsid w:val="00A11283"/>
    <w:rsid w:val="00A11823"/>
    <w:rsid w:val="00A11860"/>
    <w:rsid w:val="00A11868"/>
    <w:rsid w:val="00A11989"/>
    <w:rsid w:val="00A11F05"/>
    <w:rsid w:val="00A12146"/>
    <w:rsid w:val="00A12805"/>
    <w:rsid w:val="00A12ADB"/>
    <w:rsid w:val="00A12BA3"/>
    <w:rsid w:val="00A12CA3"/>
    <w:rsid w:val="00A13E02"/>
    <w:rsid w:val="00A13FBF"/>
    <w:rsid w:val="00A142AC"/>
    <w:rsid w:val="00A147B5"/>
    <w:rsid w:val="00A1489B"/>
    <w:rsid w:val="00A14A48"/>
    <w:rsid w:val="00A14B28"/>
    <w:rsid w:val="00A14DC5"/>
    <w:rsid w:val="00A15393"/>
    <w:rsid w:val="00A15439"/>
    <w:rsid w:val="00A15611"/>
    <w:rsid w:val="00A15B22"/>
    <w:rsid w:val="00A15B5A"/>
    <w:rsid w:val="00A15F68"/>
    <w:rsid w:val="00A16081"/>
    <w:rsid w:val="00A163CB"/>
    <w:rsid w:val="00A16CBD"/>
    <w:rsid w:val="00A17152"/>
    <w:rsid w:val="00A17194"/>
    <w:rsid w:val="00A17445"/>
    <w:rsid w:val="00A17844"/>
    <w:rsid w:val="00A17F87"/>
    <w:rsid w:val="00A20982"/>
    <w:rsid w:val="00A20B54"/>
    <w:rsid w:val="00A20E2B"/>
    <w:rsid w:val="00A20F87"/>
    <w:rsid w:val="00A2103B"/>
    <w:rsid w:val="00A210D2"/>
    <w:rsid w:val="00A2144D"/>
    <w:rsid w:val="00A21DCF"/>
    <w:rsid w:val="00A22066"/>
    <w:rsid w:val="00A22985"/>
    <w:rsid w:val="00A22A77"/>
    <w:rsid w:val="00A22BD4"/>
    <w:rsid w:val="00A22C2A"/>
    <w:rsid w:val="00A22C8B"/>
    <w:rsid w:val="00A22E31"/>
    <w:rsid w:val="00A22F30"/>
    <w:rsid w:val="00A2321E"/>
    <w:rsid w:val="00A23445"/>
    <w:rsid w:val="00A236C3"/>
    <w:rsid w:val="00A23E27"/>
    <w:rsid w:val="00A2450E"/>
    <w:rsid w:val="00A24683"/>
    <w:rsid w:val="00A24E73"/>
    <w:rsid w:val="00A25232"/>
    <w:rsid w:val="00A25306"/>
    <w:rsid w:val="00A253BD"/>
    <w:rsid w:val="00A25592"/>
    <w:rsid w:val="00A25BE1"/>
    <w:rsid w:val="00A25E18"/>
    <w:rsid w:val="00A26094"/>
    <w:rsid w:val="00A2616E"/>
    <w:rsid w:val="00A26429"/>
    <w:rsid w:val="00A26492"/>
    <w:rsid w:val="00A2671E"/>
    <w:rsid w:val="00A267AF"/>
    <w:rsid w:val="00A2696E"/>
    <w:rsid w:val="00A26D72"/>
    <w:rsid w:val="00A26FAF"/>
    <w:rsid w:val="00A26FEA"/>
    <w:rsid w:val="00A27032"/>
    <w:rsid w:val="00A2703B"/>
    <w:rsid w:val="00A270E3"/>
    <w:rsid w:val="00A2712A"/>
    <w:rsid w:val="00A2736F"/>
    <w:rsid w:val="00A27412"/>
    <w:rsid w:val="00A2796C"/>
    <w:rsid w:val="00A27A85"/>
    <w:rsid w:val="00A27B57"/>
    <w:rsid w:val="00A30369"/>
    <w:rsid w:val="00A30537"/>
    <w:rsid w:val="00A305B5"/>
    <w:rsid w:val="00A3068D"/>
    <w:rsid w:val="00A30BB0"/>
    <w:rsid w:val="00A31473"/>
    <w:rsid w:val="00A31494"/>
    <w:rsid w:val="00A31587"/>
    <w:rsid w:val="00A315D4"/>
    <w:rsid w:val="00A31825"/>
    <w:rsid w:val="00A3192A"/>
    <w:rsid w:val="00A31AD4"/>
    <w:rsid w:val="00A31B62"/>
    <w:rsid w:val="00A31CBC"/>
    <w:rsid w:val="00A323CC"/>
    <w:rsid w:val="00A32518"/>
    <w:rsid w:val="00A32FA0"/>
    <w:rsid w:val="00A3364F"/>
    <w:rsid w:val="00A33CB0"/>
    <w:rsid w:val="00A33D68"/>
    <w:rsid w:val="00A33D69"/>
    <w:rsid w:val="00A33FF7"/>
    <w:rsid w:val="00A344DD"/>
    <w:rsid w:val="00A34795"/>
    <w:rsid w:val="00A34F22"/>
    <w:rsid w:val="00A35667"/>
    <w:rsid w:val="00A35908"/>
    <w:rsid w:val="00A359EF"/>
    <w:rsid w:val="00A35B61"/>
    <w:rsid w:val="00A36782"/>
    <w:rsid w:val="00A36792"/>
    <w:rsid w:val="00A369B5"/>
    <w:rsid w:val="00A36C2F"/>
    <w:rsid w:val="00A37317"/>
    <w:rsid w:val="00A3748E"/>
    <w:rsid w:val="00A375F4"/>
    <w:rsid w:val="00A3793B"/>
    <w:rsid w:val="00A40067"/>
    <w:rsid w:val="00A40268"/>
    <w:rsid w:val="00A4040A"/>
    <w:rsid w:val="00A4068F"/>
    <w:rsid w:val="00A407B7"/>
    <w:rsid w:val="00A408A0"/>
    <w:rsid w:val="00A40AD2"/>
    <w:rsid w:val="00A40EBC"/>
    <w:rsid w:val="00A40F45"/>
    <w:rsid w:val="00A412C3"/>
    <w:rsid w:val="00A415E6"/>
    <w:rsid w:val="00A417B9"/>
    <w:rsid w:val="00A4192A"/>
    <w:rsid w:val="00A41D00"/>
    <w:rsid w:val="00A41ECE"/>
    <w:rsid w:val="00A42497"/>
    <w:rsid w:val="00A424A7"/>
    <w:rsid w:val="00A42576"/>
    <w:rsid w:val="00A425E6"/>
    <w:rsid w:val="00A42F90"/>
    <w:rsid w:val="00A43291"/>
    <w:rsid w:val="00A433DC"/>
    <w:rsid w:val="00A434FD"/>
    <w:rsid w:val="00A436BE"/>
    <w:rsid w:val="00A43C50"/>
    <w:rsid w:val="00A43D6B"/>
    <w:rsid w:val="00A43F4F"/>
    <w:rsid w:val="00A441FD"/>
    <w:rsid w:val="00A44A5F"/>
    <w:rsid w:val="00A44E1E"/>
    <w:rsid w:val="00A450B4"/>
    <w:rsid w:val="00A451F4"/>
    <w:rsid w:val="00A45C3C"/>
    <w:rsid w:val="00A45DCC"/>
    <w:rsid w:val="00A45E08"/>
    <w:rsid w:val="00A465B5"/>
    <w:rsid w:val="00A46B70"/>
    <w:rsid w:val="00A46EC4"/>
    <w:rsid w:val="00A4702D"/>
    <w:rsid w:val="00A4722D"/>
    <w:rsid w:val="00A475CE"/>
    <w:rsid w:val="00A47605"/>
    <w:rsid w:val="00A47840"/>
    <w:rsid w:val="00A47C2F"/>
    <w:rsid w:val="00A47FDC"/>
    <w:rsid w:val="00A5001D"/>
    <w:rsid w:val="00A5020B"/>
    <w:rsid w:val="00A50822"/>
    <w:rsid w:val="00A50960"/>
    <w:rsid w:val="00A50DFA"/>
    <w:rsid w:val="00A514EA"/>
    <w:rsid w:val="00A51618"/>
    <w:rsid w:val="00A52566"/>
    <w:rsid w:val="00A52909"/>
    <w:rsid w:val="00A5342E"/>
    <w:rsid w:val="00A534A3"/>
    <w:rsid w:val="00A537EE"/>
    <w:rsid w:val="00A538E9"/>
    <w:rsid w:val="00A5394F"/>
    <w:rsid w:val="00A54508"/>
    <w:rsid w:val="00A5470A"/>
    <w:rsid w:val="00A54A1C"/>
    <w:rsid w:val="00A54AC9"/>
    <w:rsid w:val="00A54D37"/>
    <w:rsid w:val="00A552A2"/>
    <w:rsid w:val="00A5548D"/>
    <w:rsid w:val="00A554CB"/>
    <w:rsid w:val="00A55910"/>
    <w:rsid w:val="00A55A2B"/>
    <w:rsid w:val="00A55D68"/>
    <w:rsid w:val="00A55E8B"/>
    <w:rsid w:val="00A56673"/>
    <w:rsid w:val="00A568F8"/>
    <w:rsid w:val="00A56901"/>
    <w:rsid w:val="00A56FC9"/>
    <w:rsid w:val="00A57EDC"/>
    <w:rsid w:val="00A601D6"/>
    <w:rsid w:val="00A60983"/>
    <w:rsid w:val="00A60BE1"/>
    <w:rsid w:val="00A60C4A"/>
    <w:rsid w:val="00A60DD4"/>
    <w:rsid w:val="00A60F7F"/>
    <w:rsid w:val="00A611A9"/>
    <w:rsid w:val="00A611B0"/>
    <w:rsid w:val="00A6170D"/>
    <w:rsid w:val="00A61846"/>
    <w:rsid w:val="00A61BDA"/>
    <w:rsid w:val="00A61FEC"/>
    <w:rsid w:val="00A62973"/>
    <w:rsid w:val="00A632F6"/>
    <w:rsid w:val="00A63431"/>
    <w:rsid w:val="00A63433"/>
    <w:rsid w:val="00A634B1"/>
    <w:rsid w:val="00A63882"/>
    <w:rsid w:val="00A63944"/>
    <w:rsid w:val="00A63AF9"/>
    <w:rsid w:val="00A63F30"/>
    <w:rsid w:val="00A643D6"/>
    <w:rsid w:val="00A64454"/>
    <w:rsid w:val="00A644B3"/>
    <w:rsid w:val="00A64EA8"/>
    <w:rsid w:val="00A651FB"/>
    <w:rsid w:val="00A65415"/>
    <w:rsid w:val="00A655E8"/>
    <w:rsid w:val="00A655F5"/>
    <w:rsid w:val="00A658BB"/>
    <w:rsid w:val="00A66782"/>
    <w:rsid w:val="00A66ABA"/>
    <w:rsid w:val="00A67062"/>
    <w:rsid w:val="00A67347"/>
    <w:rsid w:val="00A67DCE"/>
    <w:rsid w:val="00A7028F"/>
    <w:rsid w:val="00A70A6E"/>
    <w:rsid w:val="00A70AAF"/>
    <w:rsid w:val="00A7119F"/>
    <w:rsid w:val="00A71834"/>
    <w:rsid w:val="00A71949"/>
    <w:rsid w:val="00A71C8F"/>
    <w:rsid w:val="00A71D7E"/>
    <w:rsid w:val="00A71F96"/>
    <w:rsid w:val="00A72221"/>
    <w:rsid w:val="00A72229"/>
    <w:rsid w:val="00A72263"/>
    <w:rsid w:val="00A723F0"/>
    <w:rsid w:val="00A72639"/>
    <w:rsid w:val="00A72684"/>
    <w:rsid w:val="00A726FF"/>
    <w:rsid w:val="00A72BED"/>
    <w:rsid w:val="00A72F42"/>
    <w:rsid w:val="00A73158"/>
    <w:rsid w:val="00A73234"/>
    <w:rsid w:val="00A73D76"/>
    <w:rsid w:val="00A73FA0"/>
    <w:rsid w:val="00A7405A"/>
    <w:rsid w:val="00A74195"/>
    <w:rsid w:val="00A742D9"/>
    <w:rsid w:val="00A7451B"/>
    <w:rsid w:val="00A747EC"/>
    <w:rsid w:val="00A74C0B"/>
    <w:rsid w:val="00A74E5E"/>
    <w:rsid w:val="00A74EEF"/>
    <w:rsid w:val="00A75294"/>
    <w:rsid w:val="00A75645"/>
    <w:rsid w:val="00A75AD1"/>
    <w:rsid w:val="00A75BD2"/>
    <w:rsid w:val="00A75ED5"/>
    <w:rsid w:val="00A7604E"/>
    <w:rsid w:val="00A76151"/>
    <w:rsid w:val="00A761CD"/>
    <w:rsid w:val="00A76216"/>
    <w:rsid w:val="00A765F9"/>
    <w:rsid w:val="00A76769"/>
    <w:rsid w:val="00A76B6B"/>
    <w:rsid w:val="00A76B74"/>
    <w:rsid w:val="00A76B7D"/>
    <w:rsid w:val="00A76C9E"/>
    <w:rsid w:val="00A7729B"/>
    <w:rsid w:val="00A773B0"/>
    <w:rsid w:val="00A7743B"/>
    <w:rsid w:val="00A77701"/>
    <w:rsid w:val="00A80B25"/>
    <w:rsid w:val="00A80CA7"/>
    <w:rsid w:val="00A8108C"/>
    <w:rsid w:val="00A812AE"/>
    <w:rsid w:val="00A8177E"/>
    <w:rsid w:val="00A817BB"/>
    <w:rsid w:val="00A82295"/>
    <w:rsid w:val="00A82308"/>
    <w:rsid w:val="00A824B5"/>
    <w:rsid w:val="00A8262F"/>
    <w:rsid w:val="00A828D0"/>
    <w:rsid w:val="00A829EB"/>
    <w:rsid w:val="00A82B5B"/>
    <w:rsid w:val="00A82F84"/>
    <w:rsid w:val="00A830E1"/>
    <w:rsid w:val="00A83507"/>
    <w:rsid w:val="00A835D1"/>
    <w:rsid w:val="00A838A8"/>
    <w:rsid w:val="00A83AB2"/>
    <w:rsid w:val="00A83EB9"/>
    <w:rsid w:val="00A84135"/>
    <w:rsid w:val="00A842EB"/>
    <w:rsid w:val="00A842F3"/>
    <w:rsid w:val="00A8474E"/>
    <w:rsid w:val="00A8554C"/>
    <w:rsid w:val="00A85F07"/>
    <w:rsid w:val="00A860D2"/>
    <w:rsid w:val="00A86151"/>
    <w:rsid w:val="00A86579"/>
    <w:rsid w:val="00A86687"/>
    <w:rsid w:val="00A86973"/>
    <w:rsid w:val="00A86BD2"/>
    <w:rsid w:val="00A87015"/>
    <w:rsid w:val="00A8711D"/>
    <w:rsid w:val="00A873E1"/>
    <w:rsid w:val="00A87435"/>
    <w:rsid w:val="00A875C2"/>
    <w:rsid w:val="00A87A8F"/>
    <w:rsid w:val="00A87B1C"/>
    <w:rsid w:val="00A87FDE"/>
    <w:rsid w:val="00A90191"/>
    <w:rsid w:val="00A902D0"/>
    <w:rsid w:val="00A90461"/>
    <w:rsid w:val="00A906B9"/>
    <w:rsid w:val="00A909B3"/>
    <w:rsid w:val="00A91F1A"/>
    <w:rsid w:val="00A92071"/>
    <w:rsid w:val="00A92580"/>
    <w:rsid w:val="00A927C3"/>
    <w:rsid w:val="00A92D1A"/>
    <w:rsid w:val="00A92E61"/>
    <w:rsid w:val="00A93122"/>
    <w:rsid w:val="00A936F7"/>
    <w:rsid w:val="00A93904"/>
    <w:rsid w:val="00A93A03"/>
    <w:rsid w:val="00A93A5B"/>
    <w:rsid w:val="00A93A97"/>
    <w:rsid w:val="00A95947"/>
    <w:rsid w:val="00A95A28"/>
    <w:rsid w:val="00A95EF4"/>
    <w:rsid w:val="00A96642"/>
    <w:rsid w:val="00A96BE6"/>
    <w:rsid w:val="00A96FE4"/>
    <w:rsid w:val="00A971B7"/>
    <w:rsid w:val="00A972C0"/>
    <w:rsid w:val="00A97396"/>
    <w:rsid w:val="00A978DF"/>
    <w:rsid w:val="00AA03AD"/>
    <w:rsid w:val="00AA0787"/>
    <w:rsid w:val="00AA0B9C"/>
    <w:rsid w:val="00AA0C43"/>
    <w:rsid w:val="00AA0C6B"/>
    <w:rsid w:val="00AA0DF3"/>
    <w:rsid w:val="00AA1124"/>
    <w:rsid w:val="00AA17BA"/>
    <w:rsid w:val="00AA1942"/>
    <w:rsid w:val="00AA1FF0"/>
    <w:rsid w:val="00AA25D2"/>
    <w:rsid w:val="00AA2863"/>
    <w:rsid w:val="00AA289F"/>
    <w:rsid w:val="00AA2996"/>
    <w:rsid w:val="00AA2AEA"/>
    <w:rsid w:val="00AA2B68"/>
    <w:rsid w:val="00AA2BC2"/>
    <w:rsid w:val="00AA2CF5"/>
    <w:rsid w:val="00AA2FBC"/>
    <w:rsid w:val="00AA3036"/>
    <w:rsid w:val="00AA364C"/>
    <w:rsid w:val="00AA3691"/>
    <w:rsid w:val="00AA3974"/>
    <w:rsid w:val="00AA39B9"/>
    <w:rsid w:val="00AA3A11"/>
    <w:rsid w:val="00AA3F28"/>
    <w:rsid w:val="00AA48B4"/>
    <w:rsid w:val="00AA4FDC"/>
    <w:rsid w:val="00AA51B1"/>
    <w:rsid w:val="00AA52D2"/>
    <w:rsid w:val="00AA53E5"/>
    <w:rsid w:val="00AA576C"/>
    <w:rsid w:val="00AA5992"/>
    <w:rsid w:val="00AA59E3"/>
    <w:rsid w:val="00AA5C7D"/>
    <w:rsid w:val="00AA6338"/>
    <w:rsid w:val="00AA663E"/>
    <w:rsid w:val="00AA6670"/>
    <w:rsid w:val="00AA677A"/>
    <w:rsid w:val="00AA694C"/>
    <w:rsid w:val="00AA72EF"/>
    <w:rsid w:val="00AA7780"/>
    <w:rsid w:val="00AA778F"/>
    <w:rsid w:val="00AA7887"/>
    <w:rsid w:val="00AA7AA2"/>
    <w:rsid w:val="00AB0482"/>
    <w:rsid w:val="00AB04D7"/>
    <w:rsid w:val="00AB0583"/>
    <w:rsid w:val="00AB07B2"/>
    <w:rsid w:val="00AB0D46"/>
    <w:rsid w:val="00AB1447"/>
    <w:rsid w:val="00AB1856"/>
    <w:rsid w:val="00AB1EC1"/>
    <w:rsid w:val="00AB21F2"/>
    <w:rsid w:val="00AB25B1"/>
    <w:rsid w:val="00AB26FD"/>
    <w:rsid w:val="00AB2BF6"/>
    <w:rsid w:val="00AB32C5"/>
    <w:rsid w:val="00AB3302"/>
    <w:rsid w:val="00AB3334"/>
    <w:rsid w:val="00AB340E"/>
    <w:rsid w:val="00AB3422"/>
    <w:rsid w:val="00AB36A4"/>
    <w:rsid w:val="00AB36F2"/>
    <w:rsid w:val="00AB39BF"/>
    <w:rsid w:val="00AB3B04"/>
    <w:rsid w:val="00AB3C52"/>
    <w:rsid w:val="00AB3D2F"/>
    <w:rsid w:val="00AB3D5F"/>
    <w:rsid w:val="00AB3DEA"/>
    <w:rsid w:val="00AB3FA8"/>
    <w:rsid w:val="00AB4162"/>
    <w:rsid w:val="00AB41C4"/>
    <w:rsid w:val="00AB4462"/>
    <w:rsid w:val="00AB45FC"/>
    <w:rsid w:val="00AB468B"/>
    <w:rsid w:val="00AB47EC"/>
    <w:rsid w:val="00AB4ACB"/>
    <w:rsid w:val="00AB4F79"/>
    <w:rsid w:val="00AB4F88"/>
    <w:rsid w:val="00AB513F"/>
    <w:rsid w:val="00AB51EE"/>
    <w:rsid w:val="00AB556C"/>
    <w:rsid w:val="00AB5622"/>
    <w:rsid w:val="00AB5C7E"/>
    <w:rsid w:val="00AB5CCB"/>
    <w:rsid w:val="00AB65DD"/>
    <w:rsid w:val="00AB688E"/>
    <w:rsid w:val="00AB6E06"/>
    <w:rsid w:val="00AB6EF7"/>
    <w:rsid w:val="00AB7054"/>
    <w:rsid w:val="00AB71AF"/>
    <w:rsid w:val="00AB73C3"/>
    <w:rsid w:val="00AB76E4"/>
    <w:rsid w:val="00AB7ED0"/>
    <w:rsid w:val="00AB7ED7"/>
    <w:rsid w:val="00ABE65F"/>
    <w:rsid w:val="00AC028A"/>
    <w:rsid w:val="00AC0561"/>
    <w:rsid w:val="00AC08F0"/>
    <w:rsid w:val="00AC09CB"/>
    <w:rsid w:val="00AC1783"/>
    <w:rsid w:val="00AC1BE6"/>
    <w:rsid w:val="00AC1F76"/>
    <w:rsid w:val="00AC226E"/>
    <w:rsid w:val="00AC23F4"/>
    <w:rsid w:val="00AC3272"/>
    <w:rsid w:val="00AC3848"/>
    <w:rsid w:val="00AC3C26"/>
    <w:rsid w:val="00AC3E57"/>
    <w:rsid w:val="00AC46BA"/>
    <w:rsid w:val="00AC491E"/>
    <w:rsid w:val="00AC4A25"/>
    <w:rsid w:val="00AC4E5F"/>
    <w:rsid w:val="00AC4E80"/>
    <w:rsid w:val="00AC4EFF"/>
    <w:rsid w:val="00AC5070"/>
    <w:rsid w:val="00AC5349"/>
    <w:rsid w:val="00AC5383"/>
    <w:rsid w:val="00AC553F"/>
    <w:rsid w:val="00AC59C0"/>
    <w:rsid w:val="00AC59D7"/>
    <w:rsid w:val="00AC60B2"/>
    <w:rsid w:val="00AC638F"/>
    <w:rsid w:val="00AC64C1"/>
    <w:rsid w:val="00AC6705"/>
    <w:rsid w:val="00AC6774"/>
    <w:rsid w:val="00AC698B"/>
    <w:rsid w:val="00AC6A46"/>
    <w:rsid w:val="00AC6CA7"/>
    <w:rsid w:val="00AC6D82"/>
    <w:rsid w:val="00AC70AE"/>
    <w:rsid w:val="00AC7AC7"/>
    <w:rsid w:val="00AC7F59"/>
    <w:rsid w:val="00AD0794"/>
    <w:rsid w:val="00AD09BA"/>
    <w:rsid w:val="00AD0D2B"/>
    <w:rsid w:val="00AD17A3"/>
    <w:rsid w:val="00AD1A92"/>
    <w:rsid w:val="00AD1D71"/>
    <w:rsid w:val="00AD2025"/>
    <w:rsid w:val="00AD202D"/>
    <w:rsid w:val="00AD22A1"/>
    <w:rsid w:val="00AD2411"/>
    <w:rsid w:val="00AD249D"/>
    <w:rsid w:val="00AD2E63"/>
    <w:rsid w:val="00AD2FB1"/>
    <w:rsid w:val="00AD3337"/>
    <w:rsid w:val="00AD33C4"/>
    <w:rsid w:val="00AD3540"/>
    <w:rsid w:val="00AD3CD2"/>
    <w:rsid w:val="00AD40D7"/>
    <w:rsid w:val="00AD40E3"/>
    <w:rsid w:val="00AD4488"/>
    <w:rsid w:val="00AD455F"/>
    <w:rsid w:val="00AD4590"/>
    <w:rsid w:val="00AD45F7"/>
    <w:rsid w:val="00AD460F"/>
    <w:rsid w:val="00AD47E8"/>
    <w:rsid w:val="00AD48D7"/>
    <w:rsid w:val="00AD4C01"/>
    <w:rsid w:val="00AD4C1B"/>
    <w:rsid w:val="00AD4C41"/>
    <w:rsid w:val="00AD4E3C"/>
    <w:rsid w:val="00AD5212"/>
    <w:rsid w:val="00AD54EE"/>
    <w:rsid w:val="00AD5FE0"/>
    <w:rsid w:val="00AD691E"/>
    <w:rsid w:val="00AD6CA8"/>
    <w:rsid w:val="00AD6CFA"/>
    <w:rsid w:val="00AD6E9C"/>
    <w:rsid w:val="00AD75C8"/>
    <w:rsid w:val="00AD7950"/>
    <w:rsid w:val="00AD798F"/>
    <w:rsid w:val="00AE03F2"/>
    <w:rsid w:val="00AE0665"/>
    <w:rsid w:val="00AE0C8C"/>
    <w:rsid w:val="00AE0DD1"/>
    <w:rsid w:val="00AE0E3E"/>
    <w:rsid w:val="00AE12B1"/>
    <w:rsid w:val="00AE13B0"/>
    <w:rsid w:val="00AE147A"/>
    <w:rsid w:val="00AE1545"/>
    <w:rsid w:val="00AE15A8"/>
    <w:rsid w:val="00AE179F"/>
    <w:rsid w:val="00AE18AA"/>
    <w:rsid w:val="00AE1C40"/>
    <w:rsid w:val="00AE1CDE"/>
    <w:rsid w:val="00AE23AD"/>
    <w:rsid w:val="00AE274A"/>
    <w:rsid w:val="00AE29FD"/>
    <w:rsid w:val="00AE2E58"/>
    <w:rsid w:val="00AE343E"/>
    <w:rsid w:val="00AE35E3"/>
    <w:rsid w:val="00AE36EF"/>
    <w:rsid w:val="00AE3F05"/>
    <w:rsid w:val="00AE4039"/>
    <w:rsid w:val="00AE423B"/>
    <w:rsid w:val="00AE44F5"/>
    <w:rsid w:val="00AE4900"/>
    <w:rsid w:val="00AE4BDE"/>
    <w:rsid w:val="00AE5062"/>
    <w:rsid w:val="00AE52EE"/>
    <w:rsid w:val="00AE55E2"/>
    <w:rsid w:val="00AE5913"/>
    <w:rsid w:val="00AE5E20"/>
    <w:rsid w:val="00AE61A6"/>
    <w:rsid w:val="00AE6761"/>
    <w:rsid w:val="00AE67AF"/>
    <w:rsid w:val="00AE6A87"/>
    <w:rsid w:val="00AE7055"/>
    <w:rsid w:val="00AE706D"/>
    <w:rsid w:val="00AE721E"/>
    <w:rsid w:val="00AE725B"/>
    <w:rsid w:val="00AE7436"/>
    <w:rsid w:val="00AE7A6C"/>
    <w:rsid w:val="00AE7ACE"/>
    <w:rsid w:val="00AF01C9"/>
    <w:rsid w:val="00AF0561"/>
    <w:rsid w:val="00AF056E"/>
    <w:rsid w:val="00AF0ECB"/>
    <w:rsid w:val="00AF0FA6"/>
    <w:rsid w:val="00AF1491"/>
    <w:rsid w:val="00AF1638"/>
    <w:rsid w:val="00AF17CF"/>
    <w:rsid w:val="00AF1874"/>
    <w:rsid w:val="00AF219E"/>
    <w:rsid w:val="00AF2B96"/>
    <w:rsid w:val="00AF34E5"/>
    <w:rsid w:val="00AF3504"/>
    <w:rsid w:val="00AF4065"/>
    <w:rsid w:val="00AF42A2"/>
    <w:rsid w:val="00AF45D7"/>
    <w:rsid w:val="00AF46E6"/>
    <w:rsid w:val="00AF549B"/>
    <w:rsid w:val="00AF56EF"/>
    <w:rsid w:val="00AF5748"/>
    <w:rsid w:val="00AF58F6"/>
    <w:rsid w:val="00AF5A17"/>
    <w:rsid w:val="00AF5BFD"/>
    <w:rsid w:val="00AF5D35"/>
    <w:rsid w:val="00AF5E94"/>
    <w:rsid w:val="00AF604B"/>
    <w:rsid w:val="00AF61F2"/>
    <w:rsid w:val="00AF6410"/>
    <w:rsid w:val="00AF6A23"/>
    <w:rsid w:val="00AF6A2B"/>
    <w:rsid w:val="00AF6ABB"/>
    <w:rsid w:val="00AF6BE6"/>
    <w:rsid w:val="00AF7089"/>
    <w:rsid w:val="00AF70FB"/>
    <w:rsid w:val="00AF73BF"/>
    <w:rsid w:val="00AF7581"/>
    <w:rsid w:val="00AF76FA"/>
    <w:rsid w:val="00AF7AEB"/>
    <w:rsid w:val="00AF7CFF"/>
    <w:rsid w:val="00B0049A"/>
    <w:rsid w:val="00B00C03"/>
    <w:rsid w:val="00B00CBF"/>
    <w:rsid w:val="00B00CD9"/>
    <w:rsid w:val="00B00ED9"/>
    <w:rsid w:val="00B00F0B"/>
    <w:rsid w:val="00B01334"/>
    <w:rsid w:val="00B01548"/>
    <w:rsid w:val="00B01909"/>
    <w:rsid w:val="00B01A1B"/>
    <w:rsid w:val="00B01B2C"/>
    <w:rsid w:val="00B01B69"/>
    <w:rsid w:val="00B01BD0"/>
    <w:rsid w:val="00B01C25"/>
    <w:rsid w:val="00B01DCE"/>
    <w:rsid w:val="00B02993"/>
    <w:rsid w:val="00B035C4"/>
    <w:rsid w:val="00B03F27"/>
    <w:rsid w:val="00B03FF3"/>
    <w:rsid w:val="00B0429C"/>
    <w:rsid w:val="00B04780"/>
    <w:rsid w:val="00B04A01"/>
    <w:rsid w:val="00B04E30"/>
    <w:rsid w:val="00B04EC4"/>
    <w:rsid w:val="00B04F32"/>
    <w:rsid w:val="00B0503D"/>
    <w:rsid w:val="00B051C9"/>
    <w:rsid w:val="00B058F6"/>
    <w:rsid w:val="00B05912"/>
    <w:rsid w:val="00B0628C"/>
    <w:rsid w:val="00B06888"/>
    <w:rsid w:val="00B06997"/>
    <w:rsid w:val="00B06B9D"/>
    <w:rsid w:val="00B06CA4"/>
    <w:rsid w:val="00B06D14"/>
    <w:rsid w:val="00B06F3F"/>
    <w:rsid w:val="00B073D0"/>
    <w:rsid w:val="00B07B90"/>
    <w:rsid w:val="00B07D6A"/>
    <w:rsid w:val="00B100D5"/>
    <w:rsid w:val="00B105D3"/>
    <w:rsid w:val="00B1085A"/>
    <w:rsid w:val="00B10A75"/>
    <w:rsid w:val="00B10F73"/>
    <w:rsid w:val="00B113B9"/>
    <w:rsid w:val="00B11814"/>
    <w:rsid w:val="00B11830"/>
    <w:rsid w:val="00B11A90"/>
    <w:rsid w:val="00B11D58"/>
    <w:rsid w:val="00B12333"/>
    <w:rsid w:val="00B123F8"/>
    <w:rsid w:val="00B12C3B"/>
    <w:rsid w:val="00B12E71"/>
    <w:rsid w:val="00B12EDE"/>
    <w:rsid w:val="00B1305F"/>
    <w:rsid w:val="00B1309D"/>
    <w:rsid w:val="00B1311F"/>
    <w:rsid w:val="00B13793"/>
    <w:rsid w:val="00B13BA2"/>
    <w:rsid w:val="00B13F51"/>
    <w:rsid w:val="00B14023"/>
    <w:rsid w:val="00B146B6"/>
    <w:rsid w:val="00B14B58"/>
    <w:rsid w:val="00B14D9C"/>
    <w:rsid w:val="00B1544C"/>
    <w:rsid w:val="00B154B2"/>
    <w:rsid w:val="00B156F8"/>
    <w:rsid w:val="00B15EB9"/>
    <w:rsid w:val="00B160DA"/>
    <w:rsid w:val="00B16261"/>
    <w:rsid w:val="00B1642A"/>
    <w:rsid w:val="00B168B4"/>
    <w:rsid w:val="00B17276"/>
    <w:rsid w:val="00B172E5"/>
    <w:rsid w:val="00B1789B"/>
    <w:rsid w:val="00B17EF4"/>
    <w:rsid w:val="00B20164"/>
    <w:rsid w:val="00B20412"/>
    <w:rsid w:val="00B20BC0"/>
    <w:rsid w:val="00B20D39"/>
    <w:rsid w:val="00B20ED9"/>
    <w:rsid w:val="00B20F22"/>
    <w:rsid w:val="00B20F7E"/>
    <w:rsid w:val="00B21394"/>
    <w:rsid w:val="00B21555"/>
    <w:rsid w:val="00B216F1"/>
    <w:rsid w:val="00B21862"/>
    <w:rsid w:val="00B21A37"/>
    <w:rsid w:val="00B22000"/>
    <w:rsid w:val="00B22BA2"/>
    <w:rsid w:val="00B23788"/>
    <w:rsid w:val="00B2396A"/>
    <w:rsid w:val="00B23A0F"/>
    <w:rsid w:val="00B23A5A"/>
    <w:rsid w:val="00B23ACE"/>
    <w:rsid w:val="00B23D86"/>
    <w:rsid w:val="00B23E7B"/>
    <w:rsid w:val="00B24421"/>
    <w:rsid w:val="00B24463"/>
    <w:rsid w:val="00B24540"/>
    <w:rsid w:val="00B24831"/>
    <w:rsid w:val="00B24843"/>
    <w:rsid w:val="00B24FE7"/>
    <w:rsid w:val="00B2554F"/>
    <w:rsid w:val="00B25855"/>
    <w:rsid w:val="00B258DC"/>
    <w:rsid w:val="00B25942"/>
    <w:rsid w:val="00B259B1"/>
    <w:rsid w:val="00B25A79"/>
    <w:rsid w:val="00B25D06"/>
    <w:rsid w:val="00B26636"/>
    <w:rsid w:val="00B26722"/>
    <w:rsid w:val="00B26920"/>
    <w:rsid w:val="00B27549"/>
    <w:rsid w:val="00B27AC3"/>
    <w:rsid w:val="00B3006C"/>
    <w:rsid w:val="00B30101"/>
    <w:rsid w:val="00B3022F"/>
    <w:rsid w:val="00B3042C"/>
    <w:rsid w:val="00B30563"/>
    <w:rsid w:val="00B30597"/>
    <w:rsid w:val="00B30904"/>
    <w:rsid w:val="00B30C70"/>
    <w:rsid w:val="00B30D12"/>
    <w:rsid w:val="00B310FC"/>
    <w:rsid w:val="00B31731"/>
    <w:rsid w:val="00B318C1"/>
    <w:rsid w:val="00B319B1"/>
    <w:rsid w:val="00B31DD1"/>
    <w:rsid w:val="00B32400"/>
    <w:rsid w:val="00B32AAA"/>
    <w:rsid w:val="00B32B49"/>
    <w:rsid w:val="00B32B98"/>
    <w:rsid w:val="00B32C39"/>
    <w:rsid w:val="00B336A3"/>
    <w:rsid w:val="00B3395F"/>
    <w:rsid w:val="00B3399C"/>
    <w:rsid w:val="00B343E6"/>
    <w:rsid w:val="00B3447E"/>
    <w:rsid w:val="00B3481C"/>
    <w:rsid w:val="00B34BA9"/>
    <w:rsid w:val="00B34DB8"/>
    <w:rsid w:val="00B3593F"/>
    <w:rsid w:val="00B35955"/>
    <w:rsid w:val="00B35D12"/>
    <w:rsid w:val="00B3625C"/>
    <w:rsid w:val="00B36992"/>
    <w:rsid w:val="00B369B2"/>
    <w:rsid w:val="00B372E2"/>
    <w:rsid w:val="00B378CF"/>
    <w:rsid w:val="00B37C6B"/>
    <w:rsid w:val="00B37D0E"/>
    <w:rsid w:val="00B37F5A"/>
    <w:rsid w:val="00B37FD3"/>
    <w:rsid w:val="00B40516"/>
    <w:rsid w:val="00B4056C"/>
    <w:rsid w:val="00B408D2"/>
    <w:rsid w:val="00B409BB"/>
    <w:rsid w:val="00B40C2A"/>
    <w:rsid w:val="00B41053"/>
    <w:rsid w:val="00B411CF"/>
    <w:rsid w:val="00B412E6"/>
    <w:rsid w:val="00B4133C"/>
    <w:rsid w:val="00B423AD"/>
    <w:rsid w:val="00B42801"/>
    <w:rsid w:val="00B42B0F"/>
    <w:rsid w:val="00B4313D"/>
    <w:rsid w:val="00B432D6"/>
    <w:rsid w:val="00B43331"/>
    <w:rsid w:val="00B433C3"/>
    <w:rsid w:val="00B43AAF"/>
    <w:rsid w:val="00B43BAF"/>
    <w:rsid w:val="00B43FEB"/>
    <w:rsid w:val="00B44017"/>
    <w:rsid w:val="00B4406B"/>
    <w:rsid w:val="00B4416E"/>
    <w:rsid w:val="00B4444A"/>
    <w:rsid w:val="00B44532"/>
    <w:rsid w:val="00B44687"/>
    <w:rsid w:val="00B45006"/>
    <w:rsid w:val="00B45065"/>
    <w:rsid w:val="00B453B3"/>
    <w:rsid w:val="00B46079"/>
    <w:rsid w:val="00B46161"/>
    <w:rsid w:val="00B466A6"/>
    <w:rsid w:val="00B4675C"/>
    <w:rsid w:val="00B469A0"/>
    <w:rsid w:val="00B471F4"/>
    <w:rsid w:val="00B474F9"/>
    <w:rsid w:val="00B47742"/>
    <w:rsid w:val="00B505AD"/>
    <w:rsid w:val="00B50AF1"/>
    <w:rsid w:val="00B50B72"/>
    <w:rsid w:val="00B50EE3"/>
    <w:rsid w:val="00B51180"/>
    <w:rsid w:val="00B513EC"/>
    <w:rsid w:val="00B51666"/>
    <w:rsid w:val="00B516B1"/>
    <w:rsid w:val="00B51A70"/>
    <w:rsid w:val="00B52111"/>
    <w:rsid w:val="00B524F6"/>
    <w:rsid w:val="00B52E60"/>
    <w:rsid w:val="00B530C7"/>
    <w:rsid w:val="00B53D4A"/>
    <w:rsid w:val="00B53FBE"/>
    <w:rsid w:val="00B54390"/>
    <w:rsid w:val="00B548E0"/>
    <w:rsid w:val="00B54C6C"/>
    <w:rsid w:val="00B54CD8"/>
    <w:rsid w:val="00B55252"/>
    <w:rsid w:val="00B55419"/>
    <w:rsid w:val="00B55522"/>
    <w:rsid w:val="00B555F4"/>
    <w:rsid w:val="00B5605F"/>
    <w:rsid w:val="00B561B0"/>
    <w:rsid w:val="00B561BB"/>
    <w:rsid w:val="00B56655"/>
    <w:rsid w:val="00B56C47"/>
    <w:rsid w:val="00B56F44"/>
    <w:rsid w:val="00B57185"/>
    <w:rsid w:val="00B5740D"/>
    <w:rsid w:val="00B576B4"/>
    <w:rsid w:val="00B578E8"/>
    <w:rsid w:val="00B57EE3"/>
    <w:rsid w:val="00B603AC"/>
    <w:rsid w:val="00B605F6"/>
    <w:rsid w:val="00B6066E"/>
    <w:rsid w:val="00B60AAA"/>
    <w:rsid w:val="00B60B9E"/>
    <w:rsid w:val="00B61615"/>
    <w:rsid w:val="00B617A0"/>
    <w:rsid w:val="00B61C24"/>
    <w:rsid w:val="00B61C57"/>
    <w:rsid w:val="00B6202E"/>
    <w:rsid w:val="00B626F1"/>
    <w:rsid w:val="00B626F5"/>
    <w:rsid w:val="00B62A41"/>
    <w:rsid w:val="00B63581"/>
    <w:rsid w:val="00B63A92"/>
    <w:rsid w:val="00B63D2D"/>
    <w:rsid w:val="00B6438C"/>
    <w:rsid w:val="00B64ABF"/>
    <w:rsid w:val="00B64EC2"/>
    <w:rsid w:val="00B64F03"/>
    <w:rsid w:val="00B655F2"/>
    <w:rsid w:val="00B65738"/>
    <w:rsid w:val="00B65C0D"/>
    <w:rsid w:val="00B65C9C"/>
    <w:rsid w:val="00B65D68"/>
    <w:rsid w:val="00B65E74"/>
    <w:rsid w:val="00B65FB2"/>
    <w:rsid w:val="00B66340"/>
    <w:rsid w:val="00B664C5"/>
    <w:rsid w:val="00B66843"/>
    <w:rsid w:val="00B66C03"/>
    <w:rsid w:val="00B66DC0"/>
    <w:rsid w:val="00B6706A"/>
    <w:rsid w:val="00B6713F"/>
    <w:rsid w:val="00B676D5"/>
    <w:rsid w:val="00B67753"/>
    <w:rsid w:val="00B67C9F"/>
    <w:rsid w:val="00B67F82"/>
    <w:rsid w:val="00B67FA6"/>
    <w:rsid w:val="00B703A6"/>
    <w:rsid w:val="00B704E9"/>
    <w:rsid w:val="00B7056D"/>
    <w:rsid w:val="00B70EA7"/>
    <w:rsid w:val="00B70F4A"/>
    <w:rsid w:val="00B713B3"/>
    <w:rsid w:val="00B7179C"/>
    <w:rsid w:val="00B71B33"/>
    <w:rsid w:val="00B71C53"/>
    <w:rsid w:val="00B71D10"/>
    <w:rsid w:val="00B71D17"/>
    <w:rsid w:val="00B71DF3"/>
    <w:rsid w:val="00B7211D"/>
    <w:rsid w:val="00B7219A"/>
    <w:rsid w:val="00B721E1"/>
    <w:rsid w:val="00B721F7"/>
    <w:rsid w:val="00B72E2D"/>
    <w:rsid w:val="00B72E6F"/>
    <w:rsid w:val="00B72EA7"/>
    <w:rsid w:val="00B72F7E"/>
    <w:rsid w:val="00B7303D"/>
    <w:rsid w:val="00B735B6"/>
    <w:rsid w:val="00B738A5"/>
    <w:rsid w:val="00B73EFE"/>
    <w:rsid w:val="00B743AA"/>
    <w:rsid w:val="00B74C8F"/>
    <w:rsid w:val="00B74E06"/>
    <w:rsid w:val="00B74EAD"/>
    <w:rsid w:val="00B74EEE"/>
    <w:rsid w:val="00B75554"/>
    <w:rsid w:val="00B755E0"/>
    <w:rsid w:val="00B75F39"/>
    <w:rsid w:val="00B76004"/>
    <w:rsid w:val="00B7620A"/>
    <w:rsid w:val="00B766F9"/>
    <w:rsid w:val="00B76723"/>
    <w:rsid w:val="00B76BB6"/>
    <w:rsid w:val="00B76E1D"/>
    <w:rsid w:val="00B76E47"/>
    <w:rsid w:val="00B76FD2"/>
    <w:rsid w:val="00B77014"/>
    <w:rsid w:val="00B7760D"/>
    <w:rsid w:val="00B77806"/>
    <w:rsid w:val="00B7783A"/>
    <w:rsid w:val="00B77AC1"/>
    <w:rsid w:val="00B77E9D"/>
    <w:rsid w:val="00B77FC4"/>
    <w:rsid w:val="00B80161"/>
    <w:rsid w:val="00B803C3"/>
    <w:rsid w:val="00B80480"/>
    <w:rsid w:val="00B806CC"/>
    <w:rsid w:val="00B80881"/>
    <w:rsid w:val="00B80B56"/>
    <w:rsid w:val="00B80D2B"/>
    <w:rsid w:val="00B80F22"/>
    <w:rsid w:val="00B80FCE"/>
    <w:rsid w:val="00B8102B"/>
    <w:rsid w:val="00B81B55"/>
    <w:rsid w:val="00B81F09"/>
    <w:rsid w:val="00B82358"/>
    <w:rsid w:val="00B82A01"/>
    <w:rsid w:val="00B82D0E"/>
    <w:rsid w:val="00B831FA"/>
    <w:rsid w:val="00B83C9C"/>
    <w:rsid w:val="00B83FEC"/>
    <w:rsid w:val="00B84045"/>
    <w:rsid w:val="00B84546"/>
    <w:rsid w:val="00B84554"/>
    <w:rsid w:val="00B8463E"/>
    <w:rsid w:val="00B84A4A"/>
    <w:rsid w:val="00B84A74"/>
    <w:rsid w:val="00B84BD8"/>
    <w:rsid w:val="00B84EFD"/>
    <w:rsid w:val="00B852C2"/>
    <w:rsid w:val="00B85C76"/>
    <w:rsid w:val="00B85DDD"/>
    <w:rsid w:val="00B861F8"/>
    <w:rsid w:val="00B86766"/>
    <w:rsid w:val="00B868B0"/>
    <w:rsid w:val="00B86A35"/>
    <w:rsid w:val="00B86BDB"/>
    <w:rsid w:val="00B87596"/>
    <w:rsid w:val="00B878F1"/>
    <w:rsid w:val="00B87B0F"/>
    <w:rsid w:val="00B87BE0"/>
    <w:rsid w:val="00B9038D"/>
    <w:rsid w:val="00B90745"/>
    <w:rsid w:val="00B90790"/>
    <w:rsid w:val="00B908DD"/>
    <w:rsid w:val="00B90A93"/>
    <w:rsid w:val="00B90D2F"/>
    <w:rsid w:val="00B910C4"/>
    <w:rsid w:val="00B91299"/>
    <w:rsid w:val="00B913F8"/>
    <w:rsid w:val="00B91405"/>
    <w:rsid w:val="00B9153A"/>
    <w:rsid w:val="00B9193C"/>
    <w:rsid w:val="00B91B51"/>
    <w:rsid w:val="00B91C78"/>
    <w:rsid w:val="00B91F92"/>
    <w:rsid w:val="00B925D2"/>
    <w:rsid w:val="00B927BD"/>
    <w:rsid w:val="00B9280A"/>
    <w:rsid w:val="00B92D7F"/>
    <w:rsid w:val="00B93540"/>
    <w:rsid w:val="00B93680"/>
    <w:rsid w:val="00B939C1"/>
    <w:rsid w:val="00B93CC4"/>
    <w:rsid w:val="00B93DF4"/>
    <w:rsid w:val="00B94013"/>
    <w:rsid w:val="00B94161"/>
    <w:rsid w:val="00B9417C"/>
    <w:rsid w:val="00B9439E"/>
    <w:rsid w:val="00B9443F"/>
    <w:rsid w:val="00B94465"/>
    <w:rsid w:val="00B944C2"/>
    <w:rsid w:val="00B94DA9"/>
    <w:rsid w:val="00B94E82"/>
    <w:rsid w:val="00B94EE6"/>
    <w:rsid w:val="00B94F3F"/>
    <w:rsid w:val="00B94FDD"/>
    <w:rsid w:val="00B95D24"/>
    <w:rsid w:val="00B95E7E"/>
    <w:rsid w:val="00B96371"/>
    <w:rsid w:val="00B968EE"/>
    <w:rsid w:val="00B96961"/>
    <w:rsid w:val="00B96F18"/>
    <w:rsid w:val="00B9732E"/>
    <w:rsid w:val="00B9741E"/>
    <w:rsid w:val="00B9753C"/>
    <w:rsid w:val="00B9786B"/>
    <w:rsid w:val="00B97C3F"/>
    <w:rsid w:val="00BA0831"/>
    <w:rsid w:val="00BA0DAD"/>
    <w:rsid w:val="00BA138F"/>
    <w:rsid w:val="00BA190D"/>
    <w:rsid w:val="00BA1923"/>
    <w:rsid w:val="00BA1B72"/>
    <w:rsid w:val="00BA1D3F"/>
    <w:rsid w:val="00BA1F4A"/>
    <w:rsid w:val="00BA21D1"/>
    <w:rsid w:val="00BA224E"/>
    <w:rsid w:val="00BA2DAA"/>
    <w:rsid w:val="00BA3414"/>
    <w:rsid w:val="00BA3471"/>
    <w:rsid w:val="00BA3553"/>
    <w:rsid w:val="00BA3712"/>
    <w:rsid w:val="00BA3B44"/>
    <w:rsid w:val="00BA3DEA"/>
    <w:rsid w:val="00BA4CA6"/>
    <w:rsid w:val="00BA4CE0"/>
    <w:rsid w:val="00BA4D61"/>
    <w:rsid w:val="00BA4E37"/>
    <w:rsid w:val="00BA5065"/>
    <w:rsid w:val="00BA5081"/>
    <w:rsid w:val="00BA522C"/>
    <w:rsid w:val="00BA554C"/>
    <w:rsid w:val="00BA57DC"/>
    <w:rsid w:val="00BA5A63"/>
    <w:rsid w:val="00BA5AAC"/>
    <w:rsid w:val="00BA5C42"/>
    <w:rsid w:val="00BA5D05"/>
    <w:rsid w:val="00BA5D09"/>
    <w:rsid w:val="00BA5E30"/>
    <w:rsid w:val="00BA6078"/>
    <w:rsid w:val="00BA627A"/>
    <w:rsid w:val="00BA6CA2"/>
    <w:rsid w:val="00BA755F"/>
    <w:rsid w:val="00BA7669"/>
    <w:rsid w:val="00BA788F"/>
    <w:rsid w:val="00BA7D0B"/>
    <w:rsid w:val="00BACEC3"/>
    <w:rsid w:val="00BB0299"/>
    <w:rsid w:val="00BB07BB"/>
    <w:rsid w:val="00BB08F0"/>
    <w:rsid w:val="00BB08FE"/>
    <w:rsid w:val="00BB0E20"/>
    <w:rsid w:val="00BB0F23"/>
    <w:rsid w:val="00BB0FD7"/>
    <w:rsid w:val="00BB127E"/>
    <w:rsid w:val="00BB1A60"/>
    <w:rsid w:val="00BB1B19"/>
    <w:rsid w:val="00BB1C20"/>
    <w:rsid w:val="00BB1CC9"/>
    <w:rsid w:val="00BB1FE3"/>
    <w:rsid w:val="00BB253D"/>
    <w:rsid w:val="00BB2B23"/>
    <w:rsid w:val="00BB2CE0"/>
    <w:rsid w:val="00BB31D5"/>
    <w:rsid w:val="00BB3817"/>
    <w:rsid w:val="00BB4D15"/>
    <w:rsid w:val="00BB52F2"/>
    <w:rsid w:val="00BB5856"/>
    <w:rsid w:val="00BB5927"/>
    <w:rsid w:val="00BB613D"/>
    <w:rsid w:val="00BB61B9"/>
    <w:rsid w:val="00BB62F2"/>
    <w:rsid w:val="00BB6387"/>
    <w:rsid w:val="00BB66EB"/>
    <w:rsid w:val="00BB6F54"/>
    <w:rsid w:val="00BB73D6"/>
    <w:rsid w:val="00BB7564"/>
    <w:rsid w:val="00BB7F50"/>
    <w:rsid w:val="00BB7F95"/>
    <w:rsid w:val="00BC0259"/>
    <w:rsid w:val="00BC04A3"/>
    <w:rsid w:val="00BC04C3"/>
    <w:rsid w:val="00BC04E4"/>
    <w:rsid w:val="00BC056B"/>
    <w:rsid w:val="00BC0C5F"/>
    <w:rsid w:val="00BC1777"/>
    <w:rsid w:val="00BC1B8B"/>
    <w:rsid w:val="00BC1DD4"/>
    <w:rsid w:val="00BC20B7"/>
    <w:rsid w:val="00BC2801"/>
    <w:rsid w:val="00BC2A50"/>
    <w:rsid w:val="00BC2B6E"/>
    <w:rsid w:val="00BC2EAB"/>
    <w:rsid w:val="00BC2EB1"/>
    <w:rsid w:val="00BC320B"/>
    <w:rsid w:val="00BC3256"/>
    <w:rsid w:val="00BC3375"/>
    <w:rsid w:val="00BC3789"/>
    <w:rsid w:val="00BC3A97"/>
    <w:rsid w:val="00BC3ACE"/>
    <w:rsid w:val="00BC3B88"/>
    <w:rsid w:val="00BC3D4A"/>
    <w:rsid w:val="00BC3DBA"/>
    <w:rsid w:val="00BC3EA0"/>
    <w:rsid w:val="00BC4489"/>
    <w:rsid w:val="00BC4944"/>
    <w:rsid w:val="00BC4BDC"/>
    <w:rsid w:val="00BC5273"/>
    <w:rsid w:val="00BC5809"/>
    <w:rsid w:val="00BC5845"/>
    <w:rsid w:val="00BC58B5"/>
    <w:rsid w:val="00BC644A"/>
    <w:rsid w:val="00BC6A10"/>
    <w:rsid w:val="00BC6A98"/>
    <w:rsid w:val="00BC6D23"/>
    <w:rsid w:val="00BC724A"/>
    <w:rsid w:val="00BC7428"/>
    <w:rsid w:val="00BC784C"/>
    <w:rsid w:val="00BC7A41"/>
    <w:rsid w:val="00BD0153"/>
    <w:rsid w:val="00BD02B7"/>
    <w:rsid w:val="00BD05FC"/>
    <w:rsid w:val="00BD064C"/>
    <w:rsid w:val="00BD08A1"/>
    <w:rsid w:val="00BD0F7B"/>
    <w:rsid w:val="00BD1068"/>
    <w:rsid w:val="00BD1538"/>
    <w:rsid w:val="00BD1737"/>
    <w:rsid w:val="00BD1A16"/>
    <w:rsid w:val="00BD1B47"/>
    <w:rsid w:val="00BD1B89"/>
    <w:rsid w:val="00BD1BF1"/>
    <w:rsid w:val="00BD1C5B"/>
    <w:rsid w:val="00BD22A1"/>
    <w:rsid w:val="00BD2540"/>
    <w:rsid w:val="00BD2603"/>
    <w:rsid w:val="00BD2921"/>
    <w:rsid w:val="00BD306F"/>
    <w:rsid w:val="00BD316C"/>
    <w:rsid w:val="00BD3334"/>
    <w:rsid w:val="00BD3832"/>
    <w:rsid w:val="00BD3930"/>
    <w:rsid w:val="00BD3D20"/>
    <w:rsid w:val="00BD3DC9"/>
    <w:rsid w:val="00BD3DE4"/>
    <w:rsid w:val="00BD3FB7"/>
    <w:rsid w:val="00BD415E"/>
    <w:rsid w:val="00BD4360"/>
    <w:rsid w:val="00BD4717"/>
    <w:rsid w:val="00BD48FB"/>
    <w:rsid w:val="00BD4AA6"/>
    <w:rsid w:val="00BD4AAB"/>
    <w:rsid w:val="00BD4B4B"/>
    <w:rsid w:val="00BD4B60"/>
    <w:rsid w:val="00BD4F40"/>
    <w:rsid w:val="00BD50DB"/>
    <w:rsid w:val="00BD5140"/>
    <w:rsid w:val="00BD565F"/>
    <w:rsid w:val="00BD571E"/>
    <w:rsid w:val="00BD594B"/>
    <w:rsid w:val="00BD5D2A"/>
    <w:rsid w:val="00BD611F"/>
    <w:rsid w:val="00BD70F7"/>
    <w:rsid w:val="00BD7111"/>
    <w:rsid w:val="00BD7375"/>
    <w:rsid w:val="00BD75CF"/>
    <w:rsid w:val="00BD7A4A"/>
    <w:rsid w:val="00BD7B59"/>
    <w:rsid w:val="00BD7FB2"/>
    <w:rsid w:val="00BE061C"/>
    <w:rsid w:val="00BE11D2"/>
    <w:rsid w:val="00BE1342"/>
    <w:rsid w:val="00BE1463"/>
    <w:rsid w:val="00BE148E"/>
    <w:rsid w:val="00BE17F0"/>
    <w:rsid w:val="00BE1AE6"/>
    <w:rsid w:val="00BE1E67"/>
    <w:rsid w:val="00BE2156"/>
    <w:rsid w:val="00BE2AB8"/>
    <w:rsid w:val="00BE2AEC"/>
    <w:rsid w:val="00BE2F1F"/>
    <w:rsid w:val="00BE3504"/>
    <w:rsid w:val="00BE3638"/>
    <w:rsid w:val="00BE3FC8"/>
    <w:rsid w:val="00BE404A"/>
    <w:rsid w:val="00BE40D7"/>
    <w:rsid w:val="00BE4142"/>
    <w:rsid w:val="00BE43EB"/>
    <w:rsid w:val="00BE4EE7"/>
    <w:rsid w:val="00BE5890"/>
    <w:rsid w:val="00BE5976"/>
    <w:rsid w:val="00BE5A2F"/>
    <w:rsid w:val="00BE6158"/>
    <w:rsid w:val="00BE6A24"/>
    <w:rsid w:val="00BE6C3A"/>
    <w:rsid w:val="00BE6CDE"/>
    <w:rsid w:val="00BE6DD1"/>
    <w:rsid w:val="00BE731F"/>
    <w:rsid w:val="00BE732C"/>
    <w:rsid w:val="00BE78BA"/>
    <w:rsid w:val="00BE7D08"/>
    <w:rsid w:val="00BF007D"/>
    <w:rsid w:val="00BF0150"/>
    <w:rsid w:val="00BF03DD"/>
    <w:rsid w:val="00BF05F3"/>
    <w:rsid w:val="00BF08D6"/>
    <w:rsid w:val="00BF0AA0"/>
    <w:rsid w:val="00BF0B26"/>
    <w:rsid w:val="00BF0BA0"/>
    <w:rsid w:val="00BF0D20"/>
    <w:rsid w:val="00BF0E7F"/>
    <w:rsid w:val="00BF0EF0"/>
    <w:rsid w:val="00BF10B2"/>
    <w:rsid w:val="00BF12E0"/>
    <w:rsid w:val="00BF1415"/>
    <w:rsid w:val="00BF29B6"/>
    <w:rsid w:val="00BF3A62"/>
    <w:rsid w:val="00BF3DDB"/>
    <w:rsid w:val="00BF423E"/>
    <w:rsid w:val="00BF4539"/>
    <w:rsid w:val="00BF46B5"/>
    <w:rsid w:val="00BF48CD"/>
    <w:rsid w:val="00BF5072"/>
    <w:rsid w:val="00BF50A7"/>
    <w:rsid w:val="00BF54E5"/>
    <w:rsid w:val="00BF56B7"/>
    <w:rsid w:val="00BF5871"/>
    <w:rsid w:val="00BF5F75"/>
    <w:rsid w:val="00BF67FA"/>
    <w:rsid w:val="00BF6CD4"/>
    <w:rsid w:val="00BF7413"/>
    <w:rsid w:val="00BF7460"/>
    <w:rsid w:val="00BF7E12"/>
    <w:rsid w:val="00BF7E53"/>
    <w:rsid w:val="00BF7FA4"/>
    <w:rsid w:val="00C0011D"/>
    <w:rsid w:val="00C006F4"/>
    <w:rsid w:val="00C007E9"/>
    <w:rsid w:val="00C00B25"/>
    <w:rsid w:val="00C00CE1"/>
    <w:rsid w:val="00C00D28"/>
    <w:rsid w:val="00C00D5C"/>
    <w:rsid w:val="00C01DBD"/>
    <w:rsid w:val="00C022EB"/>
    <w:rsid w:val="00C025F0"/>
    <w:rsid w:val="00C0280B"/>
    <w:rsid w:val="00C03298"/>
    <w:rsid w:val="00C034F7"/>
    <w:rsid w:val="00C038B3"/>
    <w:rsid w:val="00C0418C"/>
    <w:rsid w:val="00C04195"/>
    <w:rsid w:val="00C04284"/>
    <w:rsid w:val="00C042B7"/>
    <w:rsid w:val="00C047A3"/>
    <w:rsid w:val="00C047E5"/>
    <w:rsid w:val="00C04C9B"/>
    <w:rsid w:val="00C05DCA"/>
    <w:rsid w:val="00C060F9"/>
    <w:rsid w:val="00C06165"/>
    <w:rsid w:val="00C061B5"/>
    <w:rsid w:val="00C0649F"/>
    <w:rsid w:val="00C065B6"/>
    <w:rsid w:val="00C06AB4"/>
    <w:rsid w:val="00C06D46"/>
    <w:rsid w:val="00C0705F"/>
    <w:rsid w:val="00C074AF"/>
    <w:rsid w:val="00C07C0D"/>
    <w:rsid w:val="00C07D16"/>
    <w:rsid w:val="00C07E1D"/>
    <w:rsid w:val="00C07ED9"/>
    <w:rsid w:val="00C07F8D"/>
    <w:rsid w:val="00C10159"/>
    <w:rsid w:val="00C11597"/>
    <w:rsid w:val="00C1159A"/>
    <w:rsid w:val="00C118E4"/>
    <w:rsid w:val="00C11B66"/>
    <w:rsid w:val="00C12916"/>
    <w:rsid w:val="00C12C21"/>
    <w:rsid w:val="00C12DA2"/>
    <w:rsid w:val="00C12FD8"/>
    <w:rsid w:val="00C13151"/>
    <w:rsid w:val="00C13382"/>
    <w:rsid w:val="00C13A69"/>
    <w:rsid w:val="00C13FEE"/>
    <w:rsid w:val="00C14625"/>
    <w:rsid w:val="00C14714"/>
    <w:rsid w:val="00C14BDC"/>
    <w:rsid w:val="00C14E2C"/>
    <w:rsid w:val="00C156E7"/>
    <w:rsid w:val="00C15BCB"/>
    <w:rsid w:val="00C15CF6"/>
    <w:rsid w:val="00C15EB0"/>
    <w:rsid w:val="00C16203"/>
    <w:rsid w:val="00C16382"/>
    <w:rsid w:val="00C1692E"/>
    <w:rsid w:val="00C16A3B"/>
    <w:rsid w:val="00C16BB0"/>
    <w:rsid w:val="00C171B2"/>
    <w:rsid w:val="00C1785F"/>
    <w:rsid w:val="00C178C3"/>
    <w:rsid w:val="00C17C2B"/>
    <w:rsid w:val="00C2006F"/>
    <w:rsid w:val="00C206F1"/>
    <w:rsid w:val="00C20E6E"/>
    <w:rsid w:val="00C20FF5"/>
    <w:rsid w:val="00C21047"/>
    <w:rsid w:val="00C2132F"/>
    <w:rsid w:val="00C21397"/>
    <w:rsid w:val="00C216C7"/>
    <w:rsid w:val="00C21A61"/>
    <w:rsid w:val="00C21B55"/>
    <w:rsid w:val="00C22337"/>
    <w:rsid w:val="00C2245C"/>
    <w:rsid w:val="00C2278A"/>
    <w:rsid w:val="00C22881"/>
    <w:rsid w:val="00C22BE5"/>
    <w:rsid w:val="00C22C06"/>
    <w:rsid w:val="00C22C61"/>
    <w:rsid w:val="00C23194"/>
    <w:rsid w:val="00C232A0"/>
    <w:rsid w:val="00C23604"/>
    <w:rsid w:val="00C23A57"/>
    <w:rsid w:val="00C23D57"/>
    <w:rsid w:val="00C23F4D"/>
    <w:rsid w:val="00C23FDA"/>
    <w:rsid w:val="00C24078"/>
    <w:rsid w:val="00C24479"/>
    <w:rsid w:val="00C24541"/>
    <w:rsid w:val="00C248C3"/>
    <w:rsid w:val="00C2497B"/>
    <w:rsid w:val="00C24F25"/>
    <w:rsid w:val="00C24F7E"/>
    <w:rsid w:val="00C2519F"/>
    <w:rsid w:val="00C25255"/>
    <w:rsid w:val="00C2553B"/>
    <w:rsid w:val="00C25A36"/>
    <w:rsid w:val="00C25FBC"/>
    <w:rsid w:val="00C2637D"/>
    <w:rsid w:val="00C26FE7"/>
    <w:rsid w:val="00C272F2"/>
    <w:rsid w:val="00C27348"/>
    <w:rsid w:val="00C27CA7"/>
    <w:rsid w:val="00C30289"/>
    <w:rsid w:val="00C303A4"/>
    <w:rsid w:val="00C31A50"/>
    <w:rsid w:val="00C31E44"/>
    <w:rsid w:val="00C3206E"/>
    <w:rsid w:val="00C32258"/>
    <w:rsid w:val="00C325B2"/>
    <w:rsid w:val="00C326D6"/>
    <w:rsid w:val="00C32972"/>
    <w:rsid w:val="00C32B4C"/>
    <w:rsid w:val="00C32D42"/>
    <w:rsid w:val="00C33075"/>
    <w:rsid w:val="00C33C5D"/>
    <w:rsid w:val="00C33F2D"/>
    <w:rsid w:val="00C3444D"/>
    <w:rsid w:val="00C34826"/>
    <w:rsid w:val="00C34BF9"/>
    <w:rsid w:val="00C352BB"/>
    <w:rsid w:val="00C35927"/>
    <w:rsid w:val="00C359DC"/>
    <w:rsid w:val="00C36F68"/>
    <w:rsid w:val="00C376B1"/>
    <w:rsid w:val="00C376FD"/>
    <w:rsid w:val="00C37EC1"/>
    <w:rsid w:val="00C402B8"/>
    <w:rsid w:val="00C406C5"/>
    <w:rsid w:val="00C40E2D"/>
    <w:rsid w:val="00C41BEF"/>
    <w:rsid w:val="00C41DE1"/>
    <w:rsid w:val="00C41EA0"/>
    <w:rsid w:val="00C4232A"/>
    <w:rsid w:val="00C42A8C"/>
    <w:rsid w:val="00C430FC"/>
    <w:rsid w:val="00C438CB"/>
    <w:rsid w:val="00C43C7F"/>
    <w:rsid w:val="00C4482B"/>
    <w:rsid w:val="00C44C63"/>
    <w:rsid w:val="00C44D75"/>
    <w:rsid w:val="00C44D86"/>
    <w:rsid w:val="00C44D89"/>
    <w:rsid w:val="00C44EB5"/>
    <w:rsid w:val="00C45409"/>
    <w:rsid w:val="00C45675"/>
    <w:rsid w:val="00C45D2A"/>
    <w:rsid w:val="00C46392"/>
    <w:rsid w:val="00C463F7"/>
    <w:rsid w:val="00C46592"/>
    <w:rsid w:val="00C46819"/>
    <w:rsid w:val="00C46A43"/>
    <w:rsid w:val="00C47020"/>
    <w:rsid w:val="00C47152"/>
    <w:rsid w:val="00C472B9"/>
    <w:rsid w:val="00C472DD"/>
    <w:rsid w:val="00C47381"/>
    <w:rsid w:val="00C47454"/>
    <w:rsid w:val="00C47475"/>
    <w:rsid w:val="00C4765C"/>
    <w:rsid w:val="00C47AAA"/>
    <w:rsid w:val="00C47D49"/>
    <w:rsid w:val="00C47F82"/>
    <w:rsid w:val="00C50F18"/>
    <w:rsid w:val="00C50FF8"/>
    <w:rsid w:val="00C51598"/>
    <w:rsid w:val="00C51A13"/>
    <w:rsid w:val="00C51D7C"/>
    <w:rsid w:val="00C51D98"/>
    <w:rsid w:val="00C51D9E"/>
    <w:rsid w:val="00C51F79"/>
    <w:rsid w:val="00C520F3"/>
    <w:rsid w:val="00C5229D"/>
    <w:rsid w:val="00C52531"/>
    <w:rsid w:val="00C5262E"/>
    <w:rsid w:val="00C5271D"/>
    <w:rsid w:val="00C53160"/>
    <w:rsid w:val="00C53633"/>
    <w:rsid w:val="00C53729"/>
    <w:rsid w:val="00C537F5"/>
    <w:rsid w:val="00C538E4"/>
    <w:rsid w:val="00C53C8A"/>
    <w:rsid w:val="00C5420A"/>
    <w:rsid w:val="00C54C1E"/>
    <w:rsid w:val="00C54DFA"/>
    <w:rsid w:val="00C54E9D"/>
    <w:rsid w:val="00C54EB3"/>
    <w:rsid w:val="00C55043"/>
    <w:rsid w:val="00C5581A"/>
    <w:rsid w:val="00C55AC4"/>
    <w:rsid w:val="00C56560"/>
    <w:rsid w:val="00C565E0"/>
    <w:rsid w:val="00C567C1"/>
    <w:rsid w:val="00C57097"/>
    <w:rsid w:val="00C57C01"/>
    <w:rsid w:val="00C57C14"/>
    <w:rsid w:val="00C57D37"/>
    <w:rsid w:val="00C57FA4"/>
    <w:rsid w:val="00C600C6"/>
    <w:rsid w:val="00C602CF"/>
    <w:rsid w:val="00C60315"/>
    <w:rsid w:val="00C603EE"/>
    <w:rsid w:val="00C606A5"/>
    <w:rsid w:val="00C60996"/>
    <w:rsid w:val="00C60998"/>
    <w:rsid w:val="00C612BC"/>
    <w:rsid w:val="00C6221D"/>
    <w:rsid w:val="00C62245"/>
    <w:rsid w:val="00C6258C"/>
    <w:rsid w:val="00C629D3"/>
    <w:rsid w:val="00C62A02"/>
    <w:rsid w:val="00C62A1B"/>
    <w:rsid w:val="00C62F95"/>
    <w:rsid w:val="00C630DE"/>
    <w:rsid w:val="00C6316F"/>
    <w:rsid w:val="00C6320F"/>
    <w:rsid w:val="00C63220"/>
    <w:rsid w:val="00C63B48"/>
    <w:rsid w:val="00C6437E"/>
    <w:rsid w:val="00C64406"/>
    <w:rsid w:val="00C64463"/>
    <w:rsid w:val="00C64516"/>
    <w:rsid w:val="00C6503F"/>
    <w:rsid w:val="00C65057"/>
    <w:rsid w:val="00C65333"/>
    <w:rsid w:val="00C653C0"/>
    <w:rsid w:val="00C65C46"/>
    <w:rsid w:val="00C65CC3"/>
    <w:rsid w:val="00C6663D"/>
    <w:rsid w:val="00C66B0B"/>
    <w:rsid w:val="00C66BAC"/>
    <w:rsid w:val="00C66CCA"/>
    <w:rsid w:val="00C6756C"/>
    <w:rsid w:val="00C67834"/>
    <w:rsid w:val="00C678CD"/>
    <w:rsid w:val="00C679CD"/>
    <w:rsid w:val="00C67A89"/>
    <w:rsid w:val="00C67D72"/>
    <w:rsid w:val="00C7000D"/>
    <w:rsid w:val="00C700C3"/>
    <w:rsid w:val="00C70306"/>
    <w:rsid w:val="00C70932"/>
    <w:rsid w:val="00C70AD5"/>
    <w:rsid w:val="00C70CE0"/>
    <w:rsid w:val="00C70D01"/>
    <w:rsid w:val="00C70D6D"/>
    <w:rsid w:val="00C70F4D"/>
    <w:rsid w:val="00C71076"/>
    <w:rsid w:val="00C712DE"/>
    <w:rsid w:val="00C716F0"/>
    <w:rsid w:val="00C71D00"/>
    <w:rsid w:val="00C71E05"/>
    <w:rsid w:val="00C71EAE"/>
    <w:rsid w:val="00C722FD"/>
    <w:rsid w:val="00C72665"/>
    <w:rsid w:val="00C726DB"/>
    <w:rsid w:val="00C72765"/>
    <w:rsid w:val="00C727AF"/>
    <w:rsid w:val="00C729FF"/>
    <w:rsid w:val="00C72C7E"/>
    <w:rsid w:val="00C730D8"/>
    <w:rsid w:val="00C730DC"/>
    <w:rsid w:val="00C731C7"/>
    <w:rsid w:val="00C73318"/>
    <w:rsid w:val="00C7364D"/>
    <w:rsid w:val="00C73A9D"/>
    <w:rsid w:val="00C73ADD"/>
    <w:rsid w:val="00C73B1B"/>
    <w:rsid w:val="00C73C4A"/>
    <w:rsid w:val="00C73C60"/>
    <w:rsid w:val="00C740BE"/>
    <w:rsid w:val="00C741E6"/>
    <w:rsid w:val="00C746E2"/>
    <w:rsid w:val="00C74B61"/>
    <w:rsid w:val="00C74B95"/>
    <w:rsid w:val="00C74D62"/>
    <w:rsid w:val="00C7531B"/>
    <w:rsid w:val="00C75587"/>
    <w:rsid w:val="00C75C15"/>
    <w:rsid w:val="00C75FE9"/>
    <w:rsid w:val="00C7606F"/>
    <w:rsid w:val="00C760BE"/>
    <w:rsid w:val="00C762F1"/>
    <w:rsid w:val="00C76BC0"/>
    <w:rsid w:val="00C770D3"/>
    <w:rsid w:val="00C77377"/>
    <w:rsid w:val="00C77757"/>
    <w:rsid w:val="00C77815"/>
    <w:rsid w:val="00C7782E"/>
    <w:rsid w:val="00C778B4"/>
    <w:rsid w:val="00C77ABE"/>
    <w:rsid w:val="00C77B90"/>
    <w:rsid w:val="00C77BEC"/>
    <w:rsid w:val="00C77FC0"/>
    <w:rsid w:val="00C80094"/>
    <w:rsid w:val="00C80368"/>
    <w:rsid w:val="00C805C0"/>
    <w:rsid w:val="00C80650"/>
    <w:rsid w:val="00C80985"/>
    <w:rsid w:val="00C80AC9"/>
    <w:rsid w:val="00C80CDF"/>
    <w:rsid w:val="00C8118E"/>
    <w:rsid w:val="00C81AD1"/>
    <w:rsid w:val="00C81C0E"/>
    <w:rsid w:val="00C81DB9"/>
    <w:rsid w:val="00C81EA0"/>
    <w:rsid w:val="00C82073"/>
    <w:rsid w:val="00C823AC"/>
    <w:rsid w:val="00C824BE"/>
    <w:rsid w:val="00C82923"/>
    <w:rsid w:val="00C82A32"/>
    <w:rsid w:val="00C82D1F"/>
    <w:rsid w:val="00C8399E"/>
    <w:rsid w:val="00C83B2E"/>
    <w:rsid w:val="00C83DC0"/>
    <w:rsid w:val="00C84388"/>
    <w:rsid w:val="00C84910"/>
    <w:rsid w:val="00C8499D"/>
    <w:rsid w:val="00C84C83"/>
    <w:rsid w:val="00C85137"/>
    <w:rsid w:val="00C85344"/>
    <w:rsid w:val="00C855B9"/>
    <w:rsid w:val="00C85838"/>
    <w:rsid w:val="00C858C1"/>
    <w:rsid w:val="00C85ADF"/>
    <w:rsid w:val="00C86189"/>
    <w:rsid w:val="00C86483"/>
    <w:rsid w:val="00C86592"/>
    <w:rsid w:val="00C86F41"/>
    <w:rsid w:val="00C87024"/>
    <w:rsid w:val="00C875D8"/>
    <w:rsid w:val="00C87CBF"/>
    <w:rsid w:val="00C90555"/>
    <w:rsid w:val="00C9070B"/>
    <w:rsid w:val="00C90E5E"/>
    <w:rsid w:val="00C913E1"/>
    <w:rsid w:val="00C91B61"/>
    <w:rsid w:val="00C91E8A"/>
    <w:rsid w:val="00C91F6C"/>
    <w:rsid w:val="00C925F4"/>
    <w:rsid w:val="00C92A0F"/>
    <w:rsid w:val="00C92AF3"/>
    <w:rsid w:val="00C92D07"/>
    <w:rsid w:val="00C93436"/>
    <w:rsid w:val="00C93472"/>
    <w:rsid w:val="00C93598"/>
    <w:rsid w:val="00C9386E"/>
    <w:rsid w:val="00C938A1"/>
    <w:rsid w:val="00C93977"/>
    <w:rsid w:val="00C93CFD"/>
    <w:rsid w:val="00C93EAE"/>
    <w:rsid w:val="00C94205"/>
    <w:rsid w:val="00C9436C"/>
    <w:rsid w:val="00C94769"/>
    <w:rsid w:val="00C9496F"/>
    <w:rsid w:val="00C94BCB"/>
    <w:rsid w:val="00C9509D"/>
    <w:rsid w:val="00C95295"/>
    <w:rsid w:val="00C95345"/>
    <w:rsid w:val="00C9547A"/>
    <w:rsid w:val="00C95FCE"/>
    <w:rsid w:val="00C964F3"/>
    <w:rsid w:val="00C966D0"/>
    <w:rsid w:val="00C9676B"/>
    <w:rsid w:val="00C96915"/>
    <w:rsid w:val="00C96DBB"/>
    <w:rsid w:val="00C974E6"/>
    <w:rsid w:val="00C97577"/>
    <w:rsid w:val="00C979AE"/>
    <w:rsid w:val="00C97DB8"/>
    <w:rsid w:val="00C97E3E"/>
    <w:rsid w:val="00CA09D1"/>
    <w:rsid w:val="00CA0B27"/>
    <w:rsid w:val="00CA1002"/>
    <w:rsid w:val="00CA107C"/>
    <w:rsid w:val="00CA17CA"/>
    <w:rsid w:val="00CA1B26"/>
    <w:rsid w:val="00CA241A"/>
    <w:rsid w:val="00CA241F"/>
    <w:rsid w:val="00CA2712"/>
    <w:rsid w:val="00CA2752"/>
    <w:rsid w:val="00CA2E1A"/>
    <w:rsid w:val="00CA3031"/>
    <w:rsid w:val="00CA30F8"/>
    <w:rsid w:val="00CA368A"/>
    <w:rsid w:val="00CA381A"/>
    <w:rsid w:val="00CA3CA2"/>
    <w:rsid w:val="00CA424F"/>
    <w:rsid w:val="00CA430D"/>
    <w:rsid w:val="00CA45CC"/>
    <w:rsid w:val="00CA4A51"/>
    <w:rsid w:val="00CA4E4A"/>
    <w:rsid w:val="00CA52A2"/>
    <w:rsid w:val="00CA55F4"/>
    <w:rsid w:val="00CA5826"/>
    <w:rsid w:val="00CA5A39"/>
    <w:rsid w:val="00CA5BCD"/>
    <w:rsid w:val="00CA6088"/>
    <w:rsid w:val="00CA6634"/>
    <w:rsid w:val="00CA699F"/>
    <w:rsid w:val="00CA6A8E"/>
    <w:rsid w:val="00CA6DC0"/>
    <w:rsid w:val="00CA72AD"/>
    <w:rsid w:val="00CA7957"/>
    <w:rsid w:val="00CA7A1F"/>
    <w:rsid w:val="00CA7CD5"/>
    <w:rsid w:val="00CB0098"/>
    <w:rsid w:val="00CB00F4"/>
    <w:rsid w:val="00CB03B0"/>
    <w:rsid w:val="00CB06C2"/>
    <w:rsid w:val="00CB0737"/>
    <w:rsid w:val="00CB0A77"/>
    <w:rsid w:val="00CB0B00"/>
    <w:rsid w:val="00CB0C83"/>
    <w:rsid w:val="00CB0CA1"/>
    <w:rsid w:val="00CB0F36"/>
    <w:rsid w:val="00CB116C"/>
    <w:rsid w:val="00CB1230"/>
    <w:rsid w:val="00CB18B7"/>
    <w:rsid w:val="00CB1920"/>
    <w:rsid w:val="00CB1C86"/>
    <w:rsid w:val="00CB1DD6"/>
    <w:rsid w:val="00CB1F22"/>
    <w:rsid w:val="00CB2067"/>
    <w:rsid w:val="00CB211F"/>
    <w:rsid w:val="00CB235C"/>
    <w:rsid w:val="00CB23F0"/>
    <w:rsid w:val="00CB2758"/>
    <w:rsid w:val="00CB2824"/>
    <w:rsid w:val="00CB2C3E"/>
    <w:rsid w:val="00CB2EFE"/>
    <w:rsid w:val="00CB3011"/>
    <w:rsid w:val="00CB3057"/>
    <w:rsid w:val="00CB3116"/>
    <w:rsid w:val="00CB31A2"/>
    <w:rsid w:val="00CB31C3"/>
    <w:rsid w:val="00CB33BF"/>
    <w:rsid w:val="00CB38CD"/>
    <w:rsid w:val="00CB426B"/>
    <w:rsid w:val="00CB42E7"/>
    <w:rsid w:val="00CB4592"/>
    <w:rsid w:val="00CB4675"/>
    <w:rsid w:val="00CB47F7"/>
    <w:rsid w:val="00CB4BA7"/>
    <w:rsid w:val="00CB4BE0"/>
    <w:rsid w:val="00CB5132"/>
    <w:rsid w:val="00CB517E"/>
    <w:rsid w:val="00CB5232"/>
    <w:rsid w:val="00CB5350"/>
    <w:rsid w:val="00CB5676"/>
    <w:rsid w:val="00CB5D5E"/>
    <w:rsid w:val="00CB5DEF"/>
    <w:rsid w:val="00CB5F20"/>
    <w:rsid w:val="00CB60A6"/>
    <w:rsid w:val="00CB61AD"/>
    <w:rsid w:val="00CB6399"/>
    <w:rsid w:val="00CB6810"/>
    <w:rsid w:val="00CB6A2D"/>
    <w:rsid w:val="00CB6B26"/>
    <w:rsid w:val="00CB6BCC"/>
    <w:rsid w:val="00CB6CDC"/>
    <w:rsid w:val="00CB6DB3"/>
    <w:rsid w:val="00CB6EAB"/>
    <w:rsid w:val="00CB6EC9"/>
    <w:rsid w:val="00CB730A"/>
    <w:rsid w:val="00CB7413"/>
    <w:rsid w:val="00CB7474"/>
    <w:rsid w:val="00CB74DF"/>
    <w:rsid w:val="00CB7507"/>
    <w:rsid w:val="00CB7B10"/>
    <w:rsid w:val="00CB7B1B"/>
    <w:rsid w:val="00CB7B73"/>
    <w:rsid w:val="00CB7C7A"/>
    <w:rsid w:val="00CB7EBE"/>
    <w:rsid w:val="00CC0C21"/>
    <w:rsid w:val="00CC12DB"/>
    <w:rsid w:val="00CC16DE"/>
    <w:rsid w:val="00CC1A6F"/>
    <w:rsid w:val="00CC1AF1"/>
    <w:rsid w:val="00CC28EA"/>
    <w:rsid w:val="00CC2F27"/>
    <w:rsid w:val="00CC302E"/>
    <w:rsid w:val="00CC304A"/>
    <w:rsid w:val="00CC30F8"/>
    <w:rsid w:val="00CC314B"/>
    <w:rsid w:val="00CC39DD"/>
    <w:rsid w:val="00CC3AAF"/>
    <w:rsid w:val="00CC3FBA"/>
    <w:rsid w:val="00CC4006"/>
    <w:rsid w:val="00CC4094"/>
    <w:rsid w:val="00CC46DC"/>
    <w:rsid w:val="00CC47E0"/>
    <w:rsid w:val="00CC47FC"/>
    <w:rsid w:val="00CC4D2D"/>
    <w:rsid w:val="00CC548C"/>
    <w:rsid w:val="00CC5998"/>
    <w:rsid w:val="00CC5F4F"/>
    <w:rsid w:val="00CC5FE2"/>
    <w:rsid w:val="00CC61F5"/>
    <w:rsid w:val="00CC6280"/>
    <w:rsid w:val="00CC66E6"/>
    <w:rsid w:val="00CC714C"/>
    <w:rsid w:val="00CC7CC6"/>
    <w:rsid w:val="00CD07EA"/>
    <w:rsid w:val="00CD0D2C"/>
    <w:rsid w:val="00CD0EA5"/>
    <w:rsid w:val="00CD1172"/>
    <w:rsid w:val="00CD11AE"/>
    <w:rsid w:val="00CD11BD"/>
    <w:rsid w:val="00CD1650"/>
    <w:rsid w:val="00CD1D85"/>
    <w:rsid w:val="00CD1E49"/>
    <w:rsid w:val="00CD1FCA"/>
    <w:rsid w:val="00CD21A1"/>
    <w:rsid w:val="00CD244A"/>
    <w:rsid w:val="00CD2855"/>
    <w:rsid w:val="00CD28E0"/>
    <w:rsid w:val="00CD2B4D"/>
    <w:rsid w:val="00CD2BDD"/>
    <w:rsid w:val="00CD2F1D"/>
    <w:rsid w:val="00CD2F88"/>
    <w:rsid w:val="00CD31F7"/>
    <w:rsid w:val="00CD33F3"/>
    <w:rsid w:val="00CD373A"/>
    <w:rsid w:val="00CD377D"/>
    <w:rsid w:val="00CD3934"/>
    <w:rsid w:val="00CD3A8C"/>
    <w:rsid w:val="00CD414D"/>
    <w:rsid w:val="00CD46D4"/>
    <w:rsid w:val="00CD4723"/>
    <w:rsid w:val="00CD4C0F"/>
    <w:rsid w:val="00CD5084"/>
    <w:rsid w:val="00CD50CA"/>
    <w:rsid w:val="00CD55CA"/>
    <w:rsid w:val="00CD584C"/>
    <w:rsid w:val="00CD58F1"/>
    <w:rsid w:val="00CD5B0E"/>
    <w:rsid w:val="00CD5CB8"/>
    <w:rsid w:val="00CD5F59"/>
    <w:rsid w:val="00CD7B0C"/>
    <w:rsid w:val="00CD7C5D"/>
    <w:rsid w:val="00CD7CC3"/>
    <w:rsid w:val="00CE0277"/>
    <w:rsid w:val="00CE0482"/>
    <w:rsid w:val="00CE0B40"/>
    <w:rsid w:val="00CE0B4D"/>
    <w:rsid w:val="00CE0DA0"/>
    <w:rsid w:val="00CE0DC5"/>
    <w:rsid w:val="00CE0EB1"/>
    <w:rsid w:val="00CE0F52"/>
    <w:rsid w:val="00CE0FFF"/>
    <w:rsid w:val="00CE1316"/>
    <w:rsid w:val="00CE14D6"/>
    <w:rsid w:val="00CE1BDC"/>
    <w:rsid w:val="00CE1CFF"/>
    <w:rsid w:val="00CE1EFC"/>
    <w:rsid w:val="00CE2196"/>
    <w:rsid w:val="00CE274F"/>
    <w:rsid w:val="00CE28AE"/>
    <w:rsid w:val="00CE2910"/>
    <w:rsid w:val="00CE3758"/>
    <w:rsid w:val="00CE3DEA"/>
    <w:rsid w:val="00CE4118"/>
    <w:rsid w:val="00CE43C0"/>
    <w:rsid w:val="00CE43D0"/>
    <w:rsid w:val="00CE4607"/>
    <w:rsid w:val="00CE4DE1"/>
    <w:rsid w:val="00CE4FAE"/>
    <w:rsid w:val="00CE5902"/>
    <w:rsid w:val="00CE5EDB"/>
    <w:rsid w:val="00CE657B"/>
    <w:rsid w:val="00CE69C0"/>
    <w:rsid w:val="00CE6B44"/>
    <w:rsid w:val="00CE6CDF"/>
    <w:rsid w:val="00CE755B"/>
    <w:rsid w:val="00CE795F"/>
    <w:rsid w:val="00CF02FC"/>
    <w:rsid w:val="00CF0475"/>
    <w:rsid w:val="00CF0522"/>
    <w:rsid w:val="00CF052E"/>
    <w:rsid w:val="00CF126C"/>
    <w:rsid w:val="00CF173A"/>
    <w:rsid w:val="00CF183F"/>
    <w:rsid w:val="00CF1C1C"/>
    <w:rsid w:val="00CF2777"/>
    <w:rsid w:val="00CF31DF"/>
    <w:rsid w:val="00CF32A4"/>
    <w:rsid w:val="00CF34D3"/>
    <w:rsid w:val="00CF355A"/>
    <w:rsid w:val="00CF39B8"/>
    <w:rsid w:val="00CF3A0E"/>
    <w:rsid w:val="00CF3A54"/>
    <w:rsid w:val="00CF3CBD"/>
    <w:rsid w:val="00CF4201"/>
    <w:rsid w:val="00CF432C"/>
    <w:rsid w:val="00CF4802"/>
    <w:rsid w:val="00CF4AF5"/>
    <w:rsid w:val="00CF4AF9"/>
    <w:rsid w:val="00CF4BA1"/>
    <w:rsid w:val="00CF4D98"/>
    <w:rsid w:val="00CF5405"/>
    <w:rsid w:val="00CF5695"/>
    <w:rsid w:val="00CF5A3C"/>
    <w:rsid w:val="00CF5C87"/>
    <w:rsid w:val="00CF5D66"/>
    <w:rsid w:val="00CF5E80"/>
    <w:rsid w:val="00CF6055"/>
    <w:rsid w:val="00CF65A6"/>
    <w:rsid w:val="00CF65B1"/>
    <w:rsid w:val="00CF6666"/>
    <w:rsid w:val="00CF6810"/>
    <w:rsid w:val="00CF6A25"/>
    <w:rsid w:val="00CF6C5C"/>
    <w:rsid w:val="00CF6F8E"/>
    <w:rsid w:val="00CF6FAC"/>
    <w:rsid w:val="00CF7631"/>
    <w:rsid w:val="00CF77F8"/>
    <w:rsid w:val="00CF7B76"/>
    <w:rsid w:val="00CF7DBD"/>
    <w:rsid w:val="00CF7F33"/>
    <w:rsid w:val="00D002F6"/>
    <w:rsid w:val="00D00450"/>
    <w:rsid w:val="00D00929"/>
    <w:rsid w:val="00D00D69"/>
    <w:rsid w:val="00D00E15"/>
    <w:rsid w:val="00D00FD0"/>
    <w:rsid w:val="00D010A4"/>
    <w:rsid w:val="00D01308"/>
    <w:rsid w:val="00D013B8"/>
    <w:rsid w:val="00D013E6"/>
    <w:rsid w:val="00D014C1"/>
    <w:rsid w:val="00D01510"/>
    <w:rsid w:val="00D01ADB"/>
    <w:rsid w:val="00D01C9E"/>
    <w:rsid w:val="00D01DDD"/>
    <w:rsid w:val="00D01FDD"/>
    <w:rsid w:val="00D0282C"/>
    <w:rsid w:val="00D028DB"/>
    <w:rsid w:val="00D02C9A"/>
    <w:rsid w:val="00D02DD2"/>
    <w:rsid w:val="00D02E9E"/>
    <w:rsid w:val="00D02F70"/>
    <w:rsid w:val="00D0316C"/>
    <w:rsid w:val="00D0324B"/>
    <w:rsid w:val="00D03AD1"/>
    <w:rsid w:val="00D03AF4"/>
    <w:rsid w:val="00D03FA4"/>
    <w:rsid w:val="00D040E3"/>
    <w:rsid w:val="00D043D9"/>
    <w:rsid w:val="00D046CF"/>
    <w:rsid w:val="00D047CC"/>
    <w:rsid w:val="00D049A8"/>
    <w:rsid w:val="00D04AE3"/>
    <w:rsid w:val="00D04CB9"/>
    <w:rsid w:val="00D04D92"/>
    <w:rsid w:val="00D050A2"/>
    <w:rsid w:val="00D05A76"/>
    <w:rsid w:val="00D05CA1"/>
    <w:rsid w:val="00D05D92"/>
    <w:rsid w:val="00D05D98"/>
    <w:rsid w:val="00D0615E"/>
    <w:rsid w:val="00D065E7"/>
    <w:rsid w:val="00D06967"/>
    <w:rsid w:val="00D06CD6"/>
    <w:rsid w:val="00D070FA"/>
    <w:rsid w:val="00D071E4"/>
    <w:rsid w:val="00D07434"/>
    <w:rsid w:val="00D078DA"/>
    <w:rsid w:val="00D079C2"/>
    <w:rsid w:val="00D07A00"/>
    <w:rsid w:val="00D101C8"/>
    <w:rsid w:val="00D1022B"/>
    <w:rsid w:val="00D10D6C"/>
    <w:rsid w:val="00D11060"/>
    <w:rsid w:val="00D11422"/>
    <w:rsid w:val="00D11456"/>
    <w:rsid w:val="00D119BB"/>
    <w:rsid w:val="00D11CFA"/>
    <w:rsid w:val="00D11E35"/>
    <w:rsid w:val="00D12256"/>
    <w:rsid w:val="00D1245F"/>
    <w:rsid w:val="00D12800"/>
    <w:rsid w:val="00D12F14"/>
    <w:rsid w:val="00D13075"/>
    <w:rsid w:val="00D130CD"/>
    <w:rsid w:val="00D131A0"/>
    <w:rsid w:val="00D1331A"/>
    <w:rsid w:val="00D1334C"/>
    <w:rsid w:val="00D135ED"/>
    <w:rsid w:val="00D13B8B"/>
    <w:rsid w:val="00D13E16"/>
    <w:rsid w:val="00D13EF0"/>
    <w:rsid w:val="00D14186"/>
    <w:rsid w:val="00D14444"/>
    <w:rsid w:val="00D1473F"/>
    <w:rsid w:val="00D148B6"/>
    <w:rsid w:val="00D14CD5"/>
    <w:rsid w:val="00D14EF8"/>
    <w:rsid w:val="00D150F2"/>
    <w:rsid w:val="00D151B6"/>
    <w:rsid w:val="00D154FF"/>
    <w:rsid w:val="00D1562A"/>
    <w:rsid w:val="00D1564C"/>
    <w:rsid w:val="00D15A73"/>
    <w:rsid w:val="00D15C60"/>
    <w:rsid w:val="00D15DDB"/>
    <w:rsid w:val="00D16090"/>
    <w:rsid w:val="00D16221"/>
    <w:rsid w:val="00D1636C"/>
    <w:rsid w:val="00D16C15"/>
    <w:rsid w:val="00D17515"/>
    <w:rsid w:val="00D17715"/>
    <w:rsid w:val="00D2011C"/>
    <w:rsid w:val="00D2018C"/>
    <w:rsid w:val="00D201D1"/>
    <w:rsid w:val="00D20870"/>
    <w:rsid w:val="00D209C1"/>
    <w:rsid w:val="00D20CF1"/>
    <w:rsid w:val="00D20E9B"/>
    <w:rsid w:val="00D20F78"/>
    <w:rsid w:val="00D2157E"/>
    <w:rsid w:val="00D218BD"/>
    <w:rsid w:val="00D21DEF"/>
    <w:rsid w:val="00D21F21"/>
    <w:rsid w:val="00D22297"/>
    <w:rsid w:val="00D2241C"/>
    <w:rsid w:val="00D22666"/>
    <w:rsid w:val="00D228DA"/>
    <w:rsid w:val="00D22986"/>
    <w:rsid w:val="00D22997"/>
    <w:rsid w:val="00D22AA5"/>
    <w:rsid w:val="00D22C19"/>
    <w:rsid w:val="00D236A9"/>
    <w:rsid w:val="00D236F1"/>
    <w:rsid w:val="00D2378F"/>
    <w:rsid w:val="00D239C4"/>
    <w:rsid w:val="00D23B98"/>
    <w:rsid w:val="00D23C05"/>
    <w:rsid w:val="00D23C0C"/>
    <w:rsid w:val="00D23EEF"/>
    <w:rsid w:val="00D24061"/>
    <w:rsid w:val="00D242DA"/>
    <w:rsid w:val="00D24337"/>
    <w:rsid w:val="00D24574"/>
    <w:rsid w:val="00D2478B"/>
    <w:rsid w:val="00D24B88"/>
    <w:rsid w:val="00D24DB8"/>
    <w:rsid w:val="00D24E02"/>
    <w:rsid w:val="00D24E96"/>
    <w:rsid w:val="00D24E9E"/>
    <w:rsid w:val="00D24EE1"/>
    <w:rsid w:val="00D250D9"/>
    <w:rsid w:val="00D2511C"/>
    <w:rsid w:val="00D25475"/>
    <w:rsid w:val="00D25638"/>
    <w:rsid w:val="00D25949"/>
    <w:rsid w:val="00D259C3"/>
    <w:rsid w:val="00D25E07"/>
    <w:rsid w:val="00D2611E"/>
    <w:rsid w:val="00D26538"/>
    <w:rsid w:val="00D267CF"/>
    <w:rsid w:val="00D268B0"/>
    <w:rsid w:val="00D270A4"/>
    <w:rsid w:val="00D275D1"/>
    <w:rsid w:val="00D2781B"/>
    <w:rsid w:val="00D279C1"/>
    <w:rsid w:val="00D27D0B"/>
    <w:rsid w:val="00D27E5C"/>
    <w:rsid w:val="00D27E92"/>
    <w:rsid w:val="00D27F50"/>
    <w:rsid w:val="00D27FF6"/>
    <w:rsid w:val="00D3039B"/>
    <w:rsid w:val="00D306F8"/>
    <w:rsid w:val="00D316BB"/>
    <w:rsid w:val="00D3180A"/>
    <w:rsid w:val="00D31CE6"/>
    <w:rsid w:val="00D31E26"/>
    <w:rsid w:val="00D32050"/>
    <w:rsid w:val="00D321E5"/>
    <w:rsid w:val="00D32634"/>
    <w:rsid w:val="00D329F4"/>
    <w:rsid w:val="00D32E59"/>
    <w:rsid w:val="00D32F26"/>
    <w:rsid w:val="00D333CE"/>
    <w:rsid w:val="00D334C1"/>
    <w:rsid w:val="00D33643"/>
    <w:rsid w:val="00D33692"/>
    <w:rsid w:val="00D336A8"/>
    <w:rsid w:val="00D338DC"/>
    <w:rsid w:val="00D33C83"/>
    <w:rsid w:val="00D34291"/>
    <w:rsid w:val="00D344C9"/>
    <w:rsid w:val="00D348AD"/>
    <w:rsid w:val="00D34C36"/>
    <w:rsid w:val="00D34CD0"/>
    <w:rsid w:val="00D351E4"/>
    <w:rsid w:val="00D35256"/>
    <w:rsid w:val="00D354FE"/>
    <w:rsid w:val="00D3557A"/>
    <w:rsid w:val="00D356FB"/>
    <w:rsid w:val="00D3581B"/>
    <w:rsid w:val="00D35A34"/>
    <w:rsid w:val="00D35A4D"/>
    <w:rsid w:val="00D35D1F"/>
    <w:rsid w:val="00D35D20"/>
    <w:rsid w:val="00D35DFF"/>
    <w:rsid w:val="00D35E6C"/>
    <w:rsid w:val="00D36383"/>
    <w:rsid w:val="00D36B2E"/>
    <w:rsid w:val="00D37BE3"/>
    <w:rsid w:val="00D4044F"/>
    <w:rsid w:val="00D40743"/>
    <w:rsid w:val="00D4085A"/>
    <w:rsid w:val="00D40D10"/>
    <w:rsid w:val="00D40EB8"/>
    <w:rsid w:val="00D41165"/>
    <w:rsid w:val="00D4127C"/>
    <w:rsid w:val="00D41394"/>
    <w:rsid w:val="00D4167E"/>
    <w:rsid w:val="00D417D6"/>
    <w:rsid w:val="00D41A39"/>
    <w:rsid w:val="00D41CAA"/>
    <w:rsid w:val="00D41E95"/>
    <w:rsid w:val="00D42871"/>
    <w:rsid w:val="00D42D03"/>
    <w:rsid w:val="00D4302C"/>
    <w:rsid w:val="00D432AA"/>
    <w:rsid w:val="00D43600"/>
    <w:rsid w:val="00D43662"/>
    <w:rsid w:val="00D4381F"/>
    <w:rsid w:val="00D43B6F"/>
    <w:rsid w:val="00D43BEB"/>
    <w:rsid w:val="00D43E08"/>
    <w:rsid w:val="00D43FA4"/>
    <w:rsid w:val="00D4447A"/>
    <w:rsid w:val="00D4465A"/>
    <w:rsid w:val="00D44934"/>
    <w:rsid w:val="00D44B68"/>
    <w:rsid w:val="00D44EB9"/>
    <w:rsid w:val="00D4539E"/>
    <w:rsid w:val="00D45635"/>
    <w:rsid w:val="00D45659"/>
    <w:rsid w:val="00D45C6A"/>
    <w:rsid w:val="00D45E48"/>
    <w:rsid w:val="00D45F6F"/>
    <w:rsid w:val="00D463AD"/>
    <w:rsid w:val="00D46453"/>
    <w:rsid w:val="00D46A47"/>
    <w:rsid w:val="00D46C5B"/>
    <w:rsid w:val="00D46F36"/>
    <w:rsid w:val="00D472A4"/>
    <w:rsid w:val="00D479ED"/>
    <w:rsid w:val="00D47CB6"/>
    <w:rsid w:val="00D47D35"/>
    <w:rsid w:val="00D47FFC"/>
    <w:rsid w:val="00D50623"/>
    <w:rsid w:val="00D50826"/>
    <w:rsid w:val="00D509A8"/>
    <w:rsid w:val="00D509CD"/>
    <w:rsid w:val="00D50AF7"/>
    <w:rsid w:val="00D50CEE"/>
    <w:rsid w:val="00D50F57"/>
    <w:rsid w:val="00D514DA"/>
    <w:rsid w:val="00D515CF"/>
    <w:rsid w:val="00D5201B"/>
    <w:rsid w:val="00D522E3"/>
    <w:rsid w:val="00D5239C"/>
    <w:rsid w:val="00D526B5"/>
    <w:rsid w:val="00D52A75"/>
    <w:rsid w:val="00D52BEE"/>
    <w:rsid w:val="00D52D14"/>
    <w:rsid w:val="00D52FEF"/>
    <w:rsid w:val="00D535D4"/>
    <w:rsid w:val="00D53677"/>
    <w:rsid w:val="00D53F05"/>
    <w:rsid w:val="00D53F0C"/>
    <w:rsid w:val="00D5501F"/>
    <w:rsid w:val="00D55C22"/>
    <w:rsid w:val="00D568EE"/>
    <w:rsid w:val="00D56B52"/>
    <w:rsid w:val="00D56BA6"/>
    <w:rsid w:val="00D56EAF"/>
    <w:rsid w:val="00D56EB0"/>
    <w:rsid w:val="00D56FC9"/>
    <w:rsid w:val="00D5742F"/>
    <w:rsid w:val="00D5759E"/>
    <w:rsid w:val="00D575EB"/>
    <w:rsid w:val="00D577EB"/>
    <w:rsid w:val="00D60265"/>
    <w:rsid w:val="00D6053A"/>
    <w:rsid w:val="00D60593"/>
    <w:rsid w:val="00D605C1"/>
    <w:rsid w:val="00D609C3"/>
    <w:rsid w:val="00D60ADB"/>
    <w:rsid w:val="00D60B34"/>
    <w:rsid w:val="00D60CCA"/>
    <w:rsid w:val="00D60E57"/>
    <w:rsid w:val="00D616CE"/>
    <w:rsid w:val="00D6170B"/>
    <w:rsid w:val="00D61B43"/>
    <w:rsid w:val="00D61D60"/>
    <w:rsid w:val="00D61DB5"/>
    <w:rsid w:val="00D62051"/>
    <w:rsid w:val="00D623CD"/>
    <w:rsid w:val="00D628D8"/>
    <w:rsid w:val="00D6295C"/>
    <w:rsid w:val="00D62A48"/>
    <w:rsid w:val="00D62D4F"/>
    <w:rsid w:val="00D63804"/>
    <w:rsid w:val="00D63D00"/>
    <w:rsid w:val="00D63F0E"/>
    <w:rsid w:val="00D63F18"/>
    <w:rsid w:val="00D64264"/>
    <w:rsid w:val="00D64932"/>
    <w:rsid w:val="00D64C00"/>
    <w:rsid w:val="00D655FE"/>
    <w:rsid w:val="00D658E5"/>
    <w:rsid w:val="00D65CB0"/>
    <w:rsid w:val="00D65CE7"/>
    <w:rsid w:val="00D66268"/>
    <w:rsid w:val="00D665BE"/>
    <w:rsid w:val="00D669FD"/>
    <w:rsid w:val="00D66EA1"/>
    <w:rsid w:val="00D671AF"/>
    <w:rsid w:val="00D673BE"/>
    <w:rsid w:val="00D674F0"/>
    <w:rsid w:val="00D67649"/>
    <w:rsid w:val="00D677B5"/>
    <w:rsid w:val="00D67875"/>
    <w:rsid w:val="00D67E2C"/>
    <w:rsid w:val="00D7064F"/>
    <w:rsid w:val="00D70779"/>
    <w:rsid w:val="00D70B07"/>
    <w:rsid w:val="00D71079"/>
    <w:rsid w:val="00D71766"/>
    <w:rsid w:val="00D717A5"/>
    <w:rsid w:val="00D717FB"/>
    <w:rsid w:val="00D719B4"/>
    <w:rsid w:val="00D71B25"/>
    <w:rsid w:val="00D72185"/>
    <w:rsid w:val="00D722F5"/>
    <w:rsid w:val="00D72BBF"/>
    <w:rsid w:val="00D7300F"/>
    <w:rsid w:val="00D7305C"/>
    <w:rsid w:val="00D731CE"/>
    <w:rsid w:val="00D73308"/>
    <w:rsid w:val="00D73327"/>
    <w:rsid w:val="00D737BA"/>
    <w:rsid w:val="00D741C2"/>
    <w:rsid w:val="00D7487B"/>
    <w:rsid w:val="00D7489C"/>
    <w:rsid w:val="00D74978"/>
    <w:rsid w:val="00D74C76"/>
    <w:rsid w:val="00D75C4E"/>
    <w:rsid w:val="00D761EC"/>
    <w:rsid w:val="00D7677E"/>
    <w:rsid w:val="00D76932"/>
    <w:rsid w:val="00D76B9D"/>
    <w:rsid w:val="00D76F40"/>
    <w:rsid w:val="00D77003"/>
    <w:rsid w:val="00D772C0"/>
    <w:rsid w:val="00D7731E"/>
    <w:rsid w:val="00D7769D"/>
    <w:rsid w:val="00D77BC2"/>
    <w:rsid w:val="00D77C45"/>
    <w:rsid w:val="00D77C85"/>
    <w:rsid w:val="00D8008F"/>
    <w:rsid w:val="00D8025D"/>
    <w:rsid w:val="00D808F5"/>
    <w:rsid w:val="00D8094D"/>
    <w:rsid w:val="00D80A3B"/>
    <w:rsid w:val="00D81163"/>
    <w:rsid w:val="00D813FB"/>
    <w:rsid w:val="00D8161C"/>
    <w:rsid w:val="00D816D4"/>
    <w:rsid w:val="00D8175A"/>
    <w:rsid w:val="00D8188A"/>
    <w:rsid w:val="00D81E18"/>
    <w:rsid w:val="00D81EBE"/>
    <w:rsid w:val="00D8231B"/>
    <w:rsid w:val="00D82782"/>
    <w:rsid w:val="00D82833"/>
    <w:rsid w:val="00D831B8"/>
    <w:rsid w:val="00D83250"/>
    <w:rsid w:val="00D833B7"/>
    <w:rsid w:val="00D83D1D"/>
    <w:rsid w:val="00D83E35"/>
    <w:rsid w:val="00D84319"/>
    <w:rsid w:val="00D8438A"/>
    <w:rsid w:val="00D84A1C"/>
    <w:rsid w:val="00D84D1A"/>
    <w:rsid w:val="00D84D5A"/>
    <w:rsid w:val="00D85099"/>
    <w:rsid w:val="00D85282"/>
    <w:rsid w:val="00D85898"/>
    <w:rsid w:val="00D85F16"/>
    <w:rsid w:val="00D86226"/>
    <w:rsid w:val="00D8645B"/>
    <w:rsid w:val="00D86638"/>
    <w:rsid w:val="00D86886"/>
    <w:rsid w:val="00D8691B"/>
    <w:rsid w:val="00D86B6E"/>
    <w:rsid w:val="00D86E13"/>
    <w:rsid w:val="00D86E7B"/>
    <w:rsid w:val="00D8722C"/>
    <w:rsid w:val="00D877BC"/>
    <w:rsid w:val="00D8790C"/>
    <w:rsid w:val="00D87975"/>
    <w:rsid w:val="00D87BCF"/>
    <w:rsid w:val="00D87DF0"/>
    <w:rsid w:val="00D902AD"/>
    <w:rsid w:val="00D909A1"/>
    <w:rsid w:val="00D90D14"/>
    <w:rsid w:val="00D90DC6"/>
    <w:rsid w:val="00D90F40"/>
    <w:rsid w:val="00D9117D"/>
    <w:rsid w:val="00D911D9"/>
    <w:rsid w:val="00D914FE"/>
    <w:rsid w:val="00D919FD"/>
    <w:rsid w:val="00D91B3C"/>
    <w:rsid w:val="00D92084"/>
    <w:rsid w:val="00D92107"/>
    <w:rsid w:val="00D92440"/>
    <w:rsid w:val="00D924A7"/>
    <w:rsid w:val="00D926A9"/>
    <w:rsid w:val="00D92889"/>
    <w:rsid w:val="00D92F1A"/>
    <w:rsid w:val="00D93277"/>
    <w:rsid w:val="00D93699"/>
    <w:rsid w:val="00D93DF6"/>
    <w:rsid w:val="00D93DFA"/>
    <w:rsid w:val="00D93F07"/>
    <w:rsid w:val="00D93FE4"/>
    <w:rsid w:val="00D94354"/>
    <w:rsid w:val="00D9468C"/>
    <w:rsid w:val="00D94909"/>
    <w:rsid w:val="00D949E4"/>
    <w:rsid w:val="00D94A58"/>
    <w:rsid w:val="00D94E7A"/>
    <w:rsid w:val="00D94F9E"/>
    <w:rsid w:val="00D94FDE"/>
    <w:rsid w:val="00D95138"/>
    <w:rsid w:val="00D9520D"/>
    <w:rsid w:val="00D952CD"/>
    <w:rsid w:val="00D9599C"/>
    <w:rsid w:val="00D95A05"/>
    <w:rsid w:val="00D95BC2"/>
    <w:rsid w:val="00D95C1A"/>
    <w:rsid w:val="00D95DB9"/>
    <w:rsid w:val="00D95FDB"/>
    <w:rsid w:val="00D95FEA"/>
    <w:rsid w:val="00D96180"/>
    <w:rsid w:val="00D96241"/>
    <w:rsid w:val="00D96249"/>
    <w:rsid w:val="00D967C6"/>
    <w:rsid w:val="00D96BC9"/>
    <w:rsid w:val="00D97024"/>
    <w:rsid w:val="00D97245"/>
    <w:rsid w:val="00D97403"/>
    <w:rsid w:val="00D97468"/>
    <w:rsid w:val="00D97ADC"/>
    <w:rsid w:val="00DA0158"/>
    <w:rsid w:val="00DA0477"/>
    <w:rsid w:val="00DA0D27"/>
    <w:rsid w:val="00DA1408"/>
    <w:rsid w:val="00DA168D"/>
    <w:rsid w:val="00DA17C1"/>
    <w:rsid w:val="00DA1BCD"/>
    <w:rsid w:val="00DA25D2"/>
    <w:rsid w:val="00DA2896"/>
    <w:rsid w:val="00DA28EB"/>
    <w:rsid w:val="00DA2AC5"/>
    <w:rsid w:val="00DA36F7"/>
    <w:rsid w:val="00DA3A1B"/>
    <w:rsid w:val="00DA3BE3"/>
    <w:rsid w:val="00DA427C"/>
    <w:rsid w:val="00DA4448"/>
    <w:rsid w:val="00DA44C0"/>
    <w:rsid w:val="00DA480E"/>
    <w:rsid w:val="00DA482B"/>
    <w:rsid w:val="00DA49AE"/>
    <w:rsid w:val="00DA4C66"/>
    <w:rsid w:val="00DA4E93"/>
    <w:rsid w:val="00DA500B"/>
    <w:rsid w:val="00DA50B3"/>
    <w:rsid w:val="00DA52BC"/>
    <w:rsid w:val="00DA5591"/>
    <w:rsid w:val="00DA5715"/>
    <w:rsid w:val="00DA5A2B"/>
    <w:rsid w:val="00DA5AD1"/>
    <w:rsid w:val="00DA5D77"/>
    <w:rsid w:val="00DA5DB8"/>
    <w:rsid w:val="00DA67A9"/>
    <w:rsid w:val="00DA72DA"/>
    <w:rsid w:val="00DA7725"/>
    <w:rsid w:val="00DA7F0A"/>
    <w:rsid w:val="00DA7FAD"/>
    <w:rsid w:val="00DB02FC"/>
    <w:rsid w:val="00DB0AD9"/>
    <w:rsid w:val="00DB0E07"/>
    <w:rsid w:val="00DB0E90"/>
    <w:rsid w:val="00DB0F18"/>
    <w:rsid w:val="00DB123F"/>
    <w:rsid w:val="00DB12A8"/>
    <w:rsid w:val="00DB1844"/>
    <w:rsid w:val="00DB19C9"/>
    <w:rsid w:val="00DB1A87"/>
    <w:rsid w:val="00DB1C00"/>
    <w:rsid w:val="00DB1CC5"/>
    <w:rsid w:val="00DB1D8A"/>
    <w:rsid w:val="00DB2090"/>
    <w:rsid w:val="00DB221F"/>
    <w:rsid w:val="00DB267B"/>
    <w:rsid w:val="00DB2D1D"/>
    <w:rsid w:val="00DB2DAB"/>
    <w:rsid w:val="00DB3311"/>
    <w:rsid w:val="00DB384E"/>
    <w:rsid w:val="00DB3BD3"/>
    <w:rsid w:val="00DB3EBB"/>
    <w:rsid w:val="00DB416D"/>
    <w:rsid w:val="00DB41B5"/>
    <w:rsid w:val="00DB42F1"/>
    <w:rsid w:val="00DB4679"/>
    <w:rsid w:val="00DB4BA4"/>
    <w:rsid w:val="00DB5542"/>
    <w:rsid w:val="00DB5646"/>
    <w:rsid w:val="00DB5786"/>
    <w:rsid w:val="00DB5AF1"/>
    <w:rsid w:val="00DB5BED"/>
    <w:rsid w:val="00DB60C3"/>
    <w:rsid w:val="00DB642E"/>
    <w:rsid w:val="00DB675D"/>
    <w:rsid w:val="00DB687B"/>
    <w:rsid w:val="00DB6B7F"/>
    <w:rsid w:val="00DB6E85"/>
    <w:rsid w:val="00DB731F"/>
    <w:rsid w:val="00DB7507"/>
    <w:rsid w:val="00DB78BC"/>
    <w:rsid w:val="00DB7965"/>
    <w:rsid w:val="00DB7F4B"/>
    <w:rsid w:val="00DC006A"/>
    <w:rsid w:val="00DC0A5C"/>
    <w:rsid w:val="00DC0B1D"/>
    <w:rsid w:val="00DC1372"/>
    <w:rsid w:val="00DC1C6F"/>
    <w:rsid w:val="00DC1E97"/>
    <w:rsid w:val="00DC1F71"/>
    <w:rsid w:val="00DC2A19"/>
    <w:rsid w:val="00DC2ACD"/>
    <w:rsid w:val="00DC2CC4"/>
    <w:rsid w:val="00DC36E9"/>
    <w:rsid w:val="00DC3948"/>
    <w:rsid w:val="00DC3DC9"/>
    <w:rsid w:val="00DC3DDA"/>
    <w:rsid w:val="00DC3FCB"/>
    <w:rsid w:val="00DC40B2"/>
    <w:rsid w:val="00DC417D"/>
    <w:rsid w:val="00DC4563"/>
    <w:rsid w:val="00DC49CB"/>
    <w:rsid w:val="00DC4B1D"/>
    <w:rsid w:val="00DC5316"/>
    <w:rsid w:val="00DC539F"/>
    <w:rsid w:val="00DC5740"/>
    <w:rsid w:val="00DC57FE"/>
    <w:rsid w:val="00DC589E"/>
    <w:rsid w:val="00DC6153"/>
    <w:rsid w:val="00DC646A"/>
    <w:rsid w:val="00DC77DF"/>
    <w:rsid w:val="00DD01C2"/>
    <w:rsid w:val="00DD0265"/>
    <w:rsid w:val="00DD0469"/>
    <w:rsid w:val="00DD0626"/>
    <w:rsid w:val="00DD07ED"/>
    <w:rsid w:val="00DD0BD3"/>
    <w:rsid w:val="00DD102D"/>
    <w:rsid w:val="00DD12EA"/>
    <w:rsid w:val="00DD18C2"/>
    <w:rsid w:val="00DD1A53"/>
    <w:rsid w:val="00DD1E9D"/>
    <w:rsid w:val="00DD21DE"/>
    <w:rsid w:val="00DD256E"/>
    <w:rsid w:val="00DD2889"/>
    <w:rsid w:val="00DD2899"/>
    <w:rsid w:val="00DD29B0"/>
    <w:rsid w:val="00DD2CAD"/>
    <w:rsid w:val="00DD33CB"/>
    <w:rsid w:val="00DD3AA5"/>
    <w:rsid w:val="00DD3CE1"/>
    <w:rsid w:val="00DD3D0E"/>
    <w:rsid w:val="00DD4768"/>
    <w:rsid w:val="00DD4771"/>
    <w:rsid w:val="00DD480B"/>
    <w:rsid w:val="00DD4869"/>
    <w:rsid w:val="00DD486C"/>
    <w:rsid w:val="00DD4E93"/>
    <w:rsid w:val="00DD520E"/>
    <w:rsid w:val="00DD5217"/>
    <w:rsid w:val="00DD52C9"/>
    <w:rsid w:val="00DD55BB"/>
    <w:rsid w:val="00DD560C"/>
    <w:rsid w:val="00DD5990"/>
    <w:rsid w:val="00DD5C09"/>
    <w:rsid w:val="00DD6138"/>
    <w:rsid w:val="00DD63BA"/>
    <w:rsid w:val="00DD6AA2"/>
    <w:rsid w:val="00DD6D55"/>
    <w:rsid w:val="00DD6D82"/>
    <w:rsid w:val="00DD6E40"/>
    <w:rsid w:val="00DD6EC6"/>
    <w:rsid w:val="00DD6EC8"/>
    <w:rsid w:val="00DD725F"/>
    <w:rsid w:val="00DD7566"/>
    <w:rsid w:val="00DD769F"/>
    <w:rsid w:val="00DD7908"/>
    <w:rsid w:val="00DD7C51"/>
    <w:rsid w:val="00DD7C53"/>
    <w:rsid w:val="00DD7CF2"/>
    <w:rsid w:val="00DE0490"/>
    <w:rsid w:val="00DE0A34"/>
    <w:rsid w:val="00DE0BDC"/>
    <w:rsid w:val="00DE0C62"/>
    <w:rsid w:val="00DE0CCA"/>
    <w:rsid w:val="00DE0E3A"/>
    <w:rsid w:val="00DE0E5D"/>
    <w:rsid w:val="00DE140B"/>
    <w:rsid w:val="00DE177D"/>
    <w:rsid w:val="00DE19C3"/>
    <w:rsid w:val="00DE1BBA"/>
    <w:rsid w:val="00DE1DAD"/>
    <w:rsid w:val="00DE1FEE"/>
    <w:rsid w:val="00DE20D5"/>
    <w:rsid w:val="00DE2137"/>
    <w:rsid w:val="00DE2A3C"/>
    <w:rsid w:val="00DE2CBA"/>
    <w:rsid w:val="00DE2FEB"/>
    <w:rsid w:val="00DE35F0"/>
    <w:rsid w:val="00DE373B"/>
    <w:rsid w:val="00DE3C13"/>
    <w:rsid w:val="00DE3D5F"/>
    <w:rsid w:val="00DE3E97"/>
    <w:rsid w:val="00DE49CE"/>
    <w:rsid w:val="00DE517F"/>
    <w:rsid w:val="00DE5596"/>
    <w:rsid w:val="00DE5E5A"/>
    <w:rsid w:val="00DE607D"/>
    <w:rsid w:val="00DE6869"/>
    <w:rsid w:val="00DE6AD5"/>
    <w:rsid w:val="00DE6B2D"/>
    <w:rsid w:val="00DE6FB3"/>
    <w:rsid w:val="00DE6FEC"/>
    <w:rsid w:val="00DE7151"/>
    <w:rsid w:val="00DE7C99"/>
    <w:rsid w:val="00DE7E22"/>
    <w:rsid w:val="00DF02E0"/>
    <w:rsid w:val="00DF0385"/>
    <w:rsid w:val="00DF05C5"/>
    <w:rsid w:val="00DF06D3"/>
    <w:rsid w:val="00DF0AA6"/>
    <w:rsid w:val="00DF0B78"/>
    <w:rsid w:val="00DF0EB1"/>
    <w:rsid w:val="00DF0F51"/>
    <w:rsid w:val="00DF12CB"/>
    <w:rsid w:val="00DF13E4"/>
    <w:rsid w:val="00DF1E8C"/>
    <w:rsid w:val="00DF2330"/>
    <w:rsid w:val="00DF278A"/>
    <w:rsid w:val="00DF291C"/>
    <w:rsid w:val="00DF29DA"/>
    <w:rsid w:val="00DF315F"/>
    <w:rsid w:val="00DF3177"/>
    <w:rsid w:val="00DF323F"/>
    <w:rsid w:val="00DF3FF4"/>
    <w:rsid w:val="00DF4037"/>
    <w:rsid w:val="00DF418B"/>
    <w:rsid w:val="00DF427D"/>
    <w:rsid w:val="00DF4F29"/>
    <w:rsid w:val="00DF50BB"/>
    <w:rsid w:val="00DF5319"/>
    <w:rsid w:val="00DF5856"/>
    <w:rsid w:val="00DF59C0"/>
    <w:rsid w:val="00DF5F94"/>
    <w:rsid w:val="00DF620D"/>
    <w:rsid w:val="00DF6FE5"/>
    <w:rsid w:val="00DF7150"/>
    <w:rsid w:val="00DF7247"/>
    <w:rsid w:val="00DF7249"/>
    <w:rsid w:val="00DF72EA"/>
    <w:rsid w:val="00DF73EA"/>
    <w:rsid w:val="00DF7B8F"/>
    <w:rsid w:val="00DF7C7C"/>
    <w:rsid w:val="00DF7CEF"/>
    <w:rsid w:val="00DF7D29"/>
    <w:rsid w:val="00E006BE"/>
    <w:rsid w:val="00E00996"/>
    <w:rsid w:val="00E00A1B"/>
    <w:rsid w:val="00E00BC5"/>
    <w:rsid w:val="00E00D1F"/>
    <w:rsid w:val="00E00ED7"/>
    <w:rsid w:val="00E00F89"/>
    <w:rsid w:val="00E0123A"/>
    <w:rsid w:val="00E013BA"/>
    <w:rsid w:val="00E013EB"/>
    <w:rsid w:val="00E0175B"/>
    <w:rsid w:val="00E0192D"/>
    <w:rsid w:val="00E01C82"/>
    <w:rsid w:val="00E02140"/>
    <w:rsid w:val="00E021A4"/>
    <w:rsid w:val="00E0224C"/>
    <w:rsid w:val="00E02789"/>
    <w:rsid w:val="00E02A56"/>
    <w:rsid w:val="00E02A89"/>
    <w:rsid w:val="00E02B7B"/>
    <w:rsid w:val="00E02CFF"/>
    <w:rsid w:val="00E02E62"/>
    <w:rsid w:val="00E0348E"/>
    <w:rsid w:val="00E034E1"/>
    <w:rsid w:val="00E0352B"/>
    <w:rsid w:val="00E03560"/>
    <w:rsid w:val="00E03902"/>
    <w:rsid w:val="00E03A8D"/>
    <w:rsid w:val="00E03E18"/>
    <w:rsid w:val="00E04BE2"/>
    <w:rsid w:val="00E04D35"/>
    <w:rsid w:val="00E04D67"/>
    <w:rsid w:val="00E05211"/>
    <w:rsid w:val="00E05731"/>
    <w:rsid w:val="00E05D13"/>
    <w:rsid w:val="00E0601C"/>
    <w:rsid w:val="00E060C3"/>
    <w:rsid w:val="00E064FC"/>
    <w:rsid w:val="00E068BE"/>
    <w:rsid w:val="00E068CD"/>
    <w:rsid w:val="00E0744B"/>
    <w:rsid w:val="00E07C7B"/>
    <w:rsid w:val="00E10026"/>
    <w:rsid w:val="00E101D6"/>
    <w:rsid w:val="00E10579"/>
    <w:rsid w:val="00E109E7"/>
    <w:rsid w:val="00E10F3D"/>
    <w:rsid w:val="00E1149F"/>
    <w:rsid w:val="00E1160A"/>
    <w:rsid w:val="00E116C1"/>
    <w:rsid w:val="00E118B5"/>
    <w:rsid w:val="00E1199A"/>
    <w:rsid w:val="00E11CBF"/>
    <w:rsid w:val="00E11E2C"/>
    <w:rsid w:val="00E11FB6"/>
    <w:rsid w:val="00E121E8"/>
    <w:rsid w:val="00E1251C"/>
    <w:rsid w:val="00E125DF"/>
    <w:rsid w:val="00E125FF"/>
    <w:rsid w:val="00E133C2"/>
    <w:rsid w:val="00E13610"/>
    <w:rsid w:val="00E13747"/>
    <w:rsid w:val="00E13867"/>
    <w:rsid w:val="00E13EAD"/>
    <w:rsid w:val="00E144B4"/>
    <w:rsid w:val="00E14951"/>
    <w:rsid w:val="00E14D62"/>
    <w:rsid w:val="00E15207"/>
    <w:rsid w:val="00E15A8B"/>
    <w:rsid w:val="00E15D48"/>
    <w:rsid w:val="00E1631A"/>
    <w:rsid w:val="00E16709"/>
    <w:rsid w:val="00E16C8E"/>
    <w:rsid w:val="00E16F38"/>
    <w:rsid w:val="00E16F86"/>
    <w:rsid w:val="00E17174"/>
    <w:rsid w:val="00E176D0"/>
    <w:rsid w:val="00E17A57"/>
    <w:rsid w:val="00E17DFD"/>
    <w:rsid w:val="00E17EBD"/>
    <w:rsid w:val="00E201B2"/>
    <w:rsid w:val="00E204D8"/>
    <w:rsid w:val="00E20817"/>
    <w:rsid w:val="00E20A32"/>
    <w:rsid w:val="00E20BFB"/>
    <w:rsid w:val="00E20D7D"/>
    <w:rsid w:val="00E20F35"/>
    <w:rsid w:val="00E2147D"/>
    <w:rsid w:val="00E217B6"/>
    <w:rsid w:val="00E218E7"/>
    <w:rsid w:val="00E21974"/>
    <w:rsid w:val="00E21A71"/>
    <w:rsid w:val="00E21A81"/>
    <w:rsid w:val="00E21D8C"/>
    <w:rsid w:val="00E21EF9"/>
    <w:rsid w:val="00E21F31"/>
    <w:rsid w:val="00E21F70"/>
    <w:rsid w:val="00E2204C"/>
    <w:rsid w:val="00E22243"/>
    <w:rsid w:val="00E22407"/>
    <w:rsid w:val="00E2248F"/>
    <w:rsid w:val="00E22628"/>
    <w:rsid w:val="00E22A82"/>
    <w:rsid w:val="00E22FDA"/>
    <w:rsid w:val="00E2305E"/>
    <w:rsid w:val="00E23278"/>
    <w:rsid w:val="00E23313"/>
    <w:rsid w:val="00E23D8C"/>
    <w:rsid w:val="00E24257"/>
    <w:rsid w:val="00E24299"/>
    <w:rsid w:val="00E243EE"/>
    <w:rsid w:val="00E24467"/>
    <w:rsid w:val="00E24909"/>
    <w:rsid w:val="00E2499B"/>
    <w:rsid w:val="00E24FBD"/>
    <w:rsid w:val="00E256FE"/>
    <w:rsid w:val="00E2578C"/>
    <w:rsid w:val="00E25BF8"/>
    <w:rsid w:val="00E25E84"/>
    <w:rsid w:val="00E25F9D"/>
    <w:rsid w:val="00E26054"/>
    <w:rsid w:val="00E26B17"/>
    <w:rsid w:val="00E270E7"/>
    <w:rsid w:val="00E271C5"/>
    <w:rsid w:val="00E27F39"/>
    <w:rsid w:val="00E27FA7"/>
    <w:rsid w:val="00E3045C"/>
    <w:rsid w:val="00E304F2"/>
    <w:rsid w:val="00E30889"/>
    <w:rsid w:val="00E30CB5"/>
    <w:rsid w:val="00E30CDD"/>
    <w:rsid w:val="00E30DA1"/>
    <w:rsid w:val="00E30FF7"/>
    <w:rsid w:val="00E31240"/>
    <w:rsid w:val="00E313FE"/>
    <w:rsid w:val="00E31707"/>
    <w:rsid w:val="00E317BE"/>
    <w:rsid w:val="00E31A26"/>
    <w:rsid w:val="00E31D7B"/>
    <w:rsid w:val="00E3212F"/>
    <w:rsid w:val="00E3241A"/>
    <w:rsid w:val="00E328B3"/>
    <w:rsid w:val="00E328CF"/>
    <w:rsid w:val="00E32938"/>
    <w:rsid w:val="00E329B6"/>
    <w:rsid w:val="00E32F77"/>
    <w:rsid w:val="00E3347B"/>
    <w:rsid w:val="00E335B7"/>
    <w:rsid w:val="00E33895"/>
    <w:rsid w:val="00E33F64"/>
    <w:rsid w:val="00E34884"/>
    <w:rsid w:val="00E3495D"/>
    <w:rsid w:val="00E34A3B"/>
    <w:rsid w:val="00E3546E"/>
    <w:rsid w:val="00E35CEF"/>
    <w:rsid w:val="00E35E19"/>
    <w:rsid w:val="00E35E4D"/>
    <w:rsid w:val="00E35E99"/>
    <w:rsid w:val="00E35F49"/>
    <w:rsid w:val="00E36376"/>
    <w:rsid w:val="00E36385"/>
    <w:rsid w:val="00E367C0"/>
    <w:rsid w:val="00E36802"/>
    <w:rsid w:val="00E36E9F"/>
    <w:rsid w:val="00E37463"/>
    <w:rsid w:val="00E375DD"/>
    <w:rsid w:val="00E375ED"/>
    <w:rsid w:val="00E376F0"/>
    <w:rsid w:val="00E37FC0"/>
    <w:rsid w:val="00E404D6"/>
    <w:rsid w:val="00E40ABF"/>
    <w:rsid w:val="00E41319"/>
    <w:rsid w:val="00E41425"/>
    <w:rsid w:val="00E41E19"/>
    <w:rsid w:val="00E41F7D"/>
    <w:rsid w:val="00E4221D"/>
    <w:rsid w:val="00E42AB5"/>
    <w:rsid w:val="00E42C21"/>
    <w:rsid w:val="00E42CF7"/>
    <w:rsid w:val="00E43113"/>
    <w:rsid w:val="00E43CEC"/>
    <w:rsid w:val="00E43E76"/>
    <w:rsid w:val="00E4433E"/>
    <w:rsid w:val="00E44424"/>
    <w:rsid w:val="00E444FD"/>
    <w:rsid w:val="00E44909"/>
    <w:rsid w:val="00E44EBB"/>
    <w:rsid w:val="00E450A8"/>
    <w:rsid w:val="00E455A3"/>
    <w:rsid w:val="00E45C9B"/>
    <w:rsid w:val="00E45D85"/>
    <w:rsid w:val="00E46051"/>
    <w:rsid w:val="00E46093"/>
    <w:rsid w:val="00E461D1"/>
    <w:rsid w:val="00E466C2"/>
    <w:rsid w:val="00E46ABC"/>
    <w:rsid w:val="00E46EEC"/>
    <w:rsid w:val="00E46F7D"/>
    <w:rsid w:val="00E475DD"/>
    <w:rsid w:val="00E47775"/>
    <w:rsid w:val="00E47FBC"/>
    <w:rsid w:val="00E502D3"/>
    <w:rsid w:val="00E50726"/>
    <w:rsid w:val="00E5093C"/>
    <w:rsid w:val="00E509F9"/>
    <w:rsid w:val="00E50C5A"/>
    <w:rsid w:val="00E50E25"/>
    <w:rsid w:val="00E50E9F"/>
    <w:rsid w:val="00E50F47"/>
    <w:rsid w:val="00E51398"/>
    <w:rsid w:val="00E51F26"/>
    <w:rsid w:val="00E52470"/>
    <w:rsid w:val="00E526BA"/>
    <w:rsid w:val="00E52873"/>
    <w:rsid w:val="00E529E8"/>
    <w:rsid w:val="00E52B67"/>
    <w:rsid w:val="00E530F8"/>
    <w:rsid w:val="00E53213"/>
    <w:rsid w:val="00E5332A"/>
    <w:rsid w:val="00E53575"/>
    <w:rsid w:val="00E53AFE"/>
    <w:rsid w:val="00E53C80"/>
    <w:rsid w:val="00E53DD0"/>
    <w:rsid w:val="00E5463E"/>
    <w:rsid w:val="00E5479C"/>
    <w:rsid w:val="00E549A8"/>
    <w:rsid w:val="00E554E6"/>
    <w:rsid w:val="00E55CBF"/>
    <w:rsid w:val="00E55E87"/>
    <w:rsid w:val="00E55ECD"/>
    <w:rsid w:val="00E55F6F"/>
    <w:rsid w:val="00E56193"/>
    <w:rsid w:val="00E565B9"/>
    <w:rsid w:val="00E56756"/>
    <w:rsid w:val="00E56AA1"/>
    <w:rsid w:val="00E57607"/>
    <w:rsid w:val="00E57823"/>
    <w:rsid w:val="00E5787C"/>
    <w:rsid w:val="00E57AA2"/>
    <w:rsid w:val="00E57DE6"/>
    <w:rsid w:val="00E60187"/>
    <w:rsid w:val="00E6021C"/>
    <w:rsid w:val="00E6029A"/>
    <w:rsid w:val="00E6030B"/>
    <w:rsid w:val="00E60316"/>
    <w:rsid w:val="00E60E89"/>
    <w:rsid w:val="00E60E90"/>
    <w:rsid w:val="00E61D58"/>
    <w:rsid w:val="00E624D0"/>
    <w:rsid w:val="00E62A82"/>
    <w:rsid w:val="00E630F3"/>
    <w:rsid w:val="00E63282"/>
    <w:rsid w:val="00E6353A"/>
    <w:rsid w:val="00E635D9"/>
    <w:rsid w:val="00E63662"/>
    <w:rsid w:val="00E63A2A"/>
    <w:rsid w:val="00E63A93"/>
    <w:rsid w:val="00E63B5F"/>
    <w:rsid w:val="00E63E9A"/>
    <w:rsid w:val="00E6423B"/>
    <w:rsid w:val="00E6449A"/>
    <w:rsid w:val="00E64757"/>
    <w:rsid w:val="00E649E1"/>
    <w:rsid w:val="00E6521D"/>
    <w:rsid w:val="00E65415"/>
    <w:rsid w:val="00E65798"/>
    <w:rsid w:val="00E65A01"/>
    <w:rsid w:val="00E65F9F"/>
    <w:rsid w:val="00E663F4"/>
    <w:rsid w:val="00E66588"/>
    <w:rsid w:val="00E66697"/>
    <w:rsid w:val="00E66B53"/>
    <w:rsid w:val="00E66C18"/>
    <w:rsid w:val="00E66C65"/>
    <w:rsid w:val="00E66D4E"/>
    <w:rsid w:val="00E66E15"/>
    <w:rsid w:val="00E67103"/>
    <w:rsid w:val="00E67121"/>
    <w:rsid w:val="00E6739B"/>
    <w:rsid w:val="00E678EF"/>
    <w:rsid w:val="00E702F7"/>
    <w:rsid w:val="00E70416"/>
    <w:rsid w:val="00E704FA"/>
    <w:rsid w:val="00E706D1"/>
    <w:rsid w:val="00E70B82"/>
    <w:rsid w:val="00E70BAD"/>
    <w:rsid w:val="00E70BE0"/>
    <w:rsid w:val="00E70D22"/>
    <w:rsid w:val="00E71751"/>
    <w:rsid w:val="00E71F81"/>
    <w:rsid w:val="00E724A0"/>
    <w:rsid w:val="00E724AB"/>
    <w:rsid w:val="00E725B5"/>
    <w:rsid w:val="00E72B1D"/>
    <w:rsid w:val="00E72D63"/>
    <w:rsid w:val="00E730A7"/>
    <w:rsid w:val="00E739B9"/>
    <w:rsid w:val="00E7416C"/>
    <w:rsid w:val="00E74538"/>
    <w:rsid w:val="00E74723"/>
    <w:rsid w:val="00E74BE8"/>
    <w:rsid w:val="00E74CFF"/>
    <w:rsid w:val="00E74FD3"/>
    <w:rsid w:val="00E750D8"/>
    <w:rsid w:val="00E753D5"/>
    <w:rsid w:val="00E75509"/>
    <w:rsid w:val="00E757D6"/>
    <w:rsid w:val="00E76EE9"/>
    <w:rsid w:val="00E774FA"/>
    <w:rsid w:val="00E77D55"/>
    <w:rsid w:val="00E80348"/>
    <w:rsid w:val="00E80B8B"/>
    <w:rsid w:val="00E80D24"/>
    <w:rsid w:val="00E80FB2"/>
    <w:rsid w:val="00E810A7"/>
    <w:rsid w:val="00E8123F"/>
    <w:rsid w:val="00E812B4"/>
    <w:rsid w:val="00E81E14"/>
    <w:rsid w:val="00E821A3"/>
    <w:rsid w:val="00E82365"/>
    <w:rsid w:val="00E824D0"/>
    <w:rsid w:val="00E82902"/>
    <w:rsid w:val="00E82C73"/>
    <w:rsid w:val="00E833E3"/>
    <w:rsid w:val="00E83494"/>
    <w:rsid w:val="00E837C7"/>
    <w:rsid w:val="00E838BE"/>
    <w:rsid w:val="00E83FA1"/>
    <w:rsid w:val="00E84AE5"/>
    <w:rsid w:val="00E84B3D"/>
    <w:rsid w:val="00E84EA4"/>
    <w:rsid w:val="00E85050"/>
    <w:rsid w:val="00E85189"/>
    <w:rsid w:val="00E851FA"/>
    <w:rsid w:val="00E853E8"/>
    <w:rsid w:val="00E85927"/>
    <w:rsid w:val="00E85F84"/>
    <w:rsid w:val="00E8612B"/>
    <w:rsid w:val="00E86341"/>
    <w:rsid w:val="00E867ED"/>
    <w:rsid w:val="00E86ADC"/>
    <w:rsid w:val="00E86B74"/>
    <w:rsid w:val="00E86C90"/>
    <w:rsid w:val="00E86CF6"/>
    <w:rsid w:val="00E871C2"/>
    <w:rsid w:val="00E875C1"/>
    <w:rsid w:val="00E876A0"/>
    <w:rsid w:val="00E87D9D"/>
    <w:rsid w:val="00E905F1"/>
    <w:rsid w:val="00E906A3"/>
    <w:rsid w:val="00E90AA3"/>
    <w:rsid w:val="00E90F7C"/>
    <w:rsid w:val="00E911EE"/>
    <w:rsid w:val="00E911F1"/>
    <w:rsid w:val="00E9167B"/>
    <w:rsid w:val="00E91DCF"/>
    <w:rsid w:val="00E9236F"/>
    <w:rsid w:val="00E9239C"/>
    <w:rsid w:val="00E92505"/>
    <w:rsid w:val="00E926DC"/>
    <w:rsid w:val="00E92AA0"/>
    <w:rsid w:val="00E93078"/>
    <w:rsid w:val="00E93CE4"/>
    <w:rsid w:val="00E94A9F"/>
    <w:rsid w:val="00E94D29"/>
    <w:rsid w:val="00E95336"/>
    <w:rsid w:val="00E953B3"/>
    <w:rsid w:val="00E9543C"/>
    <w:rsid w:val="00E9593A"/>
    <w:rsid w:val="00E96914"/>
    <w:rsid w:val="00E96A3D"/>
    <w:rsid w:val="00E96BCF"/>
    <w:rsid w:val="00E971DD"/>
    <w:rsid w:val="00E97850"/>
    <w:rsid w:val="00E97A98"/>
    <w:rsid w:val="00E97C1A"/>
    <w:rsid w:val="00E97C67"/>
    <w:rsid w:val="00E97C81"/>
    <w:rsid w:val="00EA01DE"/>
    <w:rsid w:val="00EA0512"/>
    <w:rsid w:val="00EA060B"/>
    <w:rsid w:val="00EA0764"/>
    <w:rsid w:val="00EA0C48"/>
    <w:rsid w:val="00EA0EE5"/>
    <w:rsid w:val="00EA1235"/>
    <w:rsid w:val="00EA1757"/>
    <w:rsid w:val="00EA1DE3"/>
    <w:rsid w:val="00EA1FFE"/>
    <w:rsid w:val="00EA227D"/>
    <w:rsid w:val="00EA2AA8"/>
    <w:rsid w:val="00EA2CF5"/>
    <w:rsid w:val="00EA2F2F"/>
    <w:rsid w:val="00EA2F97"/>
    <w:rsid w:val="00EA34C9"/>
    <w:rsid w:val="00EA37B1"/>
    <w:rsid w:val="00EA39CE"/>
    <w:rsid w:val="00EA3A47"/>
    <w:rsid w:val="00EA3AF3"/>
    <w:rsid w:val="00EA3EB1"/>
    <w:rsid w:val="00EA42A0"/>
    <w:rsid w:val="00EA4695"/>
    <w:rsid w:val="00EA4711"/>
    <w:rsid w:val="00EA51FA"/>
    <w:rsid w:val="00EA5279"/>
    <w:rsid w:val="00EA53CC"/>
    <w:rsid w:val="00EA555D"/>
    <w:rsid w:val="00EA55E4"/>
    <w:rsid w:val="00EA5AAC"/>
    <w:rsid w:val="00EA5AE8"/>
    <w:rsid w:val="00EA5E2A"/>
    <w:rsid w:val="00EA5E9C"/>
    <w:rsid w:val="00EA62BD"/>
    <w:rsid w:val="00EA65EE"/>
    <w:rsid w:val="00EA6728"/>
    <w:rsid w:val="00EA6791"/>
    <w:rsid w:val="00EA6DE7"/>
    <w:rsid w:val="00EA6DE8"/>
    <w:rsid w:val="00EA6FAD"/>
    <w:rsid w:val="00EA7260"/>
    <w:rsid w:val="00EA7D60"/>
    <w:rsid w:val="00EB0224"/>
    <w:rsid w:val="00EB0415"/>
    <w:rsid w:val="00EB056C"/>
    <w:rsid w:val="00EB0718"/>
    <w:rsid w:val="00EB0C73"/>
    <w:rsid w:val="00EB0C88"/>
    <w:rsid w:val="00EB0F34"/>
    <w:rsid w:val="00EB17B3"/>
    <w:rsid w:val="00EB19A7"/>
    <w:rsid w:val="00EB24DC"/>
    <w:rsid w:val="00EB2579"/>
    <w:rsid w:val="00EB2C11"/>
    <w:rsid w:val="00EB2C5B"/>
    <w:rsid w:val="00EB2E45"/>
    <w:rsid w:val="00EB30BF"/>
    <w:rsid w:val="00EB31E4"/>
    <w:rsid w:val="00EB321E"/>
    <w:rsid w:val="00EB32A7"/>
    <w:rsid w:val="00EB378B"/>
    <w:rsid w:val="00EB3B91"/>
    <w:rsid w:val="00EB3E01"/>
    <w:rsid w:val="00EB3F47"/>
    <w:rsid w:val="00EB4490"/>
    <w:rsid w:val="00EB4A2A"/>
    <w:rsid w:val="00EB4CBC"/>
    <w:rsid w:val="00EB55A8"/>
    <w:rsid w:val="00EB570F"/>
    <w:rsid w:val="00EB571A"/>
    <w:rsid w:val="00EB5774"/>
    <w:rsid w:val="00EB589A"/>
    <w:rsid w:val="00EB5AEA"/>
    <w:rsid w:val="00EB5F6E"/>
    <w:rsid w:val="00EB6249"/>
    <w:rsid w:val="00EB63D2"/>
    <w:rsid w:val="00EB68DF"/>
    <w:rsid w:val="00EB7175"/>
    <w:rsid w:val="00EB72F7"/>
    <w:rsid w:val="00EB7468"/>
    <w:rsid w:val="00EB74D1"/>
    <w:rsid w:val="00EB7547"/>
    <w:rsid w:val="00EB7A13"/>
    <w:rsid w:val="00EB7C9A"/>
    <w:rsid w:val="00EB7D26"/>
    <w:rsid w:val="00EB7E3B"/>
    <w:rsid w:val="00EC01A5"/>
    <w:rsid w:val="00EC032E"/>
    <w:rsid w:val="00EC04C1"/>
    <w:rsid w:val="00EC0777"/>
    <w:rsid w:val="00EC0E34"/>
    <w:rsid w:val="00EC132A"/>
    <w:rsid w:val="00EC1CE6"/>
    <w:rsid w:val="00EC20BC"/>
    <w:rsid w:val="00EC20C2"/>
    <w:rsid w:val="00EC2969"/>
    <w:rsid w:val="00EC29D9"/>
    <w:rsid w:val="00EC2A52"/>
    <w:rsid w:val="00EC2CA6"/>
    <w:rsid w:val="00EC2D9D"/>
    <w:rsid w:val="00EC2FF5"/>
    <w:rsid w:val="00EC30C0"/>
    <w:rsid w:val="00EC310D"/>
    <w:rsid w:val="00EC3318"/>
    <w:rsid w:val="00EC370C"/>
    <w:rsid w:val="00EC41B4"/>
    <w:rsid w:val="00EC45F2"/>
    <w:rsid w:val="00EC461C"/>
    <w:rsid w:val="00EC47BB"/>
    <w:rsid w:val="00EC4A42"/>
    <w:rsid w:val="00EC4C9E"/>
    <w:rsid w:val="00EC5122"/>
    <w:rsid w:val="00EC547F"/>
    <w:rsid w:val="00EC5974"/>
    <w:rsid w:val="00EC5CDF"/>
    <w:rsid w:val="00EC5D0C"/>
    <w:rsid w:val="00EC5E50"/>
    <w:rsid w:val="00EC63E0"/>
    <w:rsid w:val="00EC6555"/>
    <w:rsid w:val="00EC6688"/>
    <w:rsid w:val="00EC6791"/>
    <w:rsid w:val="00EC6839"/>
    <w:rsid w:val="00EC6B51"/>
    <w:rsid w:val="00EC6BD8"/>
    <w:rsid w:val="00EC71DD"/>
    <w:rsid w:val="00EC7855"/>
    <w:rsid w:val="00EC7B2B"/>
    <w:rsid w:val="00EC7D5B"/>
    <w:rsid w:val="00ED014E"/>
    <w:rsid w:val="00ED0157"/>
    <w:rsid w:val="00ED01F6"/>
    <w:rsid w:val="00ED04B8"/>
    <w:rsid w:val="00ED0967"/>
    <w:rsid w:val="00ED0BAA"/>
    <w:rsid w:val="00ED10CD"/>
    <w:rsid w:val="00ED154F"/>
    <w:rsid w:val="00ED16BF"/>
    <w:rsid w:val="00ED176E"/>
    <w:rsid w:val="00ED1AC0"/>
    <w:rsid w:val="00ED1D05"/>
    <w:rsid w:val="00ED1DC1"/>
    <w:rsid w:val="00ED2276"/>
    <w:rsid w:val="00ED27D4"/>
    <w:rsid w:val="00ED2993"/>
    <w:rsid w:val="00ED2A10"/>
    <w:rsid w:val="00ED2AB7"/>
    <w:rsid w:val="00ED2CB5"/>
    <w:rsid w:val="00ED2D0E"/>
    <w:rsid w:val="00ED2ED7"/>
    <w:rsid w:val="00ED368F"/>
    <w:rsid w:val="00ED3855"/>
    <w:rsid w:val="00ED3B88"/>
    <w:rsid w:val="00ED3D53"/>
    <w:rsid w:val="00ED3E29"/>
    <w:rsid w:val="00ED42FC"/>
    <w:rsid w:val="00ED4543"/>
    <w:rsid w:val="00ED4735"/>
    <w:rsid w:val="00ED49FF"/>
    <w:rsid w:val="00ED4B59"/>
    <w:rsid w:val="00ED54FD"/>
    <w:rsid w:val="00ED581B"/>
    <w:rsid w:val="00ED587F"/>
    <w:rsid w:val="00ED5C3E"/>
    <w:rsid w:val="00ED5DDD"/>
    <w:rsid w:val="00ED6110"/>
    <w:rsid w:val="00ED647D"/>
    <w:rsid w:val="00ED6741"/>
    <w:rsid w:val="00ED6F6A"/>
    <w:rsid w:val="00ED7022"/>
    <w:rsid w:val="00ED72BA"/>
    <w:rsid w:val="00ED763A"/>
    <w:rsid w:val="00ED771D"/>
    <w:rsid w:val="00EE0501"/>
    <w:rsid w:val="00EE0DE1"/>
    <w:rsid w:val="00EE1020"/>
    <w:rsid w:val="00EE1602"/>
    <w:rsid w:val="00EE1711"/>
    <w:rsid w:val="00EE1E6B"/>
    <w:rsid w:val="00EE2128"/>
    <w:rsid w:val="00EE245B"/>
    <w:rsid w:val="00EE2782"/>
    <w:rsid w:val="00EE279C"/>
    <w:rsid w:val="00EE2AB5"/>
    <w:rsid w:val="00EE2ACE"/>
    <w:rsid w:val="00EE2C55"/>
    <w:rsid w:val="00EE2D13"/>
    <w:rsid w:val="00EE2DFF"/>
    <w:rsid w:val="00EE2F3F"/>
    <w:rsid w:val="00EE3DC8"/>
    <w:rsid w:val="00EE40BC"/>
    <w:rsid w:val="00EE4878"/>
    <w:rsid w:val="00EE4891"/>
    <w:rsid w:val="00EE4905"/>
    <w:rsid w:val="00EE4BB2"/>
    <w:rsid w:val="00EE4C7A"/>
    <w:rsid w:val="00EE4F11"/>
    <w:rsid w:val="00EE53E0"/>
    <w:rsid w:val="00EE54A2"/>
    <w:rsid w:val="00EE5D6C"/>
    <w:rsid w:val="00EE6B3D"/>
    <w:rsid w:val="00EE6E89"/>
    <w:rsid w:val="00EE7D36"/>
    <w:rsid w:val="00EE7D83"/>
    <w:rsid w:val="00EF00FC"/>
    <w:rsid w:val="00EF02C5"/>
    <w:rsid w:val="00EF05D6"/>
    <w:rsid w:val="00EF097F"/>
    <w:rsid w:val="00EF0BA2"/>
    <w:rsid w:val="00EF0C52"/>
    <w:rsid w:val="00EF0E2A"/>
    <w:rsid w:val="00EF11F4"/>
    <w:rsid w:val="00EF1426"/>
    <w:rsid w:val="00EF148C"/>
    <w:rsid w:val="00EF1703"/>
    <w:rsid w:val="00EF1AAB"/>
    <w:rsid w:val="00EF1F32"/>
    <w:rsid w:val="00EF215D"/>
    <w:rsid w:val="00EF2318"/>
    <w:rsid w:val="00EF2409"/>
    <w:rsid w:val="00EF2625"/>
    <w:rsid w:val="00EF2BDB"/>
    <w:rsid w:val="00EF3236"/>
    <w:rsid w:val="00EF37B2"/>
    <w:rsid w:val="00EF388B"/>
    <w:rsid w:val="00EF4131"/>
    <w:rsid w:val="00EF422F"/>
    <w:rsid w:val="00EF4268"/>
    <w:rsid w:val="00EF42F3"/>
    <w:rsid w:val="00EF4673"/>
    <w:rsid w:val="00EF47E6"/>
    <w:rsid w:val="00EF4850"/>
    <w:rsid w:val="00EF4A48"/>
    <w:rsid w:val="00EF4C48"/>
    <w:rsid w:val="00EF55E8"/>
    <w:rsid w:val="00EF5633"/>
    <w:rsid w:val="00EF56F2"/>
    <w:rsid w:val="00EF5873"/>
    <w:rsid w:val="00EF58B3"/>
    <w:rsid w:val="00EF5B3C"/>
    <w:rsid w:val="00EF5D7E"/>
    <w:rsid w:val="00EF60DD"/>
    <w:rsid w:val="00EF624C"/>
    <w:rsid w:val="00EF6353"/>
    <w:rsid w:val="00EF65DD"/>
    <w:rsid w:val="00EF666E"/>
    <w:rsid w:val="00EF673C"/>
    <w:rsid w:val="00EF67DC"/>
    <w:rsid w:val="00EF6F2F"/>
    <w:rsid w:val="00EF76F5"/>
    <w:rsid w:val="00EF79F7"/>
    <w:rsid w:val="00EF7C53"/>
    <w:rsid w:val="00EF7CB7"/>
    <w:rsid w:val="00EF7EB8"/>
    <w:rsid w:val="00EF7EFC"/>
    <w:rsid w:val="00EF7F40"/>
    <w:rsid w:val="00F0055A"/>
    <w:rsid w:val="00F009AA"/>
    <w:rsid w:val="00F00ADB"/>
    <w:rsid w:val="00F00F97"/>
    <w:rsid w:val="00F0129B"/>
    <w:rsid w:val="00F012CC"/>
    <w:rsid w:val="00F0147D"/>
    <w:rsid w:val="00F0150F"/>
    <w:rsid w:val="00F0173D"/>
    <w:rsid w:val="00F01BE0"/>
    <w:rsid w:val="00F01DB7"/>
    <w:rsid w:val="00F01FC0"/>
    <w:rsid w:val="00F020B9"/>
    <w:rsid w:val="00F02112"/>
    <w:rsid w:val="00F02198"/>
    <w:rsid w:val="00F021A0"/>
    <w:rsid w:val="00F0226B"/>
    <w:rsid w:val="00F026F8"/>
    <w:rsid w:val="00F02830"/>
    <w:rsid w:val="00F02862"/>
    <w:rsid w:val="00F02B46"/>
    <w:rsid w:val="00F02C2A"/>
    <w:rsid w:val="00F02C4E"/>
    <w:rsid w:val="00F02EBB"/>
    <w:rsid w:val="00F02EF2"/>
    <w:rsid w:val="00F031F8"/>
    <w:rsid w:val="00F03764"/>
    <w:rsid w:val="00F03A5E"/>
    <w:rsid w:val="00F03C49"/>
    <w:rsid w:val="00F03F17"/>
    <w:rsid w:val="00F04012"/>
    <w:rsid w:val="00F0418E"/>
    <w:rsid w:val="00F04288"/>
    <w:rsid w:val="00F04345"/>
    <w:rsid w:val="00F043F7"/>
    <w:rsid w:val="00F045B5"/>
    <w:rsid w:val="00F04A33"/>
    <w:rsid w:val="00F04AFE"/>
    <w:rsid w:val="00F04B7B"/>
    <w:rsid w:val="00F04F38"/>
    <w:rsid w:val="00F052CB"/>
    <w:rsid w:val="00F0531C"/>
    <w:rsid w:val="00F05766"/>
    <w:rsid w:val="00F05A80"/>
    <w:rsid w:val="00F05A8F"/>
    <w:rsid w:val="00F05D74"/>
    <w:rsid w:val="00F06444"/>
    <w:rsid w:val="00F064B5"/>
    <w:rsid w:val="00F065B1"/>
    <w:rsid w:val="00F06820"/>
    <w:rsid w:val="00F06966"/>
    <w:rsid w:val="00F06B20"/>
    <w:rsid w:val="00F06EA2"/>
    <w:rsid w:val="00F06EC0"/>
    <w:rsid w:val="00F10DCC"/>
    <w:rsid w:val="00F10F7A"/>
    <w:rsid w:val="00F11402"/>
    <w:rsid w:val="00F11497"/>
    <w:rsid w:val="00F11951"/>
    <w:rsid w:val="00F12325"/>
    <w:rsid w:val="00F125C5"/>
    <w:rsid w:val="00F127DB"/>
    <w:rsid w:val="00F12B36"/>
    <w:rsid w:val="00F12E64"/>
    <w:rsid w:val="00F12ED1"/>
    <w:rsid w:val="00F13B8F"/>
    <w:rsid w:val="00F13E46"/>
    <w:rsid w:val="00F14044"/>
    <w:rsid w:val="00F14494"/>
    <w:rsid w:val="00F14610"/>
    <w:rsid w:val="00F1473D"/>
    <w:rsid w:val="00F14F88"/>
    <w:rsid w:val="00F15557"/>
    <w:rsid w:val="00F155E0"/>
    <w:rsid w:val="00F15792"/>
    <w:rsid w:val="00F1580A"/>
    <w:rsid w:val="00F15867"/>
    <w:rsid w:val="00F15AEF"/>
    <w:rsid w:val="00F15F18"/>
    <w:rsid w:val="00F161C4"/>
    <w:rsid w:val="00F16334"/>
    <w:rsid w:val="00F16A56"/>
    <w:rsid w:val="00F16DB2"/>
    <w:rsid w:val="00F172E8"/>
    <w:rsid w:val="00F176D9"/>
    <w:rsid w:val="00F17AA8"/>
    <w:rsid w:val="00F17FE2"/>
    <w:rsid w:val="00F2002E"/>
    <w:rsid w:val="00F2018E"/>
    <w:rsid w:val="00F201FF"/>
    <w:rsid w:val="00F20524"/>
    <w:rsid w:val="00F20706"/>
    <w:rsid w:val="00F20E34"/>
    <w:rsid w:val="00F20F16"/>
    <w:rsid w:val="00F2125E"/>
    <w:rsid w:val="00F21A72"/>
    <w:rsid w:val="00F21D8B"/>
    <w:rsid w:val="00F21E7D"/>
    <w:rsid w:val="00F22A60"/>
    <w:rsid w:val="00F2310C"/>
    <w:rsid w:val="00F2317B"/>
    <w:rsid w:val="00F23294"/>
    <w:rsid w:val="00F232E8"/>
    <w:rsid w:val="00F2372C"/>
    <w:rsid w:val="00F239F1"/>
    <w:rsid w:val="00F23AD1"/>
    <w:rsid w:val="00F23D5D"/>
    <w:rsid w:val="00F23FDF"/>
    <w:rsid w:val="00F24688"/>
    <w:rsid w:val="00F247FB"/>
    <w:rsid w:val="00F24BC7"/>
    <w:rsid w:val="00F24CE0"/>
    <w:rsid w:val="00F25167"/>
    <w:rsid w:val="00F258F0"/>
    <w:rsid w:val="00F25EAD"/>
    <w:rsid w:val="00F2608D"/>
    <w:rsid w:val="00F260B9"/>
    <w:rsid w:val="00F264EB"/>
    <w:rsid w:val="00F26599"/>
    <w:rsid w:val="00F26732"/>
    <w:rsid w:val="00F26CEA"/>
    <w:rsid w:val="00F271BD"/>
    <w:rsid w:val="00F271CE"/>
    <w:rsid w:val="00F27455"/>
    <w:rsid w:val="00F276AC"/>
    <w:rsid w:val="00F27AAE"/>
    <w:rsid w:val="00F27AD9"/>
    <w:rsid w:val="00F27DA8"/>
    <w:rsid w:val="00F30049"/>
    <w:rsid w:val="00F304DC"/>
    <w:rsid w:val="00F3066D"/>
    <w:rsid w:val="00F30B8F"/>
    <w:rsid w:val="00F30C6B"/>
    <w:rsid w:val="00F30E73"/>
    <w:rsid w:val="00F30FE6"/>
    <w:rsid w:val="00F310AC"/>
    <w:rsid w:val="00F31BBF"/>
    <w:rsid w:val="00F32004"/>
    <w:rsid w:val="00F323E6"/>
    <w:rsid w:val="00F326D2"/>
    <w:rsid w:val="00F32711"/>
    <w:rsid w:val="00F328FD"/>
    <w:rsid w:val="00F32B8F"/>
    <w:rsid w:val="00F32C5F"/>
    <w:rsid w:val="00F32D42"/>
    <w:rsid w:val="00F33063"/>
    <w:rsid w:val="00F335BD"/>
    <w:rsid w:val="00F337AC"/>
    <w:rsid w:val="00F33A72"/>
    <w:rsid w:val="00F33A91"/>
    <w:rsid w:val="00F33D61"/>
    <w:rsid w:val="00F34333"/>
    <w:rsid w:val="00F3440A"/>
    <w:rsid w:val="00F3452D"/>
    <w:rsid w:val="00F3455B"/>
    <w:rsid w:val="00F345D3"/>
    <w:rsid w:val="00F34F20"/>
    <w:rsid w:val="00F35348"/>
    <w:rsid w:val="00F354BF"/>
    <w:rsid w:val="00F35860"/>
    <w:rsid w:val="00F35B81"/>
    <w:rsid w:val="00F36081"/>
    <w:rsid w:val="00F36E3B"/>
    <w:rsid w:val="00F36EA4"/>
    <w:rsid w:val="00F3727F"/>
    <w:rsid w:val="00F378B2"/>
    <w:rsid w:val="00F37E37"/>
    <w:rsid w:val="00F4070A"/>
    <w:rsid w:val="00F409AD"/>
    <w:rsid w:val="00F40A61"/>
    <w:rsid w:val="00F40C69"/>
    <w:rsid w:val="00F40E10"/>
    <w:rsid w:val="00F40E4C"/>
    <w:rsid w:val="00F40F0B"/>
    <w:rsid w:val="00F40FE7"/>
    <w:rsid w:val="00F41510"/>
    <w:rsid w:val="00F41FE5"/>
    <w:rsid w:val="00F420B0"/>
    <w:rsid w:val="00F42978"/>
    <w:rsid w:val="00F42CB3"/>
    <w:rsid w:val="00F42E8F"/>
    <w:rsid w:val="00F431F0"/>
    <w:rsid w:val="00F43287"/>
    <w:rsid w:val="00F43A78"/>
    <w:rsid w:val="00F43D1E"/>
    <w:rsid w:val="00F440AE"/>
    <w:rsid w:val="00F44177"/>
    <w:rsid w:val="00F443BF"/>
    <w:rsid w:val="00F4467B"/>
    <w:rsid w:val="00F448B0"/>
    <w:rsid w:val="00F449A8"/>
    <w:rsid w:val="00F44AAF"/>
    <w:rsid w:val="00F44DDC"/>
    <w:rsid w:val="00F450A4"/>
    <w:rsid w:val="00F452A6"/>
    <w:rsid w:val="00F4532B"/>
    <w:rsid w:val="00F453C4"/>
    <w:rsid w:val="00F45529"/>
    <w:rsid w:val="00F45AA2"/>
    <w:rsid w:val="00F45C7B"/>
    <w:rsid w:val="00F46029"/>
    <w:rsid w:val="00F462DC"/>
    <w:rsid w:val="00F46608"/>
    <w:rsid w:val="00F466FB"/>
    <w:rsid w:val="00F46A7E"/>
    <w:rsid w:val="00F46C8B"/>
    <w:rsid w:val="00F46E36"/>
    <w:rsid w:val="00F47046"/>
    <w:rsid w:val="00F47559"/>
    <w:rsid w:val="00F47AC7"/>
    <w:rsid w:val="00F47C2B"/>
    <w:rsid w:val="00F5020E"/>
    <w:rsid w:val="00F509DA"/>
    <w:rsid w:val="00F51338"/>
    <w:rsid w:val="00F51908"/>
    <w:rsid w:val="00F51B05"/>
    <w:rsid w:val="00F51FE6"/>
    <w:rsid w:val="00F520DC"/>
    <w:rsid w:val="00F5218B"/>
    <w:rsid w:val="00F522D6"/>
    <w:rsid w:val="00F524AA"/>
    <w:rsid w:val="00F524AC"/>
    <w:rsid w:val="00F52931"/>
    <w:rsid w:val="00F52BF3"/>
    <w:rsid w:val="00F52FA1"/>
    <w:rsid w:val="00F5310D"/>
    <w:rsid w:val="00F53319"/>
    <w:rsid w:val="00F5367A"/>
    <w:rsid w:val="00F53EC5"/>
    <w:rsid w:val="00F53F68"/>
    <w:rsid w:val="00F53FE9"/>
    <w:rsid w:val="00F54055"/>
    <w:rsid w:val="00F54389"/>
    <w:rsid w:val="00F54435"/>
    <w:rsid w:val="00F5481C"/>
    <w:rsid w:val="00F54A1B"/>
    <w:rsid w:val="00F54FC9"/>
    <w:rsid w:val="00F55721"/>
    <w:rsid w:val="00F55849"/>
    <w:rsid w:val="00F55DE2"/>
    <w:rsid w:val="00F55EB8"/>
    <w:rsid w:val="00F560A9"/>
    <w:rsid w:val="00F5612A"/>
    <w:rsid w:val="00F562D9"/>
    <w:rsid w:val="00F56687"/>
    <w:rsid w:val="00F56A0A"/>
    <w:rsid w:val="00F56D1D"/>
    <w:rsid w:val="00F56DE6"/>
    <w:rsid w:val="00F57191"/>
    <w:rsid w:val="00F571AF"/>
    <w:rsid w:val="00F5731F"/>
    <w:rsid w:val="00F5763C"/>
    <w:rsid w:val="00F57932"/>
    <w:rsid w:val="00F57A67"/>
    <w:rsid w:val="00F57BD9"/>
    <w:rsid w:val="00F57E82"/>
    <w:rsid w:val="00F60110"/>
    <w:rsid w:val="00F6037E"/>
    <w:rsid w:val="00F604D7"/>
    <w:rsid w:val="00F60AA2"/>
    <w:rsid w:val="00F60D2C"/>
    <w:rsid w:val="00F6118B"/>
    <w:rsid w:val="00F61CB6"/>
    <w:rsid w:val="00F61E32"/>
    <w:rsid w:val="00F62249"/>
    <w:rsid w:val="00F622DE"/>
    <w:rsid w:val="00F62328"/>
    <w:rsid w:val="00F62894"/>
    <w:rsid w:val="00F62D43"/>
    <w:rsid w:val="00F62D96"/>
    <w:rsid w:val="00F62EF5"/>
    <w:rsid w:val="00F630BA"/>
    <w:rsid w:val="00F63BC6"/>
    <w:rsid w:val="00F63BCD"/>
    <w:rsid w:val="00F63E23"/>
    <w:rsid w:val="00F63E41"/>
    <w:rsid w:val="00F63FEA"/>
    <w:rsid w:val="00F64672"/>
    <w:rsid w:val="00F64A20"/>
    <w:rsid w:val="00F64B6B"/>
    <w:rsid w:val="00F64CB1"/>
    <w:rsid w:val="00F64F0B"/>
    <w:rsid w:val="00F65174"/>
    <w:rsid w:val="00F654BD"/>
    <w:rsid w:val="00F65A5C"/>
    <w:rsid w:val="00F65EC8"/>
    <w:rsid w:val="00F65F66"/>
    <w:rsid w:val="00F65FF2"/>
    <w:rsid w:val="00F66160"/>
    <w:rsid w:val="00F66891"/>
    <w:rsid w:val="00F66C2E"/>
    <w:rsid w:val="00F67163"/>
    <w:rsid w:val="00F678A2"/>
    <w:rsid w:val="00F67C77"/>
    <w:rsid w:val="00F67FF6"/>
    <w:rsid w:val="00F7005B"/>
    <w:rsid w:val="00F700EF"/>
    <w:rsid w:val="00F709C2"/>
    <w:rsid w:val="00F70CE6"/>
    <w:rsid w:val="00F713D9"/>
    <w:rsid w:val="00F71775"/>
    <w:rsid w:val="00F71A43"/>
    <w:rsid w:val="00F72324"/>
    <w:rsid w:val="00F7237F"/>
    <w:rsid w:val="00F723A3"/>
    <w:rsid w:val="00F723A8"/>
    <w:rsid w:val="00F726FD"/>
    <w:rsid w:val="00F72804"/>
    <w:rsid w:val="00F72B62"/>
    <w:rsid w:val="00F72B91"/>
    <w:rsid w:val="00F73077"/>
    <w:rsid w:val="00F7323C"/>
    <w:rsid w:val="00F7331F"/>
    <w:rsid w:val="00F740B9"/>
    <w:rsid w:val="00F740FC"/>
    <w:rsid w:val="00F74165"/>
    <w:rsid w:val="00F74C21"/>
    <w:rsid w:val="00F74E13"/>
    <w:rsid w:val="00F75033"/>
    <w:rsid w:val="00F7599B"/>
    <w:rsid w:val="00F759DD"/>
    <w:rsid w:val="00F75C64"/>
    <w:rsid w:val="00F75EBD"/>
    <w:rsid w:val="00F76142"/>
    <w:rsid w:val="00F7670E"/>
    <w:rsid w:val="00F768AB"/>
    <w:rsid w:val="00F76B09"/>
    <w:rsid w:val="00F76B27"/>
    <w:rsid w:val="00F76E6A"/>
    <w:rsid w:val="00F770EB"/>
    <w:rsid w:val="00F771BE"/>
    <w:rsid w:val="00F77252"/>
    <w:rsid w:val="00F77A68"/>
    <w:rsid w:val="00F804FD"/>
    <w:rsid w:val="00F80C46"/>
    <w:rsid w:val="00F80E44"/>
    <w:rsid w:val="00F80F21"/>
    <w:rsid w:val="00F80FED"/>
    <w:rsid w:val="00F810E3"/>
    <w:rsid w:val="00F81224"/>
    <w:rsid w:val="00F81652"/>
    <w:rsid w:val="00F818ED"/>
    <w:rsid w:val="00F81E1E"/>
    <w:rsid w:val="00F81E68"/>
    <w:rsid w:val="00F8208C"/>
    <w:rsid w:val="00F82146"/>
    <w:rsid w:val="00F823F0"/>
    <w:rsid w:val="00F82492"/>
    <w:rsid w:val="00F825F2"/>
    <w:rsid w:val="00F826A5"/>
    <w:rsid w:val="00F82E8E"/>
    <w:rsid w:val="00F833EB"/>
    <w:rsid w:val="00F83669"/>
    <w:rsid w:val="00F83724"/>
    <w:rsid w:val="00F837FC"/>
    <w:rsid w:val="00F83833"/>
    <w:rsid w:val="00F838D4"/>
    <w:rsid w:val="00F84027"/>
    <w:rsid w:val="00F84503"/>
    <w:rsid w:val="00F845A1"/>
    <w:rsid w:val="00F8499A"/>
    <w:rsid w:val="00F84A4B"/>
    <w:rsid w:val="00F84C71"/>
    <w:rsid w:val="00F84F0F"/>
    <w:rsid w:val="00F850DC"/>
    <w:rsid w:val="00F85405"/>
    <w:rsid w:val="00F85487"/>
    <w:rsid w:val="00F858B9"/>
    <w:rsid w:val="00F85A0F"/>
    <w:rsid w:val="00F85B8A"/>
    <w:rsid w:val="00F85E11"/>
    <w:rsid w:val="00F8602E"/>
    <w:rsid w:val="00F86122"/>
    <w:rsid w:val="00F86632"/>
    <w:rsid w:val="00F86A1D"/>
    <w:rsid w:val="00F86B81"/>
    <w:rsid w:val="00F86CAA"/>
    <w:rsid w:val="00F86D17"/>
    <w:rsid w:val="00F86F12"/>
    <w:rsid w:val="00F8713C"/>
    <w:rsid w:val="00F8769F"/>
    <w:rsid w:val="00F8784A"/>
    <w:rsid w:val="00F87863"/>
    <w:rsid w:val="00F8786A"/>
    <w:rsid w:val="00F87A42"/>
    <w:rsid w:val="00F87AAC"/>
    <w:rsid w:val="00F87EEC"/>
    <w:rsid w:val="00F90025"/>
    <w:rsid w:val="00F9011C"/>
    <w:rsid w:val="00F902E9"/>
    <w:rsid w:val="00F905D6"/>
    <w:rsid w:val="00F908FD"/>
    <w:rsid w:val="00F90EEE"/>
    <w:rsid w:val="00F91284"/>
    <w:rsid w:val="00F91581"/>
    <w:rsid w:val="00F91883"/>
    <w:rsid w:val="00F92577"/>
    <w:rsid w:val="00F9257C"/>
    <w:rsid w:val="00F92746"/>
    <w:rsid w:val="00F927A6"/>
    <w:rsid w:val="00F928DF"/>
    <w:rsid w:val="00F9291D"/>
    <w:rsid w:val="00F92A98"/>
    <w:rsid w:val="00F92CC3"/>
    <w:rsid w:val="00F92FDE"/>
    <w:rsid w:val="00F92FFF"/>
    <w:rsid w:val="00F932AE"/>
    <w:rsid w:val="00F93707"/>
    <w:rsid w:val="00F9378F"/>
    <w:rsid w:val="00F9395A"/>
    <w:rsid w:val="00F939E2"/>
    <w:rsid w:val="00F93C14"/>
    <w:rsid w:val="00F94281"/>
    <w:rsid w:val="00F9457B"/>
    <w:rsid w:val="00F945EC"/>
    <w:rsid w:val="00F945FB"/>
    <w:rsid w:val="00F9470C"/>
    <w:rsid w:val="00F947E4"/>
    <w:rsid w:val="00F95695"/>
    <w:rsid w:val="00F95750"/>
    <w:rsid w:val="00F95918"/>
    <w:rsid w:val="00F95A98"/>
    <w:rsid w:val="00F95E94"/>
    <w:rsid w:val="00F961F2"/>
    <w:rsid w:val="00F9636C"/>
    <w:rsid w:val="00F963CB"/>
    <w:rsid w:val="00F96957"/>
    <w:rsid w:val="00F96995"/>
    <w:rsid w:val="00F96BB7"/>
    <w:rsid w:val="00F96DDB"/>
    <w:rsid w:val="00F96DFB"/>
    <w:rsid w:val="00F97002"/>
    <w:rsid w:val="00F9732D"/>
    <w:rsid w:val="00F97709"/>
    <w:rsid w:val="00F97749"/>
    <w:rsid w:val="00F977BE"/>
    <w:rsid w:val="00F97B37"/>
    <w:rsid w:val="00F97D16"/>
    <w:rsid w:val="00FA001F"/>
    <w:rsid w:val="00FA0021"/>
    <w:rsid w:val="00FA039B"/>
    <w:rsid w:val="00FA04F5"/>
    <w:rsid w:val="00FA056F"/>
    <w:rsid w:val="00FA05AE"/>
    <w:rsid w:val="00FA0623"/>
    <w:rsid w:val="00FA0D91"/>
    <w:rsid w:val="00FA0DBD"/>
    <w:rsid w:val="00FA0E8D"/>
    <w:rsid w:val="00FA1278"/>
    <w:rsid w:val="00FA24EF"/>
    <w:rsid w:val="00FA26FF"/>
    <w:rsid w:val="00FA2749"/>
    <w:rsid w:val="00FA2D09"/>
    <w:rsid w:val="00FA2D21"/>
    <w:rsid w:val="00FA2F14"/>
    <w:rsid w:val="00FA3A7D"/>
    <w:rsid w:val="00FA3ACE"/>
    <w:rsid w:val="00FA4B72"/>
    <w:rsid w:val="00FA4DA1"/>
    <w:rsid w:val="00FA504E"/>
    <w:rsid w:val="00FA5165"/>
    <w:rsid w:val="00FA51A0"/>
    <w:rsid w:val="00FA56AA"/>
    <w:rsid w:val="00FA5921"/>
    <w:rsid w:val="00FA5B78"/>
    <w:rsid w:val="00FA5BF1"/>
    <w:rsid w:val="00FA6838"/>
    <w:rsid w:val="00FA6AEB"/>
    <w:rsid w:val="00FA6CED"/>
    <w:rsid w:val="00FA6D3A"/>
    <w:rsid w:val="00FA7231"/>
    <w:rsid w:val="00FA7AB2"/>
    <w:rsid w:val="00FB0401"/>
    <w:rsid w:val="00FB0584"/>
    <w:rsid w:val="00FB0672"/>
    <w:rsid w:val="00FB0B56"/>
    <w:rsid w:val="00FB1155"/>
    <w:rsid w:val="00FB22E0"/>
    <w:rsid w:val="00FB2448"/>
    <w:rsid w:val="00FB344F"/>
    <w:rsid w:val="00FB34C5"/>
    <w:rsid w:val="00FB3AEB"/>
    <w:rsid w:val="00FB3C13"/>
    <w:rsid w:val="00FB3E83"/>
    <w:rsid w:val="00FB3FFA"/>
    <w:rsid w:val="00FB4260"/>
    <w:rsid w:val="00FB4456"/>
    <w:rsid w:val="00FB4586"/>
    <w:rsid w:val="00FB4822"/>
    <w:rsid w:val="00FB5093"/>
    <w:rsid w:val="00FB54AC"/>
    <w:rsid w:val="00FB5925"/>
    <w:rsid w:val="00FB608E"/>
    <w:rsid w:val="00FB6151"/>
    <w:rsid w:val="00FB6A2F"/>
    <w:rsid w:val="00FB6F45"/>
    <w:rsid w:val="00FB716E"/>
    <w:rsid w:val="00FB7221"/>
    <w:rsid w:val="00FB7309"/>
    <w:rsid w:val="00FB73A4"/>
    <w:rsid w:val="00FB75FD"/>
    <w:rsid w:val="00FB7EC3"/>
    <w:rsid w:val="00FC0039"/>
    <w:rsid w:val="00FC00B6"/>
    <w:rsid w:val="00FC0109"/>
    <w:rsid w:val="00FC06F2"/>
    <w:rsid w:val="00FC0B5F"/>
    <w:rsid w:val="00FC0F86"/>
    <w:rsid w:val="00FC11BD"/>
    <w:rsid w:val="00FC11D9"/>
    <w:rsid w:val="00FC11F3"/>
    <w:rsid w:val="00FC29EE"/>
    <w:rsid w:val="00FC2FD6"/>
    <w:rsid w:val="00FC3967"/>
    <w:rsid w:val="00FC3BF4"/>
    <w:rsid w:val="00FC4180"/>
    <w:rsid w:val="00FC4259"/>
    <w:rsid w:val="00FC42A3"/>
    <w:rsid w:val="00FC431A"/>
    <w:rsid w:val="00FC43A5"/>
    <w:rsid w:val="00FC43EC"/>
    <w:rsid w:val="00FC447C"/>
    <w:rsid w:val="00FC4481"/>
    <w:rsid w:val="00FC4573"/>
    <w:rsid w:val="00FC4741"/>
    <w:rsid w:val="00FC4B43"/>
    <w:rsid w:val="00FC59CD"/>
    <w:rsid w:val="00FC5DCB"/>
    <w:rsid w:val="00FC5EE5"/>
    <w:rsid w:val="00FC62C0"/>
    <w:rsid w:val="00FC64BD"/>
    <w:rsid w:val="00FC6722"/>
    <w:rsid w:val="00FC7391"/>
    <w:rsid w:val="00FC73A3"/>
    <w:rsid w:val="00FC73B0"/>
    <w:rsid w:val="00FC7587"/>
    <w:rsid w:val="00FC771C"/>
    <w:rsid w:val="00FC7A14"/>
    <w:rsid w:val="00FC7BEE"/>
    <w:rsid w:val="00FC7E8A"/>
    <w:rsid w:val="00FC7F1C"/>
    <w:rsid w:val="00FD02C7"/>
    <w:rsid w:val="00FD02DE"/>
    <w:rsid w:val="00FD0308"/>
    <w:rsid w:val="00FD0759"/>
    <w:rsid w:val="00FD0A8E"/>
    <w:rsid w:val="00FD0B73"/>
    <w:rsid w:val="00FD101D"/>
    <w:rsid w:val="00FD1135"/>
    <w:rsid w:val="00FD1B2B"/>
    <w:rsid w:val="00FD1C07"/>
    <w:rsid w:val="00FD1E19"/>
    <w:rsid w:val="00FD22B5"/>
    <w:rsid w:val="00FD232C"/>
    <w:rsid w:val="00FD2473"/>
    <w:rsid w:val="00FD29C1"/>
    <w:rsid w:val="00FD2D16"/>
    <w:rsid w:val="00FD2FDD"/>
    <w:rsid w:val="00FD3247"/>
    <w:rsid w:val="00FD35EE"/>
    <w:rsid w:val="00FD3B3E"/>
    <w:rsid w:val="00FD3F35"/>
    <w:rsid w:val="00FD3F88"/>
    <w:rsid w:val="00FD4012"/>
    <w:rsid w:val="00FD4462"/>
    <w:rsid w:val="00FD44F0"/>
    <w:rsid w:val="00FD450A"/>
    <w:rsid w:val="00FD49F1"/>
    <w:rsid w:val="00FD49FF"/>
    <w:rsid w:val="00FD4F45"/>
    <w:rsid w:val="00FD528F"/>
    <w:rsid w:val="00FD5704"/>
    <w:rsid w:val="00FD59DB"/>
    <w:rsid w:val="00FD5A0E"/>
    <w:rsid w:val="00FD5CA8"/>
    <w:rsid w:val="00FD60FC"/>
    <w:rsid w:val="00FD6115"/>
    <w:rsid w:val="00FD62A2"/>
    <w:rsid w:val="00FD62C8"/>
    <w:rsid w:val="00FD6586"/>
    <w:rsid w:val="00FD6656"/>
    <w:rsid w:val="00FD6751"/>
    <w:rsid w:val="00FD6819"/>
    <w:rsid w:val="00FD704D"/>
    <w:rsid w:val="00FD7067"/>
    <w:rsid w:val="00FD7612"/>
    <w:rsid w:val="00FD7B3D"/>
    <w:rsid w:val="00FD7E19"/>
    <w:rsid w:val="00FD7F0C"/>
    <w:rsid w:val="00FE00FB"/>
    <w:rsid w:val="00FE059F"/>
    <w:rsid w:val="00FE0BCC"/>
    <w:rsid w:val="00FE0C93"/>
    <w:rsid w:val="00FE18AC"/>
    <w:rsid w:val="00FE19E5"/>
    <w:rsid w:val="00FE1AA9"/>
    <w:rsid w:val="00FE1C73"/>
    <w:rsid w:val="00FE1D7F"/>
    <w:rsid w:val="00FE22C5"/>
    <w:rsid w:val="00FE243A"/>
    <w:rsid w:val="00FE29BE"/>
    <w:rsid w:val="00FE2CA7"/>
    <w:rsid w:val="00FE2DEE"/>
    <w:rsid w:val="00FE2DFE"/>
    <w:rsid w:val="00FE2E5F"/>
    <w:rsid w:val="00FE2F5D"/>
    <w:rsid w:val="00FE310E"/>
    <w:rsid w:val="00FE32D3"/>
    <w:rsid w:val="00FE3913"/>
    <w:rsid w:val="00FE3973"/>
    <w:rsid w:val="00FE3C04"/>
    <w:rsid w:val="00FE3DC6"/>
    <w:rsid w:val="00FE4036"/>
    <w:rsid w:val="00FE4060"/>
    <w:rsid w:val="00FE40F4"/>
    <w:rsid w:val="00FE43E3"/>
    <w:rsid w:val="00FE4503"/>
    <w:rsid w:val="00FE4C99"/>
    <w:rsid w:val="00FE4EB6"/>
    <w:rsid w:val="00FE523E"/>
    <w:rsid w:val="00FE5556"/>
    <w:rsid w:val="00FE575A"/>
    <w:rsid w:val="00FE5849"/>
    <w:rsid w:val="00FE58E3"/>
    <w:rsid w:val="00FE5A08"/>
    <w:rsid w:val="00FE5E5D"/>
    <w:rsid w:val="00FE5F50"/>
    <w:rsid w:val="00FE607C"/>
    <w:rsid w:val="00FE6706"/>
    <w:rsid w:val="00FE68FF"/>
    <w:rsid w:val="00FE6C0A"/>
    <w:rsid w:val="00FE6C22"/>
    <w:rsid w:val="00FE6D8F"/>
    <w:rsid w:val="00FE7358"/>
    <w:rsid w:val="00FE7479"/>
    <w:rsid w:val="00FE7DE8"/>
    <w:rsid w:val="00FF044E"/>
    <w:rsid w:val="00FF090F"/>
    <w:rsid w:val="00FF0A30"/>
    <w:rsid w:val="00FF0ED9"/>
    <w:rsid w:val="00FF12E7"/>
    <w:rsid w:val="00FF1340"/>
    <w:rsid w:val="00FF17DE"/>
    <w:rsid w:val="00FF1970"/>
    <w:rsid w:val="00FF19B2"/>
    <w:rsid w:val="00FF1AA0"/>
    <w:rsid w:val="00FF1EB9"/>
    <w:rsid w:val="00FF1FD2"/>
    <w:rsid w:val="00FF2092"/>
    <w:rsid w:val="00FF28E8"/>
    <w:rsid w:val="00FF347F"/>
    <w:rsid w:val="00FF35F5"/>
    <w:rsid w:val="00FF36FF"/>
    <w:rsid w:val="00FF39B2"/>
    <w:rsid w:val="00FF3A45"/>
    <w:rsid w:val="00FF3BC9"/>
    <w:rsid w:val="00FF4C87"/>
    <w:rsid w:val="00FF5060"/>
    <w:rsid w:val="00FF522A"/>
    <w:rsid w:val="00FF53A9"/>
    <w:rsid w:val="00FF5494"/>
    <w:rsid w:val="00FF5B2B"/>
    <w:rsid w:val="00FF5D4C"/>
    <w:rsid w:val="00FF695F"/>
    <w:rsid w:val="00FF6A57"/>
    <w:rsid w:val="00FF6F00"/>
    <w:rsid w:val="00FF7CF9"/>
    <w:rsid w:val="00FF7E04"/>
    <w:rsid w:val="01159C2F"/>
    <w:rsid w:val="014E8A69"/>
    <w:rsid w:val="0152E00C"/>
    <w:rsid w:val="015F0E86"/>
    <w:rsid w:val="0168FC81"/>
    <w:rsid w:val="0184DC51"/>
    <w:rsid w:val="018879F9"/>
    <w:rsid w:val="019EE59C"/>
    <w:rsid w:val="01C97299"/>
    <w:rsid w:val="01E94FF9"/>
    <w:rsid w:val="020CBC61"/>
    <w:rsid w:val="021253EE"/>
    <w:rsid w:val="0225897D"/>
    <w:rsid w:val="024F60BE"/>
    <w:rsid w:val="024F626C"/>
    <w:rsid w:val="0261E4A2"/>
    <w:rsid w:val="028C9B40"/>
    <w:rsid w:val="02B8CD70"/>
    <w:rsid w:val="031EAC54"/>
    <w:rsid w:val="036931D0"/>
    <w:rsid w:val="03AAA732"/>
    <w:rsid w:val="03BFC04A"/>
    <w:rsid w:val="03EE7162"/>
    <w:rsid w:val="0402B601"/>
    <w:rsid w:val="0430B577"/>
    <w:rsid w:val="04400683"/>
    <w:rsid w:val="046EE486"/>
    <w:rsid w:val="0485F150"/>
    <w:rsid w:val="04B8B5E8"/>
    <w:rsid w:val="04C1C2AB"/>
    <w:rsid w:val="04D1EDD3"/>
    <w:rsid w:val="04D50636"/>
    <w:rsid w:val="050E5027"/>
    <w:rsid w:val="053BCA03"/>
    <w:rsid w:val="056EB48A"/>
    <w:rsid w:val="058E990E"/>
    <w:rsid w:val="059C02A0"/>
    <w:rsid w:val="05F3702B"/>
    <w:rsid w:val="05F76969"/>
    <w:rsid w:val="063768A2"/>
    <w:rsid w:val="063DD7E3"/>
    <w:rsid w:val="069404B9"/>
    <w:rsid w:val="06962658"/>
    <w:rsid w:val="069CA47B"/>
    <w:rsid w:val="06A36C77"/>
    <w:rsid w:val="06F191A3"/>
    <w:rsid w:val="06F6DB59"/>
    <w:rsid w:val="071D8424"/>
    <w:rsid w:val="0789D770"/>
    <w:rsid w:val="07D43ED3"/>
    <w:rsid w:val="07F85F31"/>
    <w:rsid w:val="0860D344"/>
    <w:rsid w:val="08AF0F6D"/>
    <w:rsid w:val="09087DE5"/>
    <w:rsid w:val="0944DA32"/>
    <w:rsid w:val="094FC553"/>
    <w:rsid w:val="098FC043"/>
    <w:rsid w:val="099B6EFA"/>
    <w:rsid w:val="09A84A88"/>
    <w:rsid w:val="09EC4A4C"/>
    <w:rsid w:val="0A0C3C8B"/>
    <w:rsid w:val="0A0CC747"/>
    <w:rsid w:val="0A36C061"/>
    <w:rsid w:val="0A5A9A4D"/>
    <w:rsid w:val="0AE6901A"/>
    <w:rsid w:val="0AF96EAD"/>
    <w:rsid w:val="0B08D208"/>
    <w:rsid w:val="0B18B677"/>
    <w:rsid w:val="0B1A8114"/>
    <w:rsid w:val="0B27E699"/>
    <w:rsid w:val="0B29EAE4"/>
    <w:rsid w:val="0B368BEC"/>
    <w:rsid w:val="0B401D54"/>
    <w:rsid w:val="0B5378B8"/>
    <w:rsid w:val="0BD77C1D"/>
    <w:rsid w:val="0BD86AC3"/>
    <w:rsid w:val="0BDA473B"/>
    <w:rsid w:val="0BDEB1E2"/>
    <w:rsid w:val="0BFD1AA8"/>
    <w:rsid w:val="0C017112"/>
    <w:rsid w:val="0C094ECD"/>
    <w:rsid w:val="0C181D17"/>
    <w:rsid w:val="0C1C35D1"/>
    <w:rsid w:val="0CEB0F84"/>
    <w:rsid w:val="0CFD3E06"/>
    <w:rsid w:val="0D92F3C3"/>
    <w:rsid w:val="0DAC4D8C"/>
    <w:rsid w:val="0DD223A7"/>
    <w:rsid w:val="0E75ECD8"/>
    <w:rsid w:val="0E783C24"/>
    <w:rsid w:val="0E99031D"/>
    <w:rsid w:val="0EA9C31E"/>
    <w:rsid w:val="0EB29AFF"/>
    <w:rsid w:val="0EED0635"/>
    <w:rsid w:val="0F00DAD2"/>
    <w:rsid w:val="0F1CB8B9"/>
    <w:rsid w:val="0F2FCAF5"/>
    <w:rsid w:val="0F4BD3A7"/>
    <w:rsid w:val="0F624DC6"/>
    <w:rsid w:val="0F644566"/>
    <w:rsid w:val="0F780DB7"/>
    <w:rsid w:val="0F7C1983"/>
    <w:rsid w:val="0F848150"/>
    <w:rsid w:val="0F9FA3F7"/>
    <w:rsid w:val="0FA8071A"/>
    <w:rsid w:val="0FABBEE9"/>
    <w:rsid w:val="0FEACFE1"/>
    <w:rsid w:val="1004B629"/>
    <w:rsid w:val="10403F4C"/>
    <w:rsid w:val="10527CCF"/>
    <w:rsid w:val="106B01BB"/>
    <w:rsid w:val="1083B241"/>
    <w:rsid w:val="10BED968"/>
    <w:rsid w:val="10D79F7F"/>
    <w:rsid w:val="114D11AC"/>
    <w:rsid w:val="11952908"/>
    <w:rsid w:val="11B6E7AE"/>
    <w:rsid w:val="121DC883"/>
    <w:rsid w:val="1221FA32"/>
    <w:rsid w:val="1225884E"/>
    <w:rsid w:val="1243AD9B"/>
    <w:rsid w:val="128684B3"/>
    <w:rsid w:val="128D386D"/>
    <w:rsid w:val="12A044A4"/>
    <w:rsid w:val="12DD61EE"/>
    <w:rsid w:val="12E5D482"/>
    <w:rsid w:val="12FB3A96"/>
    <w:rsid w:val="12FFD335"/>
    <w:rsid w:val="13430A00"/>
    <w:rsid w:val="13817619"/>
    <w:rsid w:val="13D10C2A"/>
    <w:rsid w:val="142DF507"/>
    <w:rsid w:val="142FF0D2"/>
    <w:rsid w:val="1430D60F"/>
    <w:rsid w:val="143C6986"/>
    <w:rsid w:val="14A84C65"/>
    <w:rsid w:val="14AA0C51"/>
    <w:rsid w:val="1514A6DC"/>
    <w:rsid w:val="151EE5E4"/>
    <w:rsid w:val="152D3F2A"/>
    <w:rsid w:val="155721C1"/>
    <w:rsid w:val="155DDF8B"/>
    <w:rsid w:val="1589089D"/>
    <w:rsid w:val="159CA1FE"/>
    <w:rsid w:val="15CEDA9F"/>
    <w:rsid w:val="15CF48AD"/>
    <w:rsid w:val="15EB7123"/>
    <w:rsid w:val="1607E8BC"/>
    <w:rsid w:val="16478644"/>
    <w:rsid w:val="167220A9"/>
    <w:rsid w:val="16758B12"/>
    <w:rsid w:val="16A2FAFC"/>
    <w:rsid w:val="16F4BE57"/>
    <w:rsid w:val="16FDE31C"/>
    <w:rsid w:val="16FE555D"/>
    <w:rsid w:val="1729281A"/>
    <w:rsid w:val="177205F6"/>
    <w:rsid w:val="17A037DE"/>
    <w:rsid w:val="17A0F71A"/>
    <w:rsid w:val="17A799F3"/>
    <w:rsid w:val="17BDECCA"/>
    <w:rsid w:val="17DE29B2"/>
    <w:rsid w:val="181FE7E5"/>
    <w:rsid w:val="183720B4"/>
    <w:rsid w:val="18D75F5E"/>
    <w:rsid w:val="18E99289"/>
    <w:rsid w:val="18FCA0AC"/>
    <w:rsid w:val="19189B9A"/>
    <w:rsid w:val="19BB2DE1"/>
    <w:rsid w:val="19D8CD51"/>
    <w:rsid w:val="19DB6062"/>
    <w:rsid w:val="1A27712A"/>
    <w:rsid w:val="1A4A8C4C"/>
    <w:rsid w:val="1A55BAB8"/>
    <w:rsid w:val="1A680343"/>
    <w:rsid w:val="1A87E052"/>
    <w:rsid w:val="1A98F237"/>
    <w:rsid w:val="1AB2A645"/>
    <w:rsid w:val="1AC2C12F"/>
    <w:rsid w:val="1AC936EE"/>
    <w:rsid w:val="1B258586"/>
    <w:rsid w:val="1B4CA50A"/>
    <w:rsid w:val="1B563409"/>
    <w:rsid w:val="1B638D5E"/>
    <w:rsid w:val="1B7CD12C"/>
    <w:rsid w:val="1BA7E1D3"/>
    <w:rsid w:val="1BC43A61"/>
    <w:rsid w:val="1BD85936"/>
    <w:rsid w:val="1C2EA64C"/>
    <w:rsid w:val="1C645BDE"/>
    <w:rsid w:val="1C9436AE"/>
    <w:rsid w:val="1CB6FE30"/>
    <w:rsid w:val="1CC136EC"/>
    <w:rsid w:val="1CC44C00"/>
    <w:rsid w:val="1CDE16C8"/>
    <w:rsid w:val="1CF99D0B"/>
    <w:rsid w:val="1D171497"/>
    <w:rsid w:val="1D748BF3"/>
    <w:rsid w:val="1DA48552"/>
    <w:rsid w:val="1DB7F803"/>
    <w:rsid w:val="1E5FD084"/>
    <w:rsid w:val="1E7F9721"/>
    <w:rsid w:val="1EBFFFF5"/>
    <w:rsid w:val="1ED8D1F7"/>
    <w:rsid w:val="1EFD2567"/>
    <w:rsid w:val="1F1C5C50"/>
    <w:rsid w:val="1F9A792D"/>
    <w:rsid w:val="1FB5E6A0"/>
    <w:rsid w:val="1FC5376A"/>
    <w:rsid w:val="20BCF622"/>
    <w:rsid w:val="20ED5C72"/>
    <w:rsid w:val="20F6C1B7"/>
    <w:rsid w:val="2108E0B6"/>
    <w:rsid w:val="21D0E339"/>
    <w:rsid w:val="21D4FBD1"/>
    <w:rsid w:val="22012A93"/>
    <w:rsid w:val="222FB12E"/>
    <w:rsid w:val="223FCA43"/>
    <w:rsid w:val="2241129C"/>
    <w:rsid w:val="227367B5"/>
    <w:rsid w:val="22991986"/>
    <w:rsid w:val="22A7CC70"/>
    <w:rsid w:val="230EED93"/>
    <w:rsid w:val="233298DC"/>
    <w:rsid w:val="233AA110"/>
    <w:rsid w:val="233FF245"/>
    <w:rsid w:val="2387E42C"/>
    <w:rsid w:val="23DA0D26"/>
    <w:rsid w:val="23DA447D"/>
    <w:rsid w:val="23DE8EBF"/>
    <w:rsid w:val="24964EBC"/>
    <w:rsid w:val="249699CF"/>
    <w:rsid w:val="24C17F88"/>
    <w:rsid w:val="24E5EE2D"/>
    <w:rsid w:val="2537AFA4"/>
    <w:rsid w:val="2566B8C1"/>
    <w:rsid w:val="258F3128"/>
    <w:rsid w:val="2596FE1D"/>
    <w:rsid w:val="25AE40BA"/>
    <w:rsid w:val="25DB6929"/>
    <w:rsid w:val="25F022AD"/>
    <w:rsid w:val="260DA201"/>
    <w:rsid w:val="261982F3"/>
    <w:rsid w:val="2634D54D"/>
    <w:rsid w:val="2646DDC9"/>
    <w:rsid w:val="266583E7"/>
    <w:rsid w:val="269CD8D6"/>
    <w:rsid w:val="26A3E24B"/>
    <w:rsid w:val="26B71CB1"/>
    <w:rsid w:val="26EBFA1D"/>
    <w:rsid w:val="26F3AA9D"/>
    <w:rsid w:val="2703253A"/>
    <w:rsid w:val="270CF8C0"/>
    <w:rsid w:val="27537711"/>
    <w:rsid w:val="27F13BC7"/>
    <w:rsid w:val="285B4915"/>
    <w:rsid w:val="28AD83C5"/>
    <w:rsid w:val="28C5485A"/>
    <w:rsid w:val="2938E019"/>
    <w:rsid w:val="29A9408D"/>
    <w:rsid w:val="29CD6768"/>
    <w:rsid w:val="29E6A713"/>
    <w:rsid w:val="2A1C0F0A"/>
    <w:rsid w:val="2A6D8D20"/>
    <w:rsid w:val="2A7A6CB0"/>
    <w:rsid w:val="2AAFD908"/>
    <w:rsid w:val="2AB2090E"/>
    <w:rsid w:val="2AF16C47"/>
    <w:rsid w:val="2B8C9EBE"/>
    <w:rsid w:val="2BAF7D14"/>
    <w:rsid w:val="2BC5CF50"/>
    <w:rsid w:val="2C5158B0"/>
    <w:rsid w:val="2C530585"/>
    <w:rsid w:val="2C88A0FA"/>
    <w:rsid w:val="2C8A959A"/>
    <w:rsid w:val="2C8F9BEB"/>
    <w:rsid w:val="2CF9BA06"/>
    <w:rsid w:val="2CFB725D"/>
    <w:rsid w:val="2D650518"/>
    <w:rsid w:val="2D6A61CE"/>
    <w:rsid w:val="2D90FC28"/>
    <w:rsid w:val="2DC454ED"/>
    <w:rsid w:val="2DD43FF1"/>
    <w:rsid w:val="2E0AADE4"/>
    <w:rsid w:val="2E28F0A8"/>
    <w:rsid w:val="2E2FEED0"/>
    <w:rsid w:val="2E651644"/>
    <w:rsid w:val="2E67D5D1"/>
    <w:rsid w:val="2E8FB6E8"/>
    <w:rsid w:val="2E9A8EBA"/>
    <w:rsid w:val="2ED2A3CC"/>
    <w:rsid w:val="2EFFAA75"/>
    <w:rsid w:val="2F09D209"/>
    <w:rsid w:val="2F2A05D7"/>
    <w:rsid w:val="2F38083F"/>
    <w:rsid w:val="2F9E332B"/>
    <w:rsid w:val="2FB68096"/>
    <w:rsid w:val="2FC05851"/>
    <w:rsid w:val="2FED1B91"/>
    <w:rsid w:val="3026FFD7"/>
    <w:rsid w:val="3088F2B4"/>
    <w:rsid w:val="30909817"/>
    <w:rsid w:val="30F1AD0C"/>
    <w:rsid w:val="3113948E"/>
    <w:rsid w:val="3127A053"/>
    <w:rsid w:val="3144119C"/>
    <w:rsid w:val="316D398E"/>
    <w:rsid w:val="31BB9B6B"/>
    <w:rsid w:val="31E19B88"/>
    <w:rsid w:val="3204F0EE"/>
    <w:rsid w:val="32423B70"/>
    <w:rsid w:val="3251A3A2"/>
    <w:rsid w:val="326898F0"/>
    <w:rsid w:val="326B197E"/>
    <w:rsid w:val="328A6AA8"/>
    <w:rsid w:val="32A149E1"/>
    <w:rsid w:val="330D343E"/>
    <w:rsid w:val="3342F6A3"/>
    <w:rsid w:val="33767A75"/>
    <w:rsid w:val="33A657B9"/>
    <w:rsid w:val="33D70891"/>
    <w:rsid w:val="34009FB3"/>
    <w:rsid w:val="3401AC17"/>
    <w:rsid w:val="3418E49B"/>
    <w:rsid w:val="341930B0"/>
    <w:rsid w:val="346F6C81"/>
    <w:rsid w:val="34B445A5"/>
    <w:rsid w:val="34B754AA"/>
    <w:rsid w:val="34C920AD"/>
    <w:rsid w:val="34FF842A"/>
    <w:rsid w:val="3506B41F"/>
    <w:rsid w:val="356D660E"/>
    <w:rsid w:val="357A6E8D"/>
    <w:rsid w:val="35814530"/>
    <w:rsid w:val="35997107"/>
    <w:rsid w:val="35AD92ED"/>
    <w:rsid w:val="35CF0E32"/>
    <w:rsid w:val="362AE668"/>
    <w:rsid w:val="364A6ECA"/>
    <w:rsid w:val="36C2D70C"/>
    <w:rsid w:val="36DFF70B"/>
    <w:rsid w:val="36E10C5A"/>
    <w:rsid w:val="36E5A0A6"/>
    <w:rsid w:val="36EF1A7A"/>
    <w:rsid w:val="3709DAED"/>
    <w:rsid w:val="370F0EF8"/>
    <w:rsid w:val="37112712"/>
    <w:rsid w:val="371CDC26"/>
    <w:rsid w:val="373545EA"/>
    <w:rsid w:val="378E28D5"/>
    <w:rsid w:val="37C6D3BE"/>
    <w:rsid w:val="37D7EF24"/>
    <w:rsid w:val="38444E30"/>
    <w:rsid w:val="385B9946"/>
    <w:rsid w:val="38626B34"/>
    <w:rsid w:val="38735C0F"/>
    <w:rsid w:val="3895C7D7"/>
    <w:rsid w:val="389DA226"/>
    <w:rsid w:val="38A63ABE"/>
    <w:rsid w:val="38B37DEE"/>
    <w:rsid w:val="38BF39DE"/>
    <w:rsid w:val="38C15B00"/>
    <w:rsid w:val="38CAADD2"/>
    <w:rsid w:val="38DFD984"/>
    <w:rsid w:val="38E0AF06"/>
    <w:rsid w:val="38FD0214"/>
    <w:rsid w:val="3952F15C"/>
    <w:rsid w:val="39B215C7"/>
    <w:rsid w:val="39F6BAC6"/>
    <w:rsid w:val="39FFF3D9"/>
    <w:rsid w:val="3A0373D8"/>
    <w:rsid w:val="3A26600D"/>
    <w:rsid w:val="3A8639FB"/>
    <w:rsid w:val="3AB67666"/>
    <w:rsid w:val="3AD02469"/>
    <w:rsid w:val="3B1CE36C"/>
    <w:rsid w:val="3B433043"/>
    <w:rsid w:val="3B5424C9"/>
    <w:rsid w:val="3B7034FB"/>
    <w:rsid w:val="3B913432"/>
    <w:rsid w:val="3BA3AA2C"/>
    <w:rsid w:val="3BB8A789"/>
    <w:rsid w:val="3BC0D0C7"/>
    <w:rsid w:val="3BC888DB"/>
    <w:rsid w:val="3BCBC969"/>
    <w:rsid w:val="3BF7B4CD"/>
    <w:rsid w:val="3C0D605A"/>
    <w:rsid w:val="3C0F2A08"/>
    <w:rsid w:val="3C15416B"/>
    <w:rsid w:val="3C191552"/>
    <w:rsid w:val="3C66E690"/>
    <w:rsid w:val="3C6E706B"/>
    <w:rsid w:val="3CA00FFF"/>
    <w:rsid w:val="3CAC8E5F"/>
    <w:rsid w:val="3CECF7AE"/>
    <w:rsid w:val="3D2CEBD7"/>
    <w:rsid w:val="3D300462"/>
    <w:rsid w:val="3D496B7A"/>
    <w:rsid w:val="3D5FC122"/>
    <w:rsid w:val="3D81DD9E"/>
    <w:rsid w:val="3D9488DC"/>
    <w:rsid w:val="3DA0257A"/>
    <w:rsid w:val="3DA06BE2"/>
    <w:rsid w:val="3DA15DD9"/>
    <w:rsid w:val="3DBD87E8"/>
    <w:rsid w:val="3DC6720F"/>
    <w:rsid w:val="3DD2CF5E"/>
    <w:rsid w:val="3DD2F060"/>
    <w:rsid w:val="3DD6E10D"/>
    <w:rsid w:val="3E33738D"/>
    <w:rsid w:val="3E4FF4D9"/>
    <w:rsid w:val="3E54683F"/>
    <w:rsid w:val="3EB1D5A7"/>
    <w:rsid w:val="3EB81A4B"/>
    <w:rsid w:val="3EC6A7D1"/>
    <w:rsid w:val="3ECF6E8E"/>
    <w:rsid w:val="3F73051F"/>
    <w:rsid w:val="3F773D4F"/>
    <w:rsid w:val="3F8B1520"/>
    <w:rsid w:val="3F945113"/>
    <w:rsid w:val="3FDC7DCC"/>
    <w:rsid w:val="3FE2839A"/>
    <w:rsid w:val="40045916"/>
    <w:rsid w:val="40066818"/>
    <w:rsid w:val="405F4D45"/>
    <w:rsid w:val="40BB99B6"/>
    <w:rsid w:val="40BFC138"/>
    <w:rsid w:val="40CCDED9"/>
    <w:rsid w:val="40D53574"/>
    <w:rsid w:val="410035E7"/>
    <w:rsid w:val="41887EC2"/>
    <w:rsid w:val="418FAF87"/>
    <w:rsid w:val="419317D0"/>
    <w:rsid w:val="41D255ED"/>
    <w:rsid w:val="41DFE938"/>
    <w:rsid w:val="41F13CB6"/>
    <w:rsid w:val="41F143D6"/>
    <w:rsid w:val="4210FE39"/>
    <w:rsid w:val="42317EE8"/>
    <w:rsid w:val="427CA40F"/>
    <w:rsid w:val="428168B6"/>
    <w:rsid w:val="428FC3DD"/>
    <w:rsid w:val="42A3C871"/>
    <w:rsid w:val="42D32658"/>
    <w:rsid w:val="42D344B0"/>
    <w:rsid w:val="430D070C"/>
    <w:rsid w:val="437AABFA"/>
    <w:rsid w:val="43989786"/>
    <w:rsid w:val="43A08062"/>
    <w:rsid w:val="43B92468"/>
    <w:rsid w:val="43CDBCC7"/>
    <w:rsid w:val="44110F0C"/>
    <w:rsid w:val="441A0675"/>
    <w:rsid w:val="44607093"/>
    <w:rsid w:val="44706835"/>
    <w:rsid w:val="447E403C"/>
    <w:rsid w:val="44BE22AC"/>
    <w:rsid w:val="44D7FF98"/>
    <w:rsid w:val="45263F87"/>
    <w:rsid w:val="4561BC97"/>
    <w:rsid w:val="456FA89D"/>
    <w:rsid w:val="457A89BA"/>
    <w:rsid w:val="45BD85FC"/>
    <w:rsid w:val="45BE29C2"/>
    <w:rsid w:val="45E82AE0"/>
    <w:rsid w:val="45F90A68"/>
    <w:rsid w:val="46024A7E"/>
    <w:rsid w:val="4603D3D7"/>
    <w:rsid w:val="461C2A16"/>
    <w:rsid w:val="461EA7B1"/>
    <w:rsid w:val="462A19A9"/>
    <w:rsid w:val="4631F088"/>
    <w:rsid w:val="4648CDAE"/>
    <w:rsid w:val="466CC4D3"/>
    <w:rsid w:val="46ECF925"/>
    <w:rsid w:val="47241D0B"/>
    <w:rsid w:val="47762A3C"/>
    <w:rsid w:val="47BBCBD7"/>
    <w:rsid w:val="47C9E1EA"/>
    <w:rsid w:val="47D1061F"/>
    <w:rsid w:val="47D6F834"/>
    <w:rsid w:val="47EAECC8"/>
    <w:rsid w:val="48100851"/>
    <w:rsid w:val="4844BDBA"/>
    <w:rsid w:val="485F1FAD"/>
    <w:rsid w:val="4877C506"/>
    <w:rsid w:val="488E10D7"/>
    <w:rsid w:val="48904B5A"/>
    <w:rsid w:val="48E248F9"/>
    <w:rsid w:val="491FCDB1"/>
    <w:rsid w:val="493CBC1C"/>
    <w:rsid w:val="496257A4"/>
    <w:rsid w:val="4968921A"/>
    <w:rsid w:val="49694C53"/>
    <w:rsid w:val="498A332E"/>
    <w:rsid w:val="49E699E5"/>
    <w:rsid w:val="4A330715"/>
    <w:rsid w:val="4A347875"/>
    <w:rsid w:val="4A40748D"/>
    <w:rsid w:val="4B282304"/>
    <w:rsid w:val="4B2A5531"/>
    <w:rsid w:val="4B745AC3"/>
    <w:rsid w:val="4BB08841"/>
    <w:rsid w:val="4C5ED7EC"/>
    <w:rsid w:val="4C822C39"/>
    <w:rsid w:val="4CB21FDB"/>
    <w:rsid w:val="4CB784B2"/>
    <w:rsid w:val="4CB83550"/>
    <w:rsid w:val="4CC1375F"/>
    <w:rsid w:val="4CC18378"/>
    <w:rsid w:val="4CDF40D1"/>
    <w:rsid w:val="4D0670E4"/>
    <w:rsid w:val="4D1D1C98"/>
    <w:rsid w:val="4D28AEAE"/>
    <w:rsid w:val="4D2E4D5E"/>
    <w:rsid w:val="4D482683"/>
    <w:rsid w:val="4D538760"/>
    <w:rsid w:val="4D70CC16"/>
    <w:rsid w:val="4D72C857"/>
    <w:rsid w:val="4D94F030"/>
    <w:rsid w:val="4DD64D11"/>
    <w:rsid w:val="4E0CD063"/>
    <w:rsid w:val="4E1D0F42"/>
    <w:rsid w:val="4E201A09"/>
    <w:rsid w:val="4E587528"/>
    <w:rsid w:val="4E669781"/>
    <w:rsid w:val="4E68E353"/>
    <w:rsid w:val="4EB37F08"/>
    <w:rsid w:val="4EB92169"/>
    <w:rsid w:val="4ED1639E"/>
    <w:rsid w:val="4F2CC944"/>
    <w:rsid w:val="4F37E26B"/>
    <w:rsid w:val="4F53E818"/>
    <w:rsid w:val="4F5D4BFC"/>
    <w:rsid w:val="4F8C0AE9"/>
    <w:rsid w:val="4FE31A51"/>
    <w:rsid w:val="4FEA40C2"/>
    <w:rsid w:val="501DA193"/>
    <w:rsid w:val="50248D8C"/>
    <w:rsid w:val="505FEA1F"/>
    <w:rsid w:val="5083552D"/>
    <w:rsid w:val="50AB0BA8"/>
    <w:rsid w:val="50B4734B"/>
    <w:rsid w:val="50D659F0"/>
    <w:rsid w:val="50FE0DC9"/>
    <w:rsid w:val="515B2788"/>
    <w:rsid w:val="5186B160"/>
    <w:rsid w:val="51C2BC97"/>
    <w:rsid w:val="51E31B86"/>
    <w:rsid w:val="51E5477F"/>
    <w:rsid w:val="51FDF957"/>
    <w:rsid w:val="523390D2"/>
    <w:rsid w:val="524081AA"/>
    <w:rsid w:val="5251A4D9"/>
    <w:rsid w:val="5270253C"/>
    <w:rsid w:val="529E7F8A"/>
    <w:rsid w:val="52DB9E6A"/>
    <w:rsid w:val="53346E25"/>
    <w:rsid w:val="534C807F"/>
    <w:rsid w:val="5351F87B"/>
    <w:rsid w:val="5352162E"/>
    <w:rsid w:val="537618CE"/>
    <w:rsid w:val="537B27FD"/>
    <w:rsid w:val="5385408D"/>
    <w:rsid w:val="53926078"/>
    <w:rsid w:val="53C1A05F"/>
    <w:rsid w:val="5437143B"/>
    <w:rsid w:val="5440D3C9"/>
    <w:rsid w:val="545B9E2F"/>
    <w:rsid w:val="54A3A7BD"/>
    <w:rsid w:val="54C10188"/>
    <w:rsid w:val="54E5EE52"/>
    <w:rsid w:val="55175839"/>
    <w:rsid w:val="551FC53C"/>
    <w:rsid w:val="556650F0"/>
    <w:rsid w:val="557BF604"/>
    <w:rsid w:val="5592CCB9"/>
    <w:rsid w:val="559D94CE"/>
    <w:rsid w:val="55CD81C4"/>
    <w:rsid w:val="55EE1430"/>
    <w:rsid w:val="55F0C847"/>
    <w:rsid w:val="5638E40C"/>
    <w:rsid w:val="56755FE4"/>
    <w:rsid w:val="56A688D4"/>
    <w:rsid w:val="56B04AD2"/>
    <w:rsid w:val="56D75277"/>
    <w:rsid w:val="56F226A8"/>
    <w:rsid w:val="56F72787"/>
    <w:rsid w:val="5716176B"/>
    <w:rsid w:val="57354C72"/>
    <w:rsid w:val="578DCC7A"/>
    <w:rsid w:val="579384C4"/>
    <w:rsid w:val="57D5784A"/>
    <w:rsid w:val="58057665"/>
    <w:rsid w:val="581099CA"/>
    <w:rsid w:val="58166514"/>
    <w:rsid w:val="583365D6"/>
    <w:rsid w:val="58488B92"/>
    <w:rsid w:val="5899ECB5"/>
    <w:rsid w:val="58D9950F"/>
    <w:rsid w:val="58F2402F"/>
    <w:rsid w:val="58F9EEB9"/>
    <w:rsid w:val="5910C463"/>
    <w:rsid w:val="59304568"/>
    <w:rsid w:val="59618796"/>
    <w:rsid w:val="596D1304"/>
    <w:rsid w:val="596D901A"/>
    <w:rsid w:val="597511EE"/>
    <w:rsid w:val="59E66972"/>
    <w:rsid w:val="59E67F9F"/>
    <w:rsid w:val="59F92975"/>
    <w:rsid w:val="5A2C4FC0"/>
    <w:rsid w:val="5A40AAFE"/>
    <w:rsid w:val="5A4FD86A"/>
    <w:rsid w:val="5A58F643"/>
    <w:rsid w:val="5A635055"/>
    <w:rsid w:val="5A78F2EF"/>
    <w:rsid w:val="5AB1AC00"/>
    <w:rsid w:val="5AC68927"/>
    <w:rsid w:val="5ADA8242"/>
    <w:rsid w:val="5ADB9577"/>
    <w:rsid w:val="5AEB3F08"/>
    <w:rsid w:val="5AEFB6CF"/>
    <w:rsid w:val="5B2FFE30"/>
    <w:rsid w:val="5B950FBB"/>
    <w:rsid w:val="5BAF28BB"/>
    <w:rsid w:val="5BC481B6"/>
    <w:rsid w:val="5BD841AA"/>
    <w:rsid w:val="5BDFB8E1"/>
    <w:rsid w:val="5C0C58E9"/>
    <w:rsid w:val="5C2A29FC"/>
    <w:rsid w:val="5C3828F4"/>
    <w:rsid w:val="5C57FEB4"/>
    <w:rsid w:val="5C669800"/>
    <w:rsid w:val="5CA090A4"/>
    <w:rsid w:val="5CA9705B"/>
    <w:rsid w:val="5CBCF5D5"/>
    <w:rsid w:val="5CF942B1"/>
    <w:rsid w:val="5D42C6AF"/>
    <w:rsid w:val="5D9F255C"/>
    <w:rsid w:val="5DA0954D"/>
    <w:rsid w:val="5DEEAABF"/>
    <w:rsid w:val="5E1E48D7"/>
    <w:rsid w:val="5E325A77"/>
    <w:rsid w:val="5E3BC7D7"/>
    <w:rsid w:val="5E50CCAA"/>
    <w:rsid w:val="5E8635A8"/>
    <w:rsid w:val="5E9EFADC"/>
    <w:rsid w:val="5EA4A315"/>
    <w:rsid w:val="5ECF11F2"/>
    <w:rsid w:val="5F51A1A1"/>
    <w:rsid w:val="5F5DEA52"/>
    <w:rsid w:val="5FAFB8F6"/>
    <w:rsid w:val="5FC523D2"/>
    <w:rsid w:val="5FEE241E"/>
    <w:rsid w:val="5FFA0FA5"/>
    <w:rsid w:val="6053BF48"/>
    <w:rsid w:val="6093E08C"/>
    <w:rsid w:val="60BE2758"/>
    <w:rsid w:val="60C4EDCD"/>
    <w:rsid w:val="60EB7964"/>
    <w:rsid w:val="61018E4F"/>
    <w:rsid w:val="610C6CA0"/>
    <w:rsid w:val="612ADC8A"/>
    <w:rsid w:val="614D2303"/>
    <w:rsid w:val="61ADF4CF"/>
    <w:rsid w:val="61AFA356"/>
    <w:rsid w:val="61C10DF4"/>
    <w:rsid w:val="61EEC449"/>
    <w:rsid w:val="61FC18DB"/>
    <w:rsid w:val="62044DC3"/>
    <w:rsid w:val="620D653B"/>
    <w:rsid w:val="622A246E"/>
    <w:rsid w:val="623823E0"/>
    <w:rsid w:val="625E0507"/>
    <w:rsid w:val="6273D763"/>
    <w:rsid w:val="627BA8BE"/>
    <w:rsid w:val="6285AD8A"/>
    <w:rsid w:val="62A46135"/>
    <w:rsid w:val="62A73165"/>
    <w:rsid w:val="62B9B1F4"/>
    <w:rsid w:val="62CDDD2B"/>
    <w:rsid w:val="62D8A969"/>
    <w:rsid w:val="630C0351"/>
    <w:rsid w:val="631B578A"/>
    <w:rsid w:val="63488CE0"/>
    <w:rsid w:val="63F9015B"/>
    <w:rsid w:val="640DDB99"/>
    <w:rsid w:val="641943A8"/>
    <w:rsid w:val="644C4BF2"/>
    <w:rsid w:val="646B87DF"/>
    <w:rsid w:val="648BF5AF"/>
    <w:rsid w:val="6499C578"/>
    <w:rsid w:val="649B4338"/>
    <w:rsid w:val="64C2C9E8"/>
    <w:rsid w:val="64E643A0"/>
    <w:rsid w:val="64FC733D"/>
    <w:rsid w:val="6509202D"/>
    <w:rsid w:val="656BBD57"/>
    <w:rsid w:val="656E627D"/>
    <w:rsid w:val="65A8C622"/>
    <w:rsid w:val="65AF507B"/>
    <w:rsid w:val="65C0BE61"/>
    <w:rsid w:val="66065368"/>
    <w:rsid w:val="6610B5C3"/>
    <w:rsid w:val="66568BBB"/>
    <w:rsid w:val="666EC147"/>
    <w:rsid w:val="66744954"/>
    <w:rsid w:val="66D2D0D8"/>
    <w:rsid w:val="673BDFA4"/>
    <w:rsid w:val="674643F7"/>
    <w:rsid w:val="676C9888"/>
    <w:rsid w:val="6789A886"/>
    <w:rsid w:val="679A3A08"/>
    <w:rsid w:val="67E10C35"/>
    <w:rsid w:val="683689AF"/>
    <w:rsid w:val="6865CA74"/>
    <w:rsid w:val="68714708"/>
    <w:rsid w:val="6889AE78"/>
    <w:rsid w:val="688C1F9F"/>
    <w:rsid w:val="68C69E7D"/>
    <w:rsid w:val="69016762"/>
    <w:rsid w:val="69267D72"/>
    <w:rsid w:val="6984954C"/>
    <w:rsid w:val="6997EF04"/>
    <w:rsid w:val="69DE075C"/>
    <w:rsid w:val="69E346F0"/>
    <w:rsid w:val="69FDA090"/>
    <w:rsid w:val="6A0A8B80"/>
    <w:rsid w:val="6A0CDF53"/>
    <w:rsid w:val="6A101511"/>
    <w:rsid w:val="6A353086"/>
    <w:rsid w:val="6A3E0FFF"/>
    <w:rsid w:val="6A3F4132"/>
    <w:rsid w:val="6A463DD9"/>
    <w:rsid w:val="6A9E5152"/>
    <w:rsid w:val="6B0832D9"/>
    <w:rsid w:val="6B4B9BBF"/>
    <w:rsid w:val="6B9A6DD4"/>
    <w:rsid w:val="6BA0C72F"/>
    <w:rsid w:val="6BB0299A"/>
    <w:rsid w:val="6BBEC472"/>
    <w:rsid w:val="6BCE1BF5"/>
    <w:rsid w:val="6BD94EC6"/>
    <w:rsid w:val="6C1292BB"/>
    <w:rsid w:val="6C1D8088"/>
    <w:rsid w:val="6C1F6D3C"/>
    <w:rsid w:val="6CF5332F"/>
    <w:rsid w:val="6CF66A8B"/>
    <w:rsid w:val="6D04477E"/>
    <w:rsid w:val="6D27FEAF"/>
    <w:rsid w:val="6D3213CA"/>
    <w:rsid w:val="6D5271FB"/>
    <w:rsid w:val="6D622B44"/>
    <w:rsid w:val="6D75937C"/>
    <w:rsid w:val="6DB0D98A"/>
    <w:rsid w:val="6DB776F3"/>
    <w:rsid w:val="6DC6B974"/>
    <w:rsid w:val="6DF9D37A"/>
    <w:rsid w:val="6E2C87E5"/>
    <w:rsid w:val="6E35BFBC"/>
    <w:rsid w:val="6E3B29E8"/>
    <w:rsid w:val="6E7D4A99"/>
    <w:rsid w:val="6E8F0712"/>
    <w:rsid w:val="6EC3319E"/>
    <w:rsid w:val="6ED40A9E"/>
    <w:rsid w:val="6F238975"/>
    <w:rsid w:val="6F31CFA5"/>
    <w:rsid w:val="6F389F80"/>
    <w:rsid w:val="6FBA5CE7"/>
    <w:rsid w:val="6FED0A6A"/>
    <w:rsid w:val="7023885A"/>
    <w:rsid w:val="7060B3E0"/>
    <w:rsid w:val="706E8CD8"/>
    <w:rsid w:val="70ACBB6F"/>
    <w:rsid w:val="70D11386"/>
    <w:rsid w:val="711AB2BE"/>
    <w:rsid w:val="71536F10"/>
    <w:rsid w:val="7163682E"/>
    <w:rsid w:val="7169DB7C"/>
    <w:rsid w:val="718D4CD0"/>
    <w:rsid w:val="719485F0"/>
    <w:rsid w:val="71C1C930"/>
    <w:rsid w:val="71FB7042"/>
    <w:rsid w:val="720415A1"/>
    <w:rsid w:val="721ED6F4"/>
    <w:rsid w:val="7230D55F"/>
    <w:rsid w:val="7250DC42"/>
    <w:rsid w:val="725DCCE2"/>
    <w:rsid w:val="727BE638"/>
    <w:rsid w:val="72CE4943"/>
    <w:rsid w:val="72FAFEF6"/>
    <w:rsid w:val="73046323"/>
    <w:rsid w:val="732816CB"/>
    <w:rsid w:val="732AAA61"/>
    <w:rsid w:val="736C50A3"/>
    <w:rsid w:val="739479D7"/>
    <w:rsid w:val="739B4B50"/>
    <w:rsid w:val="73CFD296"/>
    <w:rsid w:val="74110022"/>
    <w:rsid w:val="741B0C03"/>
    <w:rsid w:val="741BAD78"/>
    <w:rsid w:val="74775033"/>
    <w:rsid w:val="74BC46E3"/>
    <w:rsid w:val="74D4EB0F"/>
    <w:rsid w:val="750E63C8"/>
    <w:rsid w:val="75686652"/>
    <w:rsid w:val="7589016C"/>
    <w:rsid w:val="758AE5CE"/>
    <w:rsid w:val="75B7C5F4"/>
    <w:rsid w:val="75BF92BA"/>
    <w:rsid w:val="75FB00C7"/>
    <w:rsid w:val="7607EF93"/>
    <w:rsid w:val="76126BD0"/>
    <w:rsid w:val="761B5596"/>
    <w:rsid w:val="76274122"/>
    <w:rsid w:val="766E5393"/>
    <w:rsid w:val="768B379F"/>
    <w:rsid w:val="76928183"/>
    <w:rsid w:val="76A7AEBC"/>
    <w:rsid w:val="76A939BB"/>
    <w:rsid w:val="76B30560"/>
    <w:rsid w:val="76BCA4AC"/>
    <w:rsid w:val="770D741C"/>
    <w:rsid w:val="772D0EF7"/>
    <w:rsid w:val="772D73DA"/>
    <w:rsid w:val="77349339"/>
    <w:rsid w:val="77500C2B"/>
    <w:rsid w:val="77894F57"/>
    <w:rsid w:val="77A2E1BA"/>
    <w:rsid w:val="77B022BB"/>
    <w:rsid w:val="78476273"/>
    <w:rsid w:val="78A09739"/>
    <w:rsid w:val="7950C230"/>
    <w:rsid w:val="796EB515"/>
    <w:rsid w:val="79A798D4"/>
    <w:rsid w:val="7A250643"/>
    <w:rsid w:val="7A289446"/>
    <w:rsid w:val="7A2A85A0"/>
    <w:rsid w:val="7A42663C"/>
    <w:rsid w:val="7A57E75A"/>
    <w:rsid w:val="7AEA64BC"/>
    <w:rsid w:val="7B00574C"/>
    <w:rsid w:val="7B066B05"/>
    <w:rsid w:val="7B37EC17"/>
    <w:rsid w:val="7B446D1F"/>
    <w:rsid w:val="7B56E46F"/>
    <w:rsid w:val="7BC93AFF"/>
    <w:rsid w:val="7C23C4B5"/>
    <w:rsid w:val="7C26F784"/>
    <w:rsid w:val="7C377046"/>
    <w:rsid w:val="7C43689F"/>
    <w:rsid w:val="7C6F4199"/>
    <w:rsid w:val="7C79E6EF"/>
    <w:rsid w:val="7C8A7CDE"/>
    <w:rsid w:val="7CBCA508"/>
    <w:rsid w:val="7CEB6BBA"/>
    <w:rsid w:val="7CEF56EB"/>
    <w:rsid w:val="7CFC7F84"/>
    <w:rsid w:val="7D0D2E21"/>
    <w:rsid w:val="7D100C2C"/>
    <w:rsid w:val="7D275BEC"/>
    <w:rsid w:val="7D288C1C"/>
    <w:rsid w:val="7D33F80B"/>
    <w:rsid w:val="7D4A5473"/>
    <w:rsid w:val="7D7E0EAB"/>
    <w:rsid w:val="7DBBCE6E"/>
    <w:rsid w:val="7DCA7228"/>
    <w:rsid w:val="7E14F760"/>
    <w:rsid w:val="7E491255"/>
    <w:rsid w:val="7E72D83D"/>
    <w:rsid w:val="7E7BD252"/>
    <w:rsid w:val="7E888D0A"/>
    <w:rsid w:val="7E9EEB10"/>
    <w:rsid w:val="7ED55385"/>
    <w:rsid w:val="7EDB48FA"/>
    <w:rsid w:val="7FE8C9FD"/>
    <w:rsid w:val="7FF23D5A"/>
    <w:rsid w:val="7FF4A04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EBD19C"/>
  <w15:chartTrackingRefBased/>
  <w15:docId w15:val="{5E38C828-C8B0-4D81-A380-591BFA53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 w:eastAsia="fr-B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sid w:val="00401C9D"/>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rPr>
  </w:style>
  <w:style w:type="paragraph" w:styleId="ListParagraph">
    <w:name w:val="List Paragraph"/>
    <w:aliases w:val="Bullet 3,ПАРАГРАФ,Bullet line,Style 1,C 1,Гл точки,Normal List,Endnote,Indent,Списък на абзаци"/>
    <w:basedOn w:val="Normal"/>
    <w:link w:val="ListParagraphChar"/>
    <w:uiPriority w:val="34"/>
    <w:qFormat/>
    <w:rsid w:val="00A50D47"/>
    <w:pPr>
      <w:ind w:left="720"/>
      <w:contextualSpacing/>
    </w:pPr>
  </w:style>
  <w:style w:type="character" w:customStyle="1" w:styleId="ListParagraphChar">
    <w:name w:val="List Paragraph Char"/>
    <w:aliases w:val="Bullet 3 Char,ПАРАГРАФ Char,Bullet line Char,Style 1 Char,C 1 Char,Гл точки Char,Normal List Char,Endnote Char,Indent Char,Списък на абзаци Char"/>
    <w:link w:val="ListParagraph"/>
    <w:uiPriority w:val="34"/>
    <w:qFormat/>
    <w:locked/>
    <w:rsid w:val="00A50D47"/>
  </w:style>
  <w:style w:type="paragraph" w:styleId="Header">
    <w:name w:val="header"/>
    <w:basedOn w:val="Normal"/>
    <w:link w:val="Head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A50D47"/>
    <w:rPr>
      <w:rFonts w:eastAsiaTheme="minorHAnsi"/>
      <w:sz w:val="22"/>
      <w:szCs w:val="22"/>
    </w:rPr>
  </w:style>
  <w:style w:type="paragraph" w:styleId="Footer">
    <w:name w:val="footer"/>
    <w:basedOn w:val="Normal"/>
    <w:link w:val="Foot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FooterChar">
    <w:name w:val="Footer Char"/>
    <w:basedOn w:val="DefaultParagraphFont"/>
    <w:link w:val="Footer"/>
    <w:uiPriority w:val="99"/>
    <w:rsid w:val="00A50D47"/>
    <w:rPr>
      <w:rFonts w:eastAsiaTheme="minorHAnsi"/>
      <w:sz w:val="22"/>
      <w:szCs w:val="22"/>
    </w:rPr>
  </w:style>
  <w:style w:type="paragraph" w:customStyle="1" w:styleId="HeaderLandscape">
    <w:name w:val="HeaderLandscape"/>
    <w:basedOn w:val="Normal"/>
    <w:rsid w:val="00401C9D"/>
    <w:pPr>
      <w:tabs>
        <w:tab w:val="center" w:pos="7285"/>
        <w:tab w:val="right" w:pos="14003"/>
      </w:tabs>
      <w:spacing w:after="120" w:line="240" w:lineRule="auto"/>
      <w:jc w:val="both"/>
    </w:pPr>
    <w:rPr>
      <w:rFonts w:ascii="Times New Roman" w:eastAsiaTheme="minorHAnsi" w:hAnsi="Times New Roman" w:cs="Times New Roman"/>
      <w:szCs w:val="22"/>
    </w:rPr>
  </w:style>
  <w:style w:type="paragraph" w:customStyle="1" w:styleId="FooterLandscape">
    <w:name w:val="FooterLandscape"/>
    <w:basedOn w:val="Normal"/>
    <w:rsid w:val="00401C9D"/>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rPr>
  </w:style>
  <w:style w:type="paragraph" w:customStyle="1" w:styleId="HeaderCouncilLarge">
    <w:name w:val="Header Council Large"/>
    <w:basedOn w:val="Normal"/>
    <w:link w:val="HeaderCouncilLargeChar"/>
    <w:rsid w:val="00401C9D"/>
    <w:pPr>
      <w:spacing w:after="440" w:line="259" w:lineRule="auto"/>
    </w:pPr>
    <w:rPr>
      <w:rFonts w:ascii="Times New Roman" w:eastAsiaTheme="minorHAnsi" w:hAnsi="Times New Roman"/>
      <w:sz w:val="2"/>
      <w:szCs w:val="22"/>
    </w:rPr>
  </w:style>
  <w:style w:type="character" w:customStyle="1" w:styleId="HeaderCouncilLargeChar">
    <w:name w:val="Header Council Large Char"/>
    <w:basedOn w:val="DefaultParagraphFont"/>
    <w:link w:val="HeaderCouncilLarge"/>
    <w:rsid w:val="00A50D47"/>
    <w:rPr>
      <w:rFonts w:ascii="Times New Roman" w:eastAsiaTheme="minorHAnsi" w:hAnsi="Times New Roman"/>
      <w:sz w:val="2"/>
      <w:szCs w:val="22"/>
    </w:rPr>
  </w:style>
  <w:style w:type="paragraph" w:customStyle="1" w:styleId="FooterCouncil">
    <w:name w:val="Footer Council"/>
    <w:basedOn w:val="Normal"/>
    <w:link w:val="FooterCouncilChar"/>
    <w:rsid w:val="00401C9D"/>
    <w:pPr>
      <w:spacing w:after="0" w:line="259" w:lineRule="auto"/>
    </w:pPr>
    <w:rPr>
      <w:rFonts w:ascii="Times New Roman" w:eastAsiaTheme="minorHAnsi" w:hAnsi="Times New Roman"/>
      <w:sz w:val="2"/>
      <w:szCs w:val="22"/>
    </w:rPr>
  </w:style>
  <w:style w:type="character" w:customStyle="1" w:styleId="FooterCouncilChar">
    <w:name w:val="Footer Council Char"/>
    <w:basedOn w:val="DefaultParagraphFont"/>
    <w:link w:val="FooterCouncil"/>
    <w:rsid w:val="00A50D47"/>
    <w:rPr>
      <w:rFonts w:ascii="Times New Roman" w:eastAsiaTheme="minorHAnsi" w:hAnsi="Times New Roman"/>
      <w:sz w:val="2"/>
      <w:szCs w:val="22"/>
    </w:rPr>
  </w:style>
  <w:style w:type="character" w:styleId="CommentReference">
    <w:name w:val="annotation reference"/>
    <w:basedOn w:val="DefaultParagraphFont"/>
    <w:uiPriority w:val="99"/>
    <w:unhideWhenUsed/>
    <w:rsid w:val="00A50D47"/>
    <w:rPr>
      <w:sz w:val="16"/>
      <w:szCs w:val="16"/>
    </w:rPr>
  </w:style>
  <w:style w:type="paragraph" w:styleId="CommentText">
    <w:name w:val="annotation text"/>
    <w:basedOn w:val="Normal"/>
    <w:link w:val="CommentTextChar"/>
    <w:uiPriority w:val="99"/>
    <w:unhideWhenUsed/>
    <w:rsid w:val="00A50D47"/>
    <w:pPr>
      <w:spacing w:line="240" w:lineRule="auto"/>
    </w:pPr>
    <w:rPr>
      <w:sz w:val="20"/>
      <w:szCs w:val="20"/>
    </w:rPr>
  </w:style>
  <w:style w:type="character" w:customStyle="1" w:styleId="CommentTextChar">
    <w:name w:val="Comment Text Char"/>
    <w:basedOn w:val="DefaultParagraphFont"/>
    <w:link w:val="CommentText"/>
    <w:uiPriority w:val="99"/>
    <w:rsid w:val="00A50D47"/>
    <w:rPr>
      <w:sz w:val="20"/>
      <w:szCs w:val="20"/>
    </w:rPr>
  </w:style>
  <w:style w:type="character" w:styleId="Hyperlink">
    <w:name w:val="Hyperlink"/>
    <w:basedOn w:val="DefaultParagraphFont"/>
    <w:uiPriority w:val="99"/>
    <w:unhideWhenUsed/>
    <w:rsid w:val="00401C9D"/>
    <w:rPr>
      <w:color w:val="467886" w:themeColor="hyperlink"/>
      <w:u w:val="single"/>
    </w:rPr>
  </w:style>
  <w:style w:type="paragraph" w:customStyle="1" w:styleId="paragraph">
    <w:name w:val="paragraph"/>
    <w:basedOn w:val="Normal"/>
    <w:rsid w:val="00401C9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9506E7"/>
  </w:style>
  <w:style w:type="character" w:customStyle="1" w:styleId="eop">
    <w:name w:val="eop"/>
    <w:basedOn w:val="DefaultParagraphFont"/>
    <w:rsid w:val="009506E7"/>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fn"/>
    <w:basedOn w:val="Normal"/>
    <w:link w:val="FootnoteTextChar"/>
    <w:uiPriority w:val="99"/>
    <w:unhideWhenUsed/>
    <w:rsid w:val="00401C9D"/>
    <w:pPr>
      <w:spacing w:after="0" w:line="240" w:lineRule="auto"/>
    </w:pPr>
    <w:rPr>
      <w:rFonts w:eastAsiaTheme="minorHAnsi"/>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506E7"/>
    <w:rPr>
      <w:rFonts w:eastAsiaTheme="minorHAnsi"/>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R,note TESI,Exposant 3 Point"/>
    <w:basedOn w:val="DefaultParagraphFont"/>
    <w:uiPriority w:val="99"/>
    <w:unhideWhenUsed/>
    <w:qFormat/>
    <w:rsid w:val="009506E7"/>
    <w:rPr>
      <w:vertAlign w:val="superscript"/>
    </w:rPr>
  </w:style>
  <w:style w:type="paragraph" w:customStyle="1" w:styleId="FooterCoverPage">
    <w:name w:val="Footer Cover Page"/>
    <w:basedOn w:val="Normal"/>
    <w:link w:val="FooterCoverPageChar"/>
    <w:rsid w:val="00401C9D"/>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B2D51"/>
    <w:rPr>
      <w:rFonts w:ascii="Times New Roman" w:hAnsi="Times New Roman" w:cs="Times New Roman"/>
    </w:rPr>
  </w:style>
  <w:style w:type="paragraph" w:customStyle="1" w:styleId="FooterSensitivity">
    <w:name w:val="Footer Sensitivity"/>
    <w:basedOn w:val="Normal"/>
    <w:link w:val="FooterSensitivityChar"/>
    <w:rsid w:val="004B2D5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2D51"/>
    <w:rPr>
      <w:rFonts w:ascii="Times New Roman" w:hAnsi="Times New Roman" w:cs="Times New Roman"/>
      <w:b/>
      <w:sz w:val="32"/>
    </w:rPr>
  </w:style>
  <w:style w:type="paragraph" w:customStyle="1" w:styleId="HeaderCoverPage">
    <w:name w:val="Header Cover Page"/>
    <w:basedOn w:val="Normal"/>
    <w:link w:val="HeaderCoverPageChar"/>
    <w:rsid w:val="00401C9D"/>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B2D51"/>
    <w:rPr>
      <w:rFonts w:ascii="Times New Roman" w:hAnsi="Times New Roman" w:cs="Times New Roman"/>
    </w:rPr>
  </w:style>
  <w:style w:type="paragraph" w:customStyle="1" w:styleId="HeaderSensitivity">
    <w:name w:val="Header Sensitivity"/>
    <w:basedOn w:val="Normal"/>
    <w:link w:val="HeaderSensitivityChar"/>
    <w:rsid w:val="004B2D5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2D51"/>
    <w:rPr>
      <w:rFonts w:ascii="Times New Roman" w:hAnsi="Times New Roman" w:cs="Times New Roman"/>
      <w:b/>
      <w:sz w:val="32"/>
    </w:rPr>
  </w:style>
  <w:style w:type="paragraph" w:customStyle="1" w:styleId="HeaderSensitivityRight">
    <w:name w:val="Header Sensitivity Right"/>
    <w:basedOn w:val="Normal"/>
    <w:link w:val="HeaderSensitivityRightChar"/>
    <w:rsid w:val="004B2D5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2D51"/>
    <w:rPr>
      <w:rFonts w:ascii="Times New Roman" w:hAnsi="Times New Roman" w:cs="Times New Roman"/>
      <w:sz w:val="28"/>
    </w:rPr>
  </w:style>
  <w:style w:type="paragraph" w:styleId="ListBullet">
    <w:name w:val="List Bullet"/>
    <w:basedOn w:val="Normal"/>
    <w:uiPriority w:val="99"/>
    <w:semiHidden/>
    <w:unhideWhenUsed/>
    <w:rsid w:val="00401C9D"/>
    <w:pPr>
      <w:numPr>
        <w:numId w:val="1"/>
      </w:numPr>
      <w:spacing w:before="120" w:after="120" w:line="240" w:lineRule="auto"/>
      <w:contextualSpacing/>
      <w:jc w:val="both"/>
    </w:pPr>
    <w:rPr>
      <w:rFonts w:ascii="Times New Roman" w:eastAsiaTheme="minorHAnsi" w:hAnsi="Times New Roman" w:cs="Times New Roman"/>
      <w:szCs w:val="22"/>
    </w:rPr>
  </w:style>
  <w:style w:type="character" w:customStyle="1" w:styleId="BalloonTextChar">
    <w:name w:val="Balloon Text Char"/>
    <w:basedOn w:val="DefaultParagraphFont"/>
    <w:link w:val="BalloonText"/>
    <w:uiPriority w:val="99"/>
    <w:semiHidden/>
    <w:rsid w:val="004B2D51"/>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4B2D51"/>
    <w:pPr>
      <w:spacing w:after="0" w:line="240" w:lineRule="auto"/>
    </w:pPr>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4B2D51"/>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4B2D51"/>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401C9D"/>
    <w:rPr>
      <w:rFonts w:eastAsiaTheme="minorHAnsi"/>
      <w:b/>
      <w:bCs/>
    </w:rPr>
  </w:style>
  <w:style w:type="character" w:customStyle="1" w:styleId="CommentSubjectChar1">
    <w:name w:val="Comment Subject Char1"/>
    <w:basedOn w:val="CommentTextChar"/>
    <w:uiPriority w:val="99"/>
    <w:semiHidden/>
    <w:rsid w:val="004B2D51"/>
    <w:rPr>
      <w:b/>
      <w:bCs/>
      <w:sz w:val="20"/>
      <w:szCs w:val="20"/>
    </w:rPr>
  </w:style>
  <w:style w:type="character" w:customStyle="1" w:styleId="Bodytext2">
    <w:name w:val="Body text|2_"/>
    <w:basedOn w:val="DefaultParagraphFont"/>
    <w:link w:val="Bodytext20"/>
    <w:locked/>
    <w:rsid w:val="004B2D51"/>
    <w:rPr>
      <w:rFonts w:ascii="Calibri" w:eastAsia="Calibri" w:hAnsi="Calibri" w:cs="Calibri"/>
      <w:shd w:val="clear" w:color="auto" w:fill="FFFFFF"/>
    </w:rPr>
  </w:style>
  <w:style w:type="paragraph" w:customStyle="1" w:styleId="Bodytext20">
    <w:name w:val="Body text|2"/>
    <w:basedOn w:val="Normal"/>
    <w:link w:val="Bodytext2"/>
    <w:qFormat/>
    <w:rsid w:val="004B2D51"/>
    <w:pPr>
      <w:widowControl w:val="0"/>
      <w:shd w:val="clear" w:color="auto" w:fill="FFFFFF"/>
      <w:spacing w:after="560" w:line="317" w:lineRule="exact"/>
      <w:ind w:hanging="420"/>
      <w:jc w:val="both"/>
    </w:pPr>
    <w:rPr>
      <w:rFonts w:ascii="Calibri" w:eastAsia="Calibri" w:hAnsi="Calibri" w:cs="Calibri"/>
    </w:rPr>
  </w:style>
  <w:style w:type="character" w:customStyle="1" w:styleId="Bodytext1">
    <w:name w:val="Body text|1_"/>
    <w:basedOn w:val="DefaultParagraphFont"/>
    <w:link w:val="Bodytext10"/>
    <w:rsid w:val="004B2D51"/>
    <w:rPr>
      <w:rFonts w:ascii="Calibri Light" w:eastAsia="Calibri Light" w:hAnsi="Calibri Light" w:cs="Calibri Light"/>
    </w:rPr>
  </w:style>
  <w:style w:type="paragraph" w:customStyle="1" w:styleId="Bodytext10">
    <w:name w:val="Body text|1"/>
    <w:basedOn w:val="Normal"/>
    <w:link w:val="Bodytext1"/>
    <w:rsid w:val="004B2D51"/>
    <w:pPr>
      <w:widowControl w:val="0"/>
      <w:spacing w:after="100" w:line="254" w:lineRule="auto"/>
    </w:pPr>
    <w:rPr>
      <w:rFonts w:ascii="Calibri Light" w:eastAsia="Calibri Light" w:hAnsi="Calibri Light" w:cs="Calibri Light"/>
    </w:rPr>
  </w:style>
  <w:style w:type="paragraph" w:customStyle="1" w:styleId="TechnicalBlock">
    <w:name w:val="Technical Block"/>
    <w:basedOn w:val="Normal"/>
    <w:link w:val="TechnicalBlockChar"/>
    <w:rsid w:val="00401C9D"/>
    <w:pPr>
      <w:spacing w:after="240" w:line="240" w:lineRule="auto"/>
      <w:jc w:val="center"/>
    </w:pPr>
    <w:rPr>
      <w:rFonts w:eastAsiaTheme="minorHAnsi"/>
      <w:sz w:val="22"/>
      <w:szCs w:val="22"/>
    </w:rPr>
  </w:style>
  <w:style w:type="character" w:customStyle="1" w:styleId="TechnicalBlockChar">
    <w:name w:val="Technical Block Char"/>
    <w:basedOn w:val="DefaultParagraphFont"/>
    <w:link w:val="TechnicalBlock"/>
    <w:rsid w:val="004B2D51"/>
    <w:rPr>
      <w:rFonts w:eastAsiaTheme="minorHAnsi"/>
      <w:sz w:val="22"/>
      <w:szCs w:val="22"/>
    </w:rPr>
  </w:style>
  <w:style w:type="paragraph" w:customStyle="1" w:styleId="pj">
    <w:name w:val="p.j."/>
    <w:basedOn w:val="Normal"/>
    <w:link w:val="pjChar"/>
    <w:rsid w:val="00401C9D"/>
    <w:pPr>
      <w:spacing w:before="1200" w:after="120" w:line="240" w:lineRule="auto"/>
      <w:ind w:left="1440" w:hanging="1440"/>
    </w:pPr>
    <w:rPr>
      <w:rFonts w:ascii="Times New Roman" w:eastAsiaTheme="minorHAnsi" w:hAnsi="Times New Roman" w:cs="Times New Roman"/>
      <w:sz w:val="22"/>
      <w:szCs w:val="22"/>
    </w:rPr>
  </w:style>
  <w:style w:type="character" w:customStyle="1" w:styleId="pjChar">
    <w:name w:val="p.j. Char"/>
    <w:basedOn w:val="TechnicalBlockChar"/>
    <w:link w:val="pj"/>
    <w:rsid w:val="004B2D51"/>
    <w:rPr>
      <w:rFonts w:ascii="Times New Roman" w:eastAsiaTheme="minorHAnsi" w:hAnsi="Times New Roman" w:cs="Times New Roman"/>
      <w:sz w:val="22"/>
      <w:szCs w:val="22"/>
    </w:rPr>
  </w:style>
  <w:style w:type="paragraph" w:customStyle="1" w:styleId="nbbordered">
    <w:name w:val="nb bordered"/>
    <w:basedOn w:val="Normal"/>
    <w:link w:val="nbborderedChar"/>
    <w:rsid w:val="00401C9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rPr>
  </w:style>
  <w:style w:type="character" w:customStyle="1" w:styleId="nbborderedChar">
    <w:name w:val="nb bordered Char"/>
    <w:basedOn w:val="TechnicalBlockChar"/>
    <w:link w:val="nbbordered"/>
    <w:rsid w:val="004B2D51"/>
    <w:rPr>
      <w:rFonts w:ascii="Times New Roman" w:eastAsiaTheme="minorHAnsi" w:hAnsi="Times New Roman" w:cs="Times New Roman"/>
      <w:b/>
      <w:sz w:val="22"/>
      <w:szCs w:val="22"/>
    </w:rPr>
  </w:style>
  <w:style w:type="paragraph" w:customStyle="1" w:styleId="HeaderCouncil">
    <w:name w:val="Header Council"/>
    <w:basedOn w:val="Normal"/>
    <w:link w:val="HeaderCouncilChar"/>
    <w:rsid w:val="00401C9D"/>
    <w:pPr>
      <w:spacing w:after="0" w:line="259" w:lineRule="auto"/>
    </w:pPr>
    <w:rPr>
      <w:rFonts w:ascii="Times New Roman" w:eastAsiaTheme="minorHAnsi" w:hAnsi="Times New Roman"/>
      <w:sz w:val="2"/>
      <w:szCs w:val="22"/>
    </w:rPr>
  </w:style>
  <w:style w:type="character" w:customStyle="1" w:styleId="HeaderCouncilChar">
    <w:name w:val="Header Council Char"/>
    <w:basedOn w:val="DefaultParagraphFont"/>
    <w:link w:val="HeaderCouncil"/>
    <w:rsid w:val="004B2D51"/>
    <w:rPr>
      <w:rFonts w:ascii="Times New Roman" w:eastAsiaTheme="minorHAnsi" w:hAnsi="Times New Roman"/>
      <w:sz w:val="2"/>
      <w:szCs w:val="22"/>
    </w:rPr>
  </w:style>
  <w:style w:type="character" w:customStyle="1" w:styleId="Bodytext2Italic">
    <w:name w:val="Body text|2 + Italic"/>
    <w:basedOn w:val="Bodytext2"/>
    <w:semiHidden/>
    <w:rsid w:val="00405624"/>
    <w:rPr>
      <w:rFonts w:ascii="Calibri" w:eastAsia="Calibri" w:hAnsi="Calibri" w:cs="Calibri"/>
      <w:i/>
      <w:iCs w:val="0"/>
      <w:color w:val="000000"/>
      <w:position w:val="0"/>
      <w:shd w:val="clear" w:color="auto" w:fill="FFFFFF"/>
    </w:rPr>
  </w:style>
  <w:style w:type="paragraph" w:styleId="NormalWeb">
    <w:name w:val="Normal (Web)"/>
    <w:basedOn w:val="Normal"/>
    <w:uiPriority w:val="99"/>
    <w:unhideWhenUsed/>
    <w:rsid w:val="00401C9D"/>
    <w:pPr>
      <w:spacing w:before="100" w:beforeAutospacing="1" w:after="100" w:afterAutospacing="1" w:line="240" w:lineRule="auto"/>
    </w:pPr>
    <w:rPr>
      <w:rFonts w:ascii="Times New Roman" w:eastAsia="Times New Roman" w:hAnsi="Times New Roman" w:cs="Times New Roman"/>
    </w:rPr>
  </w:style>
  <w:style w:type="paragraph" w:customStyle="1" w:styleId="Text1">
    <w:name w:val="Text 1"/>
    <w:basedOn w:val="Normal"/>
    <w:rsid w:val="00401C9D"/>
    <w:pPr>
      <w:spacing w:before="120" w:after="120" w:line="240" w:lineRule="auto"/>
      <w:ind w:left="850"/>
      <w:jc w:val="both"/>
    </w:pPr>
    <w:rPr>
      <w:rFonts w:ascii="Times New Roman" w:eastAsiaTheme="minorHAnsi" w:hAnsi="Times New Roman" w:cs="Times New Roman"/>
      <w:szCs w:val="22"/>
    </w:rPr>
  </w:style>
  <w:style w:type="paragraph" w:customStyle="1" w:styleId="Pagedecouverture">
    <w:name w:val="Page de couverture"/>
    <w:basedOn w:val="Normal"/>
    <w:next w:val="Normal"/>
    <w:rsid w:val="00401C9D"/>
    <w:pPr>
      <w:spacing w:after="0" w:line="240" w:lineRule="auto"/>
      <w:jc w:val="both"/>
    </w:pPr>
    <w:rPr>
      <w:rFonts w:ascii="Times New Roman" w:eastAsiaTheme="minorHAnsi" w:hAnsi="Times New Roman" w:cs="Times New Roman"/>
      <w:szCs w:val="22"/>
    </w:rPr>
  </w:style>
  <w:style w:type="paragraph" w:customStyle="1" w:styleId="NumPar2">
    <w:name w:val="NumPar 2"/>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1">
    <w:name w:val="NumPar 1"/>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3">
    <w:name w:val="NumPar 3"/>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4">
    <w:name w:val="NumPar 4"/>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ManualHeading1">
    <w:name w:val="Manual Heading 1"/>
    <w:basedOn w:val="Normal"/>
    <w:next w:val="Text1"/>
    <w:rsid w:val="00401C9D"/>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rPr>
  </w:style>
  <w:style w:type="paragraph" w:customStyle="1" w:styleId="Annexetitre">
    <w:name w:val="Annexe titre"/>
    <w:basedOn w:val="Normal"/>
    <w:next w:val="Normal"/>
    <w:rsid w:val="00401C9D"/>
    <w:pPr>
      <w:spacing w:before="120" w:after="120" w:line="240" w:lineRule="auto"/>
      <w:jc w:val="center"/>
    </w:pPr>
    <w:rPr>
      <w:rFonts w:ascii="Times New Roman" w:eastAsiaTheme="minorHAnsi" w:hAnsi="Times New Roman" w:cs="Times New Roman"/>
      <w:b/>
      <w:szCs w:val="22"/>
      <w:u w:val="single"/>
    </w:rPr>
  </w:style>
  <w:style w:type="paragraph" w:styleId="Revision">
    <w:name w:val="Revision"/>
    <w:hidden/>
    <w:uiPriority w:val="99"/>
    <w:semiHidden/>
    <w:rsid w:val="00401C9D"/>
    <w:pPr>
      <w:spacing w:after="0" w:line="240" w:lineRule="auto"/>
    </w:pPr>
    <w:rPr>
      <w:rFonts w:eastAsiaTheme="minorHAnsi"/>
      <w:sz w:val="22"/>
      <w:szCs w:val="22"/>
    </w:rPr>
  </w:style>
  <w:style w:type="paragraph" w:customStyle="1" w:styleId="P68B1DB1-ListParagraph8">
    <w:name w:val="P68B1DB1-ListParagraph8"/>
    <w:basedOn w:val="ListParagraph"/>
    <w:rsid w:val="00401C9D"/>
    <w:pPr>
      <w:spacing w:after="0" w:line="276" w:lineRule="auto"/>
    </w:pPr>
    <w:rPr>
      <w:rFonts w:ascii="Arial" w:eastAsia="Calibri" w:hAnsi="Arial" w:cs="Arial"/>
      <w:sz w:val="22"/>
      <w:szCs w:val="20"/>
    </w:rPr>
  </w:style>
  <w:style w:type="paragraph" w:customStyle="1" w:styleId="P68B1DB1-Normal4">
    <w:name w:val="P68B1DB1-Normal4"/>
    <w:basedOn w:val="Normal"/>
    <w:rsid w:val="00401C9D"/>
    <w:pPr>
      <w:spacing w:after="0" w:line="276" w:lineRule="auto"/>
    </w:pPr>
    <w:rPr>
      <w:rFonts w:ascii="Arial" w:eastAsia="Calibri" w:hAnsi="Arial" w:cs="Arial"/>
      <w:sz w:val="22"/>
      <w:szCs w:val="20"/>
    </w:rPr>
  </w:style>
  <w:style w:type="paragraph" w:customStyle="1" w:styleId="Default">
    <w:name w:val="Default"/>
    <w:rsid w:val="00401C9D"/>
    <w:pPr>
      <w:autoSpaceDE w:val="0"/>
      <w:autoSpaceDN w:val="0"/>
      <w:adjustRightInd w:val="0"/>
      <w:spacing w:after="0" w:line="240" w:lineRule="auto"/>
    </w:pPr>
    <w:rPr>
      <w:rFonts w:ascii="Times New Roman" w:eastAsiaTheme="minorHAnsi" w:hAnsi="Times New Roman" w:cs="Times New Roman"/>
      <w:color w:val="000000"/>
    </w:rPr>
  </w:style>
  <w:style w:type="paragraph" w:customStyle="1" w:styleId="msonormal0">
    <w:name w:val="msonormal"/>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Normal3">
    <w:name w:val="P68B1DB1-Normal3"/>
    <w:basedOn w:val="Normal"/>
    <w:rsid w:val="00401C9D"/>
    <w:pPr>
      <w:spacing w:after="0" w:line="276" w:lineRule="auto"/>
    </w:pPr>
    <w:rPr>
      <w:rFonts w:ascii="Arial" w:eastAsia="Arial" w:hAnsi="Arial" w:cs="Arial"/>
      <w:b/>
      <w:sz w:val="22"/>
      <w:szCs w:val="20"/>
    </w:rPr>
  </w:style>
  <w:style w:type="paragraph" w:customStyle="1" w:styleId="xl70">
    <w:name w:val="xl70"/>
    <w:basedOn w:val="Normal"/>
    <w:rsid w:val="00401C9D"/>
    <w:pPr>
      <w:spacing w:before="100" w:beforeAutospacing="1" w:after="100" w:afterAutospacing="1" w:line="240" w:lineRule="auto"/>
    </w:pPr>
    <w:rPr>
      <w:rFonts w:ascii="Calibri" w:eastAsia="Times New Roman" w:hAnsi="Calibri" w:cs="Calibri"/>
    </w:rPr>
  </w:style>
  <w:style w:type="paragraph" w:customStyle="1" w:styleId="xl71">
    <w:name w:val="xl71"/>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2">
    <w:name w:val="xl72"/>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jc w:val="center"/>
    </w:pPr>
    <w:rPr>
      <w:rFonts w:ascii="Calibri" w:eastAsia="Times New Roman" w:hAnsi="Calibri" w:cs="Calibri"/>
      <w:color w:val="006100"/>
    </w:rPr>
  </w:style>
  <w:style w:type="paragraph" w:customStyle="1" w:styleId="xl73">
    <w:name w:val="xl73"/>
    <w:basedOn w:val="Normal"/>
    <w:rsid w:val="00401C9D"/>
    <w:pPr>
      <w:pBdr>
        <w:top w:val="single" w:sz="4" w:space="0" w:color="000000"/>
        <w:left w:val="single" w:sz="4" w:space="0" w:color="000000"/>
        <w:bottom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4">
    <w:name w:val="xl74"/>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5">
    <w:name w:val="xl75"/>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6">
    <w:name w:val="xl76"/>
    <w:basedOn w:val="Normal"/>
    <w:rsid w:val="00401C9D"/>
    <w:pPr>
      <w:spacing w:before="100" w:beforeAutospacing="1" w:after="100" w:afterAutospacing="1" w:line="240" w:lineRule="auto"/>
      <w:jc w:val="center"/>
    </w:pPr>
    <w:rPr>
      <w:rFonts w:ascii="Times New Roman" w:eastAsia="Times New Roman" w:hAnsi="Times New Roman" w:cs="Times New Roman"/>
    </w:rPr>
  </w:style>
  <w:style w:type="paragraph" w:customStyle="1" w:styleId="xl77">
    <w:name w:val="xl77"/>
    <w:basedOn w:val="Normal"/>
    <w:rsid w:val="00401C9D"/>
    <w:pPr>
      <w:pBdr>
        <w:top w:val="single" w:sz="4" w:space="0" w:color="000000"/>
        <w:left w:val="single" w:sz="4" w:space="0" w:color="000000"/>
        <w:bottom w:val="single" w:sz="4" w:space="0" w:color="000000"/>
        <w:right w:val="single" w:sz="4" w:space="0" w:color="000000"/>
      </w:pBdr>
      <w:shd w:val="clear" w:color="FFC000" w:fill="C6EFCE"/>
      <w:spacing w:before="100" w:beforeAutospacing="1" w:after="100" w:afterAutospacing="1" w:line="240" w:lineRule="auto"/>
    </w:pPr>
    <w:rPr>
      <w:rFonts w:ascii="Calibri" w:eastAsia="Times New Roman" w:hAnsi="Calibri" w:cs="Calibri"/>
      <w:color w:val="006100"/>
    </w:rPr>
  </w:style>
  <w:style w:type="paragraph" w:customStyle="1" w:styleId="xl78">
    <w:name w:val="xl78"/>
    <w:basedOn w:val="Normal"/>
    <w:rsid w:val="00401C9D"/>
    <w:pPr>
      <w:pBdr>
        <w:top w:val="single" w:sz="4" w:space="0" w:color="000000"/>
        <w:left w:val="single" w:sz="4" w:space="0" w:color="000000"/>
        <w:bottom w:val="single" w:sz="4" w:space="0" w:color="000000"/>
        <w:right w:val="single" w:sz="4" w:space="0" w:color="000000"/>
      </w:pBdr>
      <w:shd w:val="clear" w:color="FF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79">
    <w:name w:val="xl79"/>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0">
    <w:name w:val="xl80"/>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81">
    <w:name w:val="xl81"/>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2">
    <w:name w:val="xl82"/>
    <w:basedOn w:val="Normal"/>
    <w:rsid w:val="00401C9D"/>
    <w:pPr>
      <w:pBdr>
        <w:top w:val="single" w:sz="4" w:space="0" w:color="000000"/>
        <w:left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3">
    <w:name w:val="xl83"/>
    <w:basedOn w:val="Normal"/>
    <w:rsid w:val="00401C9D"/>
    <w:pPr>
      <w:pBdr>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4">
    <w:name w:val="xl84"/>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5">
    <w:name w:val="xl85"/>
    <w:basedOn w:val="Normal"/>
    <w:rsid w:val="00401C9D"/>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rPr>
  </w:style>
  <w:style w:type="paragraph" w:customStyle="1" w:styleId="xl86">
    <w:name w:val="xl86"/>
    <w:basedOn w:val="Normal"/>
    <w:rsid w:val="00401C9D"/>
    <w:pPr>
      <w:pBdr>
        <w:top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7">
    <w:name w:val="xl87"/>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88">
    <w:name w:val="xl88"/>
    <w:basedOn w:val="Normal"/>
    <w:rsid w:val="00401C9D"/>
    <w:pPr>
      <w:pBdr>
        <w:top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9">
    <w:name w:val="xl89"/>
    <w:basedOn w:val="Normal"/>
    <w:rsid w:val="00401C9D"/>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90">
    <w:name w:val="xl90"/>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Normal1">
    <w:name w:val="Normal1"/>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Style1426">
    <w:name w:val="P68B1DB1-Style1426"/>
    <w:basedOn w:val="Normal"/>
    <w:rsid w:val="00401C9D"/>
    <w:pPr>
      <w:widowControl w:val="0"/>
      <w:spacing w:after="100" w:line="254" w:lineRule="auto"/>
    </w:pPr>
    <w:rPr>
      <w:rFonts w:ascii="Calibri Light" w:eastAsia="Calibri Light" w:hAnsi="Calibri Light" w:cs="Calibri Light"/>
      <w:color w:val="FFFFFF"/>
      <w:szCs w:val="20"/>
    </w:rPr>
  </w:style>
  <w:style w:type="table" w:styleId="TableGrid">
    <w:name w:val="Table Grid"/>
    <w:basedOn w:val="TableNormal"/>
    <w:uiPriority w:val="39"/>
    <w:rsid w:val="001966E5"/>
    <w:pPr>
      <w:spacing w:after="0" w:line="240" w:lineRule="auto"/>
    </w:pPr>
    <w:rPr>
      <w:rFonts w:eastAsiaTheme="minorHAnsi"/>
      <w:sz w:val="22"/>
      <w:szCs w:val="22"/>
    </w:rPr>
    <w:tblPr/>
  </w:style>
  <w:style w:type="paragraph" w:customStyle="1" w:styleId="whitespace-pre-wrap">
    <w:name w:val="whitespace-pre-wrap"/>
    <w:basedOn w:val="Normal"/>
    <w:rsid w:val="001E5F41"/>
    <w:pPr>
      <w:spacing w:before="100" w:beforeAutospacing="1" w:after="100" w:afterAutospacing="1" w:line="240" w:lineRule="auto"/>
    </w:pPr>
    <w:rPr>
      <w:rFonts w:ascii="Times New Roman" w:eastAsia="Times New Roman" w:hAnsi="Times New Roman" w:cs="Times New Roman"/>
    </w:rPr>
  </w:style>
  <w:style w:type="paragraph" w:customStyle="1" w:styleId="commentcontentpara">
    <w:name w:val="commentcontentpara"/>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EntText">
    <w:name w:val="EntText"/>
    <w:basedOn w:val="Normal"/>
    <w:rsid w:val="00401C9D"/>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401C9D"/>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FooterText">
    <w:name w:val="Footer Text"/>
    <w:basedOn w:val="Normal"/>
    <w:rsid w:val="00401C9D"/>
    <w:pPr>
      <w:spacing w:after="0" w:line="240" w:lineRule="auto"/>
    </w:pPr>
    <w:rPr>
      <w:rFonts w:ascii="Times New Roman" w:eastAsia="Times New Roman" w:hAnsi="Times New Roman" w:cs="Times New Roman"/>
    </w:rPr>
  </w:style>
  <w:style w:type="character" w:customStyle="1" w:styleId="cf01">
    <w:name w:val="cf01"/>
    <w:basedOn w:val="DefaultParagraphFont"/>
    <w:rsid w:val="001966E5"/>
    <w:rPr>
      <w:rFonts w:ascii="Segoe UI" w:hAnsi="Segoe UI" w:cs="Segoe UI" w:hint="default"/>
      <w:sz w:val="18"/>
      <w:szCs w:val="18"/>
    </w:rPr>
  </w:style>
  <w:style w:type="paragraph" w:customStyle="1" w:styleId="pf0">
    <w:name w:val="pf0"/>
    <w:basedOn w:val="Normal"/>
    <w:rsid w:val="001966E5"/>
    <w:pPr>
      <w:spacing w:before="100" w:beforeAutospacing="1" w:after="100" w:afterAutospacing="1" w:line="240" w:lineRule="auto"/>
    </w:pPr>
    <w:rPr>
      <w:rFonts w:ascii="Times New Roman" w:eastAsia="Times New Roman" w:hAnsi="Times New Roman" w:cs="Times New Roman"/>
    </w:rPr>
  </w:style>
  <w:style w:type="character" w:customStyle="1" w:styleId="Mention1">
    <w:name w:val="Mention1"/>
    <w:basedOn w:val="DefaultParagraphFont"/>
    <w:uiPriority w:val="99"/>
    <w:unhideWhenUsed/>
    <w:rsid w:val="00401C9D"/>
    <w:rPr>
      <w:color w:val="2B579A"/>
      <w:shd w:val="clear" w:color="auto" w:fill="E1DFDD"/>
    </w:rPr>
  </w:style>
  <w:style w:type="character" w:customStyle="1" w:styleId="viiyi">
    <w:name w:val="viiyi"/>
    <w:basedOn w:val="DefaultParagraphFont"/>
    <w:rsid w:val="00047181"/>
  </w:style>
  <w:style w:type="character" w:customStyle="1" w:styleId="Mention2">
    <w:name w:val="Mention2"/>
    <w:basedOn w:val="DefaultParagraphFont"/>
    <w:uiPriority w:val="99"/>
    <w:unhideWhenUsed/>
    <w:rsid w:val="00401C9D"/>
    <w:rPr>
      <w:color w:val="2B579A"/>
      <w:shd w:val="clear" w:color="auto" w:fill="E1DFDD"/>
    </w:rPr>
  </w:style>
  <w:style w:type="character" w:customStyle="1" w:styleId="findhit">
    <w:name w:val="findhit"/>
    <w:basedOn w:val="DefaultParagraphFont"/>
    <w:rsid w:val="001966E5"/>
  </w:style>
  <w:style w:type="character" w:customStyle="1" w:styleId="UnresolvedMention1">
    <w:name w:val="Unresolved Mention1"/>
    <w:basedOn w:val="DefaultParagraphFont"/>
    <w:uiPriority w:val="99"/>
    <w:semiHidden/>
    <w:unhideWhenUsed/>
    <w:rsid w:val="00047181"/>
    <w:rPr>
      <w:color w:val="605E5C"/>
      <w:shd w:val="clear" w:color="auto" w:fill="E1DFDD"/>
    </w:rPr>
  </w:style>
  <w:style w:type="paragraph" w:styleId="NoSpacing">
    <w:name w:val="No Spacing"/>
    <w:uiPriority w:val="1"/>
    <w:qFormat/>
    <w:rsid w:val="001966E5"/>
    <w:pPr>
      <w:spacing w:after="0" w:line="240" w:lineRule="auto"/>
    </w:pPr>
  </w:style>
  <w:style w:type="character" w:customStyle="1" w:styleId="Mention3">
    <w:name w:val="Mention3"/>
    <w:basedOn w:val="DefaultParagraphFont"/>
    <w:uiPriority w:val="99"/>
    <w:unhideWhenUsed/>
    <w:rsid w:val="00047181"/>
    <w:rPr>
      <w:color w:val="2B579A"/>
      <w:shd w:val="clear" w:color="auto" w:fill="E1DFDD"/>
    </w:rPr>
  </w:style>
  <w:style w:type="character" w:customStyle="1" w:styleId="Mention4">
    <w:name w:val="Mention4"/>
    <w:basedOn w:val="DefaultParagraphFont"/>
    <w:uiPriority w:val="99"/>
    <w:unhideWhenUsed/>
    <w:rsid w:val="00047181"/>
    <w:rPr>
      <w:color w:val="2B579A"/>
      <w:shd w:val="clear" w:color="auto" w:fill="E1DFDD"/>
    </w:rPr>
  </w:style>
  <w:style w:type="character" w:customStyle="1" w:styleId="Marker">
    <w:name w:val="Marker"/>
    <w:basedOn w:val="DefaultParagraphFont"/>
    <w:rsid w:val="00B345EA"/>
    <w:rPr>
      <w:color w:val="0000FF"/>
      <w:shd w:val="clear" w:color="auto" w:fill="auto"/>
    </w:rPr>
  </w:style>
  <w:style w:type="character" w:styleId="FollowedHyperlink">
    <w:name w:val="FollowedHyperlink"/>
    <w:basedOn w:val="DefaultParagraphFont"/>
    <w:uiPriority w:val="99"/>
    <w:semiHidden/>
    <w:unhideWhenUsed/>
    <w:rsid w:val="00B345EA"/>
    <w:rPr>
      <w:color w:val="96607D" w:themeColor="followedHyperlink"/>
      <w:u w:val="single"/>
    </w:rPr>
  </w:style>
  <w:style w:type="character" w:customStyle="1" w:styleId="jlqj4b">
    <w:name w:val="jlqj4b"/>
    <w:basedOn w:val="DefaultParagraphFont"/>
    <w:rsid w:val="00B345EA"/>
  </w:style>
  <w:style w:type="character" w:customStyle="1" w:styleId="hgkelc">
    <w:name w:val="hgkelc"/>
    <w:basedOn w:val="DefaultParagraphFont"/>
    <w:rsid w:val="00B345EA"/>
  </w:style>
  <w:style w:type="character" w:styleId="PlaceholderText">
    <w:name w:val="Placeholder Text"/>
    <w:basedOn w:val="DefaultParagraphFont"/>
    <w:uiPriority w:val="99"/>
    <w:semiHidden/>
    <w:rsid w:val="00B345EA"/>
    <w:rPr>
      <w:color w:val="808080"/>
    </w:rPr>
  </w:style>
  <w:style w:type="character" w:customStyle="1" w:styleId="UnresolvedMention2">
    <w:name w:val="Unresolved Mention2"/>
    <w:basedOn w:val="DefaultParagraphFont"/>
    <w:uiPriority w:val="99"/>
    <w:semiHidden/>
    <w:unhideWhenUsed/>
    <w:rsid w:val="00B345EA"/>
    <w:rPr>
      <w:color w:val="605E5C"/>
      <w:shd w:val="clear" w:color="auto" w:fill="E1DFDD"/>
    </w:rPr>
  </w:style>
  <w:style w:type="character" w:customStyle="1" w:styleId="Mention5">
    <w:name w:val="Mention5"/>
    <w:basedOn w:val="DefaultParagraphFont"/>
    <w:uiPriority w:val="99"/>
    <w:unhideWhenUsed/>
    <w:rsid w:val="00665927"/>
    <w:rPr>
      <w:color w:val="2B579A"/>
      <w:shd w:val="clear" w:color="auto" w:fill="E1DFDD"/>
    </w:rPr>
  </w:style>
  <w:style w:type="character" w:customStyle="1" w:styleId="UnresolvedMention3">
    <w:name w:val="Unresolved Mention3"/>
    <w:basedOn w:val="DefaultParagraphFont"/>
    <w:uiPriority w:val="99"/>
    <w:semiHidden/>
    <w:unhideWhenUsed/>
    <w:rsid w:val="003B55CB"/>
    <w:rPr>
      <w:color w:val="605E5C"/>
      <w:shd w:val="clear" w:color="auto" w:fill="E1DFDD"/>
    </w:rPr>
  </w:style>
  <w:style w:type="character" w:customStyle="1" w:styleId="Mention6">
    <w:name w:val="Mention6"/>
    <w:basedOn w:val="DefaultParagraphFont"/>
    <w:uiPriority w:val="99"/>
    <w:unhideWhenUsed/>
    <w:rsid w:val="00330793"/>
    <w:rPr>
      <w:color w:val="2B579A"/>
      <w:shd w:val="clear" w:color="auto" w:fill="E1DFDD"/>
    </w:rPr>
  </w:style>
  <w:style w:type="paragraph" w:customStyle="1" w:styleId="Annex">
    <w:name w:val="Annex"/>
    <w:basedOn w:val="Normal"/>
    <w:next w:val="Normal"/>
    <w:rsid w:val="003F2DF5"/>
    <w:pPr>
      <w:spacing w:before="120" w:after="120" w:line="360" w:lineRule="auto"/>
      <w:jc w:val="right"/>
    </w:pPr>
    <w:rPr>
      <w:rFonts w:ascii="Times New Roman" w:eastAsiaTheme="minorHAnsi" w:hAnsi="Times New Roman" w:cs="Times New Roman"/>
      <w:b/>
      <w:szCs w:val="22"/>
      <w:u w:val="single"/>
    </w:rPr>
  </w:style>
  <w:style w:type="character" w:customStyle="1" w:styleId="Mention">
    <w:name w:val="Mention"/>
    <w:basedOn w:val="DefaultParagraphFont"/>
    <w:uiPriority w:val="99"/>
    <w:unhideWhenUsed/>
    <w:rsid w:val="001229BD"/>
    <w:rPr>
      <w:color w:val="2B579A"/>
      <w:shd w:val="clear" w:color="auto" w:fill="E1DFDD"/>
    </w:rPr>
  </w:style>
  <w:style w:type="paragraph" w:customStyle="1" w:styleId="P68B1DB1-Normal1">
    <w:name w:val="P68B1DB1-Normal1"/>
    <w:basedOn w:val="Normal"/>
    <w:rPr>
      <w:rFonts w:ascii="Times New Roman" w:hAnsi="Times New Roman"/>
      <w:b/>
      <w:color w:val="000000" w:themeColor="text1"/>
    </w:rPr>
  </w:style>
  <w:style w:type="paragraph" w:customStyle="1" w:styleId="P68B1DB1-Normal2">
    <w:name w:val="P68B1DB1-Normal2"/>
    <w:basedOn w:val="Normal"/>
    <w:rPr>
      <w:rFonts w:ascii="Times New Roman" w:eastAsia="Times New Roman" w:hAnsi="Times New Roman" w:cs="Times New Roman"/>
      <w:b/>
    </w:rPr>
  </w:style>
  <w:style w:type="paragraph" w:customStyle="1" w:styleId="P68B1DB1-Normal5">
    <w:name w:val="P68B1DB1-Normal5"/>
    <w:basedOn w:val="Normal"/>
    <w:rPr>
      <w:rFonts w:ascii="Times New Roman" w:hAnsi="Times New Roman"/>
      <w:b/>
      <w:smallCaps/>
    </w:rPr>
  </w:style>
  <w:style w:type="paragraph" w:customStyle="1" w:styleId="P68B1DB1-Normal6">
    <w:name w:val="P68B1DB1-Normal6"/>
    <w:basedOn w:val="Normal"/>
    <w:rPr>
      <w:rFonts w:ascii="Times New Roman" w:hAnsi="Times New Roman"/>
    </w:rPr>
  </w:style>
  <w:style w:type="paragraph" w:customStyle="1" w:styleId="P68B1DB1-ListParagraph7">
    <w:name w:val="P68B1DB1-ListParagraph7"/>
    <w:basedOn w:val="ListParagraph"/>
    <w:rPr>
      <w:rFonts w:ascii="Times New Roman" w:hAnsi="Times New Roman"/>
    </w:rPr>
  </w:style>
  <w:style w:type="paragraph" w:customStyle="1" w:styleId="P68B1DB1-Normal8">
    <w:name w:val="P68B1DB1-Normal8"/>
    <w:basedOn w:val="Normal"/>
    <w:rPr>
      <w:rFonts w:ascii="Times New Roman" w:hAnsi="Times New Roman"/>
      <w:b/>
      <w:u w:val="single"/>
    </w:rPr>
  </w:style>
  <w:style w:type="paragraph" w:customStyle="1" w:styleId="P68B1DB1-Normal9">
    <w:name w:val="P68B1DB1-Normal9"/>
    <w:basedOn w:val="Normal"/>
    <w:rPr>
      <w:rFonts w:ascii="Times New Roman" w:hAnsi="Times New Roman"/>
      <w:u w:val="single"/>
    </w:rPr>
  </w:style>
  <w:style w:type="paragraph" w:customStyle="1" w:styleId="P68B1DB1-Normal10">
    <w:name w:val="P68B1DB1-Normal10"/>
    <w:basedOn w:val="Normal"/>
    <w:rPr>
      <w:rFonts w:ascii="Times New Roman" w:eastAsia="Calibri" w:hAnsi="Times New Roman" w:cs="Times New Roman"/>
    </w:rPr>
  </w:style>
  <w:style w:type="paragraph" w:customStyle="1" w:styleId="P68B1DB1-Normal11">
    <w:name w:val="P68B1DB1-Normal11"/>
    <w:basedOn w:val="Normal"/>
    <w:rPr>
      <w:rFonts w:ascii="Times New Roman" w:hAnsi="Times New Roman"/>
      <w:b/>
      <w:sz w:val="20"/>
    </w:rPr>
  </w:style>
  <w:style w:type="paragraph" w:customStyle="1" w:styleId="P68B1DB1-Normal12">
    <w:name w:val="P68B1DB1-Normal12"/>
    <w:basedOn w:val="Normal"/>
    <w:rPr>
      <w:rFonts w:ascii="Times New Roman" w:hAnsi="Times New Roman" w:cs="Times New Roman"/>
      <w:color w:val="006100"/>
      <w:sz w:val="20"/>
      <w:szCs w:val="20"/>
    </w:rPr>
  </w:style>
  <w:style w:type="paragraph" w:customStyle="1" w:styleId="P68B1DB1-Normal13">
    <w:name w:val="P68B1DB1-Normal13"/>
    <w:basedOn w:val="Normal"/>
    <w:rPr>
      <w:rFonts w:ascii="Times New Roman" w:hAnsi="Times New Roman"/>
      <w:color w:val="006100"/>
      <w:sz w:val="20"/>
      <w:szCs w:val="20"/>
    </w:rPr>
  </w:style>
  <w:style w:type="paragraph" w:customStyle="1" w:styleId="P68B1DB1-ListParagraph14">
    <w:name w:val="P68B1DB1-ListParagraph14"/>
    <w:basedOn w:val="ListParagraph"/>
    <w:rPr>
      <w:rFonts w:ascii="Times New Roman" w:hAnsi="Times New Roman"/>
      <w:color w:val="006100"/>
      <w:sz w:val="20"/>
      <w:szCs w:val="20"/>
    </w:rPr>
  </w:style>
  <w:style w:type="paragraph" w:customStyle="1" w:styleId="P68B1DB1-Normal15">
    <w:name w:val="P68B1DB1-Normal15"/>
    <w:basedOn w:val="Normal"/>
    <w:rPr>
      <w:rFonts w:ascii="Times New Roman" w:hAnsi="Times New Roman"/>
      <w:color w:val="006100"/>
      <w:sz w:val="20"/>
    </w:rPr>
  </w:style>
  <w:style w:type="paragraph" w:customStyle="1" w:styleId="P68B1DB1-ListParagraph16">
    <w:name w:val="P68B1DB1-ListParagraph16"/>
    <w:basedOn w:val="ListParagraph"/>
    <w:rPr>
      <w:rFonts w:ascii="Times New Roman" w:hAnsi="Times New Roman" w:cs="Times New Roman"/>
      <w:color w:val="006100"/>
      <w:sz w:val="20"/>
      <w:szCs w:val="20"/>
    </w:rPr>
  </w:style>
  <w:style w:type="paragraph" w:customStyle="1" w:styleId="P68B1DB1-paragraph17">
    <w:name w:val="P68B1DB1-paragraph17"/>
    <w:basedOn w:val="paragraph"/>
    <w:rPr>
      <w:b/>
      <w:u w:val="single"/>
    </w:rPr>
  </w:style>
  <w:style w:type="paragraph" w:customStyle="1" w:styleId="P68B1DB1-Normal18">
    <w:name w:val="P68B1DB1-Normal18"/>
    <w:basedOn w:val="Normal"/>
    <w:rPr>
      <w:u w:val="single"/>
    </w:rPr>
  </w:style>
  <w:style w:type="paragraph" w:customStyle="1" w:styleId="P68B1DB1-Normal19">
    <w:name w:val="P68B1DB1-Normal19"/>
    <w:basedOn w:val="Normal"/>
    <w:rPr>
      <w:rFonts w:ascii="Times New Roman" w:hAnsi="Times New Roman"/>
      <w:b/>
      <w:color w:val="000000" w:themeColor="text1"/>
      <w:sz w:val="20"/>
    </w:rPr>
  </w:style>
  <w:style w:type="paragraph" w:customStyle="1" w:styleId="P68B1DB1-ListParagraph20">
    <w:name w:val="P68B1DB1-ListParagraph20"/>
    <w:basedOn w:val="ListParagraph"/>
    <w:rPr>
      <w:rFonts w:ascii="Times New Roman" w:eastAsia="Times New Roman" w:hAnsi="Times New Roman" w:cs="Times New Roman"/>
      <w:color w:val="006100"/>
      <w:sz w:val="20"/>
      <w:szCs w:val="20"/>
    </w:rPr>
  </w:style>
  <w:style w:type="paragraph" w:customStyle="1" w:styleId="P68B1DB1-Normal21">
    <w:name w:val="P68B1DB1-Normal21"/>
    <w:basedOn w:val="Normal"/>
    <w:rPr>
      <w:sz w:val="20"/>
      <w:szCs w:val="20"/>
    </w:rPr>
  </w:style>
  <w:style w:type="paragraph" w:customStyle="1" w:styleId="P68B1DB1-Normal22">
    <w:name w:val="P68B1DB1-Normal22"/>
    <w:basedOn w:val="Normal"/>
    <w:rPr>
      <w:color w:val="006100"/>
      <w:sz w:val="20"/>
    </w:rPr>
  </w:style>
  <w:style w:type="paragraph" w:customStyle="1" w:styleId="P68B1DB1-ListParagraph23">
    <w:name w:val="P68B1DB1-ListParagraph23"/>
    <w:basedOn w:val="ListParagraph"/>
    <w:rPr>
      <w:rFonts w:ascii="Times New Roman" w:hAnsi="Times New Roman"/>
      <w:u w:val="single"/>
    </w:rPr>
  </w:style>
  <w:style w:type="paragraph" w:customStyle="1" w:styleId="P68B1DB1-Normal24">
    <w:name w:val="P68B1DB1-Normal24"/>
    <w:basedOn w:val="Normal"/>
    <w:rPr>
      <w:sz w:val="20"/>
    </w:rPr>
  </w:style>
  <w:style w:type="paragraph" w:customStyle="1" w:styleId="P68B1DB1-Default25">
    <w:name w:val="P68B1DB1-Default25"/>
    <w:basedOn w:val="Default"/>
    <w:rPr>
      <w:u w:val="single"/>
    </w:rPr>
  </w:style>
  <w:style w:type="paragraph" w:customStyle="1" w:styleId="P68B1DB1-Default26">
    <w:name w:val="P68B1DB1-Default26"/>
    <w:basedOn w:val="Default"/>
    <w:rPr>
      <w:rFonts w:eastAsia="Calibri"/>
    </w:rPr>
  </w:style>
  <w:style w:type="paragraph" w:customStyle="1" w:styleId="P68B1DB1-Normal27">
    <w:name w:val="P68B1DB1-Normal27"/>
    <w:basedOn w:val="Normal"/>
    <w:rPr>
      <w:rFonts w:ascii="Times New Roman" w:eastAsia="Calibri" w:hAnsi="Times New Roman" w:cs="Times New Roman"/>
      <w:u w:val="single"/>
    </w:rPr>
  </w:style>
  <w:style w:type="paragraph" w:customStyle="1" w:styleId="P68B1DB1-ListParagraph28">
    <w:name w:val="P68B1DB1-ListParagraph28"/>
    <w:basedOn w:val="ListParagraph"/>
    <w:rPr>
      <w:rFonts w:ascii="Times New Roman" w:eastAsia="Calibri" w:hAnsi="Times New Roman" w:cs="Times New Roman"/>
    </w:rPr>
  </w:style>
  <w:style w:type="paragraph" w:customStyle="1" w:styleId="P68B1DB1-ListParagraph29">
    <w:name w:val="P68B1DB1-ListParagraph29"/>
    <w:basedOn w:val="ListParagraph"/>
    <w:rPr>
      <w:rFonts w:ascii="Times New Roman" w:hAnsi="Times New Roman" w:cs="Times New Roman"/>
    </w:rPr>
  </w:style>
  <w:style w:type="paragraph" w:customStyle="1" w:styleId="P68B1DB1-ListParagraph30">
    <w:name w:val="P68B1DB1-ListParagraph30"/>
    <w:basedOn w:val="ListParagraph"/>
    <w:rPr>
      <w:rFonts w:ascii="Times New Roman" w:hAnsi="Times New Roman" w:cs="Times New Roman" w:hint="eastAsia"/>
    </w:rPr>
  </w:style>
  <w:style w:type="paragraph" w:customStyle="1" w:styleId="P68B1DB1-Normal31">
    <w:name w:val="P68B1DB1-Normal31"/>
    <w:basedOn w:val="Normal"/>
    <w:rPr>
      <w:rFonts w:ascii="Times New Roman" w:hAnsi="Times New Roman"/>
      <w:b/>
      <w:sz w:val="20"/>
      <w:szCs w:val="20"/>
    </w:rPr>
  </w:style>
  <w:style w:type="paragraph" w:customStyle="1" w:styleId="P68B1DB1-ListParagraph32">
    <w:name w:val="P68B1DB1-ListParagraph32"/>
    <w:basedOn w:val="ListParagraph"/>
    <w:rPr>
      <w:rFonts w:ascii="Times New Roman" w:hAnsi="Times New Roman"/>
      <w:color w:val="006100"/>
      <w:sz w:val="20"/>
    </w:rPr>
  </w:style>
  <w:style w:type="paragraph" w:customStyle="1" w:styleId="P68B1DB1-Normal33">
    <w:name w:val="P68B1DB1-Normal33"/>
    <w:basedOn w:val="Normal"/>
    <w:rPr>
      <w:rFonts w:ascii="Times New Roman" w:hAnsi="Times New Roman"/>
      <w:sz w:val="20"/>
    </w:rPr>
  </w:style>
  <w:style w:type="paragraph" w:customStyle="1" w:styleId="P68B1DB1-Normal34">
    <w:name w:val="P68B1DB1-Normal34"/>
    <w:basedOn w:val="Normal"/>
    <w:rPr>
      <w:rFonts w:ascii="Times New Roman" w:hAnsi="Times New Roman"/>
      <w:color w:val="006100"/>
      <w:sz w:val="19"/>
      <w:szCs w:val="19"/>
    </w:rPr>
  </w:style>
  <w:style w:type="paragraph" w:customStyle="1" w:styleId="P68B1DB1-Normal35">
    <w:name w:val="P68B1DB1-Normal35"/>
    <w:basedOn w:val="Normal"/>
    <w:rPr>
      <w:rFonts w:ascii="Times New Roman" w:eastAsia="Times New Roman" w:hAnsi="Times New Roman" w:cs="Times New Roman"/>
      <w:color w:val="006100"/>
      <w:sz w:val="20"/>
      <w:szCs w:val="20"/>
    </w:rPr>
  </w:style>
  <w:style w:type="paragraph" w:customStyle="1" w:styleId="P68B1DB1-Normal36">
    <w:name w:val="P68B1DB1-Normal36"/>
    <w:basedOn w:val="Normal"/>
    <w:rPr>
      <w:rFonts w:ascii="Times New Roman" w:hAnsi="Times New Roman"/>
      <w:sz w:val="20"/>
      <w:szCs w:val="20"/>
    </w:rPr>
  </w:style>
  <w:style w:type="paragraph" w:customStyle="1" w:styleId="P68B1DB1-ListParagraph37">
    <w:name w:val="P68B1DB1-ListParagraph37"/>
    <w:basedOn w:val="ListParagraph"/>
    <w:rPr>
      <w:color w:val="006100"/>
      <w:sz w:val="20"/>
    </w:rPr>
  </w:style>
  <w:style w:type="paragraph" w:customStyle="1" w:styleId="P68B1DB1-ListParagraph38">
    <w:name w:val="P68B1DB1-ListParagraph38"/>
    <w:basedOn w:val="ListParagraph"/>
    <w:rPr>
      <w:color w:val="006100"/>
      <w:sz w:val="20"/>
      <w:szCs w:val="20"/>
    </w:rPr>
  </w:style>
  <w:style w:type="paragraph" w:customStyle="1" w:styleId="P68B1DB1-ListParagraph39">
    <w:name w:val="P68B1DB1-ListParagraph39"/>
    <w:basedOn w:val="ListParagraph"/>
    <w:rPr>
      <w:color w:val="196B24" w:themeColor="accent3"/>
      <w:sz w:val="20"/>
    </w:rPr>
  </w:style>
  <w:style w:type="paragraph" w:customStyle="1" w:styleId="P68B1DB1-NormalWeb40">
    <w:name w:val="P68B1DB1-NormalWeb40"/>
    <w:basedOn w:val="NormalWeb"/>
    <w:rPr>
      <w:color w:val="006100"/>
      <w:sz w:val="20"/>
      <w:szCs w:val="20"/>
    </w:rPr>
  </w:style>
  <w:style w:type="paragraph" w:customStyle="1" w:styleId="P68B1DB1-Normal41">
    <w:name w:val="P68B1DB1-Normal41"/>
    <w:basedOn w:val="Normal"/>
    <w:rPr>
      <w:rFonts w:ascii="Times New Roman" w:hAnsi="Times New Roman" w:hint="eastAsia"/>
    </w:rPr>
  </w:style>
  <w:style w:type="paragraph" w:customStyle="1" w:styleId="P68B1DB1-Text142">
    <w:name w:val="P68B1DB1-Text142"/>
    <w:basedOn w:val="Text1"/>
    <w:rPr>
      <w:b/>
      <w:u w:val="single"/>
    </w:rPr>
  </w:style>
  <w:style w:type="paragraph" w:customStyle="1" w:styleId="P68B1DB1-Text143">
    <w:name w:val="P68B1DB1-Text143"/>
    <w:basedOn w:val="Text1"/>
    <w:rPr>
      <w:u w:val="single"/>
    </w:rPr>
  </w:style>
  <w:style w:type="paragraph" w:customStyle="1" w:styleId="P68B1DB1-Bodytext2044">
    <w:name w:val="P68B1DB1-Bodytext2044"/>
    <w:basedOn w:val="Bodytext20"/>
    <w:rPr>
      <w:rFonts w:ascii="Times New Roman" w:hAnsi="Times New Roman"/>
    </w:rPr>
  </w:style>
  <w:style w:type="paragraph" w:customStyle="1" w:styleId="P68B1DB1-Normal45">
    <w:name w:val="P68B1DB1-Normal45"/>
    <w:basedOn w:val="Normal"/>
    <w:rPr>
      <w:rFonts w:ascii="Times New Roman" w:hAnsi="Times New Roman" w:cs="Times New Roman"/>
      <w:b/>
      <w:sz w:val="20"/>
      <w:szCs w:val="20"/>
    </w:rPr>
  </w:style>
  <w:style w:type="paragraph" w:customStyle="1" w:styleId="P68B1DB1-Normal46">
    <w:name w:val="P68B1DB1-Normal46"/>
    <w:basedOn w:val="Normal"/>
    <w:rPr>
      <w:rFonts w:ascii="Times New Roman" w:hAnsi="Times New Roman" w:cs="Times New Roman"/>
      <w:sz w:val="20"/>
      <w:szCs w:val="20"/>
    </w:rPr>
  </w:style>
  <w:style w:type="paragraph" w:customStyle="1" w:styleId="P68B1DB1-ListParagraph47">
    <w:name w:val="P68B1DB1-ListParagraph47"/>
    <w:basedOn w:val="ListParagraph"/>
    <w:rPr>
      <w:sz w:val="20"/>
      <w:szCs w:val="20"/>
    </w:rPr>
  </w:style>
  <w:style w:type="paragraph" w:customStyle="1" w:styleId="P68B1DB1-Normal48">
    <w:name w:val="P68B1DB1-Normal48"/>
    <w:basedOn w:val="Normal"/>
    <w:rPr>
      <w:rFonts w:ascii="Times New Roman" w:hAnsi="Times New Roman"/>
      <w:color w:val="000000" w:themeColor="text1"/>
      <w:u w:val="single"/>
    </w:rPr>
  </w:style>
  <w:style w:type="paragraph" w:customStyle="1" w:styleId="P68B1DB1-Normal49">
    <w:name w:val="P68B1DB1-Normal49"/>
    <w:basedOn w:val="Normal"/>
    <w:rPr>
      <w:rFonts w:ascii="Times New Roman" w:hAnsi="Times New Roman"/>
      <w:color w:val="000000" w:themeColor="text1"/>
    </w:rPr>
  </w:style>
  <w:style w:type="paragraph" w:customStyle="1" w:styleId="P68B1DB1-Normal50">
    <w:name w:val="P68B1DB1-Normal50"/>
    <w:basedOn w:val="Normal"/>
    <w:rPr>
      <w:rFonts w:ascii="Times New Roman" w:eastAsia="Times New Roman" w:hAnsi="Times New Roman" w:cs="Times New Roman"/>
      <w:u w:val="single"/>
    </w:rPr>
  </w:style>
  <w:style w:type="paragraph" w:customStyle="1" w:styleId="P68B1DB1-Normal51">
    <w:name w:val="P68B1DB1-Normal51"/>
    <w:basedOn w:val="Normal"/>
    <w:rPr>
      <w:rFonts w:ascii="Times New Roman" w:eastAsia="Times New Roman" w:hAnsi="Times New Roman" w:cs="Times New Roman"/>
    </w:rPr>
  </w:style>
  <w:style w:type="paragraph" w:customStyle="1" w:styleId="P68B1DB1-Normal52">
    <w:name w:val="P68B1DB1-Normal52"/>
    <w:basedOn w:val="Normal"/>
    <w:rPr>
      <w:rFonts w:ascii="Times New Roman" w:hAnsi="Times New Roman" w:cs="Times New Roman"/>
      <w:u w:val="single"/>
    </w:rPr>
  </w:style>
  <w:style w:type="paragraph" w:customStyle="1" w:styleId="P68B1DB1-Normal53">
    <w:name w:val="P68B1DB1-Normal53"/>
    <w:basedOn w:val="Normal"/>
    <w:rPr>
      <w:rFonts w:ascii="Times New Roman" w:hAnsi="Times New Roman" w:cs="Times New Roman"/>
    </w:rPr>
  </w:style>
  <w:style w:type="paragraph" w:customStyle="1" w:styleId="P68B1DB1-Normal54">
    <w:name w:val="P68B1DB1-Normal54"/>
    <w:basedOn w:val="Normal"/>
    <w:rPr>
      <w:rFonts w:ascii="Times New Roman" w:eastAsia="Times New Roman" w:hAnsi="Times New Roman" w:cs="Times New Roman"/>
      <w:sz w:val="20"/>
      <w:szCs w:val="20"/>
    </w:rPr>
  </w:style>
  <w:style w:type="paragraph" w:customStyle="1" w:styleId="P68B1DB1-Normal55">
    <w:name w:val="P68B1DB1-Normal55"/>
    <w:basedOn w:val="Normal"/>
    <w:rPr>
      <w:rFonts w:ascii="Times New Roman" w:eastAsia="Times New Roman" w:hAnsi="Times New Roman" w:cs="Times New Roman"/>
      <w:color w:val="385623"/>
      <w:sz w:val="20"/>
      <w:szCs w:val="20"/>
    </w:rPr>
  </w:style>
  <w:style w:type="paragraph" w:customStyle="1" w:styleId="P68B1DB1-Normal56">
    <w:name w:val="P68B1DB1-Normal56"/>
    <w:basedOn w:val="Normal"/>
    <w:rPr>
      <w:rFonts w:ascii="Times New Roman" w:eastAsia="Times New Roman" w:hAnsi="Times New Roman" w:cs="Times New Roman"/>
      <w:color w:val="275317" w:themeColor="accent6" w:themeShade="80"/>
      <w:sz w:val="20"/>
      <w:szCs w:val="20"/>
    </w:rPr>
  </w:style>
  <w:style w:type="paragraph" w:customStyle="1" w:styleId="P68B1DB1-Normal57">
    <w:name w:val="P68B1DB1-Normal57"/>
    <w:basedOn w:val="Normal"/>
    <w:rPr>
      <w:rFonts w:ascii="Times New Roman" w:hAnsi="Times New Roman"/>
      <w:color w:val="385623"/>
      <w:sz w:val="20"/>
    </w:rPr>
  </w:style>
  <w:style w:type="paragraph" w:customStyle="1" w:styleId="P68B1DB1-Normal58">
    <w:name w:val="P68B1DB1-Normal58"/>
    <w:basedOn w:val="Normal"/>
    <w:rPr>
      <w:rFonts w:ascii="Times New Roman" w:eastAsia="MS Mincho" w:hAnsi="Times New Roman" w:cs="Arial"/>
      <w:b/>
      <w:sz w:val="20"/>
      <w:szCs w:val="20"/>
    </w:rPr>
  </w:style>
  <w:style w:type="paragraph" w:customStyle="1" w:styleId="P68B1DB1-Normal59">
    <w:name w:val="P68B1DB1-Normal59"/>
    <w:basedOn w:val="Normal"/>
    <w:rPr>
      <w:rFonts w:ascii="Times New Roman" w:eastAsia="MS Mincho" w:hAnsi="Times New Roman" w:cs="Arial"/>
      <w:color w:val="006100"/>
      <w:sz w:val="20"/>
      <w:szCs w:val="20"/>
    </w:rPr>
  </w:style>
  <w:style w:type="paragraph" w:customStyle="1" w:styleId="P68B1DB1-Normal60">
    <w:name w:val="P68B1DB1-Normal60"/>
    <w:basedOn w:val="Normal"/>
    <w:rPr>
      <w:rFonts w:ascii="Times New Roman" w:eastAsia="MS Mincho" w:hAnsi="Times New Roman" w:cs="Times New Roman"/>
      <w:color w:val="006100"/>
      <w:sz w:val="20"/>
      <w:szCs w:val="20"/>
    </w:rPr>
  </w:style>
  <w:style w:type="paragraph" w:customStyle="1" w:styleId="P68B1DB1-Normal61">
    <w:name w:val="P68B1DB1-Normal61"/>
    <w:basedOn w:val="Normal"/>
    <w:rPr>
      <w:rFonts w:ascii="Times New Roman" w:hAnsi="Times New Roman"/>
      <w:b/>
      <w:color w:val="000000"/>
      <w:sz w:val="20"/>
      <w:szCs w:val="20"/>
    </w:rPr>
  </w:style>
  <w:style w:type="paragraph" w:customStyle="1" w:styleId="P68B1DB1-Normal62">
    <w:name w:val="P68B1DB1-Normal62"/>
    <w:basedOn w:val="Normal"/>
    <w:rPr>
      <w:b/>
      <w:sz w:val="20"/>
      <w:szCs w:val="20"/>
    </w:rPr>
  </w:style>
  <w:style w:type="paragraph" w:customStyle="1" w:styleId="P68B1DB1-Normal63">
    <w:name w:val="P68B1DB1-Normal63"/>
    <w:basedOn w:val="Normal"/>
    <w:rPr>
      <w:rFonts w:ascii="Times New Roman" w:hAnsi="Times New Roman"/>
      <w:b/>
      <w:color w:val="000000"/>
      <w:sz w:val="18"/>
      <w:szCs w:val="18"/>
    </w:rPr>
  </w:style>
  <w:style w:type="paragraph" w:customStyle="1" w:styleId="P68B1DB1-Normal64">
    <w:name w:val="P68B1DB1-Normal64"/>
    <w:basedOn w:val="Normal"/>
    <w:rPr>
      <w:rFonts w:ascii="Times New Roman" w:hAnsi="Times New Roman" w:cs="Times New Roman" w:hint="eastAsia"/>
      <w:color w:val="006100"/>
      <w:sz w:val="20"/>
      <w:szCs w:val="20"/>
    </w:rPr>
  </w:style>
  <w:style w:type="paragraph" w:customStyle="1" w:styleId="P68B1DB1-Normal65">
    <w:name w:val="P68B1DB1-Normal65"/>
    <w:basedOn w:val="Normal"/>
    <w:rPr>
      <w:rFonts w:ascii="Times New Roman" w:eastAsia="Times New Roman" w:hAnsi="Times New Roman" w:cs="Times New Roman"/>
      <w:b/>
      <w:sz w:val="20"/>
      <w:szCs w:val="20"/>
    </w:rPr>
  </w:style>
  <w:style w:type="paragraph" w:customStyle="1" w:styleId="P68B1DB1-Normal66">
    <w:name w:val="P68B1DB1-Normal66"/>
    <w:basedOn w:val="Normal"/>
    <w:rPr>
      <w:rFonts w:ascii="Times New Roman" w:eastAsia="Calibri" w:hAnsi="Times New Roman" w:cs="Times New Roman"/>
      <w:b/>
      <w:color w:val="000000" w:themeColor="text1"/>
      <w:sz w:val="20"/>
      <w:szCs w:val="20"/>
    </w:rPr>
  </w:style>
  <w:style w:type="paragraph" w:customStyle="1" w:styleId="P68B1DB1-Normal67">
    <w:name w:val="P68B1DB1-Normal67"/>
    <w:basedOn w:val="Normal"/>
    <w:rPr>
      <w:rFonts w:ascii="Times New Roman" w:eastAsia="Times New Roman" w:hAnsi="Times New Roman" w:cs="Times New Roman"/>
      <w:b/>
      <w:sz w:val="19"/>
      <w:szCs w:val="19"/>
    </w:rPr>
  </w:style>
  <w:style w:type="paragraph" w:customStyle="1" w:styleId="P68B1DB1-Normal68">
    <w:name w:val="P68B1DB1-Normal68"/>
    <w:basedOn w:val="Normal"/>
    <w:rPr>
      <w:rFonts w:ascii="Times New Roman" w:hAnsi="Times New Roman"/>
      <w:color w:val="006100"/>
      <w:sz w:val="18"/>
      <w:szCs w:val="18"/>
    </w:rPr>
  </w:style>
  <w:style w:type="paragraph" w:customStyle="1" w:styleId="P68B1DB1-Normal69">
    <w:name w:val="P68B1DB1-Normal69"/>
    <w:basedOn w:val="Normal"/>
    <w:rPr>
      <w:rFonts w:ascii="Times New Roman" w:hAnsi="Times New Roman" w:cs="Times New Roman"/>
      <w:b/>
      <w:sz w:val="20"/>
    </w:rPr>
  </w:style>
  <w:style w:type="paragraph" w:customStyle="1" w:styleId="P68B1DB1-Normal70">
    <w:name w:val="P68B1DB1-Normal70"/>
    <w:basedOn w:val="Normal"/>
    <w:rPr>
      <w:rFonts w:ascii="Times New Roman" w:hAnsi="Times New Roman" w:cs="Times New Roman"/>
      <w:sz w:val="20"/>
    </w:rPr>
  </w:style>
  <w:style w:type="paragraph" w:customStyle="1" w:styleId="P68B1DB1-Normal71">
    <w:name w:val="P68B1DB1-Normal71"/>
    <w:basedOn w:val="Normal"/>
    <w:rPr>
      <w:rFonts w:ascii="Times New Roman" w:hAnsi="Times New Roman" w:cs="Times New Roman"/>
      <w:color w:val="006100"/>
      <w:sz w:val="20"/>
    </w:rPr>
  </w:style>
  <w:style w:type="paragraph" w:customStyle="1" w:styleId="P68B1DB1-Normal72">
    <w:name w:val="P68B1DB1-Normal72"/>
    <w:basedOn w:val="Normal"/>
    <w:rPr>
      <w:rFonts w:ascii="Times New Roman" w:eastAsia="Times New Roman" w:hAnsi="Times New Roman" w:cs="Times New Roman"/>
      <w:b/>
      <w:smallCaps/>
    </w:rPr>
  </w:style>
  <w:style w:type="paragraph" w:customStyle="1" w:styleId="P68B1DB1-Normal73">
    <w:name w:val="P68B1DB1-Normal73"/>
    <w:basedOn w:val="Normal"/>
    <w:rPr>
      <w:rFonts w:ascii="Times New Roman" w:eastAsia="Calibri" w:hAnsi="Times New Roman" w:cs="Times New Roman"/>
      <w:szCs w:val="22"/>
    </w:rPr>
  </w:style>
  <w:style w:type="paragraph" w:customStyle="1" w:styleId="P68B1DB1-Normal74">
    <w:name w:val="P68B1DB1-Normal74"/>
    <w:basedOn w:val="Normal"/>
    <w:rPr>
      <w:rFonts w:ascii="Times New Roman" w:eastAsia="Calibri" w:hAnsi="Times New Roman" w:cs="Times New Roman"/>
      <w:b/>
      <w:szCs w:val="22"/>
      <w:u w:val="single"/>
    </w:rPr>
  </w:style>
  <w:style w:type="paragraph" w:customStyle="1" w:styleId="P68B1DB1-whitespace-pre-wrap75">
    <w:name w:val="P68B1DB1-whitespace-pre-wrap75"/>
    <w:basedOn w:val="whitespace-pre-wrap"/>
    <w:rPr>
      <w:rFonts w:eastAsia="Calibri"/>
      <w:color w:val="000000" w:themeColor="text1"/>
      <w:u w:val="single"/>
    </w:rPr>
  </w:style>
  <w:style w:type="paragraph" w:customStyle="1" w:styleId="P68B1DB1-whitespace-pre-wrap76">
    <w:name w:val="P68B1DB1-whitespace-pre-wrap76"/>
    <w:basedOn w:val="whitespace-pre-wrap"/>
    <w:rPr>
      <w:rFonts w:eastAsia="Calibri"/>
      <w:color w:val="000000" w:themeColor="text1"/>
    </w:rPr>
  </w:style>
  <w:style w:type="paragraph" w:customStyle="1" w:styleId="P68B1DB1-Normal77">
    <w:name w:val="P68B1DB1-Normal77"/>
    <w:basedOn w:val="Normal"/>
    <w:rPr>
      <w:rFonts w:ascii="Times New Roman" w:eastAsia="Times New Roman" w:hAnsi="Times New Roman" w:cs="Times New Roman"/>
      <w:color w:val="000000"/>
      <w:szCs w:val="22"/>
      <w:u w:val="single"/>
    </w:rPr>
  </w:style>
  <w:style w:type="paragraph" w:customStyle="1" w:styleId="P68B1DB1-Normal78">
    <w:name w:val="P68B1DB1-Normal78"/>
    <w:basedOn w:val="Normal"/>
    <w:rPr>
      <w:rFonts w:ascii="Times New Roman" w:eastAsia="Calibri" w:hAnsi="Times New Roman" w:cs="Times New Roman"/>
      <w:b/>
      <w:sz w:val="20"/>
      <w:szCs w:val="20"/>
    </w:rPr>
  </w:style>
  <w:style w:type="paragraph" w:customStyle="1" w:styleId="P68B1DB1-Normal79">
    <w:name w:val="P68B1DB1-Normal79"/>
    <w:basedOn w:val="Normal"/>
    <w:rPr>
      <w:rFonts w:ascii="Times New Roman" w:eastAsia="Calibri" w:hAnsi="Times New Roman" w:cs="Times New Roman"/>
      <w:color w:val="006100"/>
      <w:sz w:val="20"/>
      <w:szCs w:val="20"/>
    </w:rPr>
  </w:style>
  <w:style w:type="paragraph" w:customStyle="1" w:styleId="P68B1DB1-Normal80">
    <w:name w:val="P68B1DB1-Normal80"/>
    <w:basedOn w:val="Normal"/>
    <w:rPr>
      <w:rFonts w:ascii="Times New Roman" w:hAnsi="Times New Roman"/>
      <w:b/>
    </w:rPr>
  </w:style>
  <w:style w:type="paragraph" w:customStyle="1" w:styleId="P68B1DB1-NumPar181">
    <w:name w:val="P68B1DB1-NumPar181"/>
    <w:basedOn w:val="NumPar1"/>
    <w:rPr>
      <w:rFonts w:eastAsia="Calibri"/>
      <w:b/>
      <w:smallCaps/>
      <w:szCs w:val="24"/>
    </w:rPr>
  </w:style>
  <w:style w:type="paragraph" w:customStyle="1" w:styleId="P68B1DB1-Normal82">
    <w:name w:val="P68B1DB1-Normal82"/>
    <w:basedOn w:val="Normal"/>
    <w:rPr>
      <w:rFonts w:ascii="Times New Roman" w:hAnsi="Times New Roman"/>
      <w:sz w:val="22"/>
      <w:szCs w:val="22"/>
    </w:rPr>
  </w:style>
  <w:style w:type="paragraph" w:customStyle="1" w:styleId="P68B1DB1-Footer83">
    <w:name w:val="P68B1DB1-Footer83"/>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46690">
      <w:bodyDiv w:val="1"/>
      <w:marLeft w:val="0"/>
      <w:marRight w:val="0"/>
      <w:marTop w:val="0"/>
      <w:marBottom w:val="0"/>
      <w:divBdr>
        <w:top w:val="none" w:sz="0" w:space="0" w:color="auto"/>
        <w:left w:val="none" w:sz="0" w:space="0" w:color="auto"/>
        <w:bottom w:val="none" w:sz="0" w:space="0" w:color="auto"/>
        <w:right w:val="none" w:sz="0" w:space="0" w:color="auto"/>
      </w:divBdr>
    </w:div>
    <w:div w:id="447509125">
      <w:bodyDiv w:val="1"/>
      <w:marLeft w:val="0"/>
      <w:marRight w:val="0"/>
      <w:marTop w:val="0"/>
      <w:marBottom w:val="0"/>
      <w:divBdr>
        <w:top w:val="none" w:sz="0" w:space="0" w:color="auto"/>
        <w:left w:val="none" w:sz="0" w:space="0" w:color="auto"/>
        <w:bottom w:val="none" w:sz="0" w:space="0" w:color="auto"/>
        <w:right w:val="none" w:sz="0" w:space="0" w:color="auto"/>
      </w:divBdr>
    </w:div>
    <w:div w:id="453451235">
      <w:bodyDiv w:val="1"/>
      <w:marLeft w:val="0"/>
      <w:marRight w:val="0"/>
      <w:marTop w:val="0"/>
      <w:marBottom w:val="0"/>
      <w:divBdr>
        <w:top w:val="none" w:sz="0" w:space="0" w:color="auto"/>
        <w:left w:val="none" w:sz="0" w:space="0" w:color="auto"/>
        <w:bottom w:val="none" w:sz="0" w:space="0" w:color="auto"/>
        <w:right w:val="none" w:sz="0" w:space="0" w:color="auto"/>
      </w:divBdr>
    </w:div>
    <w:div w:id="531840056">
      <w:bodyDiv w:val="1"/>
      <w:marLeft w:val="0"/>
      <w:marRight w:val="0"/>
      <w:marTop w:val="0"/>
      <w:marBottom w:val="0"/>
      <w:divBdr>
        <w:top w:val="none" w:sz="0" w:space="0" w:color="auto"/>
        <w:left w:val="none" w:sz="0" w:space="0" w:color="auto"/>
        <w:bottom w:val="none" w:sz="0" w:space="0" w:color="auto"/>
        <w:right w:val="none" w:sz="0" w:space="0" w:color="auto"/>
      </w:divBdr>
    </w:div>
    <w:div w:id="548228788">
      <w:bodyDiv w:val="1"/>
      <w:marLeft w:val="0"/>
      <w:marRight w:val="0"/>
      <w:marTop w:val="0"/>
      <w:marBottom w:val="0"/>
      <w:divBdr>
        <w:top w:val="none" w:sz="0" w:space="0" w:color="auto"/>
        <w:left w:val="none" w:sz="0" w:space="0" w:color="auto"/>
        <w:bottom w:val="none" w:sz="0" w:space="0" w:color="auto"/>
        <w:right w:val="none" w:sz="0" w:space="0" w:color="auto"/>
      </w:divBdr>
    </w:div>
    <w:div w:id="615528423">
      <w:bodyDiv w:val="1"/>
      <w:marLeft w:val="0"/>
      <w:marRight w:val="0"/>
      <w:marTop w:val="0"/>
      <w:marBottom w:val="0"/>
      <w:divBdr>
        <w:top w:val="none" w:sz="0" w:space="0" w:color="auto"/>
        <w:left w:val="none" w:sz="0" w:space="0" w:color="auto"/>
        <w:bottom w:val="none" w:sz="0" w:space="0" w:color="auto"/>
        <w:right w:val="none" w:sz="0" w:space="0" w:color="auto"/>
      </w:divBdr>
    </w:div>
    <w:div w:id="649215719">
      <w:bodyDiv w:val="1"/>
      <w:marLeft w:val="0"/>
      <w:marRight w:val="0"/>
      <w:marTop w:val="0"/>
      <w:marBottom w:val="0"/>
      <w:divBdr>
        <w:top w:val="none" w:sz="0" w:space="0" w:color="auto"/>
        <w:left w:val="none" w:sz="0" w:space="0" w:color="auto"/>
        <w:bottom w:val="none" w:sz="0" w:space="0" w:color="auto"/>
        <w:right w:val="none" w:sz="0" w:space="0" w:color="auto"/>
      </w:divBdr>
      <w:divsChild>
        <w:div w:id="190386432">
          <w:marLeft w:val="0"/>
          <w:marRight w:val="0"/>
          <w:marTop w:val="0"/>
          <w:marBottom w:val="0"/>
          <w:divBdr>
            <w:top w:val="none" w:sz="0" w:space="0" w:color="auto"/>
            <w:left w:val="none" w:sz="0" w:space="0" w:color="auto"/>
            <w:bottom w:val="none" w:sz="0" w:space="0" w:color="auto"/>
            <w:right w:val="none" w:sz="0" w:space="0" w:color="auto"/>
          </w:divBdr>
        </w:div>
        <w:div w:id="1063065936">
          <w:marLeft w:val="0"/>
          <w:marRight w:val="0"/>
          <w:marTop w:val="0"/>
          <w:marBottom w:val="0"/>
          <w:divBdr>
            <w:top w:val="none" w:sz="0" w:space="0" w:color="auto"/>
            <w:left w:val="none" w:sz="0" w:space="0" w:color="auto"/>
            <w:bottom w:val="none" w:sz="0" w:space="0" w:color="auto"/>
            <w:right w:val="none" w:sz="0" w:space="0" w:color="auto"/>
          </w:divBdr>
        </w:div>
        <w:div w:id="1654289604">
          <w:marLeft w:val="0"/>
          <w:marRight w:val="0"/>
          <w:marTop w:val="0"/>
          <w:marBottom w:val="0"/>
          <w:divBdr>
            <w:top w:val="none" w:sz="0" w:space="0" w:color="auto"/>
            <w:left w:val="none" w:sz="0" w:space="0" w:color="auto"/>
            <w:bottom w:val="none" w:sz="0" w:space="0" w:color="auto"/>
            <w:right w:val="none" w:sz="0" w:space="0" w:color="auto"/>
          </w:divBdr>
        </w:div>
      </w:divsChild>
    </w:div>
    <w:div w:id="655257964">
      <w:bodyDiv w:val="1"/>
      <w:marLeft w:val="0"/>
      <w:marRight w:val="0"/>
      <w:marTop w:val="0"/>
      <w:marBottom w:val="0"/>
      <w:divBdr>
        <w:top w:val="none" w:sz="0" w:space="0" w:color="auto"/>
        <w:left w:val="none" w:sz="0" w:space="0" w:color="auto"/>
        <w:bottom w:val="none" w:sz="0" w:space="0" w:color="auto"/>
        <w:right w:val="none" w:sz="0" w:space="0" w:color="auto"/>
      </w:divBdr>
    </w:div>
    <w:div w:id="725378019">
      <w:bodyDiv w:val="1"/>
      <w:marLeft w:val="0"/>
      <w:marRight w:val="0"/>
      <w:marTop w:val="0"/>
      <w:marBottom w:val="0"/>
      <w:divBdr>
        <w:top w:val="none" w:sz="0" w:space="0" w:color="auto"/>
        <w:left w:val="none" w:sz="0" w:space="0" w:color="auto"/>
        <w:bottom w:val="none" w:sz="0" w:space="0" w:color="auto"/>
        <w:right w:val="none" w:sz="0" w:space="0" w:color="auto"/>
      </w:divBdr>
    </w:div>
    <w:div w:id="968975309">
      <w:bodyDiv w:val="1"/>
      <w:marLeft w:val="0"/>
      <w:marRight w:val="0"/>
      <w:marTop w:val="0"/>
      <w:marBottom w:val="0"/>
      <w:divBdr>
        <w:top w:val="none" w:sz="0" w:space="0" w:color="auto"/>
        <w:left w:val="none" w:sz="0" w:space="0" w:color="auto"/>
        <w:bottom w:val="none" w:sz="0" w:space="0" w:color="auto"/>
        <w:right w:val="none" w:sz="0" w:space="0" w:color="auto"/>
      </w:divBdr>
    </w:div>
    <w:div w:id="1155099503">
      <w:bodyDiv w:val="1"/>
      <w:marLeft w:val="0"/>
      <w:marRight w:val="0"/>
      <w:marTop w:val="0"/>
      <w:marBottom w:val="0"/>
      <w:divBdr>
        <w:top w:val="none" w:sz="0" w:space="0" w:color="auto"/>
        <w:left w:val="none" w:sz="0" w:space="0" w:color="auto"/>
        <w:bottom w:val="none" w:sz="0" w:space="0" w:color="auto"/>
        <w:right w:val="none" w:sz="0" w:space="0" w:color="auto"/>
      </w:divBdr>
    </w:div>
    <w:div w:id="1181776587">
      <w:bodyDiv w:val="1"/>
      <w:marLeft w:val="0"/>
      <w:marRight w:val="0"/>
      <w:marTop w:val="0"/>
      <w:marBottom w:val="0"/>
      <w:divBdr>
        <w:top w:val="none" w:sz="0" w:space="0" w:color="auto"/>
        <w:left w:val="none" w:sz="0" w:space="0" w:color="auto"/>
        <w:bottom w:val="none" w:sz="0" w:space="0" w:color="auto"/>
        <w:right w:val="none" w:sz="0" w:space="0" w:color="auto"/>
      </w:divBdr>
    </w:div>
    <w:div w:id="1227061049">
      <w:bodyDiv w:val="1"/>
      <w:marLeft w:val="0"/>
      <w:marRight w:val="0"/>
      <w:marTop w:val="0"/>
      <w:marBottom w:val="0"/>
      <w:divBdr>
        <w:top w:val="none" w:sz="0" w:space="0" w:color="auto"/>
        <w:left w:val="none" w:sz="0" w:space="0" w:color="auto"/>
        <w:bottom w:val="none" w:sz="0" w:space="0" w:color="auto"/>
        <w:right w:val="none" w:sz="0" w:space="0" w:color="auto"/>
      </w:divBdr>
    </w:div>
    <w:div w:id="1386296257">
      <w:bodyDiv w:val="1"/>
      <w:marLeft w:val="0"/>
      <w:marRight w:val="0"/>
      <w:marTop w:val="0"/>
      <w:marBottom w:val="0"/>
      <w:divBdr>
        <w:top w:val="none" w:sz="0" w:space="0" w:color="auto"/>
        <w:left w:val="none" w:sz="0" w:space="0" w:color="auto"/>
        <w:bottom w:val="none" w:sz="0" w:space="0" w:color="auto"/>
        <w:right w:val="none" w:sz="0" w:space="0" w:color="auto"/>
      </w:divBdr>
    </w:div>
    <w:div w:id="1816482449">
      <w:bodyDiv w:val="1"/>
      <w:marLeft w:val="0"/>
      <w:marRight w:val="0"/>
      <w:marTop w:val="0"/>
      <w:marBottom w:val="0"/>
      <w:divBdr>
        <w:top w:val="none" w:sz="0" w:space="0" w:color="auto"/>
        <w:left w:val="none" w:sz="0" w:space="0" w:color="auto"/>
        <w:bottom w:val="none" w:sz="0" w:space="0" w:color="auto"/>
        <w:right w:val="none" w:sz="0" w:space="0" w:color="auto"/>
      </w:divBdr>
    </w:div>
    <w:div w:id="1899169576">
      <w:bodyDiv w:val="1"/>
      <w:marLeft w:val="0"/>
      <w:marRight w:val="0"/>
      <w:marTop w:val="0"/>
      <w:marBottom w:val="0"/>
      <w:divBdr>
        <w:top w:val="none" w:sz="0" w:space="0" w:color="auto"/>
        <w:left w:val="none" w:sz="0" w:space="0" w:color="auto"/>
        <w:bottom w:val="none" w:sz="0" w:space="0" w:color="auto"/>
        <w:right w:val="none" w:sz="0" w:space="0" w:color="auto"/>
      </w:divBdr>
    </w:div>
    <w:div w:id="2022390310">
      <w:bodyDiv w:val="1"/>
      <w:marLeft w:val="0"/>
      <w:marRight w:val="0"/>
      <w:marTop w:val="0"/>
      <w:marBottom w:val="0"/>
      <w:divBdr>
        <w:top w:val="none" w:sz="0" w:space="0" w:color="auto"/>
        <w:left w:val="none" w:sz="0" w:space="0" w:color="auto"/>
        <w:bottom w:val="none" w:sz="0" w:space="0" w:color="auto"/>
        <w:right w:val="none" w:sz="0" w:space="0" w:color="auto"/>
      </w:divBdr>
      <w:divsChild>
        <w:div w:id="601962079">
          <w:marLeft w:val="0"/>
          <w:marRight w:val="0"/>
          <w:marTop w:val="0"/>
          <w:marBottom w:val="0"/>
          <w:divBdr>
            <w:top w:val="none" w:sz="0" w:space="0" w:color="auto"/>
            <w:left w:val="none" w:sz="0" w:space="0" w:color="auto"/>
            <w:bottom w:val="none" w:sz="0" w:space="0" w:color="auto"/>
            <w:right w:val="none" w:sz="0" w:space="0" w:color="auto"/>
          </w:divBdr>
        </w:div>
        <w:div w:id="1459837988">
          <w:marLeft w:val="0"/>
          <w:marRight w:val="0"/>
          <w:marTop w:val="0"/>
          <w:marBottom w:val="0"/>
          <w:divBdr>
            <w:top w:val="none" w:sz="0" w:space="0" w:color="auto"/>
            <w:left w:val="none" w:sz="0" w:space="0" w:color="auto"/>
            <w:bottom w:val="none" w:sz="0" w:space="0" w:color="auto"/>
            <w:right w:val="none" w:sz="0" w:space="0" w:color="auto"/>
          </w:divBdr>
        </w:div>
        <w:div w:id="1653482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DE42C-35CD-49B5-82EA-02613BF0D117}">
  <ds:schemaRefs>
    <ds:schemaRef ds:uri="http://schemas.microsoft.com/sharepoint/v3/contenttype/forms"/>
  </ds:schemaRefs>
</ds:datastoreItem>
</file>

<file path=customXml/itemProps2.xml><?xml version="1.0" encoding="utf-8"?>
<ds:datastoreItem xmlns:ds="http://schemas.openxmlformats.org/officeDocument/2006/customXml" ds:itemID="{8DB0063F-9358-4334-AD54-38DCBC1DFE05}">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72DAB885-78A3-463E-81BA-D7BDA13E2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1400C4-BFE2-4B07-B1E7-CF989CC33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7</Pages>
  <Words>46156</Words>
  <Characters>263092</Characters>
  <Application>Microsoft Office Word</Application>
  <DocSecurity>0</DocSecurity>
  <Lines>2192</Lines>
  <Paragraphs>617</Paragraphs>
  <ScaleCrop>false</ScaleCrop>
  <Manager/>
  <Company/>
  <LinksUpToDate>false</LinksUpToDate>
  <CharactersWithSpaces>308631</CharactersWithSpaces>
  <SharedDoc>false</SharedDoc>
  <HLinks>
    <vt:vector size="6" baseType="variant">
      <vt:variant>
        <vt:i4>7340046</vt:i4>
      </vt:variant>
      <vt:variant>
        <vt:i4>0</vt:i4>
      </vt:variant>
      <vt:variant>
        <vt:i4>0</vt:i4>
      </vt:variant>
      <vt:variant>
        <vt:i4>5</vt:i4>
      </vt:variant>
      <vt:variant>
        <vt:lpwstr>https://ec.europa.eu/newsroom/dae/document.cfm?doc_id=75185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2026-07-30T11:06:00Z</dcterms:created>
  <dcterms:modified xsi:type="dcterms:W3CDTF">2026-08-10T09:50:00Z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2026-05-26T13:25:31Z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0x0101001904E1EBFBC69D4E9F6EFDF5C754386E</vt:lpwstr>
  </property>
  <property fmtid="{D5CDD505-2E9C-101B-9397-08002B2CF9AE}" pid="11" name="MSIP_Label_6bd9ddd1-4d20-43f6-abfa-fc3c07406f94_Enabled">
    <vt:lpwstr>true</vt:lpwstr>
  </property>
  <property fmtid="{D5CDD505-2E9C-101B-9397-08002B2CF9AE}" pid="12" name="MSIP_Label_6bd9ddd1-4d20-43f6-abfa-fc3c07406f94_SetDate">
    <vt:lpwstr>2026-06-11T08:10:44Z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6a365f7f-e4ec-4e95-a21a-a3ced8422f75</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