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456A08" w:rsidRDefault="00E4446C" w:rsidP="00E4446C">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D2E372-7FBD-43C6-B6E4-5AED76B04980" style="width:455.25pt;height:357.75pt">
            <v:imagedata r:id="rId11" o:title=""/>
          </v:shape>
        </w:pict>
      </w:r>
    </w:p>
    <w:p w:rsidR="00A83B18" w:rsidRPr="00456A08" w:rsidRDefault="00A83B18" w:rsidP="00A83B18">
      <w:pPr>
        <w:pStyle w:val="Pagedecouverture"/>
        <w:rPr>
          <w:noProof/>
        </w:rPr>
        <w:sectPr w:rsidR="00A83B18" w:rsidRPr="00456A08" w:rsidSect="00E4446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DB38C7" w:rsidRPr="00456A08" w:rsidRDefault="00DB38C7" w:rsidP="00DB38C7">
      <w:pPr>
        <w:pStyle w:val="Exposdesmotifstitre"/>
        <w:rPr>
          <w:noProof/>
        </w:rPr>
      </w:pPr>
      <w:bookmarkStart w:id="1" w:name="_GoBack"/>
      <w:bookmarkEnd w:id="1"/>
    </w:p>
    <w:p w:rsidR="00607CA2" w:rsidRPr="00456A08" w:rsidRDefault="00607CA2" w:rsidP="00607CA2">
      <w:pPr>
        <w:rPr>
          <w:noProof/>
        </w:rPr>
      </w:pPr>
    </w:p>
    <w:p w:rsidR="00995B72" w:rsidRDefault="00B758B9">
      <w:pPr>
        <w:pStyle w:val="Rfrenceinterinstitutionnelle"/>
        <w:rPr>
          <w:noProof/>
        </w:rPr>
      </w:pPr>
      <w:r>
        <w:rPr>
          <w:noProof/>
        </w:rPr>
        <w:t>2026/0236 (NLE)</w:t>
      </w:r>
    </w:p>
    <w:p w:rsidR="002709B6" w:rsidRPr="00456A08" w:rsidRDefault="00456A08" w:rsidP="00456A08">
      <w:pPr>
        <w:pStyle w:val="Statut"/>
        <w:rPr>
          <w:noProof/>
        </w:rPr>
      </w:pPr>
      <w:r w:rsidRPr="00456A08">
        <w:rPr>
          <w:noProof/>
        </w:rPr>
        <w:t>Proposition de</w:t>
      </w:r>
    </w:p>
    <w:p w:rsidR="002709B6" w:rsidRPr="00456A08" w:rsidRDefault="00456A08" w:rsidP="00456A08">
      <w:pPr>
        <w:pStyle w:val="Typedudocument"/>
        <w:rPr>
          <w:noProof/>
        </w:rPr>
      </w:pPr>
      <w:r w:rsidRPr="00456A08">
        <w:rPr>
          <w:noProof/>
        </w:rPr>
        <w:t>DÉCISION D’EXÉCUTION DU CONSEIL</w:t>
      </w:r>
    </w:p>
    <w:p w:rsidR="002F19B5" w:rsidRPr="00456A08" w:rsidRDefault="00456A08" w:rsidP="00456A08">
      <w:pPr>
        <w:pStyle w:val="Titreobjet"/>
        <w:rPr>
          <w:noProof/>
        </w:rPr>
      </w:pPr>
      <w:r w:rsidRPr="00456A08">
        <w:rPr>
          <w:noProof/>
        </w:rPr>
        <w:t>modifiant la décision d’exécution du 15 décembre 2022 relative à l’approbation de l’évaluation du plan pour la reprise et la résilience pour la Hongrie</w:t>
      </w:r>
    </w:p>
    <w:p w:rsidR="00007F85" w:rsidRPr="00456A08" w:rsidRDefault="00007F85" w:rsidP="002F19B5">
      <w:pPr>
        <w:pStyle w:val="Institutionquiagit"/>
        <w:rPr>
          <w:noProof/>
        </w:rPr>
      </w:pPr>
      <w:r w:rsidRPr="00456A08">
        <w:rPr>
          <w:noProof/>
        </w:rPr>
        <w:t>LE CONSEIL DE L’UNION EUROPÉENNE,</w:t>
      </w:r>
    </w:p>
    <w:p w:rsidR="00007F85" w:rsidRPr="00456A08" w:rsidRDefault="00007F85" w:rsidP="00007F85">
      <w:pPr>
        <w:rPr>
          <w:noProof/>
        </w:rPr>
      </w:pPr>
      <w:r w:rsidRPr="00456A08">
        <w:rPr>
          <w:noProof/>
        </w:rPr>
        <w:t xml:space="preserve">vu le traité sur le fonctionnement de l’Union européenne, </w:t>
      </w:r>
    </w:p>
    <w:p w:rsidR="00007F85" w:rsidRPr="00456A08" w:rsidRDefault="00007F85" w:rsidP="00007F85">
      <w:pPr>
        <w:rPr>
          <w:noProof/>
        </w:rPr>
      </w:pPr>
      <w:r w:rsidRPr="00456A08">
        <w:rPr>
          <w:noProof/>
        </w:rPr>
        <w:t>vu le règlement (UE) 2021/241 du Parlement européen et du Conseil du 12 février 2021 établissant la facilité pour la reprise et la résilience</w:t>
      </w:r>
      <w:r w:rsidRPr="00456A08">
        <w:rPr>
          <w:rStyle w:val="FootnoteReference"/>
          <w:rFonts w:eastAsia="Times New Roman"/>
          <w:noProof/>
        </w:rPr>
        <w:footnoteReference w:id="2"/>
      </w:r>
      <w:r w:rsidRPr="00456A08">
        <w:rPr>
          <w:noProof/>
        </w:rPr>
        <w:t>, et notamment son article 20, paragraphe 1,</w:t>
      </w:r>
    </w:p>
    <w:p w:rsidR="00007F85" w:rsidRPr="00456A08" w:rsidRDefault="00007F85" w:rsidP="00007F85">
      <w:pPr>
        <w:rPr>
          <w:noProof/>
        </w:rPr>
      </w:pPr>
      <w:r w:rsidRPr="00456A08">
        <w:rPr>
          <w:noProof/>
        </w:rPr>
        <w:t>vu la proposition de la Commission européenne,</w:t>
      </w:r>
    </w:p>
    <w:p w:rsidR="00007F85" w:rsidRPr="00456A08" w:rsidRDefault="00007F85" w:rsidP="00007F85">
      <w:pPr>
        <w:rPr>
          <w:noProof/>
        </w:rPr>
      </w:pPr>
      <w:r w:rsidRPr="00456A08">
        <w:rPr>
          <w:noProof/>
        </w:rPr>
        <w:t>considérant ce qui suit:</w:t>
      </w:r>
    </w:p>
    <w:p w:rsidR="00007F85" w:rsidRPr="00456A08" w:rsidRDefault="00007F85" w:rsidP="001B7C1B">
      <w:pPr>
        <w:pStyle w:val="ManualConsidrant"/>
        <w:rPr>
          <w:noProof/>
        </w:rPr>
      </w:pPr>
      <w:r>
        <w:rPr>
          <w:noProof/>
        </w:rPr>
        <w:t>(1)</w:t>
      </w:r>
      <w:r>
        <w:rPr>
          <w:noProof/>
        </w:rPr>
        <w:tab/>
      </w:r>
      <w:r w:rsidRPr="00456A08">
        <w:rPr>
          <w:noProof/>
        </w:rPr>
        <w:t>Après la présentation, par la</w:t>
      </w:r>
      <w:r w:rsidRPr="00456A08">
        <w:rPr>
          <w:noProof/>
          <w:shd w:val="clear" w:color="auto" w:fill="FFFFFF"/>
        </w:rPr>
        <w:t xml:space="preserve"> </w:t>
      </w:r>
      <w:r w:rsidRPr="00456A08">
        <w:rPr>
          <w:noProof/>
        </w:rPr>
        <w:t>Hongrie,</w:t>
      </w:r>
      <w:r w:rsidRPr="00456A08">
        <w:rPr>
          <w:noProof/>
          <w:shd w:val="clear" w:color="auto" w:fill="FFFFFF"/>
        </w:rPr>
        <w:t xml:space="preserve"> </w:t>
      </w:r>
      <w:r w:rsidRPr="00456A08">
        <w:rPr>
          <w:noProof/>
        </w:rPr>
        <w:t>de son plan national pour la reprise et la résilience (PRR) le 11 mai 2021, la Commission a proposé au Conseil que ce PRR reçoive une évaluation positive. Le 15 décembre 2022, le Conseil a approuvé cette évaluation positive par une décision d’exécution</w:t>
      </w:r>
      <w:r w:rsidRPr="00456A08">
        <w:rPr>
          <w:rStyle w:val="FootnoteReference"/>
          <w:rFonts w:eastAsia="Times New Roman"/>
          <w:noProof/>
        </w:rPr>
        <w:footnoteReference w:id="3"/>
      </w:r>
      <w:r w:rsidRPr="00456A08">
        <w:rPr>
          <w:noProof/>
        </w:rPr>
        <w:t xml:space="preserve"> (ci-après dénommée la «décision d’exécution du Conseil du 15 décembre 2022»). La décision d’exécution du Conseil du 15 décembre 2022 a été modifiée par les décisions d’exécution du Conseil du 8 décembre 2023</w:t>
      </w:r>
      <w:r w:rsidRPr="00456A08">
        <w:rPr>
          <w:rStyle w:val="FootnoteReference"/>
          <w:noProof/>
        </w:rPr>
        <w:footnoteReference w:id="4"/>
      </w:r>
      <w:r w:rsidRPr="00456A08">
        <w:rPr>
          <w:noProof/>
        </w:rPr>
        <w:t xml:space="preserve"> et du 10 juillet 2026</w:t>
      </w:r>
      <w:r w:rsidRPr="00456A08">
        <w:rPr>
          <w:rStyle w:val="FootnoteReference"/>
          <w:rFonts w:eastAsia="Times New Roman"/>
          <w:noProof/>
        </w:rPr>
        <w:footnoteReference w:id="5"/>
      </w:r>
      <w:r w:rsidRPr="00456A08">
        <w:rPr>
          <w:noProof/>
        </w:rPr>
        <w:t>.</w:t>
      </w:r>
    </w:p>
    <w:p w:rsidR="00007F85" w:rsidRPr="00456A08" w:rsidRDefault="00007F85" w:rsidP="0B0583E4">
      <w:pPr>
        <w:pStyle w:val="ManualConsidrant"/>
        <w:rPr>
          <w:rFonts w:eastAsia="Times New Roman"/>
          <w:noProof/>
        </w:rPr>
      </w:pPr>
      <w:r>
        <w:rPr>
          <w:noProof/>
        </w:rPr>
        <w:t>(2)</w:t>
      </w:r>
      <w:r>
        <w:rPr>
          <w:noProof/>
        </w:rPr>
        <w:tab/>
      </w:r>
      <w:r w:rsidRPr="00456A08">
        <w:rPr>
          <w:noProof/>
        </w:rPr>
        <w:t xml:space="preserve">Le 25 juillet 2026, estimant que le PRR ne pouvait plus être respecté en partie, en raison de circonstances objectives, la Hongrie </w:t>
      </w:r>
      <w:bookmarkStart w:id="2" w:name="_Hlk130805569"/>
      <w:r w:rsidRPr="00456A08">
        <w:rPr>
          <w:noProof/>
        </w:rPr>
        <w:t>a adressé à la Commission une demande motivée l’invitant à présenter une proposition visant à modifier la décision d’exécution du Conseil du 15 décembre 2022 conformément à l’article 21, paragraphe 1, du règlement (UE) 2021/241. Sur cette base, la Hongrie a présenté un PRR modifié.</w:t>
      </w:r>
      <w:bookmarkEnd w:id="2"/>
    </w:p>
    <w:p w:rsidR="00007F85" w:rsidRPr="00456A08" w:rsidRDefault="00007F85" w:rsidP="00007F85">
      <w:pPr>
        <w:rPr>
          <w:b/>
          <w:bCs/>
          <w:i/>
          <w:iCs/>
          <w:noProof/>
        </w:rPr>
      </w:pPr>
      <w:r w:rsidRPr="00456A08">
        <w:rPr>
          <w:b/>
          <w:i/>
          <w:noProof/>
        </w:rPr>
        <w:t xml:space="preserve">Modifications fondées sur l’article 21 du règlement (UE) 2021/241 </w:t>
      </w:r>
    </w:p>
    <w:p w:rsidR="00007F85" w:rsidRPr="00456A08" w:rsidRDefault="00007F85" w:rsidP="00007F85">
      <w:pPr>
        <w:pStyle w:val="ManualConsidrant"/>
        <w:rPr>
          <w:rFonts w:eastAsia="Times New Roman"/>
          <w:noProof/>
        </w:rPr>
      </w:pPr>
      <w:r>
        <w:rPr>
          <w:noProof/>
        </w:rPr>
        <w:t>(3)</w:t>
      </w:r>
      <w:r>
        <w:rPr>
          <w:noProof/>
        </w:rPr>
        <w:tab/>
      </w:r>
      <w:r w:rsidRPr="00456A08">
        <w:rPr>
          <w:noProof/>
          <w:color w:val="000000" w:themeColor="text1"/>
        </w:rPr>
        <w:t>Les modifications du PRR présentées par la Hongrie</w:t>
      </w:r>
      <w:r w:rsidRPr="00456A08">
        <w:rPr>
          <w:noProof/>
        </w:rPr>
        <w:t xml:space="preserve"> en raison de circonstances objectives </w:t>
      </w:r>
      <w:r w:rsidRPr="00456A08">
        <w:rPr>
          <w:noProof/>
          <w:color w:val="000000" w:themeColor="text1"/>
        </w:rPr>
        <w:t xml:space="preserve">portent sur </w:t>
      </w:r>
      <w:r w:rsidRPr="00456A08">
        <w:rPr>
          <w:noProof/>
        </w:rPr>
        <w:t>36</w:t>
      </w:r>
      <w:r w:rsidRPr="00456A08">
        <w:rPr>
          <w:noProof/>
          <w:color w:val="000000" w:themeColor="text1"/>
        </w:rPr>
        <w:t xml:space="preserve"> mesures. </w:t>
      </w:r>
    </w:p>
    <w:p w:rsidR="000E677C" w:rsidRPr="00456A08" w:rsidRDefault="00076506" w:rsidP="00C65AAF">
      <w:pPr>
        <w:pStyle w:val="ManualConsidrant"/>
        <w:rPr>
          <w:rFonts w:eastAsia="Times New Roman"/>
          <w:noProof/>
        </w:rPr>
      </w:pPr>
      <w:r>
        <w:rPr>
          <w:noProof/>
        </w:rPr>
        <w:t>(4)</w:t>
      </w:r>
      <w:r>
        <w:rPr>
          <w:noProof/>
        </w:rPr>
        <w:tab/>
      </w:r>
      <w:r w:rsidRPr="00456A08">
        <w:rPr>
          <w:noProof/>
          <w:color w:val="000000" w:themeColor="text1"/>
        </w:rPr>
        <w:t xml:space="preserve">La Hongrie a expliqué qu’une mesure n’était plus réalisable parce que l’investissement ne pouvait être achevé dans le délai prévu par la FRR. </w:t>
      </w:r>
      <w:r w:rsidRPr="00456A08">
        <w:rPr>
          <w:noProof/>
        </w:rPr>
        <w:t>Il s’agit de l’investissement 2 (Soutenir l’éducation des élèves ayant des besoins éducatifs spéciaux) du volet 1 (Démographie et éducation publique).</w:t>
      </w:r>
      <w:r w:rsidRPr="00456A08">
        <w:rPr>
          <w:noProof/>
          <w:color w:val="000000" w:themeColor="text1"/>
        </w:rPr>
        <w:t xml:space="preserve"> </w:t>
      </w:r>
      <w:r w:rsidRPr="00456A08">
        <w:rPr>
          <w:noProof/>
        </w:rPr>
        <w:t xml:space="preserve">Sur cette base, la </w:t>
      </w:r>
      <w:r w:rsidRPr="00456A08">
        <w:rPr>
          <w:noProof/>
          <w:color w:val="000000" w:themeColor="text1"/>
        </w:rPr>
        <w:t>Hongrie</w:t>
      </w:r>
      <w:r w:rsidRPr="00456A08">
        <w:rPr>
          <w:noProof/>
        </w:rPr>
        <w:t xml:space="preserve"> a demandé la suppression de cette mesure</w:t>
      </w:r>
      <w:r w:rsidRPr="00456A08">
        <w:rPr>
          <w:noProof/>
          <w:color w:val="000000" w:themeColor="text1"/>
        </w:rPr>
        <w:t xml:space="preserve">. </w:t>
      </w:r>
      <w:r w:rsidRPr="00456A08">
        <w:rPr>
          <w:noProof/>
        </w:rPr>
        <w:t xml:space="preserve">Il convient de modifier la décision d’exécution du Conseil du 15 décembre 2022 en conséquence. </w:t>
      </w:r>
    </w:p>
    <w:p w:rsidR="00007F85" w:rsidRPr="00456A08" w:rsidRDefault="3B4B5E23" w:rsidP="00D962AB">
      <w:pPr>
        <w:pStyle w:val="ManualConsidrant"/>
        <w:rPr>
          <w:rFonts w:eastAsia="Times New Roman"/>
          <w:noProof/>
          <w:color w:val="000000" w:themeColor="text1"/>
        </w:rPr>
      </w:pPr>
      <w:r>
        <w:rPr>
          <w:noProof/>
        </w:rPr>
        <w:t>(5)</w:t>
      </w:r>
      <w:r>
        <w:rPr>
          <w:noProof/>
        </w:rPr>
        <w:tab/>
      </w:r>
      <w:r w:rsidRPr="00456A08">
        <w:rPr>
          <w:noProof/>
        </w:rPr>
        <w:t xml:space="preserve">La </w:t>
      </w:r>
      <w:r w:rsidRPr="00456A08">
        <w:rPr>
          <w:noProof/>
          <w:color w:val="000000" w:themeColor="text1"/>
        </w:rPr>
        <w:t>Hongrie</w:t>
      </w:r>
      <w:r w:rsidRPr="00456A08">
        <w:rPr>
          <w:noProof/>
        </w:rPr>
        <w:t xml:space="preserve"> a expliqué que 35 mesures avaient été modifiées au profit de </w:t>
      </w:r>
      <w:r w:rsidRPr="00456A08">
        <w:rPr>
          <w:noProof/>
          <w:color w:val="000000" w:themeColor="text1"/>
        </w:rPr>
        <w:t>solutions</w:t>
      </w:r>
      <w:r w:rsidRPr="00456A08">
        <w:rPr>
          <w:noProof/>
        </w:rPr>
        <w:t xml:space="preserve"> plus efficaces permettant de réduire la charge administrative et de simplifier la décision d’exécution du </w:t>
      </w:r>
      <w:r w:rsidRPr="00456A08">
        <w:rPr>
          <w:noProof/>
          <w:color w:val="000000" w:themeColor="text1"/>
        </w:rPr>
        <w:t>Conseil</w:t>
      </w:r>
      <w:r w:rsidRPr="00456A08">
        <w:rPr>
          <w:noProof/>
        </w:rPr>
        <w:t xml:space="preserve"> tout en continuant à atteindre les objectifs de ces mesures. Il s’agit de l’investissement 1 (Développement d’une éducation publique compétitive utilisant la technologie du XXI</w:t>
      </w:r>
      <w:r w:rsidRPr="00456A08">
        <w:rPr>
          <w:noProof/>
          <w:vertAlign w:val="superscript"/>
        </w:rPr>
        <w:t>e</w:t>
      </w:r>
      <w:r w:rsidRPr="00456A08">
        <w:rPr>
          <w:noProof/>
        </w:rPr>
        <w:t> siècle), de la réforme 2 (Améliorer l’attrait de la profession d’enseignant) et de l’investissement 3 (Modernisation des infrastructures scolaires) du volet 1 (Démographie et éducation publique); de l’investissement 1 (Innovation institutionnelle dans l’enseignement supérieur), de l’investissement 2 (Numérisation et modernisation des infrastructures de l’enseignement supérieur) et de l’investissement 3 (Infrastructures d’enseignement et de formation professionnels pour le XXI</w:t>
      </w:r>
      <w:r w:rsidRPr="00456A08">
        <w:rPr>
          <w:noProof/>
          <w:vertAlign w:val="superscript"/>
        </w:rPr>
        <w:t>e</w:t>
      </w:r>
      <w:r w:rsidRPr="00456A08">
        <w:rPr>
          <w:noProof/>
        </w:rPr>
        <w:t> siècle) du volet 2 (Main-d’œuvre hautement qualifiée et compétitive); de l’investissement 1 (Production et utilisation des énergies renouvelables dans les municipalités défavorisées), de l’investissement 2 (Promouvoir l’emploi et le développement des compétences sur la base des spécificités locales) et de l’investissement 3 (Pédagogie axée sur la communauté) du volet 3 (Mise à niveau des localités); de la réforme 1 (Sensibilisation – eau) et de l’investissement 1 (Protection de la nature) du volet 4 (Gestion de l’eau et économie circulaire); de l’investissement 3 (Développement du transport par autobus à émissions nulles), de l’investissement 6 (Stimuler l’adoption des véhicules électriques par les entreprises) et de la réforme 2 (Réforme des services ferroviaires en Hongrie) du volet 5 (Transports verts durables); de la réforme 1 (Transformation de la réglementation de l’électricité), de la réforme 3 (Accélérer le raccordement des projets d’énergies renouvelables au réseau), de l’investissement 1 (Développement de réseaux classiques et intelligents pour le gestionnaire de réseau de transport et les gestionnaires de réseau de distribution), de l’investissement 3 (Installation d’installations de stockage d’énergie sur le réseau), de l’investissement 4 (Diffusion des compteurs intelligents) et de l’investissement 5 (Investissements dans l’efficacité énergétique des bâtiments publics) du volet 6 (Énergie – transition écologique); de l’investissement 3 (Développement des soins de santé primaires) du volet 7 (Santé); de la réforme 4 [Introduction d’une procédure spécifique en cas d’infractions spéciales liées à l’exercice de l’autorité publique ou à la gestion de biens publics («contrôle juridictionnel»)], de la réforme 11 [Développement du système électronique de passation des marchés publics (EPS) pour accroître la transparence], de la réforme 18 (Modifications législatives renforçant les mécanismes de gestion, de suivi, d’audit et de contrôle afin de garantir la bonne utilisation du soutien de l’Union), de la réforme 20 (Le système Arachne pour le soutien de l’Union), de la réforme 21 (Création d’une direction de l’audit interne et de l’intégrité afin de renforcer le contrôle des conflits d’intérêts lors de la mise en œuvre du soutien de l’Union), de la réforme 26 (Améliorer la qualité du processus législatif et la participation effective des parties prenantes et des partenaires sociaux au processus décisionnel) et de la réforme 31 (Simplifier le système fiscal en réduisant le nombre d’impôts) du volet 8 (Gouvernance et administration publique); de la réforme 3 (Renforcement du rôle des agrégateurs), de la réforme 5 (Ouvrir les marchés des réserves réglementaires pour encourager la concurrence), de la réforme 6 (Élargir les communautés énergétiques) et de la réforme 8 (Modifications d’actes juridiques sur l’énergie géothermique) du volet 9 (REPowerEU); de la réforme 1 (Réforme de la gouvernance de Magyar Fejlesztési Bank) et de l’investissement 1 [Injection de fonds propres dans Magyar Fejlesztési Bank (MFB)] du volet 10 (Environnement des entreprises) et de l’investissement 1 (Services d’administration en ligne) du volet 11 (Innovation numérique). Sur cette base, la Hongrie a demandé la modification de ces mesures</w:t>
      </w:r>
      <w:r w:rsidRPr="00456A08">
        <w:rPr>
          <w:noProof/>
          <w:color w:val="000000" w:themeColor="text1"/>
        </w:rPr>
        <w:t xml:space="preserve">. </w:t>
      </w:r>
      <w:r w:rsidRPr="00456A08">
        <w:rPr>
          <w:noProof/>
        </w:rPr>
        <w:t xml:space="preserve">Il convient de modifier la décision d’exécution du Conseil du 15 décembre 2022 en conséquence. </w:t>
      </w:r>
    </w:p>
    <w:p w:rsidR="00CC1827" w:rsidRPr="00456A08" w:rsidRDefault="00007F85" w:rsidP="00CC1827">
      <w:pPr>
        <w:pStyle w:val="ManualConsidrant"/>
        <w:rPr>
          <w:rFonts w:eastAsia="Times New Roman"/>
          <w:noProof/>
        </w:rPr>
      </w:pPr>
      <w:r>
        <w:rPr>
          <w:noProof/>
        </w:rPr>
        <w:t>(6)</w:t>
      </w:r>
      <w:r>
        <w:rPr>
          <w:noProof/>
        </w:rPr>
        <w:tab/>
      </w:r>
      <w:r w:rsidRPr="00456A08">
        <w:rPr>
          <w:noProof/>
        </w:rPr>
        <w:t>À la suite de la baisse du niveau de mise en œuvre d’une mesure au titre de l’article 21 du règlement (UE) 2021/241, la Hongrie a demandé d’utiliser les ressources ainsi libérées pour augmenter le niveau de mise en œuvre d’une mesure</w:t>
      </w:r>
      <w:r w:rsidRPr="00456A08">
        <w:rPr>
          <w:i/>
          <w:noProof/>
        </w:rPr>
        <w:t xml:space="preserve">. </w:t>
      </w:r>
      <w:r w:rsidRPr="00456A08">
        <w:rPr>
          <w:noProof/>
        </w:rPr>
        <w:t>Il s’agit de l’investissement 2 (Soutien à l’utilisation de panneaux solaires résidentiels et à la modernisation du chauffage) du volet 6 (Énergie – transition écologique).</w:t>
      </w:r>
      <w:r w:rsidRPr="00456A08">
        <w:rPr>
          <w:noProof/>
          <w:color w:val="000000" w:themeColor="text1"/>
        </w:rPr>
        <w:t xml:space="preserve"> Sur cette base, la </w:t>
      </w:r>
      <w:r w:rsidRPr="00456A08">
        <w:rPr>
          <w:noProof/>
        </w:rPr>
        <w:t>Hongrie</w:t>
      </w:r>
      <w:r w:rsidRPr="00456A08">
        <w:rPr>
          <w:noProof/>
          <w:color w:val="000000" w:themeColor="text1"/>
        </w:rPr>
        <w:t xml:space="preserve"> a demandé que</w:t>
      </w:r>
      <w:r w:rsidRPr="00456A08">
        <w:rPr>
          <w:noProof/>
        </w:rPr>
        <w:t xml:space="preserve"> le niveau de mise en œuvre d’une mesure soit augmenté</w:t>
      </w:r>
      <w:r w:rsidRPr="00456A08">
        <w:rPr>
          <w:noProof/>
          <w:color w:val="000000" w:themeColor="text1"/>
        </w:rPr>
        <w:t xml:space="preserve">. </w:t>
      </w:r>
      <w:r w:rsidRPr="00456A08">
        <w:rPr>
          <w:noProof/>
        </w:rPr>
        <w:t>Il convient de modifier la décision d’exécution du Conseil du 15 décembre 2022 en conséquence.</w:t>
      </w:r>
    </w:p>
    <w:bookmarkEnd w:id="0"/>
    <w:p w:rsidR="00007F85" w:rsidRPr="00456A08" w:rsidRDefault="00007F85" w:rsidP="00007F85">
      <w:pPr>
        <w:rPr>
          <w:b/>
          <w:bCs/>
          <w:i/>
          <w:iCs/>
          <w:noProof/>
        </w:rPr>
      </w:pPr>
      <w:r w:rsidRPr="00456A08">
        <w:rPr>
          <w:b/>
          <w:i/>
          <w:noProof/>
        </w:rPr>
        <w:t>Correction d’erreurs matérielles</w:t>
      </w:r>
    </w:p>
    <w:p w:rsidR="00C83D47" w:rsidRPr="00456A08" w:rsidRDefault="002B4445" w:rsidP="00270D16">
      <w:pPr>
        <w:pStyle w:val="ManualConsidrant"/>
        <w:rPr>
          <w:noProof/>
        </w:rPr>
      </w:pPr>
      <w:r>
        <w:rPr>
          <w:noProof/>
        </w:rPr>
        <w:t>(7)</w:t>
      </w:r>
      <w:r>
        <w:rPr>
          <w:noProof/>
        </w:rPr>
        <w:tab/>
      </w:r>
      <w:r w:rsidRPr="00456A08">
        <w:rPr>
          <w:noProof/>
        </w:rPr>
        <w:t>Trois erreurs matérielles ont été relevées dans le texte de la décision d’exécution du Conseil, concernant trois jalons et trois mesures relevant d’un volet. Il y a lieu de modifier la décision d’exécution du Conseil afin de corriger ces erreurs matérielles qui ne reflètent pas le contenu du PRR présenté à la Commission le 9 juin 2026, comme convenu entre la Commission et la Hongrie. Ces erreurs matérielles concernent le jalon 61 de la réforme 5 (Modification des règles relatives aux déclarations de patrimoine), le jalon 65 de la réforme 9 (Réduction de la part des procédures de passation de marchés publics à offre unique) et le jalon 77 de la réforme 19 (Stratégie de lutte contre la fraude et la corruption pour la mise en œuvre, l’audit et le contrôle du soutien de l’Union) dans le cadre du volet 8 (Gouvernance et administration publique). Ces corrections n’ont pas d’incidence sur la mise en œuvre des mesures concernées.</w:t>
      </w:r>
    </w:p>
    <w:p w:rsidR="00007F85" w:rsidRPr="00456A08" w:rsidRDefault="00007F85" w:rsidP="00007F85">
      <w:pPr>
        <w:rPr>
          <w:b/>
          <w:bCs/>
          <w:i/>
          <w:iCs/>
          <w:noProof/>
        </w:rPr>
      </w:pPr>
      <w:r w:rsidRPr="00456A08">
        <w:rPr>
          <w:b/>
          <w:i/>
          <w:noProof/>
        </w:rPr>
        <w:t>Évaluation par la Commission</w:t>
      </w:r>
    </w:p>
    <w:p w:rsidR="00007F85" w:rsidRPr="00456A08" w:rsidRDefault="00007F85" w:rsidP="00007F85">
      <w:pPr>
        <w:pStyle w:val="ManualConsidrant"/>
        <w:rPr>
          <w:rFonts w:eastAsia="Times New Roman"/>
          <w:noProof/>
        </w:rPr>
      </w:pPr>
      <w:r>
        <w:rPr>
          <w:noProof/>
        </w:rPr>
        <w:t>(8)</w:t>
      </w:r>
      <w:r>
        <w:rPr>
          <w:noProof/>
        </w:rPr>
        <w:tab/>
      </w:r>
      <w:r w:rsidRPr="00456A08">
        <w:rPr>
          <w:noProof/>
        </w:rPr>
        <w:t>La Commission a évalué le PRR modifié au regard des critères d’évaluation énoncés à l’article 19, paragraphe 3, du règlement (UE) 2021/241.</w:t>
      </w:r>
    </w:p>
    <w:p w:rsidR="00007F85" w:rsidRPr="00456A08" w:rsidRDefault="00007F85" w:rsidP="00007F85">
      <w:pPr>
        <w:pStyle w:val="ManualConsidrant"/>
        <w:rPr>
          <w:rStyle w:val="normaltextrun"/>
          <w:rFonts w:eastAsia="Times New Roman"/>
          <w:noProof/>
        </w:rPr>
      </w:pPr>
      <w:r>
        <w:rPr>
          <w:noProof/>
        </w:rPr>
        <w:t>(9)</w:t>
      </w:r>
      <w:r>
        <w:rPr>
          <w:noProof/>
        </w:rPr>
        <w:tab/>
      </w:r>
      <w:r w:rsidRPr="00456A08">
        <w:rPr>
          <w:noProof/>
        </w:rPr>
        <w:t>La Commission estime que les modifications proposées par la Hongrie n’affectent pas l’évaluation positive du PRR figurant dans la décision d’exécution du Conseil du 15 décembre 2022 en ce qui concerne la pertinence, l’efficacité, l’efficience et la cohérence du PRR au regard des critères d’évaluation énoncés à l’article 19, paragraphe 3, points </w:t>
      </w:r>
      <w:r w:rsidRPr="00456A08">
        <w:rPr>
          <w:rStyle w:val="normaltextrun"/>
          <w:noProof/>
        </w:rPr>
        <w:t xml:space="preserve">a), b), c), d), d </w:t>
      </w:r>
      <w:r w:rsidRPr="00456A08">
        <w:rPr>
          <w:rStyle w:val="normaltextrun"/>
          <w:i/>
          <w:iCs/>
          <w:noProof/>
        </w:rPr>
        <w:t>bis</w:t>
      </w:r>
      <w:r w:rsidRPr="00456A08">
        <w:rPr>
          <w:rStyle w:val="normaltextrun"/>
          <w:noProof/>
        </w:rPr>
        <w:t xml:space="preserve">), d </w:t>
      </w:r>
      <w:r w:rsidRPr="00456A08">
        <w:rPr>
          <w:rStyle w:val="normaltextrun"/>
          <w:i/>
          <w:iCs/>
          <w:noProof/>
        </w:rPr>
        <w:t>ter</w:t>
      </w:r>
      <w:r w:rsidRPr="00456A08">
        <w:rPr>
          <w:rStyle w:val="normaltextrun"/>
          <w:noProof/>
        </w:rPr>
        <w:t>), f), g), h), i), j) et k)</w:t>
      </w:r>
      <w:r w:rsidRPr="00456A08">
        <w:rPr>
          <w:noProof/>
        </w:rPr>
        <w:t>, du règlement (UE) 2021/241.</w:t>
      </w:r>
    </w:p>
    <w:p w:rsidR="00D6221F" w:rsidRPr="00456A08" w:rsidRDefault="00D6221F" w:rsidP="00D6221F">
      <w:pPr>
        <w:rPr>
          <w:b/>
          <w:bCs/>
          <w:i/>
          <w:iCs/>
          <w:noProof/>
        </w:rPr>
      </w:pPr>
      <w:r w:rsidRPr="00456A08">
        <w:rPr>
          <w:b/>
          <w:i/>
          <w:noProof/>
        </w:rPr>
        <w:t>Contribution à la transition verte, y compris la biodiversité</w:t>
      </w:r>
    </w:p>
    <w:p w:rsidR="00D6221F" w:rsidRPr="00456A08" w:rsidRDefault="00D6221F" w:rsidP="00D6221F">
      <w:pPr>
        <w:pStyle w:val="ManualConsidrant"/>
        <w:rPr>
          <w:rFonts w:eastAsia="Times New Roman"/>
          <w:noProof/>
        </w:rPr>
      </w:pPr>
      <w:r>
        <w:rPr>
          <w:noProof/>
        </w:rPr>
        <w:t>(10)</w:t>
      </w:r>
      <w:r>
        <w:rPr>
          <w:noProof/>
        </w:rPr>
        <w:tab/>
      </w:r>
      <w:r w:rsidRPr="00456A08">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53,08 % de l’enveloppe totale du PRR modifié et 100 % du total des coûts estimés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2021-2030. </w:t>
      </w:r>
    </w:p>
    <w:p w:rsidR="00D6221F" w:rsidRPr="00456A08" w:rsidRDefault="0089451A" w:rsidP="00D6221F">
      <w:pPr>
        <w:pStyle w:val="ManualConsidrant"/>
        <w:rPr>
          <w:rStyle w:val="normaltextrun"/>
          <w:rFonts w:eastAsia="Times New Roman"/>
          <w:noProof/>
        </w:rPr>
      </w:pPr>
      <w:r>
        <w:rPr>
          <w:noProof/>
        </w:rPr>
        <w:t>(11)</w:t>
      </w:r>
      <w:r>
        <w:rPr>
          <w:noProof/>
        </w:rPr>
        <w:tab/>
      </w:r>
      <w:r w:rsidRPr="00456A08">
        <w:rPr>
          <w:noProof/>
        </w:rPr>
        <w:t>Le PRR hongrois continue de contribuer de manière significative à la transition verte, y compris la biodiversité, en soutenant le déploiement des sources d’énergie renouvelables et le stockage de l’énergie, la modernisation des réseaux de transport, des mesures d’efficacité énergétique, l’électrification des modes de transport ainsi que des interventions en matière d’atténuation du changement climatique et de rétention d’eau. Le renforcement de l’investissement 2 (</w:t>
      </w:r>
      <w:r w:rsidRPr="00456A08">
        <w:rPr>
          <w:noProof/>
          <w:color w:val="000000" w:themeColor="text1"/>
        </w:rPr>
        <w:t>Soutien à l’utilisation de panneaux solaires résidentiels et à la modernisation du chauffage) du volet 6 (</w:t>
      </w:r>
      <w:r w:rsidRPr="00456A08">
        <w:rPr>
          <w:noProof/>
        </w:rPr>
        <w:t xml:space="preserve">Énergie – transition écologique) accroissant encore l’ambition climatique du PRR, le PRR révisé continue de satisfaire à ce critère. </w:t>
      </w:r>
    </w:p>
    <w:p w:rsidR="00007F85" w:rsidRPr="00456A08" w:rsidRDefault="00007F85" w:rsidP="00007F85">
      <w:pPr>
        <w:rPr>
          <w:b/>
          <w:bCs/>
          <w:i/>
          <w:iCs/>
          <w:noProof/>
        </w:rPr>
      </w:pPr>
      <w:r w:rsidRPr="00456A08">
        <w:rPr>
          <w:b/>
          <w:i/>
          <w:noProof/>
        </w:rPr>
        <w:t>Évaluation positive</w:t>
      </w:r>
    </w:p>
    <w:p w:rsidR="00007F85" w:rsidRPr="00456A08" w:rsidRDefault="00007F85" w:rsidP="00007F85">
      <w:pPr>
        <w:pStyle w:val="ManualConsidrant"/>
        <w:rPr>
          <w:rFonts w:eastAsia="Times New Roman"/>
          <w:noProof/>
        </w:rPr>
      </w:pPr>
      <w:r>
        <w:rPr>
          <w:noProof/>
        </w:rPr>
        <w:t>(12)</w:t>
      </w:r>
      <w:r>
        <w:rPr>
          <w:noProof/>
        </w:rPr>
        <w:tab/>
      </w:r>
      <w:r w:rsidRPr="00456A08">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456A08" w:rsidRDefault="00007F85" w:rsidP="00007F85">
      <w:pPr>
        <w:rPr>
          <w:b/>
          <w:bCs/>
          <w:i/>
          <w:iCs/>
          <w:noProof/>
        </w:rPr>
      </w:pPr>
      <w:r w:rsidRPr="00456A08">
        <w:rPr>
          <w:b/>
          <w:i/>
          <w:noProof/>
        </w:rPr>
        <w:t>Contribution financière</w:t>
      </w:r>
    </w:p>
    <w:p w:rsidR="00007F85" w:rsidRPr="00456A08" w:rsidRDefault="00007F85" w:rsidP="00007F85">
      <w:pPr>
        <w:pStyle w:val="ManualConsidrant"/>
        <w:rPr>
          <w:noProof/>
        </w:rPr>
      </w:pPr>
      <w:r>
        <w:rPr>
          <w:noProof/>
        </w:rPr>
        <w:t>(13)</w:t>
      </w:r>
      <w:r>
        <w:rPr>
          <w:noProof/>
        </w:rPr>
        <w:tab/>
      </w:r>
      <w:r w:rsidRPr="00456A08">
        <w:rPr>
          <w:noProof/>
        </w:rPr>
        <w:t>Les coûts totaux estimés du PRR modifié de la Hongrie s’élèvent à 10 000 000 000 EUR. Le montant des coûts totaux estimés du PRR modifié étant supérieur à la contribution financière maximale actualisée mise à la disposition de la Hongrie, la contribution financière déterminée conformément à l’article 4 </w:t>
      </w:r>
      <w:r w:rsidRPr="00456A08">
        <w:rPr>
          <w:i/>
          <w:noProof/>
        </w:rPr>
        <w:t>bis</w:t>
      </w:r>
      <w:r w:rsidRPr="00456A08">
        <w:rPr>
          <w:noProof/>
        </w:rPr>
        <w:t xml:space="preserve"> du règlement (UE) 2021/1755 du Parlement européen et du Conseil</w:t>
      </w:r>
      <w:r w:rsidRPr="00456A08">
        <w:rPr>
          <w:rStyle w:val="FootnoteReference"/>
          <w:noProof/>
        </w:rPr>
        <w:footnoteReference w:id="6"/>
      </w:r>
      <w:r w:rsidRPr="00456A08">
        <w:rPr>
          <w:noProof/>
        </w:rPr>
        <w:t>, ainsi qu’à l’article 20, paragraphe 4, et à l’article 21 </w:t>
      </w:r>
      <w:r w:rsidRPr="00456A08">
        <w:rPr>
          <w:i/>
          <w:noProof/>
        </w:rPr>
        <w:t>bis</w:t>
      </w:r>
      <w:r w:rsidRPr="00456A08">
        <w:rPr>
          <w:noProof/>
        </w:rPr>
        <w:t>, paragraphe 6, du règlement (UE) 2021/241, allouée au PRR modifié de la Hongrie, devrait être égale à 6 511 661 435 EUR. Par conséquent, la contribution financière mise à la disposition de la Hongrie reste inchangée.</w:t>
      </w:r>
    </w:p>
    <w:p w:rsidR="00007F85" w:rsidRPr="00456A08" w:rsidRDefault="00007F85" w:rsidP="00007F85">
      <w:pPr>
        <w:rPr>
          <w:b/>
          <w:bCs/>
          <w:i/>
          <w:iCs/>
          <w:noProof/>
        </w:rPr>
      </w:pPr>
      <w:r w:rsidRPr="00456A08">
        <w:rPr>
          <w:b/>
          <w:i/>
          <w:noProof/>
        </w:rPr>
        <w:t>Prêts</w:t>
      </w:r>
    </w:p>
    <w:p w:rsidR="00007F85" w:rsidRPr="00456A08" w:rsidRDefault="00007F85" w:rsidP="00007F85">
      <w:pPr>
        <w:pStyle w:val="ManualConsidrant"/>
        <w:rPr>
          <w:noProof/>
        </w:rPr>
      </w:pPr>
      <w:r>
        <w:rPr>
          <w:noProof/>
        </w:rPr>
        <w:t>(14)</w:t>
      </w:r>
      <w:r>
        <w:rPr>
          <w:noProof/>
        </w:rPr>
        <w:tab/>
      </w:r>
      <w:r w:rsidRPr="00456A08">
        <w:rPr>
          <w:noProof/>
        </w:rPr>
        <w:t xml:space="preserve">Le soutien sous forme de prêt mis à la disposition de la Hongrie, d’un montant de 3 488 338 565 EUR, reste inchangé. </w:t>
      </w:r>
    </w:p>
    <w:p w:rsidR="00007F85" w:rsidRPr="00456A08" w:rsidRDefault="00007F85" w:rsidP="00007F85">
      <w:pPr>
        <w:pStyle w:val="ManualConsidrant"/>
        <w:ind w:left="720" w:hanging="720"/>
        <w:rPr>
          <w:rFonts w:eastAsia="Times New Roman"/>
          <w:noProof/>
        </w:rPr>
      </w:pPr>
      <w:r>
        <w:rPr>
          <w:noProof/>
        </w:rPr>
        <w:t>(15)</w:t>
      </w:r>
      <w:r>
        <w:rPr>
          <w:noProof/>
        </w:rPr>
        <w:tab/>
      </w:r>
      <w:r w:rsidRPr="00456A08">
        <w:rPr>
          <w:noProof/>
        </w:rPr>
        <w:t>Il convient donc de modifier la décision d’exécution du Conseil du 15 décembre 2022 en conséquence. Par souci de clarté, il convient de remplacer intégralement l’annexe de la décision d’exécution du Conseil du 15 décembre 2022.</w:t>
      </w:r>
    </w:p>
    <w:p w:rsidR="00CD54FA" w:rsidRPr="00456A08" w:rsidRDefault="00CD54FA" w:rsidP="00007F85">
      <w:pPr>
        <w:pStyle w:val="ManualConsidrant"/>
        <w:ind w:left="720" w:hanging="720"/>
        <w:rPr>
          <w:rFonts w:eastAsia="Times New Roman"/>
          <w:noProof/>
        </w:rPr>
      </w:pPr>
      <w:r>
        <w:rPr>
          <w:noProof/>
        </w:rPr>
        <w:t>(16)</w:t>
      </w:r>
      <w:r>
        <w:rPr>
          <w:noProof/>
        </w:rPr>
        <w:tab/>
      </w:r>
      <w:r w:rsidRPr="00456A08">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à la Commission toute aide d’État potentielle conformément à l’article 108 du traité,</w:t>
      </w:r>
    </w:p>
    <w:p w:rsidR="00007F85" w:rsidRPr="00456A08" w:rsidRDefault="00007F85" w:rsidP="00007F85">
      <w:pPr>
        <w:pStyle w:val="Formuledadoption"/>
        <w:rPr>
          <w:noProof/>
        </w:rPr>
      </w:pPr>
      <w:r w:rsidRPr="00456A08">
        <w:rPr>
          <w:noProof/>
        </w:rPr>
        <w:t xml:space="preserve">A ADOPTÉ LA PRÉSENTE DÉCISION: </w:t>
      </w:r>
    </w:p>
    <w:p w:rsidR="00007F85" w:rsidRPr="00456A08" w:rsidRDefault="00007F85" w:rsidP="00007F85">
      <w:pPr>
        <w:pStyle w:val="Titrearticle"/>
        <w:rPr>
          <w:noProof/>
        </w:rPr>
      </w:pPr>
      <w:r w:rsidRPr="00456A08">
        <w:rPr>
          <w:noProof/>
        </w:rPr>
        <w:t xml:space="preserve">Article premier </w:t>
      </w:r>
      <w:r w:rsidRPr="00456A08">
        <w:rPr>
          <w:noProof/>
        </w:rPr>
        <w:br/>
        <w:t>Approbation de l’évaluation du PRR</w:t>
      </w:r>
    </w:p>
    <w:p w:rsidR="00007F85" w:rsidRPr="00456A08" w:rsidRDefault="00007F85" w:rsidP="00007F85">
      <w:pPr>
        <w:rPr>
          <w:rFonts w:eastAsia="Times New Roman"/>
          <w:noProof/>
        </w:rPr>
      </w:pPr>
      <w:r w:rsidRPr="00456A08">
        <w:rPr>
          <w:noProof/>
        </w:rPr>
        <w:t xml:space="preserve">L’évaluation du PRR modifié pour la Hongrie sur la base des critères prévus à l’article 19, paragraphe 3, du règlement (UE) 2021/241 est approuvée. </w:t>
      </w:r>
    </w:p>
    <w:p w:rsidR="00007F85" w:rsidRPr="00456A08" w:rsidRDefault="00007F85" w:rsidP="00007F85">
      <w:pPr>
        <w:pStyle w:val="Titrearticle"/>
        <w:rPr>
          <w:noProof/>
        </w:rPr>
      </w:pPr>
      <w:r w:rsidRPr="00456A08">
        <w:rPr>
          <w:noProof/>
        </w:rPr>
        <w:t xml:space="preserve">Article 2 </w:t>
      </w:r>
      <w:r w:rsidRPr="00456A08">
        <w:rPr>
          <w:noProof/>
        </w:rPr>
        <w:br/>
        <w:t>Modifications</w:t>
      </w:r>
    </w:p>
    <w:p w:rsidR="00007F85" w:rsidRPr="00456A08" w:rsidRDefault="00007F85" w:rsidP="00007F85">
      <w:pPr>
        <w:rPr>
          <w:noProof/>
        </w:rPr>
      </w:pPr>
      <w:r w:rsidRPr="00456A08">
        <w:rPr>
          <w:noProof/>
        </w:rPr>
        <w:t xml:space="preserve">La décision d’exécution du Conseil du 15 décembre 2022 relative à l’approbation de l’évaluation du plan pour la reprise et la résilience pour la Hongrie est modifiée comme suit: </w:t>
      </w:r>
    </w:p>
    <w:p w:rsidR="00007F85" w:rsidRPr="00456A08" w:rsidRDefault="00007F85" w:rsidP="00007F85">
      <w:pPr>
        <w:rPr>
          <w:noProof/>
        </w:rPr>
      </w:pPr>
      <w:r w:rsidRPr="00456A08">
        <w:rPr>
          <w:noProof/>
        </w:rPr>
        <w:t>l’annexe est remplacée par le texte figurant à l’annexe de la présente décision.</w:t>
      </w:r>
    </w:p>
    <w:p w:rsidR="00007F85" w:rsidRPr="00456A08" w:rsidRDefault="00007F85" w:rsidP="00997806">
      <w:pPr>
        <w:pStyle w:val="Titrearticle"/>
        <w:rPr>
          <w:noProof/>
        </w:rPr>
      </w:pPr>
      <w:r w:rsidRPr="00456A08">
        <w:rPr>
          <w:noProof/>
        </w:rPr>
        <w:t xml:space="preserve">Article 3 </w:t>
      </w:r>
      <w:r w:rsidRPr="00456A08">
        <w:rPr>
          <w:noProof/>
        </w:rPr>
        <w:br/>
        <w:t>Destinataires</w:t>
      </w:r>
    </w:p>
    <w:p w:rsidR="00007F85" w:rsidRPr="00456A08" w:rsidRDefault="00007F85" w:rsidP="00007F85">
      <w:pPr>
        <w:rPr>
          <w:noProof/>
        </w:rPr>
      </w:pPr>
      <w:r w:rsidRPr="00456A08">
        <w:rPr>
          <w:noProof/>
        </w:rPr>
        <w:t>La Hongrie est destinataire de la présente décision.</w:t>
      </w:r>
    </w:p>
    <w:p w:rsidR="00007F85" w:rsidRPr="00456A08" w:rsidRDefault="00456A08" w:rsidP="00997806">
      <w:pPr>
        <w:pStyle w:val="Fait"/>
        <w:rPr>
          <w:noProof/>
        </w:rPr>
      </w:pPr>
      <w:r>
        <w:rPr>
          <w:noProof/>
        </w:rPr>
        <w:t>Fait à Bruxelles, le</w:t>
      </w:r>
    </w:p>
    <w:p w:rsidR="00007F85" w:rsidRPr="00456A08" w:rsidRDefault="00007F85" w:rsidP="00997806">
      <w:pPr>
        <w:pStyle w:val="Institutionquisigne"/>
        <w:rPr>
          <w:noProof/>
        </w:rPr>
      </w:pPr>
      <w:r w:rsidRPr="00456A08">
        <w:rPr>
          <w:noProof/>
        </w:rPr>
        <w:tab/>
        <w:t>Par le Conseil</w:t>
      </w:r>
    </w:p>
    <w:p w:rsidR="002709B6" w:rsidRPr="00456A08" w:rsidRDefault="00007F85" w:rsidP="00A1233B">
      <w:pPr>
        <w:pStyle w:val="Personnequisigne"/>
        <w:rPr>
          <w:noProof/>
          <w:color w:val="008000"/>
        </w:rPr>
      </w:pPr>
      <w:r w:rsidRPr="00456A08">
        <w:rPr>
          <w:noProof/>
        </w:rPr>
        <w:tab/>
        <w:t>Le président / La présidente</w:t>
      </w:r>
    </w:p>
    <w:sectPr w:rsidR="002709B6" w:rsidRPr="00456A08" w:rsidSect="00E4446C">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5E0" w:rsidRDefault="004365E0">
      <w:pPr>
        <w:spacing w:before="0" w:after="0"/>
      </w:pPr>
      <w:r>
        <w:separator/>
      </w:r>
    </w:p>
  </w:endnote>
  <w:endnote w:type="continuationSeparator" w:id="0">
    <w:p w:rsidR="004365E0" w:rsidRDefault="004365E0">
      <w:pPr>
        <w:spacing w:before="0" w:after="0"/>
      </w:pPr>
      <w:r>
        <w:continuationSeparator/>
      </w:r>
    </w:p>
  </w:endnote>
  <w:endnote w:type="continuationNotice" w:id="1">
    <w:p w:rsidR="004365E0" w:rsidRDefault="004365E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Pr="00E4446C" w:rsidRDefault="00E4446C" w:rsidP="00E4446C">
    <w:pPr>
      <w:pStyle w:val="Footer"/>
      <w:rPr>
        <w:rFonts w:ascii="Arial" w:hAnsi="Arial" w:cs="Arial"/>
        <w:b/>
        <w:sz w:val="48"/>
      </w:rPr>
    </w:pPr>
    <w:r w:rsidRPr="00E4446C">
      <w:rPr>
        <w:rFonts w:ascii="Arial" w:hAnsi="Arial" w:cs="Arial"/>
        <w:b/>
        <w:sz w:val="48"/>
      </w:rPr>
      <w:t>FR</w:t>
    </w:r>
    <w:r w:rsidRPr="00E4446C">
      <w:rPr>
        <w:rFonts w:ascii="Arial" w:hAnsi="Arial" w:cs="Arial"/>
        <w:b/>
        <w:sz w:val="48"/>
      </w:rPr>
      <w:tab/>
    </w:r>
    <w:r w:rsidRPr="00E4446C">
      <w:rPr>
        <w:rFonts w:ascii="Arial" w:hAnsi="Arial" w:cs="Arial"/>
        <w:b/>
        <w:sz w:val="48"/>
      </w:rPr>
      <w:tab/>
    </w:r>
    <w:r w:rsidRPr="00E4446C">
      <w:tab/>
    </w:r>
    <w:r w:rsidRPr="00E4446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Pr="00E4446C" w:rsidRDefault="00E4446C" w:rsidP="00E4446C">
    <w:pPr>
      <w:pStyle w:val="Footer"/>
      <w:rPr>
        <w:rFonts w:ascii="Arial" w:hAnsi="Arial" w:cs="Arial"/>
        <w:b/>
        <w:sz w:val="48"/>
      </w:rPr>
    </w:pPr>
    <w:r w:rsidRPr="00E4446C">
      <w:rPr>
        <w:rFonts w:ascii="Arial" w:hAnsi="Arial" w:cs="Arial"/>
        <w:b/>
        <w:sz w:val="48"/>
      </w:rPr>
      <w:t>FR</w:t>
    </w:r>
    <w:r w:rsidRPr="00E4446C">
      <w:rPr>
        <w:rFonts w:ascii="Arial" w:hAnsi="Arial" w:cs="Arial"/>
        <w:b/>
        <w:sz w:val="48"/>
      </w:rPr>
      <w:tab/>
    </w:r>
    <w:r w:rsidRPr="00E4446C">
      <w:rPr>
        <w:rFonts w:ascii="Arial" w:hAnsi="Arial" w:cs="Arial"/>
        <w:b/>
        <w:sz w:val="48"/>
      </w:rPr>
      <w:tab/>
    </w:r>
    <w:r w:rsidRPr="00E4446C">
      <w:tab/>
    </w:r>
    <w:r w:rsidRPr="00E4446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Pr="00E4446C" w:rsidRDefault="00E4446C" w:rsidP="00E444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Default="00E444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Pr="00E4446C" w:rsidRDefault="00E4446C" w:rsidP="00E4446C">
    <w:pPr>
      <w:pStyle w:val="Footer"/>
      <w:rPr>
        <w:rFonts w:ascii="Arial" w:hAnsi="Arial" w:cs="Arial"/>
        <w:b/>
        <w:sz w:val="48"/>
      </w:rPr>
    </w:pPr>
    <w:r w:rsidRPr="00E4446C">
      <w:rPr>
        <w:rFonts w:ascii="Arial" w:hAnsi="Arial" w:cs="Arial"/>
        <w:b/>
        <w:sz w:val="48"/>
      </w:rPr>
      <w:t>FR</w:t>
    </w:r>
    <w:r w:rsidRPr="00E4446C">
      <w:rPr>
        <w:rFonts w:ascii="Arial" w:hAnsi="Arial" w:cs="Arial"/>
        <w:b/>
        <w:sz w:val="48"/>
      </w:rPr>
      <w:tab/>
    </w:r>
    <w:r>
      <w:fldChar w:fldCharType="begin"/>
    </w:r>
    <w:r>
      <w:instrText xml:space="preserve"> PAGE  \* MERGEFORMAT </w:instrText>
    </w:r>
    <w:r>
      <w:fldChar w:fldCharType="separate"/>
    </w:r>
    <w:r w:rsidR="00997806">
      <w:rPr>
        <w:noProof/>
      </w:rPr>
      <w:t>5</w:t>
    </w:r>
    <w:r>
      <w:fldChar w:fldCharType="end"/>
    </w:r>
    <w:r>
      <w:tab/>
    </w:r>
    <w:r w:rsidRPr="00E4446C">
      <w:tab/>
    </w:r>
    <w:r w:rsidRPr="00E4446C">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Default="00E4446C" w:rsidP="00E44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5E0" w:rsidRDefault="004365E0">
      <w:pPr>
        <w:spacing w:before="0" w:after="0"/>
      </w:pPr>
      <w:r>
        <w:separator/>
      </w:r>
    </w:p>
  </w:footnote>
  <w:footnote w:type="continuationSeparator" w:id="0">
    <w:p w:rsidR="004365E0" w:rsidRDefault="004365E0">
      <w:pPr>
        <w:spacing w:before="0" w:after="0"/>
      </w:pPr>
      <w:r>
        <w:continuationSeparator/>
      </w:r>
    </w:p>
  </w:footnote>
  <w:footnote w:type="continuationNotice" w:id="1">
    <w:p w:rsidR="004365E0" w:rsidRDefault="004365E0">
      <w:pPr>
        <w:spacing w:before="0" w:after="0"/>
      </w:pPr>
    </w:p>
  </w:footnote>
  <w:footnote w:id="2">
    <w:p w:rsidR="00487751" w:rsidRPr="00456A08" w:rsidRDefault="00487751" w:rsidP="00487751">
      <w:pPr>
        <w:pStyle w:val="FootnoteText"/>
        <w:rPr>
          <w:lang w:val="fr-BE"/>
        </w:rPr>
      </w:pPr>
      <w:r>
        <w:rPr>
          <w:rStyle w:val="FootnoteReference"/>
        </w:rPr>
        <w:footnoteRef/>
      </w:r>
      <w:r w:rsidRPr="00456A08">
        <w:rPr>
          <w:lang w:val="fr-BE"/>
        </w:rPr>
        <w:tab/>
        <w:t xml:space="preserve">JO L 57 du 18.2.2021, p. 17, ELI: </w:t>
      </w:r>
      <w:hyperlink r:id="rId1" w:history="1">
        <w:r w:rsidRPr="00456A08">
          <w:rPr>
            <w:rStyle w:val="Hyperlink"/>
            <w:lang w:val="fr-BE"/>
          </w:rPr>
          <w:t>https://eur-lex.europa.eu/eli/reg/2021/241/oj</w:t>
        </w:r>
      </w:hyperlink>
      <w:r w:rsidRPr="00456A08">
        <w:rPr>
          <w:lang w:val="fr-BE"/>
        </w:rPr>
        <w:t>.</w:t>
      </w:r>
    </w:p>
  </w:footnote>
  <w:footnote w:id="3">
    <w:p w:rsidR="00D34478" w:rsidRPr="006D28E4" w:rsidRDefault="00D34478" w:rsidP="00D34478">
      <w:pPr>
        <w:pStyle w:val="FootnoteText"/>
      </w:pPr>
      <w:r>
        <w:rPr>
          <w:rStyle w:val="FootnoteReference"/>
        </w:rPr>
        <w:footnoteRef/>
      </w:r>
      <w:r>
        <w:tab/>
        <w:t xml:space="preserve">ST 15447/22 INIT; ST 15447/22 ADD 1. </w:t>
      </w:r>
    </w:p>
  </w:footnote>
  <w:footnote w:id="4">
    <w:p w:rsidR="00DB7B07" w:rsidRPr="00DB7B07" w:rsidRDefault="00DB7B07">
      <w:pPr>
        <w:pStyle w:val="FootnoteText"/>
      </w:pPr>
      <w:r>
        <w:rPr>
          <w:rStyle w:val="FootnoteReference"/>
        </w:rPr>
        <w:footnoteRef/>
      </w:r>
      <w:r>
        <w:tab/>
        <w:t xml:space="preserve">ST 15964/23 REV 1; ST 15964/23 REV 2 (bg); ST 15964/23 ADD 1. </w:t>
      </w:r>
    </w:p>
  </w:footnote>
  <w:footnote w:id="5">
    <w:p w:rsidR="00007F85" w:rsidRPr="00456A08" w:rsidRDefault="00007F85" w:rsidP="00007F85">
      <w:pPr>
        <w:pStyle w:val="FootnoteText"/>
        <w:rPr>
          <w:lang w:val="fr-BE"/>
        </w:rPr>
      </w:pPr>
      <w:r>
        <w:rPr>
          <w:rStyle w:val="FootnoteReference"/>
        </w:rPr>
        <w:footnoteRef/>
      </w:r>
      <w:r w:rsidRPr="00456A08">
        <w:rPr>
          <w:lang w:val="fr-BE"/>
        </w:rPr>
        <w:tab/>
        <w:t xml:space="preserve">ST 10914/26 INIT; ST 10914/26 ADD 1. </w:t>
      </w:r>
    </w:p>
    <w:p w:rsidR="00007F85" w:rsidRPr="00456A08" w:rsidRDefault="00007F85" w:rsidP="00007F85">
      <w:pPr>
        <w:pStyle w:val="FootnoteText"/>
        <w:rPr>
          <w:lang w:val="fr-BE"/>
        </w:rPr>
      </w:pPr>
    </w:p>
  </w:footnote>
  <w:footnote w:id="6">
    <w:p w:rsidR="00007F85" w:rsidRPr="00456A08" w:rsidRDefault="00007F85" w:rsidP="00007F85">
      <w:pPr>
        <w:pStyle w:val="FootnoteText"/>
        <w:rPr>
          <w:lang w:val="fr-BE"/>
        </w:rPr>
      </w:pPr>
      <w:r>
        <w:rPr>
          <w:rStyle w:val="FootnoteReference"/>
        </w:rPr>
        <w:footnoteRef/>
      </w:r>
      <w:r w:rsidRPr="00456A08">
        <w:rPr>
          <w:lang w:val="fr-BE"/>
        </w:rPr>
        <w:tab/>
        <w:t>Règlement (UE) 2021/1755 du Parlement européen et du Conseil du 6 octobre 2021 établissant la réserve d’ajustement au Brexit (JO L 357 du 8.10.2021, p. 1, ELI: </w:t>
      </w:r>
      <w:hyperlink r:id="rId2" w:history="1">
        <w:r w:rsidRPr="00456A08">
          <w:rPr>
            <w:lang w:val="fr-BE"/>
          </w:rPr>
          <w:t>http://data.europa.eu/eli/reg/2021/1755/oj</w:t>
        </w:r>
      </w:hyperlink>
      <w:r w:rsidRPr="00456A08">
        <w:rPr>
          <w:lang w:val="fr-BE"/>
        </w:rPr>
        <w:t>).</w:t>
      </w:r>
    </w:p>
    <w:p w:rsidR="00007F85" w:rsidRPr="00456A08"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Pr="00E4446C" w:rsidRDefault="00E4446C" w:rsidP="00E44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Pr="00E4446C" w:rsidRDefault="00E4446C" w:rsidP="00E44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Pr="00E4446C" w:rsidRDefault="00E4446C" w:rsidP="00E444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Default="00E444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6C" w:rsidRDefault="00E44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20"/>
    <w:lvlOverride w:ilvl="0">
      <w:startOverride w:val="1"/>
    </w:lvlOverride>
  </w:num>
  <w:num w:numId="6">
    <w:abstractNumId w:val="4"/>
  </w:num>
  <w:num w:numId="7">
    <w:abstractNumId w:val="6"/>
  </w:num>
  <w:num w:numId="8">
    <w:abstractNumId w:val="17"/>
  </w:num>
  <w:num w:numId="9">
    <w:abstractNumId w:val="10"/>
  </w:num>
  <w:num w:numId="10">
    <w:abstractNumId w:val="19"/>
  </w:num>
  <w:num w:numId="11">
    <w:abstractNumId w:val="9"/>
  </w:num>
  <w:num w:numId="12">
    <w:abstractNumId w:val="11"/>
  </w:num>
  <w:num w:numId="13">
    <w:abstractNumId w:val="12"/>
  </w:num>
  <w:num w:numId="14">
    <w:abstractNumId w:val="7"/>
  </w:num>
  <w:num w:numId="15">
    <w:abstractNumId w:val="18"/>
  </w:num>
  <w:num w:numId="16">
    <w:abstractNumId w:val="5"/>
  </w:num>
  <w:num w:numId="17">
    <w:abstractNumId w:val="13"/>
  </w:num>
  <w:num w:numId="18">
    <w:abstractNumId w:val="15"/>
  </w:num>
  <w:num w:numId="19">
    <w:abstractNumId w:val="16"/>
  </w:num>
  <w:num w:numId="20">
    <w:abstractNumId w:val="8"/>
  </w:num>
  <w:num w:numId="21">
    <w:abstractNumId w:val="14"/>
  </w:num>
  <w:num w:numId="22">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1:58: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9D2E372-7FBD-43C6-B6E4-5AED76B04980"/>
    <w:docVar w:name="LW_COVERPAGE_TYPE" w:val="1"/>
    <w:docVar w:name="LW_CROSSREFERENCE" w:val="{SWD(2026) 264 final}"/>
    <w:docVar w:name="LW_DocType" w:val="COM"/>
    <w:docVar w:name="LW_EMISSION" w:val="5.8.2026"/>
    <w:docVar w:name="LW_EMISSION_ISODATE" w:val="2026-08-0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6"/>
    <w:docVar w:name="LW_REF.II.NEW.CP_YEAR" w:val="2026"/>
    <w:docVar w:name="LW_REF.INST.NEW" w:val="COM"/>
    <w:docVar w:name="LW_REF.INST.NEW_ADOPTED" w:val="final"/>
    <w:docVar w:name="LW_REF.INST.NEW_TEXT" w:val="(2026) 4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5 décembre 2022 relative à l\u8217?approbation de l\u8217?évaluation du plan pour la reprise et la résilience pour la Hongr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602"/>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7B9"/>
    <w:rsid w:val="0000681B"/>
    <w:rsid w:val="0000698D"/>
    <w:rsid w:val="00006C36"/>
    <w:rsid w:val="00006C5E"/>
    <w:rsid w:val="00007174"/>
    <w:rsid w:val="000072B0"/>
    <w:rsid w:val="00007406"/>
    <w:rsid w:val="0000777E"/>
    <w:rsid w:val="00007B7B"/>
    <w:rsid w:val="00007C0E"/>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067"/>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2"/>
    <w:rsid w:val="000235BC"/>
    <w:rsid w:val="000235DA"/>
    <w:rsid w:val="00023600"/>
    <w:rsid w:val="000236BD"/>
    <w:rsid w:val="000237AF"/>
    <w:rsid w:val="00023870"/>
    <w:rsid w:val="0002396A"/>
    <w:rsid w:val="0002397B"/>
    <w:rsid w:val="00023AE1"/>
    <w:rsid w:val="00023BFF"/>
    <w:rsid w:val="00024187"/>
    <w:rsid w:val="00024207"/>
    <w:rsid w:val="000243E9"/>
    <w:rsid w:val="00024B15"/>
    <w:rsid w:val="00024BB3"/>
    <w:rsid w:val="00024ED6"/>
    <w:rsid w:val="00024F41"/>
    <w:rsid w:val="000250F8"/>
    <w:rsid w:val="0002530B"/>
    <w:rsid w:val="000253F3"/>
    <w:rsid w:val="000253F7"/>
    <w:rsid w:val="0002547F"/>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BC3"/>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D3A"/>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4CA"/>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763"/>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C3C"/>
    <w:rsid w:val="00052DF1"/>
    <w:rsid w:val="00052E4D"/>
    <w:rsid w:val="00052EEE"/>
    <w:rsid w:val="00053391"/>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268"/>
    <w:rsid w:val="00061303"/>
    <w:rsid w:val="00061461"/>
    <w:rsid w:val="0006148D"/>
    <w:rsid w:val="00061647"/>
    <w:rsid w:val="00061851"/>
    <w:rsid w:val="000618A3"/>
    <w:rsid w:val="0006190E"/>
    <w:rsid w:val="0006191A"/>
    <w:rsid w:val="0006197D"/>
    <w:rsid w:val="00061993"/>
    <w:rsid w:val="000619B8"/>
    <w:rsid w:val="00061A42"/>
    <w:rsid w:val="00061AA3"/>
    <w:rsid w:val="00061AFC"/>
    <w:rsid w:val="00061C1A"/>
    <w:rsid w:val="00061C55"/>
    <w:rsid w:val="00061ECC"/>
    <w:rsid w:val="00061F6D"/>
    <w:rsid w:val="000621CC"/>
    <w:rsid w:val="000624DC"/>
    <w:rsid w:val="000625D1"/>
    <w:rsid w:val="000625D2"/>
    <w:rsid w:val="000626C6"/>
    <w:rsid w:val="0006296B"/>
    <w:rsid w:val="00062C91"/>
    <w:rsid w:val="00062D04"/>
    <w:rsid w:val="00062E93"/>
    <w:rsid w:val="00062FFA"/>
    <w:rsid w:val="0006304D"/>
    <w:rsid w:val="0006324C"/>
    <w:rsid w:val="000635C8"/>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BCB"/>
    <w:rsid w:val="00065C00"/>
    <w:rsid w:val="000660B3"/>
    <w:rsid w:val="000661D7"/>
    <w:rsid w:val="00066265"/>
    <w:rsid w:val="0006629D"/>
    <w:rsid w:val="0006634B"/>
    <w:rsid w:val="00066452"/>
    <w:rsid w:val="000667FB"/>
    <w:rsid w:val="000669D7"/>
    <w:rsid w:val="00066CEB"/>
    <w:rsid w:val="00066E05"/>
    <w:rsid w:val="00066F33"/>
    <w:rsid w:val="00067100"/>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4F4"/>
    <w:rsid w:val="00071565"/>
    <w:rsid w:val="0007156E"/>
    <w:rsid w:val="00071818"/>
    <w:rsid w:val="00071846"/>
    <w:rsid w:val="00071951"/>
    <w:rsid w:val="000719D5"/>
    <w:rsid w:val="00071B41"/>
    <w:rsid w:val="00071B9A"/>
    <w:rsid w:val="00071CE5"/>
    <w:rsid w:val="00071D41"/>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68D"/>
    <w:rsid w:val="000758FF"/>
    <w:rsid w:val="00075996"/>
    <w:rsid w:val="00075C19"/>
    <w:rsid w:val="00075CFD"/>
    <w:rsid w:val="0007606C"/>
    <w:rsid w:val="00076173"/>
    <w:rsid w:val="00076506"/>
    <w:rsid w:val="0007660E"/>
    <w:rsid w:val="000769D4"/>
    <w:rsid w:val="00076B95"/>
    <w:rsid w:val="0007732A"/>
    <w:rsid w:val="000773B0"/>
    <w:rsid w:val="000773D6"/>
    <w:rsid w:val="000778A9"/>
    <w:rsid w:val="00077981"/>
    <w:rsid w:val="000801D3"/>
    <w:rsid w:val="0008033F"/>
    <w:rsid w:val="000803FE"/>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BE3"/>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39F"/>
    <w:rsid w:val="000975EC"/>
    <w:rsid w:val="000976A2"/>
    <w:rsid w:val="00097873"/>
    <w:rsid w:val="000978E7"/>
    <w:rsid w:val="00097A24"/>
    <w:rsid w:val="00097A61"/>
    <w:rsid w:val="00097B2B"/>
    <w:rsid w:val="00097F16"/>
    <w:rsid w:val="00097FD3"/>
    <w:rsid w:val="000A049D"/>
    <w:rsid w:val="000A06A5"/>
    <w:rsid w:val="000A0EED"/>
    <w:rsid w:val="000A0FAD"/>
    <w:rsid w:val="000A1006"/>
    <w:rsid w:val="000A11A1"/>
    <w:rsid w:val="000A126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911"/>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937"/>
    <w:rsid w:val="000B1BC2"/>
    <w:rsid w:val="000B1C73"/>
    <w:rsid w:val="000B1CA8"/>
    <w:rsid w:val="000B1D50"/>
    <w:rsid w:val="000B1EF6"/>
    <w:rsid w:val="000B2029"/>
    <w:rsid w:val="000B2051"/>
    <w:rsid w:val="000B2200"/>
    <w:rsid w:val="000B229B"/>
    <w:rsid w:val="000B2317"/>
    <w:rsid w:val="000B2564"/>
    <w:rsid w:val="000B2AA2"/>
    <w:rsid w:val="000B2B2D"/>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00F"/>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A6F"/>
    <w:rsid w:val="000C7FC5"/>
    <w:rsid w:val="000D00A4"/>
    <w:rsid w:val="000D036A"/>
    <w:rsid w:val="000D0387"/>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3B8"/>
    <w:rsid w:val="000D3576"/>
    <w:rsid w:val="000D3581"/>
    <w:rsid w:val="000D35ED"/>
    <w:rsid w:val="000D387B"/>
    <w:rsid w:val="000D39E2"/>
    <w:rsid w:val="000D3B4D"/>
    <w:rsid w:val="000D3C22"/>
    <w:rsid w:val="000D3EA9"/>
    <w:rsid w:val="000D41D1"/>
    <w:rsid w:val="000D422F"/>
    <w:rsid w:val="000D4D62"/>
    <w:rsid w:val="000D4F92"/>
    <w:rsid w:val="000D50D7"/>
    <w:rsid w:val="000D553C"/>
    <w:rsid w:val="000D575F"/>
    <w:rsid w:val="000D5D01"/>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1F5B"/>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4DB"/>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E7A0F"/>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0F3"/>
    <w:rsid w:val="000F2126"/>
    <w:rsid w:val="000F228C"/>
    <w:rsid w:val="000F237F"/>
    <w:rsid w:val="000F2517"/>
    <w:rsid w:val="000F26F4"/>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187"/>
    <w:rsid w:val="000F6673"/>
    <w:rsid w:val="000F6837"/>
    <w:rsid w:val="000F69FA"/>
    <w:rsid w:val="000F6A6E"/>
    <w:rsid w:val="000F6FEB"/>
    <w:rsid w:val="000F7058"/>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94E"/>
    <w:rsid w:val="00102CCD"/>
    <w:rsid w:val="00102DEB"/>
    <w:rsid w:val="00102F42"/>
    <w:rsid w:val="00103111"/>
    <w:rsid w:val="00103183"/>
    <w:rsid w:val="001036A1"/>
    <w:rsid w:val="0010374A"/>
    <w:rsid w:val="0010386D"/>
    <w:rsid w:val="00103948"/>
    <w:rsid w:val="0010398C"/>
    <w:rsid w:val="00103A88"/>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3AF"/>
    <w:rsid w:val="00106487"/>
    <w:rsid w:val="00106705"/>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75"/>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36"/>
    <w:rsid w:val="00114286"/>
    <w:rsid w:val="00114A06"/>
    <w:rsid w:val="00114C5E"/>
    <w:rsid w:val="00114DA1"/>
    <w:rsid w:val="00114F67"/>
    <w:rsid w:val="0011533C"/>
    <w:rsid w:val="00115351"/>
    <w:rsid w:val="00115794"/>
    <w:rsid w:val="00115814"/>
    <w:rsid w:val="001158CA"/>
    <w:rsid w:val="00115943"/>
    <w:rsid w:val="00115A95"/>
    <w:rsid w:val="00115C7D"/>
    <w:rsid w:val="00115D74"/>
    <w:rsid w:val="00115E7A"/>
    <w:rsid w:val="0011606B"/>
    <w:rsid w:val="0011616D"/>
    <w:rsid w:val="00116384"/>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01"/>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DB0"/>
    <w:rsid w:val="00141E46"/>
    <w:rsid w:val="0014213C"/>
    <w:rsid w:val="00142225"/>
    <w:rsid w:val="0014233E"/>
    <w:rsid w:val="00142A72"/>
    <w:rsid w:val="00142DE1"/>
    <w:rsid w:val="0014312F"/>
    <w:rsid w:val="001432C4"/>
    <w:rsid w:val="00143528"/>
    <w:rsid w:val="0014353E"/>
    <w:rsid w:val="001436EF"/>
    <w:rsid w:val="00143850"/>
    <w:rsid w:val="00143929"/>
    <w:rsid w:val="00143941"/>
    <w:rsid w:val="00143AF7"/>
    <w:rsid w:val="00143B6C"/>
    <w:rsid w:val="00143BF3"/>
    <w:rsid w:val="001442A6"/>
    <w:rsid w:val="00144566"/>
    <w:rsid w:val="00144620"/>
    <w:rsid w:val="0014492F"/>
    <w:rsid w:val="001451FD"/>
    <w:rsid w:val="001455DA"/>
    <w:rsid w:val="0014569B"/>
    <w:rsid w:val="001458F3"/>
    <w:rsid w:val="001458FF"/>
    <w:rsid w:val="00145B07"/>
    <w:rsid w:val="00145C90"/>
    <w:rsid w:val="00145FFF"/>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1E"/>
    <w:rsid w:val="001555F3"/>
    <w:rsid w:val="0015583E"/>
    <w:rsid w:val="00155906"/>
    <w:rsid w:val="001561E0"/>
    <w:rsid w:val="001562AC"/>
    <w:rsid w:val="001565DF"/>
    <w:rsid w:val="00157041"/>
    <w:rsid w:val="001570C5"/>
    <w:rsid w:val="00157156"/>
    <w:rsid w:val="0015734C"/>
    <w:rsid w:val="001573A9"/>
    <w:rsid w:val="001574ED"/>
    <w:rsid w:val="00157541"/>
    <w:rsid w:val="00157735"/>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2E5"/>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6AC"/>
    <w:rsid w:val="001707F1"/>
    <w:rsid w:val="00170A07"/>
    <w:rsid w:val="00170AF0"/>
    <w:rsid w:val="00170B07"/>
    <w:rsid w:val="00170C3A"/>
    <w:rsid w:val="00170CCC"/>
    <w:rsid w:val="00170DD5"/>
    <w:rsid w:val="00170EF0"/>
    <w:rsid w:val="00170F0E"/>
    <w:rsid w:val="00171042"/>
    <w:rsid w:val="00171241"/>
    <w:rsid w:val="00171330"/>
    <w:rsid w:val="00171A05"/>
    <w:rsid w:val="00171A13"/>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4E98"/>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35"/>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8C2"/>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97F76"/>
    <w:rsid w:val="001A05BD"/>
    <w:rsid w:val="001A0755"/>
    <w:rsid w:val="001A080C"/>
    <w:rsid w:val="001A0860"/>
    <w:rsid w:val="001A0893"/>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0B"/>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6CC"/>
    <w:rsid w:val="001C16FB"/>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41"/>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701"/>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E4F"/>
    <w:rsid w:val="001E2F11"/>
    <w:rsid w:val="001E3059"/>
    <w:rsid w:val="001E3075"/>
    <w:rsid w:val="001E32FF"/>
    <w:rsid w:val="001E35F7"/>
    <w:rsid w:val="001E36CA"/>
    <w:rsid w:val="001E3822"/>
    <w:rsid w:val="001E392E"/>
    <w:rsid w:val="001E399F"/>
    <w:rsid w:val="001E3BC9"/>
    <w:rsid w:val="001E3E51"/>
    <w:rsid w:val="001E3F0A"/>
    <w:rsid w:val="001E3F93"/>
    <w:rsid w:val="001E40D6"/>
    <w:rsid w:val="001E437C"/>
    <w:rsid w:val="001E4515"/>
    <w:rsid w:val="001E45E7"/>
    <w:rsid w:val="001E47D1"/>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2CF"/>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1A8C"/>
    <w:rsid w:val="001F228A"/>
    <w:rsid w:val="001F234E"/>
    <w:rsid w:val="001F239F"/>
    <w:rsid w:val="001F245B"/>
    <w:rsid w:val="001F2622"/>
    <w:rsid w:val="001F279A"/>
    <w:rsid w:val="001F27A2"/>
    <w:rsid w:val="001F288C"/>
    <w:rsid w:val="001F2D99"/>
    <w:rsid w:val="001F2FBE"/>
    <w:rsid w:val="001F2FD3"/>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DB6"/>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39B7"/>
    <w:rsid w:val="0020430A"/>
    <w:rsid w:val="0020445A"/>
    <w:rsid w:val="002044DC"/>
    <w:rsid w:val="002044FE"/>
    <w:rsid w:val="0020458B"/>
    <w:rsid w:val="0020473D"/>
    <w:rsid w:val="002048A2"/>
    <w:rsid w:val="00204C47"/>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773"/>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CC"/>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0DE"/>
    <w:rsid w:val="002145B7"/>
    <w:rsid w:val="0021478A"/>
    <w:rsid w:val="00214AB0"/>
    <w:rsid w:val="00214DAA"/>
    <w:rsid w:val="002151A2"/>
    <w:rsid w:val="0021545A"/>
    <w:rsid w:val="002158DC"/>
    <w:rsid w:val="002158FF"/>
    <w:rsid w:val="00215DFF"/>
    <w:rsid w:val="00215E96"/>
    <w:rsid w:val="00216038"/>
    <w:rsid w:val="002164DF"/>
    <w:rsid w:val="002165CB"/>
    <w:rsid w:val="00216A1E"/>
    <w:rsid w:val="00216B3C"/>
    <w:rsid w:val="00216CAD"/>
    <w:rsid w:val="00216D39"/>
    <w:rsid w:val="00216D9F"/>
    <w:rsid w:val="00216E3C"/>
    <w:rsid w:val="00216E69"/>
    <w:rsid w:val="0021706C"/>
    <w:rsid w:val="0021707F"/>
    <w:rsid w:val="002171B4"/>
    <w:rsid w:val="002172AC"/>
    <w:rsid w:val="002175C8"/>
    <w:rsid w:val="002175DF"/>
    <w:rsid w:val="0021768D"/>
    <w:rsid w:val="002178CA"/>
    <w:rsid w:val="002179FD"/>
    <w:rsid w:val="00217C07"/>
    <w:rsid w:val="00217D50"/>
    <w:rsid w:val="00217FC4"/>
    <w:rsid w:val="00217FF2"/>
    <w:rsid w:val="0022007E"/>
    <w:rsid w:val="002202C3"/>
    <w:rsid w:val="00220428"/>
    <w:rsid w:val="00220596"/>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27"/>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9B3"/>
    <w:rsid w:val="00231A00"/>
    <w:rsid w:val="00231A08"/>
    <w:rsid w:val="00231BA5"/>
    <w:rsid w:val="00231CE1"/>
    <w:rsid w:val="00231E06"/>
    <w:rsid w:val="00232044"/>
    <w:rsid w:val="002320D9"/>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404"/>
    <w:rsid w:val="00236503"/>
    <w:rsid w:val="002365E1"/>
    <w:rsid w:val="00236E2B"/>
    <w:rsid w:val="00236FD5"/>
    <w:rsid w:val="00237047"/>
    <w:rsid w:val="00237188"/>
    <w:rsid w:val="002372DE"/>
    <w:rsid w:val="002374AC"/>
    <w:rsid w:val="00237A64"/>
    <w:rsid w:val="00237B2D"/>
    <w:rsid w:val="00237CCC"/>
    <w:rsid w:val="00237F22"/>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173"/>
    <w:rsid w:val="0024139B"/>
    <w:rsid w:val="002413B9"/>
    <w:rsid w:val="002415C9"/>
    <w:rsid w:val="00241722"/>
    <w:rsid w:val="00241767"/>
    <w:rsid w:val="00241797"/>
    <w:rsid w:val="00241A29"/>
    <w:rsid w:val="00241B12"/>
    <w:rsid w:val="00241C19"/>
    <w:rsid w:val="00241C81"/>
    <w:rsid w:val="00241E34"/>
    <w:rsid w:val="00241EC1"/>
    <w:rsid w:val="00242291"/>
    <w:rsid w:val="0024239B"/>
    <w:rsid w:val="00242430"/>
    <w:rsid w:val="00242500"/>
    <w:rsid w:val="0024259A"/>
    <w:rsid w:val="002426D0"/>
    <w:rsid w:val="002426DD"/>
    <w:rsid w:val="00242773"/>
    <w:rsid w:val="00242AE2"/>
    <w:rsid w:val="00242CF0"/>
    <w:rsid w:val="00242D75"/>
    <w:rsid w:val="00242ECD"/>
    <w:rsid w:val="00242ED6"/>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62F"/>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E95"/>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4E11"/>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4DE"/>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7F9"/>
    <w:rsid w:val="002649B2"/>
    <w:rsid w:val="00264E05"/>
    <w:rsid w:val="00264E53"/>
    <w:rsid w:val="00264FEE"/>
    <w:rsid w:val="00265000"/>
    <w:rsid w:val="00265315"/>
    <w:rsid w:val="0026538C"/>
    <w:rsid w:val="00265436"/>
    <w:rsid w:val="00265620"/>
    <w:rsid w:val="00265636"/>
    <w:rsid w:val="0026569C"/>
    <w:rsid w:val="002656A2"/>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D16"/>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1A9"/>
    <w:rsid w:val="002753A5"/>
    <w:rsid w:val="0027550F"/>
    <w:rsid w:val="00275557"/>
    <w:rsid w:val="00275818"/>
    <w:rsid w:val="00275901"/>
    <w:rsid w:val="00275991"/>
    <w:rsid w:val="002759CC"/>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4B0"/>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6A7"/>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863"/>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907"/>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CFE"/>
    <w:rsid w:val="002B3E11"/>
    <w:rsid w:val="002B3E5D"/>
    <w:rsid w:val="002B3F2E"/>
    <w:rsid w:val="002B4215"/>
    <w:rsid w:val="002B443C"/>
    <w:rsid w:val="002B4445"/>
    <w:rsid w:val="002B45A8"/>
    <w:rsid w:val="002B4689"/>
    <w:rsid w:val="002B46B0"/>
    <w:rsid w:val="002B46B5"/>
    <w:rsid w:val="002B46F8"/>
    <w:rsid w:val="002B4713"/>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0FE"/>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0A"/>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62B"/>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479"/>
    <w:rsid w:val="002D26A5"/>
    <w:rsid w:val="002D283A"/>
    <w:rsid w:val="002D2A3C"/>
    <w:rsid w:val="002D2CB2"/>
    <w:rsid w:val="002D2DF5"/>
    <w:rsid w:val="002D3316"/>
    <w:rsid w:val="002D3459"/>
    <w:rsid w:val="002D345F"/>
    <w:rsid w:val="002D38BD"/>
    <w:rsid w:val="002D3D0D"/>
    <w:rsid w:val="002D3E5F"/>
    <w:rsid w:val="002D419B"/>
    <w:rsid w:val="002D4247"/>
    <w:rsid w:val="002D4250"/>
    <w:rsid w:val="002D4326"/>
    <w:rsid w:val="002D461E"/>
    <w:rsid w:val="002D46D0"/>
    <w:rsid w:val="002D47FC"/>
    <w:rsid w:val="002D4832"/>
    <w:rsid w:val="002D4B02"/>
    <w:rsid w:val="002D4C58"/>
    <w:rsid w:val="002D4CC4"/>
    <w:rsid w:val="002D4E60"/>
    <w:rsid w:val="002D4F6E"/>
    <w:rsid w:val="002D50F7"/>
    <w:rsid w:val="002D520B"/>
    <w:rsid w:val="002D557F"/>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3B"/>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1DD"/>
    <w:rsid w:val="002F546A"/>
    <w:rsid w:val="002F54D0"/>
    <w:rsid w:val="002F55BB"/>
    <w:rsid w:val="002F580E"/>
    <w:rsid w:val="002F581C"/>
    <w:rsid w:val="002F5DCD"/>
    <w:rsid w:val="002F5E1E"/>
    <w:rsid w:val="002F5FE0"/>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324"/>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AE7"/>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BF3"/>
    <w:rsid w:val="00312C22"/>
    <w:rsid w:val="00312FBA"/>
    <w:rsid w:val="003132CB"/>
    <w:rsid w:val="0031330A"/>
    <w:rsid w:val="00313311"/>
    <w:rsid w:val="0031348E"/>
    <w:rsid w:val="00313943"/>
    <w:rsid w:val="00313BD2"/>
    <w:rsid w:val="00313BD6"/>
    <w:rsid w:val="00313DEF"/>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57E"/>
    <w:rsid w:val="00317608"/>
    <w:rsid w:val="0031763E"/>
    <w:rsid w:val="003178B6"/>
    <w:rsid w:val="003178EF"/>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653"/>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B1"/>
    <w:rsid w:val="003266C5"/>
    <w:rsid w:val="00326A8C"/>
    <w:rsid w:val="00326AD3"/>
    <w:rsid w:val="00326D4B"/>
    <w:rsid w:val="00326E7F"/>
    <w:rsid w:val="00326F94"/>
    <w:rsid w:val="0032704C"/>
    <w:rsid w:val="003270E4"/>
    <w:rsid w:val="00327308"/>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3CC"/>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2C"/>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6FA1"/>
    <w:rsid w:val="00337006"/>
    <w:rsid w:val="0033706F"/>
    <w:rsid w:val="00337126"/>
    <w:rsid w:val="0033739B"/>
    <w:rsid w:val="0033751A"/>
    <w:rsid w:val="0033794A"/>
    <w:rsid w:val="003379FC"/>
    <w:rsid w:val="00337AC7"/>
    <w:rsid w:val="00337E03"/>
    <w:rsid w:val="00337E7D"/>
    <w:rsid w:val="003400D6"/>
    <w:rsid w:val="00340234"/>
    <w:rsid w:val="0034038A"/>
    <w:rsid w:val="00340968"/>
    <w:rsid w:val="00340AAF"/>
    <w:rsid w:val="00340B20"/>
    <w:rsid w:val="00340D02"/>
    <w:rsid w:val="00340DB5"/>
    <w:rsid w:val="00340F94"/>
    <w:rsid w:val="00341086"/>
    <w:rsid w:val="003411D6"/>
    <w:rsid w:val="003412D2"/>
    <w:rsid w:val="003414D3"/>
    <w:rsid w:val="003416E0"/>
    <w:rsid w:val="00341BD0"/>
    <w:rsid w:val="00341EC4"/>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43"/>
    <w:rsid w:val="0034557A"/>
    <w:rsid w:val="00345585"/>
    <w:rsid w:val="003455D9"/>
    <w:rsid w:val="00345688"/>
    <w:rsid w:val="00345700"/>
    <w:rsid w:val="0034573F"/>
    <w:rsid w:val="003458D9"/>
    <w:rsid w:val="00345B90"/>
    <w:rsid w:val="00345E41"/>
    <w:rsid w:val="00345E9F"/>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C64"/>
    <w:rsid w:val="00356DCD"/>
    <w:rsid w:val="00356F65"/>
    <w:rsid w:val="00357032"/>
    <w:rsid w:val="003570A6"/>
    <w:rsid w:val="003571E4"/>
    <w:rsid w:val="003572F0"/>
    <w:rsid w:val="003574E2"/>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2B1"/>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2DC"/>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AFC"/>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09"/>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20"/>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8A4"/>
    <w:rsid w:val="003A48C6"/>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14F"/>
    <w:rsid w:val="003B1350"/>
    <w:rsid w:val="003B1407"/>
    <w:rsid w:val="003B14D1"/>
    <w:rsid w:val="003B1521"/>
    <w:rsid w:val="003B185B"/>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71"/>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5F46"/>
    <w:rsid w:val="003B605C"/>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1F"/>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84E"/>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96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8D8"/>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D61"/>
    <w:rsid w:val="003E5EC4"/>
    <w:rsid w:val="003E5F96"/>
    <w:rsid w:val="003E6165"/>
    <w:rsid w:val="003E61CE"/>
    <w:rsid w:val="003E62A0"/>
    <w:rsid w:val="003E646F"/>
    <w:rsid w:val="003E6D0D"/>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6DA"/>
    <w:rsid w:val="003F17A4"/>
    <w:rsid w:val="003F17A7"/>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4B62"/>
    <w:rsid w:val="003F5055"/>
    <w:rsid w:val="003F525E"/>
    <w:rsid w:val="003F5285"/>
    <w:rsid w:val="003F534E"/>
    <w:rsid w:val="003F5407"/>
    <w:rsid w:val="003F59B8"/>
    <w:rsid w:val="003F5AB2"/>
    <w:rsid w:val="003F5E05"/>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482"/>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8B3"/>
    <w:rsid w:val="00403FD1"/>
    <w:rsid w:val="0040427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1E7"/>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BC"/>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5F66"/>
    <w:rsid w:val="00426007"/>
    <w:rsid w:val="0042603D"/>
    <w:rsid w:val="004262CD"/>
    <w:rsid w:val="00426319"/>
    <w:rsid w:val="0042683C"/>
    <w:rsid w:val="004268D3"/>
    <w:rsid w:val="00426A28"/>
    <w:rsid w:val="00426BC1"/>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6FF"/>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A93"/>
    <w:rsid w:val="00435BFF"/>
    <w:rsid w:val="00435C24"/>
    <w:rsid w:val="00435E34"/>
    <w:rsid w:val="00435E6B"/>
    <w:rsid w:val="00435FC2"/>
    <w:rsid w:val="004365E0"/>
    <w:rsid w:val="00436897"/>
    <w:rsid w:val="004368EB"/>
    <w:rsid w:val="00436B87"/>
    <w:rsid w:val="00436CB9"/>
    <w:rsid w:val="004370E2"/>
    <w:rsid w:val="00437120"/>
    <w:rsid w:val="00437351"/>
    <w:rsid w:val="00437454"/>
    <w:rsid w:val="004374A5"/>
    <w:rsid w:val="00437643"/>
    <w:rsid w:val="0043768C"/>
    <w:rsid w:val="004376E9"/>
    <w:rsid w:val="0043771E"/>
    <w:rsid w:val="00437743"/>
    <w:rsid w:val="004377CE"/>
    <w:rsid w:val="004378F4"/>
    <w:rsid w:val="00437940"/>
    <w:rsid w:val="00437A1A"/>
    <w:rsid w:val="00437A53"/>
    <w:rsid w:val="00437C71"/>
    <w:rsid w:val="00437DAE"/>
    <w:rsid w:val="00440619"/>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89"/>
    <w:rsid w:val="004471F5"/>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8C3"/>
    <w:rsid w:val="00453908"/>
    <w:rsid w:val="00453AEE"/>
    <w:rsid w:val="00453CCD"/>
    <w:rsid w:val="00453E64"/>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6A08"/>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BF1"/>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953"/>
    <w:rsid w:val="0047195B"/>
    <w:rsid w:val="00471B0C"/>
    <w:rsid w:val="00471B38"/>
    <w:rsid w:val="00471C4F"/>
    <w:rsid w:val="00471F17"/>
    <w:rsid w:val="004726EF"/>
    <w:rsid w:val="004729A3"/>
    <w:rsid w:val="004729E1"/>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4EE"/>
    <w:rsid w:val="00483578"/>
    <w:rsid w:val="004835C9"/>
    <w:rsid w:val="004837D0"/>
    <w:rsid w:val="00483915"/>
    <w:rsid w:val="00483988"/>
    <w:rsid w:val="00483AA1"/>
    <w:rsid w:val="00483B13"/>
    <w:rsid w:val="00483CCD"/>
    <w:rsid w:val="00483DB2"/>
    <w:rsid w:val="00483FE9"/>
    <w:rsid w:val="0048414E"/>
    <w:rsid w:val="00484186"/>
    <w:rsid w:val="004846D1"/>
    <w:rsid w:val="004848F6"/>
    <w:rsid w:val="00484B2D"/>
    <w:rsid w:val="004850F1"/>
    <w:rsid w:val="004851B2"/>
    <w:rsid w:val="00485649"/>
    <w:rsid w:val="0048564E"/>
    <w:rsid w:val="00485753"/>
    <w:rsid w:val="00485916"/>
    <w:rsid w:val="00485986"/>
    <w:rsid w:val="004859CB"/>
    <w:rsid w:val="00485B5C"/>
    <w:rsid w:val="004860CF"/>
    <w:rsid w:val="00486144"/>
    <w:rsid w:val="004862CE"/>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1E22"/>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9C9"/>
    <w:rsid w:val="00495A00"/>
    <w:rsid w:val="00495BA8"/>
    <w:rsid w:val="00495C4F"/>
    <w:rsid w:val="004960A1"/>
    <w:rsid w:val="004962F6"/>
    <w:rsid w:val="004965CF"/>
    <w:rsid w:val="004965FA"/>
    <w:rsid w:val="00496657"/>
    <w:rsid w:val="004967BE"/>
    <w:rsid w:val="00496ABC"/>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6AC"/>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61"/>
    <w:rsid w:val="004A44F6"/>
    <w:rsid w:val="004A4507"/>
    <w:rsid w:val="004A4905"/>
    <w:rsid w:val="004A4BD3"/>
    <w:rsid w:val="004A4E61"/>
    <w:rsid w:val="004A4EF6"/>
    <w:rsid w:val="004A4F4A"/>
    <w:rsid w:val="004A4F6A"/>
    <w:rsid w:val="004A521F"/>
    <w:rsid w:val="004A5432"/>
    <w:rsid w:val="004A57EE"/>
    <w:rsid w:val="004A5A3E"/>
    <w:rsid w:val="004A5ABF"/>
    <w:rsid w:val="004A5AE7"/>
    <w:rsid w:val="004A6176"/>
    <w:rsid w:val="004A6192"/>
    <w:rsid w:val="004A61AC"/>
    <w:rsid w:val="004A6201"/>
    <w:rsid w:val="004A643D"/>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B6E"/>
    <w:rsid w:val="004B2F00"/>
    <w:rsid w:val="004B2F08"/>
    <w:rsid w:val="004B2F0D"/>
    <w:rsid w:val="004B3112"/>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75"/>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B35"/>
    <w:rsid w:val="004C7C5F"/>
    <w:rsid w:val="004C7D9E"/>
    <w:rsid w:val="004C7DC9"/>
    <w:rsid w:val="004C7F43"/>
    <w:rsid w:val="004D01A9"/>
    <w:rsid w:val="004D0288"/>
    <w:rsid w:val="004D0728"/>
    <w:rsid w:val="004D0891"/>
    <w:rsid w:val="004D0AE0"/>
    <w:rsid w:val="004D0CD8"/>
    <w:rsid w:val="004D0DD0"/>
    <w:rsid w:val="004D1245"/>
    <w:rsid w:val="004D1363"/>
    <w:rsid w:val="004D14C6"/>
    <w:rsid w:val="004D166F"/>
    <w:rsid w:val="004D16C7"/>
    <w:rsid w:val="004D1BA7"/>
    <w:rsid w:val="004D1E47"/>
    <w:rsid w:val="004D1F7A"/>
    <w:rsid w:val="004D20B9"/>
    <w:rsid w:val="004D260B"/>
    <w:rsid w:val="004D2646"/>
    <w:rsid w:val="004D274D"/>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18F"/>
    <w:rsid w:val="004E02B4"/>
    <w:rsid w:val="004E08AA"/>
    <w:rsid w:val="004E08FD"/>
    <w:rsid w:val="004E0A2B"/>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A45"/>
    <w:rsid w:val="004E3B28"/>
    <w:rsid w:val="004E3E0C"/>
    <w:rsid w:val="004E3E86"/>
    <w:rsid w:val="004E3FB3"/>
    <w:rsid w:val="004E4164"/>
    <w:rsid w:val="004E41B4"/>
    <w:rsid w:val="004E433F"/>
    <w:rsid w:val="004E47A3"/>
    <w:rsid w:val="004E4D09"/>
    <w:rsid w:val="004E5018"/>
    <w:rsid w:val="004E51C6"/>
    <w:rsid w:val="004E5481"/>
    <w:rsid w:val="004E5BE7"/>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263"/>
    <w:rsid w:val="005023C4"/>
    <w:rsid w:val="005024EF"/>
    <w:rsid w:val="005027B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4D3A"/>
    <w:rsid w:val="00505006"/>
    <w:rsid w:val="00505014"/>
    <w:rsid w:val="005051BD"/>
    <w:rsid w:val="005051F1"/>
    <w:rsid w:val="005053DC"/>
    <w:rsid w:val="00505632"/>
    <w:rsid w:val="00505750"/>
    <w:rsid w:val="0050594E"/>
    <w:rsid w:val="00505A04"/>
    <w:rsid w:val="00505AF1"/>
    <w:rsid w:val="00505C12"/>
    <w:rsid w:val="00505E58"/>
    <w:rsid w:val="00505EF1"/>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8F1"/>
    <w:rsid w:val="00507A1E"/>
    <w:rsid w:val="00507C31"/>
    <w:rsid w:val="00507C93"/>
    <w:rsid w:val="00507F66"/>
    <w:rsid w:val="0051058B"/>
    <w:rsid w:val="005111E9"/>
    <w:rsid w:val="0051149E"/>
    <w:rsid w:val="0051160C"/>
    <w:rsid w:val="005116AF"/>
    <w:rsid w:val="00511C03"/>
    <w:rsid w:val="00511CEE"/>
    <w:rsid w:val="005124B0"/>
    <w:rsid w:val="005124C1"/>
    <w:rsid w:val="005124D4"/>
    <w:rsid w:val="00512717"/>
    <w:rsid w:val="005128A2"/>
    <w:rsid w:val="005129F5"/>
    <w:rsid w:val="00512B65"/>
    <w:rsid w:val="00512BB1"/>
    <w:rsid w:val="00512C65"/>
    <w:rsid w:val="00512F7A"/>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659"/>
    <w:rsid w:val="00521B25"/>
    <w:rsid w:val="00521BDF"/>
    <w:rsid w:val="00521CA7"/>
    <w:rsid w:val="00521D3B"/>
    <w:rsid w:val="005220BE"/>
    <w:rsid w:val="00522149"/>
    <w:rsid w:val="005226D7"/>
    <w:rsid w:val="005232E7"/>
    <w:rsid w:val="005238BB"/>
    <w:rsid w:val="005238D6"/>
    <w:rsid w:val="00523A96"/>
    <w:rsid w:val="00523AF1"/>
    <w:rsid w:val="00523B32"/>
    <w:rsid w:val="00523CBA"/>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9A4"/>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7D9"/>
    <w:rsid w:val="00533842"/>
    <w:rsid w:val="00533A7E"/>
    <w:rsid w:val="00533AA0"/>
    <w:rsid w:val="00533C2F"/>
    <w:rsid w:val="00533D66"/>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A4F"/>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DE1"/>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67A"/>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0B9"/>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0B5"/>
    <w:rsid w:val="0057010D"/>
    <w:rsid w:val="005702B9"/>
    <w:rsid w:val="0057030A"/>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A81"/>
    <w:rsid w:val="00574D0B"/>
    <w:rsid w:val="00574ED3"/>
    <w:rsid w:val="0057509E"/>
    <w:rsid w:val="005750AA"/>
    <w:rsid w:val="005750AC"/>
    <w:rsid w:val="005752D7"/>
    <w:rsid w:val="0057557E"/>
    <w:rsid w:val="00575611"/>
    <w:rsid w:val="005757C7"/>
    <w:rsid w:val="00575871"/>
    <w:rsid w:val="00575907"/>
    <w:rsid w:val="00575BB7"/>
    <w:rsid w:val="00575D28"/>
    <w:rsid w:val="00575F18"/>
    <w:rsid w:val="0057641C"/>
    <w:rsid w:val="00576A5D"/>
    <w:rsid w:val="00576B2E"/>
    <w:rsid w:val="00576B92"/>
    <w:rsid w:val="00576CD3"/>
    <w:rsid w:val="00576CFE"/>
    <w:rsid w:val="00576E85"/>
    <w:rsid w:val="005772B4"/>
    <w:rsid w:val="0057750B"/>
    <w:rsid w:val="0057785B"/>
    <w:rsid w:val="005779D4"/>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D55"/>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2E65"/>
    <w:rsid w:val="005831AB"/>
    <w:rsid w:val="00583306"/>
    <w:rsid w:val="00583550"/>
    <w:rsid w:val="00583771"/>
    <w:rsid w:val="0058386C"/>
    <w:rsid w:val="00583975"/>
    <w:rsid w:val="005839CE"/>
    <w:rsid w:val="00583AE0"/>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87F7A"/>
    <w:rsid w:val="0059003D"/>
    <w:rsid w:val="00590282"/>
    <w:rsid w:val="00590380"/>
    <w:rsid w:val="00590512"/>
    <w:rsid w:val="00590643"/>
    <w:rsid w:val="005907F6"/>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7D"/>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4F54"/>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3E1"/>
    <w:rsid w:val="005A447C"/>
    <w:rsid w:val="005A44C9"/>
    <w:rsid w:val="005A46EF"/>
    <w:rsid w:val="005A480D"/>
    <w:rsid w:val="005A4831"/>
    <w:rsid w:val="005A4A6C"/>
    <w:rsid w:val="005A501B"/>
    <w:rsid w:val="005A5067"/>
    <w:rsid w:val="005A51CB"/>
    <w:rsid w:val="005A52BF"/>
    <w:rsid w:val="005A5352"/>
    <w:rsid w:val="005A5430"/>
    <w:rsid w:val="005A5447"/>
    <w:rsid w:val="005A564E"/>
    <w:rsid w:val="005A57C3"/>
    <w:rsid w:val="005A5818"/>
    <w:rsid w:val="005A5855"/>
    <w:rsid w:val="005A58DC"/>
    <w:rsid w:val="005A5DD0"/>
    <w:rsid w:val="005A5F0B"/>
    <w:rsid w:val="005A5F1B"/>
    <w:rsid w:val="005A5FF6"/>
    <w:rsid w:val="005A6038"/>
    <w:rsid w:val="005A631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1C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9B"/>
    <w:rsid w:val="005B7CDB"/>
    <w:rsid w:val="005B7CED"/>
    <w:rsid w:val="005B7D3D"/>
    <w:rsid w:val="005B7D47"/>
    <w:rsid w:val="005B7F55"/>
    <w:rsid w:val="005C01C8"/>
    <w:rsid w:val="005C0389"/>
    <w:rsid w:val="005C04FB"/>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1D0"/>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5E33"/>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8BA"/>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02"/>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5E8"/>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452"/>
    <w:rsid w:val="005F153E"/>
    <w:rsid w:val="005F177F"/>
    <w:rsid w:val="005F18A7"/>
    <w:rsid w:val="005F1B3A"/>
    <w:rsid w:val="005F1D9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5A"/>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730"/>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D95"/>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8C"/>
    <w:rsid w:val="006111EB"/>
    <w:rsid w:val="00611275"/>
    <w:rsid w:val="00611444"/>
    <w:rsid w:val="0061153E"/>
    <w:rsid w:val="00611676"/>
    <w:rsid w:val="006118ED"/>
    <w:rsid w:val="0061193A"/>
    <w:rsid w:val="00611AF7"/>
    <w:rsid w:val="00611BC7"/>
    <w:rsid w:val="00611CDE"/>
    <w:rsid w:val="00611EEF"/>
    <w:rsid w:val="00611F86"/>
    <w:rsid w:val="0061216F"/>
    <w:rsid w:val="0061219D"/>
    <w:rsid w:val="006125BA"/>
    <w:rsid w:val="0061262B"/>
    <w:rsid w:val="00612805"/>
    <w:rsid w:val="00612B60"/>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CD7"/>
    <w:rsid w:val="00615DAF"/>
    <w:rsid w:val="00615F3D"/>
    <w:rsid w:val="0061647E"/>
    <w:rsid w:val="006164F4"/>
    <w:rsid w:val="0061654D"/>
    <w:rsid w:val="00616790"/>
    <w:rsid w:val="00616CE0"/>
    <w:rsid w:val="00616DF2"/>
    <w:rsid w:val="00617225"/>
    <w:rsid w:val="00617289"/>
    <w:rsid w:val="00617391"/>
    <w:rsid w:val="00617423"/>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744"/>
    <w:rsid w:val="00630CA1"/>
    <w:rsid w:val="00630DA7"/>
    <w:rsid w:val="0063104A"/>
    <w:rsid w:val="00631132"/>
    <w:rsid w:val="00631170"/>
    <w:rsid w:val="0063132E"/>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AA4"/>
    <w:rsid w:val="00634CDE"/>
    <w:rsid w:val="00634D04"/>
    <w:rsid w:val="00634D55"/>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99B"/>
    <w:rsid w:val="00643A80"/>
    <w:rsid w:val="00643F36"/>
    <w:rsid w:val="00644019"/>
    <w:rsid w:val="006441E8"/>
    <w:rsid w:val="00644237"/>
    <w:rsid w:val="00644278"/>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58B"/>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812"/>
    <w:rsid w:val="00651B18"/>
    <w:rsid w:val="00651D9D"/>
    <w:rsid w:val="00651DA9"/>
    <w:rsid w:val="00651DBC"/>
    <w:rsid w:val="006520DF"/>
    <w:rsid w:val="0065228C"/>
    <w:rsid w:val="006522FA"/>
    <w:rsid w:val="0065230E"/>
    <w:rsid w:val="00652492"/>
    <w:rsid w:val="006524BA"/>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7A3"/>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A2A"/>
    <w:rsid w:val="00661C2C"/>
    <w:rsid w:val="00661E84"/>
    <w:rsid w:val="0066220C"/>
    <w:rsid w:val="0066235D"/>
    <w:rsid w:val="00662489"/>
    <w:rsid w:val="00662594"/>
    <w:rsid w:val="006625D3"/>
    <w:rsid w:val="0066267E"/>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28"/>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0FA0"/>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CF3"/>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6F77"/>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5F67"/>
    <w:rsid w:val="00685FD8"/>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80E"/>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D85"/>
    <w:rsid w:val="006A7F9C"/>
    <w:rsid w:val="006B0053"/>
    <w:rsid w:val="006B030E"/>
    <w:rsid w:val="006B03E1"/>
    <w:rsid w:val="006B03F1"/>
    <w:rsid w:val="006B0452"/>
    <w:rsid w:val="006B0864"/>
    <w:rsid w:val="006B08A7"/>
    <w:rsid w:val="006B0CF8"/>
    <w:rsid w:val="006B0D10"/>
    <w:rsid w:val="006B0E56"/>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BD6"/>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5F82"/>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C99"/>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AA"/>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C8B"/>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DC1"/>
    <w:rsid w:val="006E20D9"/>
    <w:rsid w:val="006E22C3"/>
    <w:rsid w:val="006E2C93"/>
    <w:rsid w:val="006E2D01"/>
    <w:rsid w:val="006E2D89"/>
    <w:rsid w:val="006E2E88"/>
    <w:rsid w:val="006E30AB"/>
    <w:rsid w:val="006E32D8"/>
    <w:rsid w:val="006E3495"/>
    <w:rsid w:val="006E34A7"/>
    <w:rsid w:val="006E35CA"/>
    <w:rsid w:val="006E35D4"/>
    <w:rsid w:val="006E36EE"/>
    <w:rsid w:val="006E3971"/>
    <w:rsid w:val="006E3A12"/>
    <w:rsid w:val="006E3AC4"/>
    <w:rsid w:val="006E3B5C"/>
    <w:rsid w:val="006E3D67"/>
    <w:rsid w:val="006E3FAC"/>
    <w:rsid w:val="006E3FB0"/>
    <w:rsid w:val="006E407D"/>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26C"/>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EC8"/>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2E51"/>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0AD"/>
    <w:rsid w:val="0070612C"/>
    <w:rsid w:val="00706183"/>
    <w:rsid w:val="007064E5"/>
    <w:rsid w:val="0070655A"/>
    <w:rsid w:val="0070677F"/>
    <w:rsid w:val="00706C57"/>
    <w:rsid w:val="00706ECD"/>
    <w:rsid w:val="00707016"/>
    <w:rsid w:val="00707529"/>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9B5"/>
    <w:rsid w:val="00716DEF"/>
    <w:rsid w:val="00716E88"/>
    <w:rsid w:val="00717057"/>
    <w:rsid w:val="00717116"/>
    <w:rsid w:val="007171B3"/>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CDA"/>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4E0"/>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9FA"/>
    <w:rsid w:val="00730B01"/>
    <w:rsid w:val="00730C4E"/>
    <w:rsid w:val="00730E77"/>
    <w:rsid w:val="007311A1"/>
    <w:rsid w:val="00731429"/>
    <w:rsid w:val="00731607"/>
    <w:rsid w:val="007318FF"/>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13"/>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09"/>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00A"/>
    <w:rsid w:val="007451B3"/>
    <w:rsid w:val="00745332"/>
    <w:rsid w:val="007455D2"/>
    <w:rsid w:val="00745C69"/>
    <w:rsid w:val="00745CA6"/>
    <w:rsid w:val="00745D1F"/>
    <w:rsid w:val="00745D31"/>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5D5"/>
    <w:rsid w:val="007507AF"/>
    <w:rsid w:val="007507D3"/>
    <w:rsid w:val="00750AF1"/>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4C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07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6EB"/>
    <w:rsid w:val="00764759"/>
    <w:rsid w:val="0076488E"/>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6E32"/>
    <w:rsid w:val="007674FF"/>
    <w:rsid w:val="00767537"/>
    <w:rsid w:val="00767867"/>
    <w:rsid w:val="00767B09"/>
    <w:rsid w:val="00767EEE"/>
    <w:rsid w:val="00767FB4"/>
    <w:rsid w:val="00770104"/>
    <w:rsid w:val="00770153"/>
    <w:rsid w:val="0077060D"/>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08C"/>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971"/>
    <w:rsid w:val="007809DA"/>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1F3"/>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0EA"/>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06C"/>
    <w:rsid w:val="007A3144"/>
    <w:rsid w:val="007A314E"/>
    <w:rsid w:val="007A32E5"/>
    <w:rsid w:val="007A33EB"/>
    <w:rsid w:val="007A3438"/>
    <w:rsid w:val="007A3869"/>
    <w:rsid w:val="007A38BF"/>
    <w:rsid w:val="007A3915"/>
    <w:rsid w:val="007A395E"/>
    <w:rsid w:val="007A3EA8"/>
    <w:rsid w:val="007A3EF1"/>
    <w:rsid w:val="007A412F"/>
    <w:rsid w:val="007A42DB"/>
    <w:rsid w:val="007A442F"/>
    <w:rsid w:val="007A4584"/>
    <w:rsid w:val="007A462D"/>
    <w:rsid w:val="007A47D6"/>
    <w:rsid w:val="007A49B8"/>
    <w:rsid w:val="007A4A5C"/>
    <w:rsid w:val="007A4ACA"/>
    <w:rsid w:val="007A519C"/>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5F"/>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53A"/>
    <w:rsid w:val="007B467A"/>
    <w:rsid w:val="007B49F0"/>
    <w:rsid w:val="007B4A6C"/>
    <w:rsid w:val="007B4DC9"/>
    <w:rsid w:val="007B4DF7"/>
    <w:rsid w:val="007B4F8E"/>
    <w:rsid w:val="007B54EF"/>
    <w:rsid w:val="007B584B"/>
    <w:rsid w:val="007B58F1"/>
    <w:rsid w:val="007B5A0D"/>
    <w:rsid w:val="007B5A39"/>
    <w:rsid w:val="007B5B39"/>
    <w:rsid w:val="007B5B65"/>
    <w:rsid w:val="007B689C"/>
    <w:rsid w:val="007B6964"/>
    <w:rsid w:val="007B6A84"/>
    <w:rsid w:val="007B6BBE"/>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5F84"/>
    <w:rsid w:val="007C61DC"/>
    <w:rsid w:val="007C6485"/>
    <w:rsid w:val="007C6859"/>
    <w:rsid w:val="007C6925"/>
    <w:rsid w:val="007C6994"/>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8D2"/>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898"/>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7F9"/>
    <w:rsid w:val="007E4DA1"/>
    <w:rsid w:val="007E52A5"/>
    <w:rsid w:val="007E5353"/>
    <w:rsid w:val="007E553D"/>
    <w:rsid w:val="007E554B"/>
    <w:rsid w:val="007E555A"/>
    <w:rsid w:val="007E5589"/>
    <w:rsid w:val="007E576C"/>
    <w:rsid w:val="007E57A3"/>
    <w:rsid w:val="007E5DDD"/>
    <w:rsid w:val="007E6269"/>
    <w:rsid w:val="007E6311"/>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165"/>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2E1F"/>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5E4B"/>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43"/>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A72"/>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1EF"/>
    <w:rsid w:val="0084160E"/>
    <w:rsid w:val="008417E4"/>
    <w:rsid w:val="008418D2"/>
    <w:rsid w:val="008419E3"/>
    <w:rsid w:val="00841B84"/>
    <w:rsid w:val="00841DD7"/>
    <w:rsid w:val="00841E8E"/>
    <w:rsid w:val="00841EFE"/>
    <w:rsid w:val="00841FC3"/>
    <w:rsid w:val="0084204C"/>
    <w:rsid w:val="00842167"/>
    <w:rsid w:val="008423B9"/>
    <w:rsid w:val="008424BD"/>
    <w:rsid w:val="0084297C"/>
    <w:rsid w:val="008429CA"/>
    <w:rsid w:val="008429CB"/>
    <w:rsid w:val="00842D68"/>
    <w:rsid w:val="00842E01"/>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D55"/>
    <w:rsid w:val="00850DCD"/>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2F"/>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0BD"/>
    <w:rsid w:val="0086511C"/>
    <w:rsid w:val="0086549E"/>
    <w:rsid w:val="00865503"/>
    <w:rsid w:val="008656B3"/>
    <w:rsid w:val="008656F4"/>
    <w:rsid w:val="00865771"/>
    <w:rsid w:val="00865948"/>
    <w:rsid w:val="00865ACD"/>
    <w:rsid w:val="00865C90"/>
    <w:rsid w:val="00865D3F"/>
    <w:rsid w:val="00865E76"/>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BD6"/>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A02"/>
    <w:rsid w:val="00883C93"/>
    <w:rsid w:val="00883D7C"/>
    <w:rsid w:val="00883D8D"/>
    <w:rsid w:val="00883DFE"/>
    <w:rsid w:val="0088400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1A"/>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0F12"/>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166"/>
    <w:rsid w:val="008A7254"/>
    <w:rsid w:val="008A7381"/>
    <w:rsid w:val="008A7471"/>
    <w:rsid w:val="008A74E1"/>
    <w:rsid w:val="008A7789"/>
    <w:rsid w:val="008A7CD9"/>
    <w:rsid w:val="008A7E89"/>
    <w:rsid w:val="008B0196"/>
    <w:rsid w:val="008B02E8"/>
    <w:rsid w:val="008B039E"/>
    <w:rsid w:val="008B0538"/>
    <w:rsid w:val="008B07E7"/>
    <w:rsid w:val="008B0848"/>
    <w:rsid w:val="008B08B0"/>
    <w:rsid w:val="008B09C2"/>
    <w:rsid w:val="008B0C23"/>
    <w:rsid w:val="008B0F5E"/>
    <w:rsid w:val="008B15E9"/>
    <w:rsid w:val="008B1609"/>
    <w:rsid w:val="008B16E6"/>
    <w:rsid w:val="008B1702"/>
    <w:rsid w:val="008B1B33"/>
    <w:rsid w:val="008B1B71"/>
    <w:rsid w:val="008B1BF1"/>
    <w:rsid w:val="008B1CBF"/>
    <w:rsid w:val="008B2039"/>
    <w:rsid w:val="008B2114"/>
    <w:rsid w:val="008B24FD"/>
    <w:rsid w:val="008B2883"/>
    <w:rsid w:val="008B2A6F"/>
    <w:rsid w:val="008B2D80"/>
    <w:rsid w:val="008B2FBC"/>
    <w:rsid w:val="008B2FE3"/>
    <w:rsid w:val="008B3182"/>
    <w:rsid w:val="008B31A5"/>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2C3"/>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839"/>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4FC"/>
    <w:rsid w:val="008D1934"/>
    <w:rsid w:val="008D1973"/>
    <w:rsid w:val="008D1CBF"/>
    <w:rsid w:val="008D1FA2"/>
    <w:rsid w:val="008D1FF1"/>
    <w:rsid w:val="008D2008"/>
    <w:rsid w:val="008D219E"/>
    <w:rsid w:val="008D2395"/>
    <w:rsid w:val="008D239A"/>
    <w:rsid w:val="008D23E2"/>
    <w:rsid w:val="008D251B"/>
    <w:rsid w:val="008D2696"/>
    <w:rsid w:val="008D29DE"/>
    <w:rsid w:val="008D2B33"/>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B7A"/>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2B"/>
    <w:rsid w:val="008E1A3B"/>
    <w:rsid w:val="008E1AD4"/>
    <w:rsid w:val="008E2009"/>
    <w:rsid w:val="008E2083"/>
    <w:rsid w:val="008E20D3"/>
    <w:rsid w:val="008E2216"/>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8E6"/>
    <w:rsid w:val="008E5B09"/>
    <w:rsid w:val="008E5B1F"/>
    <w:rsid w:val="008E5B5E"/>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1D7"/>
    <w:rsid w:val="008F34CC"/>
    <w:rsid w:val="008F36E0"/>
    <w:rsid w:val="008F37F9"/>
    <w:rsid w:val="008F3A42"/>
    <w:rsid w:val="008F3AAB"/>
    <w:rsid w:val="008F3BFB"/>
    <w:rsid w:val="008F3C1B"/>
    <w:rsid w:val="008F4011"/>
    <w:rsid w:val="008F4267"/>
    <w:rsid w:val="008F4275"/>
    <w:rsid w:val="008F4649"/>
    <w:rsid w:val="008F4842"/>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CD6"/>
    <w:rsid w:val="008F7F8D"/>
    <w:rsid w:val="008F95B9"/>
    <w:rsid w:val="0090019C"/>
    <w:rsid w:val="009001FB"/>
    <w:rsid w:val="00900658"/>
    <w:rsid w:val="0090083C"/>
    <w:rsid w:val="00900879"/>
    <w:rsid w:val="009008CB"/>
    <w:rsid w:val="00900BC8"/>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140"/>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0B"/>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31"/>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35"/>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23"/>
    <w:rsid w:val="009171B7"/>
    <w:rsid w:val="009174AB"/>
    <w:rsid w:val="009176A2"/>
    <w:rsid w:val="009177F4"/>
    <w:rsid w:val="00917988"/>
    <w:rsid w:val="009179D1"/>
    <w:rsid w:val="009179EC"/>
    <w:rsid w:val="00917B05"/>
    <w:rsid w:val="00917B4D"/>
    <w:rsid w:val="00917B90"/>
    <w:rsid w:val="00917BBC"/>
    <w:rsid w:val="00917DB5"/>
    <w:rsid w:val="0091D47E"/>
    <w:rsid w:val="00920133"/>
    <w:rsid w:val="0092039A"/>
    <w:rsid w:val="0092041D"/>
    <w:rsid w:val="00920519"/>
    <w:rsid w:val="00920637"/>
    <w:rsid w:val="00920888"/>
    <w:rsid w:val="00920A03"/>
    <w:rsid w:val="00920C54"/>
    <w:rsid w:val="00920D34"/>
    <w:rsid w:val="00920EC5"/>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5AE"/>
    <w:rsid w:val="00933619"/>
    <w:rsid w:val="00933A61"/>
    <w:rsid w:val="0093420C"/>
    <w:rsid w:val="009345E3"/>
    <w:rsid w:val="00934776"/>
    <w:rsid w:val="00934973"/>
    <w:rsid w:val="00934AA6"/>
    <w:rsid w:val="00934B2F"/>
    <w:rsid w:val="00934D3C"/>
    <w:rsid w:val="00934D76"/>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D0D"/>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701"/>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2F4"/>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1B"/>
    <w:rsid w:val="00960D7A"/>
    <w:rsid w:val="00960EE5"/>
    <w:rsid w:val="00960F93"/>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30"/>
    <w:rsid w:val="009657C7"/>
    <w:rsid w:val="0096598A"/>
    <w:rsid w:val="00965AD7"/>
    <w:rsid w:val="00965B7C"/>
    <w:rsid w:val="00965B94"/>
    <w:rsid w:val="00965CB4"/>
    <w:rsid w:val="009660AC"/>
    <w:rsid w:val="00966104"/>
    <w:rsid w:val="00966213"/>
    <w:rsid w:val="00966667"/>
    <w:rsid w:val="00966668"/>
    <w:rsid w:val="00966847"/>
    <w:rsid w:val="009669A4"/>
    <w:rsid w:val="009669FB"/>
    <w:rsid w:val="00966A92"/>
    <w:rsid w:val="00966B98"/>
    <w:rsid w:val="00966DDD"/>
    <w:rsid w:val="00966E29"/>
    <w:rsid w:val="00966E54"/>
    <w:rsid w:val="00966E81"/>
    <w:rsid w:val="00966FC1"/>
    <w:rsid w:val="0096707E"/>
    <w:rsid w:val="009673CF"/>
    <w:rsid w:val="0096741E"/>
    <w:rsid w:val="009674F0"/>
    <w:rsid w:val="009676E6"/>
    <w:rsid w:val="00967AF0"/>
    <w:rsid w:val="00967C19"/>
    <w:rsid w:val="00967DB3"/>
    <w:rsid w:val="00967FB2"/>
    <w:rsid w:val="00970189"/>
    <w:rsid w:val="0097024B"/>
    <w:rsid w:val="00970262"/>
    <w:rsid w:val="00970377"/>
    <w:rsid w:val="009703A5"/>
    <w:rsid w:val="00970834"/>
    <w:rsid w:val="0097085C"/>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2C7D"/>
    <w:rsid w:val="009730A6"/>
    <w:rsid w:val="009730F5"/>
    <w:rsid w:val="009734C1"/>
    <w:rsid w:val="00973506"/>
    <w:rsid w:val="009735F0"/>
    <w:rsid w:val="00973735"/>
    <w:rsid w:val="00973778"/>
    <w:rsid w:val="009738E8"/>
    <w:rsid w:val="009739E4"/>
    <w:rsid w:val="00973B1D"/>
    <w:rsid w:val="00973B6B"/>
    <w:rsid w:val="00973B9E"/>
    <w:rsid w:val="00973CBC"/>
    <w:rsid w:val="00973CCD"/>
    <w:rsid w:val="0097403F"/>
    <w:rsid w:val="009741F9"/>
    <w:rsid w:val="00974325"/>
    <w:rsid w:val="009746B2"/>
    <w:rsid w:val="009746BC"/>
    <w:rsid w:val="00974838"/>
    <w:rsid w:val="00974B42"/>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48"/>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A08"/>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89E"/>
    <w:rsid w:val="00986B4C"/>
    <w:rsid w:val="00986F64"/>
    <w:rsid w:val="0098701B"/>
    <w:rsid w:val="0098713F"/>
    <w:rsid w:val="00987603"/>
    <w:rsid w:val="0098771D"/>
    <w:rsid w:val="0098771F"/>
    <w:rsid w:val="009878E7"/>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41C"/>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72"/>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6FF1"/>
    <w:rsid w:val="009970CA"/>
    <w:rsid w:val="0099710C"/>
    <w:rsid w:val="009972D9"/>
    <w:rsid w:val="00997476"/>
    <w:rsid w:val="009974D4"/>
    <w:rsid w:val="009977E2"/>
    <w:rsid w:val="00997806"/>
    <w:rsid w:val="00997B11"/>
    <w:rsid w:val="00997B63"/>
    <w:rsid w:val="00997CB0"/>
    <w:rsid w:val="00997FAF"/>
    <w:rsid w:val="009A02B6"/>
    <w:rsid w:val="009A0406"/>
    <w:rsid w:val="009A0986"/>
    <w:rsid w:val="009A0B65"/>
    <w:rsid w:val="009A0C4A"/>
    <w:rsid w:val="009A0E2C"/>
    <w:rsid w:val="009A0FDF"/>
    <w:rsid w:val="009A12D6"/>
    <w:rsid w:val="009A13D9"/>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415"/>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29"/>
    <w:rsid w:val="009B3A6E"/>
    <w:rsid w:val="009B3D41"/>
    <w:rsid w:val="009B3DE7"/>
    <w:rsid w:val="009B400A"/>
    <w:rsid w:val="009B44A5"/>
    <w:rsid w:val="009B45E4"/>
    <w:rsid w:val="009B4809"/>
    <w:rsid w:val="009B48A6"/>
    <w:rsid w:val="009B4A0B"/>
    <w:rsid w:val="009B4B17"/>
    <w:rsid w:val="009B4B7D"/>
    <w:rsid w:val="009B4C4B"/>
    <w:rsid w:val="009B5032"/>
    <w:rsid w:val="009B50FA"/>
    <w:rsid w:val="009B555D"/>
    <w:rsid w:val="009B562B"/>
    <w:rsid w:val="009B5715"/>
    <w:rsid w:val="009B5943"/>
    <w:rsid w:val="009B5BE7"/>
    <w:rsid w:val="009B5CA6"/>
    <w:rsid w:val="009B5DAE"/>
    <w:rsid w:val="009B5E72"/>
    <w:rsid w:val="009B62B0"/>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512"/>
    <w:rsid w:val="009C5803"/>
    <w:rsid w:val="009C5922"/>
    <w:rsid w:val="009C597C"/>
    <w:rsid w:val="009C5CE8"/>
    <w:rsid w:val="009C5D5E"/>
    <w:rsid w:val="009C5D8B"/>
    <w:rsid w:val="009C5E0E"/>
    <w:rsid w:val="009C6102"/>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3F"/>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0AB"/>
    <w:rsid w:val="009D45A5"/>
    <w:rsid w:val="009D461F"/>
    <w:rsid w:val="009D49D1"/>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17F"/>
    <w:rsid w:val="009D6200"/>
    <w:rsid w:val="009D6285"/>
    <w:rsid w:val="009D62D0"/>
    <w:rsid w:val="009D6327"/>
    <w:rsid w:val="009D634D"/>
    <w:rsid w:val="009D671B"/>
    <w:rsid w:val="009D69E6"/>
    <w:rsid w:val="009D6A9C"/>
    <w:rsid w:val="009D6D6C"/>
    <w:rsid w:val="009D6E42"/>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45"/>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A4E"/>
    <w:rsid w:val="009F5B66"/>
    <w:rsid w:val="009F5D24"/>
    <w:rsid w:val="009F60D7"/>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B9"/>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793"/>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D91"/>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895"/>
    <w:rsid w:val="00A41B84"/>
    <w:rsid w:val="00A41E95"/>
    <w:rsid w:val="00A4201C"/>
    <w:rsid w:val="00A4219E"/>
    <w:rsid w:val="00A42428"/>
    <w:rsid w:val="00A42BCE"/>
    <w:rsid w:val="00A42C9B"/>
    <w:rsid w:val="00A43042"/>
    <w:rsid w:val="00A4311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89B"/>
    <w:rsid w:val="00A46AB7"/>
    <w:rsid w:val="00A46CBA"/>
    <w:rsid w:val="00A46E6F"/>
    <w:rsid w:val="00A46EFF"/>
    <w:rsid w:val="00A471CC"/>
    <w:rsid w:val="00A477CF"/>
    <w:rsid w:val="00A47887"/>
    <w:rsid w:val="00A478E9"/>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8B9"/>
    <w:rsid w:val="00A56AA0"/>
    <w:rsid w:val="00A56AE1"/>
    <w:rsid w:val="00A56C3A"/>
    <w:rsid w:val="00A5702C"/>
    <w:rsid w:val="00A572A2"/>
    <w:rsid w:val="00A57377"/>
    <w:rsid w:val="00A57435"/>
    <w:rsid w:val="00A5763D"/>
    <w:rsid w:val="00A57F0A"/>
    <w:rsid w:val="00A57FD8"/>
    <w:rsid w:val="00A60027"/>
    <w:rsid w:val="00A60220"/>
    <w:rsid w:val="00A6074F"/>
    <w:rsid w:val="00A607C3"/>
    <w:rsid w:val="00A607D1"/>
    <w:rsid w:val="00A608E9"/>
    <w:rsid w:val="00A6097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4C0"/>
    <w:rsid w:val="00A645C2"/>
    <w:rsid w:val="00A646A3"/>
    <w:rsid w:val="00A646DD"/>
    <w:rsid w:val="00A64811"/>
    <w:rsid w:val="00A64864"/>
    <w:rsid w:val="00A64A9D"/>
    <w:rsid w:val="00A64C60"/>
    <w:rsid w:val="00A64D34"/>
    <w:rsid w:val="00A650F5"/>
    <w:rsid w:val="00A650FC"/>
    <w:rsid w:val="00A6527D"/>
    <w:rsid w:val="00A65AF9"/>
    <w:rsid w:val="00A65BC8"/>
    <w:rsid w:val="00A65E42"/>
    <w:rsid w:val="00A6621A"/>
    <w:rsid w:val="00A66271"/>
    <w:rsid w:val="00A66342"/>
    <w:rsid w:val="00A6680F"/>
    <w:rsid w:val="00A66A53"/>
    <w:rsid w:val="00A66B03"/>
    <w:rsid w:val="00A66BC3"/>
    <w:rsid w:val="00A66E38"/>
    <w:rsid w:val="00A66E90"/>
    <w:rsid w:val="00A66EEF"/>
    <w:rsid w:val="00A66EFE"/>
    <w:rsid w:val="00A6706B"/>
    <w:rsid w:val="00A6708F"/>
    <w:rsid w:val="00A675E0"/>
    <w:rsid w:val="00A6763B"/>
    <w:rsid w:val="00A6764E"/>
    <w:rsid w:val="00A67839"/>
    <w:rsid w:val="00A67890"/>
    <w:rsid w:val="00A67A0D"/>
    <w:rsid w:val="00A70197"/>
    <w:rsid w:val="00A70233"/>
    <w:rsid w:val="00A702CA"/>
    <w:rsid w:val="00A702D2"/>
    <w:rsid w:val="00A70425"/>
    <w:rsid w:val="00A704E8"/>
    <w:rsid w:val="00A70664"/>
    <w:rsid w:val="00A706CC"/>
    <w:rsid w:val="00A70763"/>
    <w:rsid w:val="00A707D5"/>
    <w:rsid w:val="00A70869"/>
    <w:rsid w:val="00A70AB8"/>
    <w:rsid w:val="00A70B85"/>
    <w:rsid w:val="00A70E55"/>
    <w:rsid w:val="00A70F73"/>
    <w:rsid w:val="00A710C3"/>
    <w:rsid w:val="00A712F2"/>
    <w:rsid w:val="00A71510"/>
    <w:rsid w:val="00A715B0"/>
    <w:rsid w:val="00A715DA"/>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D6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856"/>
    <w:rsid w:val="00A83968"/>
    <w:rsid w:val="00A83B18"/>
    <w:rsid w:val="00A83E1C"/>
    <w:rsid w:val="00A83E75"/>
    <w:rsid w:val="00A84176"/>
    <w:rsid w:val="00A84201"/>
    <w:rsid w:val="00A842D2"/>
    <w:rsid w:val="00A845BA"/>
    <w:rsid w:val="00A847BD"/>
    <w:rsid w:val="00A8503A"/>
    <w:rsid w:val="00A85056"/>
    <w:rsid w:val="00A85074"/>
    <w:rsid w:val="00A857DF"/>
    <w:rsid w:val="00A85852"/>
    <w:rsid w:val="00A859B0"/>
    <w:rsid w:val="00A859E2"/>
    <w:rsid w:val="00A85C46"/>
    <w:rsid w:val="00A85FC2"/>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6F4C"/>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24F"/>
    <w:rsid w:val="00AA064C"/>
    <w:rsid w:val="00AA0677"/>
    <w:rsid w:val="00AA07B2"/>
    <w:rsid w:val="00AA0800"/>
    <w:rsid w:val="00AA0956"/>
    <w:rsid w:val="00AA09D1"/>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9F"/>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CEF"/>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A84"/>
    <w:rsid w:val="00AA7C28"/>
    <w:rsid w:val="00AA7C69"/>
    <w:rsid w:val="00AA7CC4"/>
    <w:rsid w:val="00AA7CE8"/>
    <w:rsid w:val="00AA7D46"/>
    <w:rsid w:val="00AB0000"/>
    <w:rsid w:val="00AB0099"/>
    <w:rsid w:val="00AB031A"/>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9A5"/>
    <w:rsid w:val="00AC60FC"/>
    <w:rsid w:val="00AC62EE"/>
    <w:rsid w:val="00AC6402"/>
    <w:rsid w:val="00AC64DB"/>
    <w:rsid w:val="00AC6561"/>
    <w:rsid w:val="00AC6E2A"/>
    <w:rsid w:val="00AC7165"/>
    <w:rsid w:val="00AC7229"/>
    <w:rsid w:val="00AC7249"/>
    <w:rsid w:val="00AC74B2"/>
    <w:rsid w:val="00AC7765"/>
    <w:rsid w:val="00AC7A1A"/>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2FC0"/>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853"/>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1D"/>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2F2"/>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744"/>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8C"/>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AF7FBF"/>
    <w:rsid w:val="00B0022B"/>
    <w:rsid w:val="00B00351"/>
    <w:rsid w:val="00B005AB"/>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B87"/>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B25"/>
    <w:rsid w:val="00B07CD9"/>
    <w:rsid w:val="00B07E81"/>
    <w:rsid w:val="00B10077"/>
    <w:rsid w:val="00B10117"/>
    <w:rsid w:val="00B102FE"/>
    <w:rsid w:val="00B1046E"/>
    <w:rsid w:val="00B1062E"/>
    <w:rsid w:val="00B10AA0"/>
    <w:rsid w:val="00B10AE9"/>
    <w:rsid w:val="00B10B25"/>
    <w:rsid w:val="00B10BEF"/>
    <w:rsid w:val="00B10CEF"/>
    <w:rsid w:val="00B10EC5"/>
    <w:rsid w:val="00B110F9"/>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92A"/>
    <w:rsid w:val="00B14BC5"/>
    <w:rsid w:val="00B14C8E"/>
    <w:rsid w:val="00B15010"/>
    <w:rsid w:val="00B15066"/>
    <w:rsid w:val="00B1569E"/>
    <w:rsid w:val="00B15763"/>
    <w:rsid w:val="00B15A43"/>
    <w:rsid w:val="00B15A74"/>
    <w:rsid w:val="00B15AC4"/>
    <w:rsid w:val="00B15D69"/>
    <w:rsid w:val="00B15F8B"/>
    <w:rsid w:val="00B1612D"/>
    <w:rsid w:val="00B1625C"/>
    <w:rsid w:val="00B162D9"/>
    <w:rsid w:val="00B164D6"/>
    <w:rsid w:val="00B166AA"/>
    <w:rsid w:val="00B167F8"/>
    <w:rsid w:val="00B169F9"/>
    <w:rsid w:val="00B16D29"/>
    <w:rsid w:val="00B17430"/>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B3"/>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18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CB3"/>
    <w:rsid w:val="00B37F3A"/>
    <w:rsid w:val="00B4003C"/>
    <w:rsid w:val="00B402DD"/>
    <w:rsid w:val="00B40335"/>
    <w:rsid w:val="00B4080F"/>
    <w:rsid w:val="00B408A1"/>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0A1"/>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A37"/>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16C"/>
    <w:rsid w:val="00B5044D"/>
    <w:rsid w:val="00B506AD"/>
    <w:rsid w:val="00B50891"/>
    <w:rsid w:val="00B508E4"/>
    <w:rsid w:val="00B50C8E"/>
    <w:rsid w:val="00B50D5E"/>
    <w:rsid w:val="00B50ED3"/>
    <w:rsid w:val="00B5111D"/>
    <w:rsid w:val="00B51149"/>
    <w:rsid w:val="00B512E1"/>
    <w:rsid w:val="00B518F9"/>
    <w:rsid w:val="00B51B06"/>
    <w:rsid w:val="00B51C28"/>
    <w:rsid w:val="00B521B2"/>
    <w:rsid w:val="00B5235C"/>
    <w:rsid w:val="00B5283D"/>
    <w:rsid w:val="00B52B87"/>
    <w:rsid w:val="00B52C8D"/>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7D1"/>
    <w:rsid w:val="00B57C73"/>
    <w:rsid w:val="00B57CDE"/>
    <w:rsid w:val="00B57D2D"/>
    <w:rsid w:val="00B57FC7"/>
    <w:rsid w:val="00B600F1"/>
    <w:rsid w:val="00B60811"/>
    <w:rsid w:val="00B6124F"/>
    <w:rsid w:val="00B612B3"/>
    <w:rsid w:val="00B6131E"/>
    <w:rsid w:val="00B616F9"/>
    <w:rsid w:val="00B617A9"/>
    <w:rsid w:val="00B61865"/>
    <w:rsid w:val="00B618D6"/>
    <w:rsid w:val="00B618DA"/>
    <w:rsid w:val="00B6198A"/>
    <w:rsid w:val="00B61B9A"/>
    <w:rsid w:val="00B61CF2"/>
    <w:rsid w:val="00B61F04"/>
    <w:rsid w:val="00B61F38"/>
    <w:rsid w:val="00B61FD6"/>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5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B0D"/>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2D1"/>
    <w:rsid w:val="00B9073C"/>
    <w:rsid w:val="00B90832"/>
    <w:rsid w:val="00B9098E"/>
    <w:rsid w:val="00B90AA0"/>
    <w:rsid w:val="00B90C75"/>
    <w:rsid w:val="00B90EF5"/>
    <w:rsid w:val="00B91030"/>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16C"/>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1F"/>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E12"/>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1BD"/>
    <w:rsid w:val="00BB2315"/>
    <w:rsid w:val="00BB231D"/>
    <w:rsid w:val="00BB23CA"/>
    <w:rsid w:val="00BB2400"/>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54F"/>
    <w:rsid w:val="00BB76C1"/>
    <w:rsid w:val="00BB79A2"/>
    <w:rsid w:val="00BB7D2E"/>
    <w:rsid w:val="00BB7E4E"/>
    <w:rsid w:val="00BB7F85"/>
    <w:rsid w:val="00BC0201"/>
    <w:rsid w:val="00BC04C8"/>
    <w:rsid w:val="00BC081F"/>
    <w:rsid w:val="00BC09CA"/>
    <w:rsid w:val="00BC0BD0"/>
    <w:rsid w:val="00BC0C3F"/>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8C7"/>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08F"/>
    <w:rsid w:val="00BC7195"/>
    <w:rsid w:val="00BC7335"/>
    <w:rsid w:val="00BC7388"/>
    <w:rsid w:val="00BC74A0"/>
    <w:rsid w:val="00BC7553"/>
    <w:rsid w:val="00BC78DC"/>
    <w:rsid w:val="00BC7A3A"/>
    <w:rsid w:val="00BC7DB5"/>
    <w:rsid w:val="00BC7E56"/>
    <w:rsid w:val="00BC7EFD"/>
    <w:rsid w:val="00BD0176"/>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3F"/>
    <w:rsid w:val="00BD15F8"/>
    <w:rsid w:val="00BD16F2"/>
    <w:rsid w:val="00BD17B0"/>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CCE"/>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BA2"/>
    <w:rsid w:val="00BE1DD1"/>
    <w:rsid w:val="00BE202D"/>
    <w:rsid w:val="00BE20C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6FF2"/>
    <w:rsid w:val="00BE7030"/>
    <w:rsid w:val="00BE713E"/>
    <w:rsid w:val="00BE73FF"/>
    <w:rsid w:val="00BE74DB"/>
    <w:rsid w:val="00BE752D"/>
    <w:rsid w:val="00BE75E2"/>
    <w:rsid w:val="00BE75E3"/>
    <w:rsid w:val="00BE766F"/>
    <w:rsid w:val="00BE76B1"/>
    <w:rsid w:val="00BE781D"/>
    <w:rsid w:val="00BE795F"/>
    <w:rsid w:val="00BE79B8"/>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14"/>
    <w:rsid w:val="00BF18BA"/>
    <w:rsid w:val="00BF18BC"/>
    <w:rsid w:val="00BF197E"/>
    <w:rsid w:val="00BF1B6C"/>
    <w:rsid w:val="00BF1EA9"/>
    <w:rsid w:val="00BF256C"/>
    <w:rsid w:val="00BF26FE"/>
    <w:rsid w:val="00BF2900"/>
    <w:rsid w:val="00BF2951"/>
    <w:rsid w:val="00BF2A0D"/>
    <w:rsid w:val="00BF2B58"/>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23"/>
    <w:rsid w:val="00BF4BC1"/>
    <w:rsid w:val="00BF4C4E"/>
    <w:rsid w:val="00BF4E4B"/>
    <w:rsid w:val="00BF5166"/>
    <w:rsid w:val="00BF55AA"/>
    <w:rsid w:val="00BF5A18"/>
    <w:rsid w:val="00BF5C2E"/>
    <w:rsid w:val="00BF5C9F"/>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CA"/>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874"/>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2FD7"/>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49F3"/>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1C3"/>
    <w:rsid w:val="00C542BD"/>
    <w:rsid w:val="00C543EE"/>
    <w:rsid w:val="00C54541"/>
    <w:rsid w:val="00C5496D"/>
    <w:rsid w:val="00C54BAF"/>
    <w:rsid w:val="00C54ED1"/>
    <w:rsid w:val="00C54FB6"/>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061"/>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971"/>
    <w:rsid w:val="00C71A93"/>
    <w:rsid w:val="00C71C88"/>
    <w:rsid w:val="00C71FCB"/>
    <w:rsid w:val="00C722CC"/>
    <w:rsid w:val="00C723F4"/>
    <w:rsid w:val="00C72746"/>
    <w:rsid w:val="00C72843"/>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5F3"/>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65A"/>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30"/>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BE6"/>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7EF"/>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CF3"/>
    <w:rsid w:val="00CA0EA4"/>
    <w:rsid w:val="00CA0FDF"/>
    <w:rsid w:val="00CA1172"/>
    <w:rsid w:val="00CA1435"/>
    <w:rsid w:val="00CA16E5"/>
    <w:rsid w:val="00CA1720"/>
    <w:rsid w:val="00CA1825"/>
    <w:rsid w:val="00CA18A4"/>
    <w:rsid w:val="00CA1ADD"/>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26"/>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4C1"/>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1D64"/>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5B6"/>
    <w:rsid w:val="00CD56D7"/>
    <w:rsid w:val="00CD58F0"/>
    <w:rsid w:val="00CD5C76"/>
    <w:rsid w:val="00CD5E64"/>
    <w:rsid w:val="00CD5F3A"/>
    <w:rsid w:val="00CD5F96"/>
    <w:rsid w:val="00CD6106"/>
    <w:rsid w:val="00CD61F8"/>
    <w:rsid w:val="00CD6429"/>
    <w:rsid w:val="00CD6470"/>
    <w:rsid w:val="00CD64E4"/>
    <w:rsid w:val="00CD65C5"/>
    <w:rsid w:val="00CD67BF"/>
    <w:rsid w:val="00CD69EC"/>
    <w:rsid w:val="00CD69F7"/>
    <w:rsid w:val="00CD6DB3"/>
    <w:rsid w:val="00CD6DEB"/>
    <w:rsid w:val="00CD701A"/>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AA8"/>
    <w:rsid w:val="00CE1B11"/>
    <w:rsid w:val="00CE1BF0"/>
    <w:rsid w:val="00CE1CEE"/>
    <w:rsid w:val="00CE2043"/>
    <w:rsid w:val="00CE20A5"/>
    <w:rsid w:val="00CE211B"/>
    <w:rsid w:val="00CE21C9"/>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25"/>
    <w:rsid w:val="00CE3D74"/>
    <w:rsid w:val="00CE408C"/>
    <w:rsid w:val="00CE4328"/>
    <w:rsid w:val="00CE451E"/>
    <w:rsid w:val="00CE470F"/>
    <w:rsid w:val="00CE472E"/>
    <w:rsid w:val="00CE479D"/>
    <w:rsid w:val="00CE48F0"/>
    <w:rsid w:val="00CE4A54"/>
    <w:rsid w:val="00CE4C3A"/>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2F1C"/>
    <w:rsid w:val="00CF34AF"/>
    <w:rsid w:val="00CF3529"/>
    <w:rsid w:val="00CF38ED"/>
    <w:rsid w:val="00CF39C1"/>
    <w:rsid w:val="00CF3A82"/>
    <w:rsid w:val="00CF3AE4"/>
    <w:rsid w:val="00CF402B"/>
    <w:rsid w:val="00CF406C"/>
    <w:rsid w:val="00CF407B"/>
    <w:rsid w:val="00CF41B8"/>
    <w:rsid w:val="00CF4297"/>
    <w:rsid w:val="00CF43F8"/>
    <w:rsid w:val="00CF4556"/>
    <w:rsid w:val="00CF4A48"/>
    <w:rsid w:val="00CF4A82"/>
    <w:rsid w:val="00CF4BF5"/>
    <w:rsid w:val="00CF4CDC"/>
    <w:rsid w:val="00CF4DDA"/>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03"/>
    <w:rsid w:val="00D04FB0"/>
    <w:rsid w:val="00D04FBE"/>
    <w:rsid w:val="00D05023"/>
    <w:rsid w:val="00D051B5"/>
    <w:rsid w:val="00D053D2"/>
    <w:rsid w:val="00D05426"/>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508"/>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20"/>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5E15"/>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AB"/>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0BEE"/>
    <w:rsid w:val="00D3112C"/>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3FF"/>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4F"/>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06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CEC"/>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0F26"/>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1E"/>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1F"/>
    <w:rsid w:val="00D62242"/>
    <w:rsid w:val="00D62349"/>
    <w:rsid w:val="00D624DB"/>
    <w:rsid w:val="00D6253B"/>
    <w:rsid w:val="00D62830"/>
    <w:rsid w:val="00D6289C"/>
    <w:rsid w:val="00D628CB"/>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49B"/>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BC9"/>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8AA"/>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04"/>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C7"/>
    <w:rsid w:val="00D77DD3"/>
    <w:rsid w:val="00D77F14"/>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92C"/>
    <w:rsid w:val="00D86B71"/>
    <w:rsid w:val="00D86CA7"/>
    <w:rsid w:val="00D86D19"/>
    <w:rsid w:val="00D86E2B"/>
    <w:rsid w:val="00D86EBA"/>
    <w:rsid w:val="00D86EDD"/>
    <w:rsid w:val="00D86F64"/>
    <w:rsid w:val="00D87022"/>
    <w:rsid w:val="00D87076"/>
    <w:rsid w:val="00D87124"/>
    <w:rsid w:val="00D87135"/>
    <w:rsid w:val="00D87767"/>
    <w:rsid w:val="00D87902"/>
    <w:rsid w:val="00D87A21"/>
    <w:rsid w:val="00D87A56"/>
    <w:rsid w:val="00D87AB7"/>
    <w:rsid w:val="00D87E8F"/>
    <w:rsid w:val="00D8E9F1"/>
    <w:rsid w:val="00D9014E"/>
    <w:rsid w:val="00D90164"/>
    <w:rsid w:val="00D90438"/>
    <w:rsid w:val="00D908B6"/>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3D14"/>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AB"/>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75F"/>
    <w:rsid w:val="00DA5CCA"/>
    <w:rsid w:val="00DA5E55"/>
    <w:rsid w:val="00DA5EB5"/>
    <w:rsid w:val="00DA61B2"/>
    <w:rsid w:val="00DA61E7"/>
    <w:rsid w:val="00DA6299"/>
    <w:rsid w:val="00DA67DC"/>
    <w:rsid w:val="00DA68F0"/>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B07"/>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FFE"/>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3C4"/>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78F"/>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1DA"/>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55"/>
    <w:rsid w:val="00DE4C90"/>
    <w:rsid w:val="00DE4D43"/>
    <w:rsid w:val="00DE4DBD"/>
    <w:rsid w:val="00DE4DC0"/>
    <w:rsid w:val="00DE4F7E"/>
    <w:rsid w:val="00DE55C3"/>
    <w:rsid w:val="00DE5793"/>
    <w:rsid w:val="00DE5970"/>
    <w:rsid w:val="00DE5E86"/>
    <w:rsid w:val="00DE5FF1"/>
    <w:rsid w:val="00DE61FD"/>
    <w:rsid w:val="00DE653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0ED"/>
    <w:rsid w:val="00E011AF"/>
    <w:rsid w:val="00E015A2"/>
    <w:rsid w:val="00E01774"/>
    <w:rsid w:val="00E01857"/>
    <w:rsid w:val="00E01929"/>
    <w:rsid w:val="00E01B36"/>
    <w:rsid w:val="00E01BC7"/>
    <w:rsid w:val="00E01C85"/>
    <w:rsid w:val="00E01ECC"/>
    <w:rsid w:val="00E021F1"/>
    <w:rsid w:val="00E0226D"/>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218"/>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91F"/>
    <w:rsid w:val="00E21A8F"/>
    <w:rsid w:val="00E21AAA"/>
    <w:rsid w:val="00E21D19"/>
    <w:rsid w:val="00E21ED6"/>
    <w:rsid w:val="00E21EED"/>
    <w:rsid w:val="00E21F99"/>
    <w:rsid w:val="00E22088"/>
    <w:rsid w:val="00E2211C"/>
    <w:rsid w:val="00E22217"/>
    <w:rsid w:val="00E22239"/>
    <w:rsid w:val="00E2231B"/>
    <w:rsid w:val="00E226A4"/>
    <w:rsid w:val="00E226AC"/>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3"/>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A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7B"/>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26E"/>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6D9"/>
    <w:rsid w:val="00E40A97"/>
    <w:rsid w:val="00E40B68"/>
    <w:rsid w:val="00E40E20"/>
    <w:rsid w:val="00E40FCB"/>
    <w:rsid w:val="00E413CA"/>
    <w:rsid w:val="00E41804"/>
    <w:rsid w:val="00E41B15"/>
    <w:rsid w:val="00E41C36"/>
    <w:rsid w:val="00E42048"/>
    <w:rsid w:val="00E42087"/>
    <w:rsid w:val="00E421B7"/>
    <w:rsid w:val="00E424AD"/>
    <w:rsid w:val="00E4284C"/>
    <w:rsid w:val="00E42915"/>
    <w:rsid w:val="00E42BFB"/>
    <w:rsid w:val="00E42CF5"/>
    <w:rsid w:val="00E42FDD"/>
    <w:rsid w:val="00E43089"/>
    <w:rsid w:val="00E4327A"/>
    <w:rsid w:val="00E4327D"/>
    <w:rsid w:val="00E43409"/>
    <w:rsid w:val="00E43532"/>
    <w:rsid w:val="00E437D9"/>
    <w:rsid w:val="00E4393B"/>
    <w:rsid w:val="00E43A5F"/>
    <w:rsid w:val="00E43BA9"/>
    <w:rsid w:val="00E43C3E"/>
    <w:rsid w:val="00E44242"/>
    <w:rsid w:val="00E4432D"/>
    <w:rsid w:val="00E4437A"/>
    <w:rsid w:val="00E4446C"/>
    <w:rsid w:val="00E445E6"/>
    <w:rsid w:val="00E448D2"/>
    <w:rsid w:val="00E449C5"/>
    <w:rsid w:val="00E44E1D"/>
    <w:rsid w:val="00E44E29"/>
    <w:rsid w:val="00E44FF1"/>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47C45"/>
    <w:rsid w:val="00E5012B"/>
    <w:rsid w:val="00E502AE"/>
    <w:rsid w:val="00E50379"/>
    <w:rsid w:val="00E50703"/>
    <w:rsid w:val="00E507BF"/>
    <w:rsid w:val="00E509AA"/>
    <w:rsid w:val="00E50A09"/>
    <w:rsid w:val="00E50A65"/>
    <w:rsid w:val="00E50AD4"/>
    <w:rsid w:val="00E50BD8"/>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B8B"/>
    <w:rsid w:val="00E60C45"/>
    <w:rsid w:val="00E60CF3"/>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3B6"/>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4CF8"/>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BCC"/>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73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984"/>
    <w:rsid w:val="00E82BE3"/>
    <w:rsid w:val="00E82D60"/>
    <w:rsid w:val="00E82DBD"/>
    <w:rsid w:val="00E8327D"/>
    <w:rsid w:val="00E83489"/>
    <w:rsid w:val="00E8350F"/>
    <w:rsid w:val="00E83769"/>
    <w:rsid w:val="00E83B94"/>
    <w:rsid w:val="00E83D3C"/>
    <w:rsid w:val="00E841E5"/>
    <w:rsid w:val="00E84259"/>
    <w:rsid w:val="00E842A5"/>
    <w:rsid w:val="00E842C4"/>
    <w:rsid w:val="00E844FF"/>
    <w:rsid w:val="00E8464D"/>
    <w:rsid w:val="00E84A8F"/>
    <w:rsid w:val="00E84B18"/>
    <w:rsid w:val="00E84D8D"/>
    <w:rsid w:val="00E84DD1"/>
    <w:rsid w:val="00E85224"/>
    <w:rsid w:val="00E8534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6D4"/>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2F7"/>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23B"/>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5B1"/>
    <w:rsid w:val="00EB2643"/>
    <w:rsid w:val="00EB2675"/>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8"/>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5FDF"/>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992"/>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045"/>
    <w:rsid w:val="00ED316E"/>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6FCD"/>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6F4F"/>
    <w:rsid w:val="00EE714A"/>
    <w:rsid w:val="00EE72BA"/>
    <w:rsid w:val="00EE733D"/>
    <w:rsid w:val="00EE73EA"/>
    <w:rsid w:val="00EE741D"/>
    <w:rsid w:val="00EE7530"/>
    <w:rsid w:val="00EE7851"/>
    <w:rsid w:val="00EE785D"/>
    <w:rsid w:val="00EE7867"/>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8"/>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9BA"/>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356"/>
    <w:rsid w:val="00F046E4"/>
    <w:rsid w:val="00F047CF"/>
    <w:rsid w:val="00F04FD1"/>
    <w:rsid w:val="00F05060"/>
    <w:rsid w:val="00F0510E"/>
    <w:rsid w:val="00F0519D"/>
    <w:rsid w:val="00F051E6"/>
    <w:rsid w:val="00F053AF"/>
    <w:rsid w:val="00F0540D"/>
    <w:rsid w:val="00F0570B"/>
    <w:rsid w:val="00F05DBD"/>
    <w:rsid w:val="00F05FE7"/>
    <w:rsid w:val="00F060D8"/>
    <w:rsid w:val="00F06175"/>
    <w:rsid w:val="00F06568"/>
    <w:rsid w:val="00F06B48"/>
    <w:rsid w:val="00F06C82"/>
    <w:rsid w:val="00F06DE2"/>
    <w:rsid w:val="00F0721F"/>
    <w:rsid w:val="00F072F1"/>
    <w:rsid w:val="00F07434"/>
    <w:rsid w:val="00F07531"/>
    <w:rsid w:val="00F075BB"/>
    <w:rsid w:val="00F07628"/>
    <w:rsid w:val="00F0764B"/>
    <w:rsid w:val="00F0764D"/>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AB4"/>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3CCC"/>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37A"/>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3FED"/>
    <w:rsid w:val="00F240E0"/>
    <w:rsid w:val="00F240F5"/>
    <w:rsid w:val="00F243F6"/>
    <w:rsid w:val="00F24670"/>
    <w:rsid w:val="00F24985"/>
    <w:rsid w:val="00F24B78"/>
    <w:rsid w:val="00F24D3E"/>
    <w:rsid w:val="00F24D57"/>
    <w:rsid w:val="00F24DCA"/>
    <w:rsid w:val="00F252C8"/>
    <w:rsid w:val="00F25463"/>
    <w:rsid w:val="00F25486"/>
    <w:rsid w:val="00F25691"/>
    <w:rsid w:val="00F2574F"/>
    <w:rsid w:val="00F257CA"/>
    <w:rsid w:val="00F25822"/>
    <w:rsid w:val="00F259A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4C7"/>
    <w:rsid w:val="00F31CE1"/>
    <w:rsid w:val="00F31D7D"/>
    <w:rsid w:val="00F31D98"/>
    <w:rsid w:val="00F321EF"/>
    <w:rsid w:val="00F322B6"/>
    <w:rsid w:val="00F32379"/>
    <w:rsid w:val="00F3241A"/>
    <w:rsid w:val="00F3250D"/>
    <w:rsid w:val="00F32691"/>
    <w:rsid w:val="00F328EB"/>
    <w:rsid w:val="00F329AA"/>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131"/>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A6E"/>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1E6"/>
    <w:rsid w:val="00F52205"/>
    <w:rsid w:val="00F52318"/>
    <w:rsid w:val="00F52388"/>
    <w:rsid w:val="00F524F9"/>
    <w:rsid w:val="00F5252B"/>
    <w:rsid w:val="00F5275D"/>
    <w:rsid w:val="00F52A5E"/>
    <w:rsid w:val="00F52C9B"/>
    <w:rsid w:val="00F52CD3"/>
    <w:rsid w:val="00F52CE0"/>
    <w:rsid w:val="00F52D45"/>
    <w:rsid w:val="00F53185"/>
    <w:rsid w:val="00F5327D"/>
    <w:rsid w:val="00F535B7"/>
    <w:rsid w:val="00F535BF"/>
    <w:rsid w:val="00F53610"/>
    <w:rsid w:val="00F536B5"/>
    <w:rsid w:val="00F536FE"/>
    <w:rsid w:val="00F53C10"/>
    <w:rsid w:val="00F53CE0"/>
    <w:rsid w:val="00F53EF7"/>
    <w:rsid w:val="00F53F11"/>
    <w:rsid w:val="00F53F5C"/>
    <w:rsid w:val="00F54043"/>
    <w:rsid w:val="00F5407A"/>
    <w:rsid w:val="00F540A4"/>
    <w:rsid w:val="00F54453"/>
    <w:rsid w:val="00F5449E"/>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5E4"/>
    <w:rsid w:val="00F579ED"/>
    <w:rsid w:val="00F57D7B"/>
    <w:rsid w:val="00F57E9C"/>
    <w:rsid w:val="00F603DE"/>
    <w:rsid w:val="00F60588"/>
    <w:rsid w:val="00F60E01"/>
    <w:rsid w:val="00F61144"/>
    <w:rsid w:val="00F611FF"/>
    <w:rsid w:val="00F6134D"/>
    <w:rsid w:val="00F614DC"/>
    <w:rsid w:val="00F61596"/>
    <w:rsid w:val="00F618A8"/>
    <w:rsid w:val="00F61CCA"/>
    <w:rsid w:val="00F61E7F"/>
    <w:rsid w:val="00F61F58"/>
    <w:rsid w:val="00F62363"/>
    <w:rsid w:val="00F623DD"/>
    <w:rsid w:val="00F62446"/>
    <w:rsid w:val="00F624A8"/>
    <w:rsid w:val="00F6261C"/>
    <w:rsid w:val="00F62E0D"/>
    <w:rsid w:val="00F6311C"/>
    <w:rsid w:val="00F63132"/>
    <w:rsid w:val="00F632F5"/>
    <w:rsid w:val="00F63339"/>
    <w:rsid w:val="00F6364B"/>
    <w:rsid w:val="00F63715"/>
    <w:rsid w:val="00F6373E"/>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163"/>
    <w:rsid w:val="00F71350"/>
    <w:rsid w:val="00F717FB"/>
    <w:rsid w:val="00F71A91"/>
    <w:rsid w:val="00F71B36"/>
    <w:rsid w:val="00F71E54"/>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08"/>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82D"/>
    <w:rsid w:val="00F8699A"/>
    <w:rsid w:val="00F869A2"/>
    <w:rsid w:val="00F869EC"/>
    <w:rsid w:val="00F86A03"/>
    <w:rsid w:val="00F86B25"/>
    <w:rsid w:val="00F86C34"/>
    <w:rsid w:val="00F86D56"/>
    <w:rsid w:val="00F86DC3"/>
    <w:rsid w:val="00F86E57"/>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0E9"/>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81A"/>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3F92"/>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B5A"/>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D68"/>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26C"/>
    <w:rsid w:val="00FC53CF"/>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BA"/>
    <w:rsid w:val="00FD37EE"/>
    <w:rsid w:val="00FD386B"/>
    <w:rsid w:val="00FD394C"/>
    <w:rsid w:val="00FD3C9E"/>
    <w:rsid w:val="00FD3D3D"/>
    <w:rsid w:val="00FD3D56"/>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811"/>
    <w:rsid w:val="00FE1B46"/>
    <w:rsid w:val="00FE1BA9"/>
    <w:rsid w:val="00FE1C5B"/>
    <w:rsid w:val="00FE1EE5"/>
    <w:rsid w:val="00FE1FC4"/>
    <w:rsid w:val="00FE2118"/>
    <w:rsid w:val="00FE2262"/>
    <w:rsid w:val="00FE22A0"/>
    <w:rsid w:val="00FE2540"/>
    <w:rsid w:val="00FE2595"/>
    <w:rsid w:val="00FE2673"/>
    <w:rsid w:val="00FE289B"/>
    <w:rsid w:val="00FE28EA"/>
    <w:rsid w:val="00FE2A64"/>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CD4"/>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58"/>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DFCD3D"/>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734B8"/>
    <w:rsid w:val="05A299D3"/>
    <w:rsid w:val="05A7A838"/>
    <w:rsid w:val="05AFB658"/>
    <w:rsid w:val="05C9D81A"/>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4C0D"/>
    <w:rsid w:val="072BF4AA"/>
    <w:rsid w:val="072C6BB7"/>
    <w:rsid w:val="0732B0F0"/>
    <w:rsid w:val="0734999D"/>
    <w:rsid w:val="0736D313"/>
    <w:rsid w:val="073C7353"/>
    <w:rsid w:val="075CDF44"/>
    <w:rsid w:val="0762B902"/>
    <w:rsid w:val="077A0943"/>
    <w:rsid w:val="077CDE68"/>
    <w:rsid w:val="07946D47"/>
    <w:rsid w:val="0799C9EA"/>
    <w:rsid w:val="079BECE7"/>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1F0AD2"/>
    <w:rsid w:val="08298E2E"/>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0583E4"/>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7C60F9"/>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887A7"/>
    <w:rsid w:val="0C4BA2FD"/>
    <w:rsid w:val="0C4BF26F"/>
    <w:rsid w:val="0C4C831A"/>
    <w:rsid w:val="0C5C96A1"/>
    <w:rsid w:val="0C5FBDBD"/>
    <w:rsid w:val="0C62A699"/>
    <w:rsid w:val="0C6E1965"/>
    <w:rsid w:val="0C725E68"/>
    <w:rsid w:val="0C7F470D"/>
    <w:rsid w:val="0C8E01DC"/>
    <w:rsid w:val="0C948F1E"/>
    <w:rsid w:val="0C9EB478"/>
    <w:rsid w:val="0C9FDCDE"/>
    <w:rsid w:val="0CA99DC4"/>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BEC69B"/>
    <w:rsid w:val="10C14BEB"/>
    <w:rsid w:val="10C1B111"/>
    <w:rsid w:val="10C4EE6D"/>
    <w:rsid w:val="10C681D4"/>
    <w:rsid w:val="10D45D90"/>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524BB"/>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B42AD"/>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2E887"/>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09742A"/>
    <w:rsid w:val="1510C4A7"/>
    <w:rsid w:val="152A291E"/>
    <w:rsid w:val="152CD493"/>
    <w:rsid w:val="153107A9"/>
    <w:rsid w:val="15358DEE"/>
    <w:rsid w:val="153E322C"/>
    <w:rsid w:val="1543B28F"/>
    <w:rsid w:val="154665F8"/>
    <w:rsid w:val="1550BE52"/>
    <w:rsid w:val="15565003"/>
    <w:rsid w:val="1558A9B3"/>
    <w:rsid w:val="156CBC26"/>
    <w:rsid w:val="1576C273"/>
    <w:rsid w:val="158ACB66"/>
    <w:rsid w:val="158D18DE"/>
    <w:rsid w:val="15932A9A"/>
    <w:rsid w:val="159C340D"/>
    <w:rsid w:val="15A042AA"/>
    <w:rsid w:val="15A0A660"/>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4FCEFF"/>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9E4B29"/>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8FBAB0"/>
    <w:rsid w:val="1B99EC1E"/>
    <w:rsid w:val="1BAACE8B"/>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A9CDD"/>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7231C"/>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0E3469"/>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42F50"/>
    <w:rsid w:val="2675B4AD"/>
    <w:rsid w:val="2676A6A7"/>
    <w:rsid w:val="267ED3C7"/>
    <w:rsid w:val="26809D0F"/>
    <w:rsid w:val="26840AD9"/>
    <w:rsid w:val="268414C7"/>
    <w:rsid w:val="26888F55"/>
    <w:rsid w:val="268E4C3B"/>
    <w:rsid w:val="26916828"/>
    <w:rsid w:val="26BB5196"/>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9C35C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3FDDDD"/>
    <w:rsid w:val="2A4138F3"/>
    <w:rsid w:val="2A4C4F89"/>
    <w:rsid w:val="2A4D6EA6"/>
    <w:rsid w:val="2A4DD80B"/>
    <w:rsid w:val="2A553E11"/>
    <w:rsid w:val="2A562DEA"/>
    <w:rsid w:val="2A5B8318"/>
    <w:rsid w:val="2A5D3D4E"/>
    <w:rsid w:val="2A6A03DA"/>
    <w:rsid w:val="2A71C88D"/>
    <w:rsid w:val="2A7A5A14"/>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2AB92"/>
    <w:rsid w:val="2CA4BE39"/>
    <w:rsid w:val="2CA639E8"/>
    <w:rsid w:val="2CB8BE40"/>
    <w:rsid w:val="2CBB352B"/>
    <w:rsid w:val="2CBBBB89"/>
    <w:rsid w:val="2CC704B4"/>
    <w:rsid w:val="2CC8E93A"/>
    <w:rsid w:val="2CCB6DE2"/>
    <w:rsid w:val="2CD3D955"/>
    <w:rsid w:val="2CDB7CB4"/>
    <w:rsid w:val="2CDCDB88"/>
    <w:rsid w:val="2CE7D6AD"/>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6BD875"/>
    <w:rsid w:val="2E72C9F7"/>
    <w:rsid w:val="2E76336D"/>
    <w:rsid w:val="2E78429C"/>
    <w:rsid w:val="2E7B4905"/>
    <w:rsid w:val="2E83E9C8"/>
    <w:rsid w:val="2E842D8D"/>
    <w:rsid w:val="2E8D3F6E"/>
    <w:rsid w:val="2E91F032"/>
    <w:rsid w:val="2E929C76"/>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273E4"/>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8F6B22"/>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A81B6"/>
    <w:rsid w:val="346C6B04"/>
    <w:rsid w:val="346C986D"/>
    <w:rsid w:val="34810148"/>
    <w:rsid w:val="348220BF"/>
    <w:rsid w:val="348B9F71"/>
    <w:rsid w:val="3498CC9E"/>
    <w:rsid w:val="349A387A"/>
    <w:rsid w:val="349D6887"/>
    <w:rsid w:val="34A1E012"/>
    <w:rsid w:val="34A4C36C"/>
    <w:rsid w:val="34AEC0E9"/>
    <w:rsid w:val="34B163F3"/>
    <w:rsid w:val="34B43D3A"/>
    <w:rsid w:val="34B473B1"/>
    <w:rsid w:val="34B71837"/>
    <w:rsid w:val="34B7DF31"/>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609D"/>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7AD31A"/>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23FD3"/>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12393"/>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4B5E23"/>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94FF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61B5F"/>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59831"/>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13536"/>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EFDF12"/>
    <w:rsid w:val="3FFBE8C5"/>
    <w:rsid w:val="3FFDFFE7"/>
    <w:rsid w:val="3FFFAA5F"/>
    <w:rsid w:val="40043CCA"/>
    <w:rsid w:val="40070841"/>
    <w:rsid w:val="40072E7D"/>
    <w:rsid w:val="4014ED3E"/>
    <w:rsid w:val="4016C9A2"/>
    <w:rsid w:val="4016CB55"/>
    <w:rsid w:val="4017DBA1"/>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0FFC2A2"/>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30072"/>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86B0D"/>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0FBD4"/>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4AB7"/>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2F4EF4"/>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09A2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87BE3"/>
    <w:rsid w:val="4C7481D2"/>
    <w:rsid w:val="4C7A8627"/>
    <w:rsid w:val="4C80A10F"/>
    <w:rsid w:val="4C899508"/>
    <w:rsid w:val="4C89B430"/>
    <w:rsid w:val="4CA157CC"/>
    <w:rsid w:val="4CA300EF"/>
    <w:rsid w:val="4CA6F1BB"/>
    <w:rsid w:val="4CB5CDA7"/>
    <w:rsid w:val="4CB8066F"/>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92757"/>
    <w:rsid w:val="4EFD6B56"/>
    <w:rsid w:val="4F007B02"/>
    <w:rsid w:val="4F01B120"/>
    <w:rsid w:val="4F061965"/>
    <w:rsid w:val="4F07A8CF"/>
    <w:rsid w:val="4F08EA0B"/>
    <w:rsid w:val="4F0DC51B"/>
    <w:rsid w:val="4F1135C6"/>
    <w:rsid w:val="4F17E2F0"/>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6C2FFB"/>
    <w:rsid w:val="517A6C15"/>
    <w:rsid w:val="518469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82457"/>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B455F9"/>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67FEB"/>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8EDD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874A08"/>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3C614"/>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64DB9"/>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3D28C"/>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8E7594"/>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2FAA7"/>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5214"/>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08175"/>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BFF4B4"/>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921A4"/>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18591"/>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9A1BE9"/>
    <w:rsid w:val="69A4328F"/>
    <w:rsid w:val="69B00EC1"/>
    <w:rsid w:val="69B090BC"/>
    <w:rsid w:val="69B8E187"/>
    <w:rsid w:val="69BDB6F1"/>
    <w:rsid w:val="69C240B1"/>
    <w:rsid w:val="69CC6368"/>
    <w:rsid w:val="69D10171"/>
    <w:rsid w:val="69D72676"/>
    <w:rsid w:val="69EE0FDA"/>
    <w:rsid w:val="69EF68FF"/>
    <w:rsid w:val="69F4B115"/>
    <w:rsid w:val="69F7D91C"/>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6AE82"/>
    <w:rsid w:val="6D675742"/>
    <w:rsid w:val="6D693111"/>
    <w:rsid w:val="6D6A30F9"/>
    <w:rsid w:val="6D6D517E"/>
    <w:rsid w:val="6D7548F5"/>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3C75A0"/>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278CD"/>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3C79EA"/>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45CF"/>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FCE92"/>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81610"/>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13889A"/>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5821F"/>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8CE71B"/>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382DD"/>
    <w:rsid w:val="7756C9C4"/>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4013F"/>
    <w:rsid w:val="77DEA546"/>
    <w:rsid w:val="77DF5220"/>
    <w:rsid w:val="77DF9A35"/>
    <w:rsid w:val="77E37D61"/>
    <w:rsid w:val="77F7C443"/>
    <w:rsid w:val="77FE76A7"/>
    <w:rsid w:val="7802BDA9"/>
    <w:rsid w:val="780F48FF"/>
    <w:rsid w:val="7824C997"/>
    <w:rsid w:val="783370F5"/>
    <w:rsid w:val="78379092"/>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9BF6E5"/>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A3D6C3"/>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28126"/>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6157C"/>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FBE5819-7395-4C00-B5AE-39463A3D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paragraph" w:customStyle="1" w:styleId="Par-dash">
    <w:name w:val="Par-dash"/>
    <w:basedOn w:val="Normal"/>
    <w:next w:val="Normal"/>
    <w:rsid w:val="00B1492A"/>
    <w:pPr>
      <w:numPr>
        <w:numId w:val="7"/>
      </w:numPr>
      <w:spacing w:before="0" w:after="200" w:line="276" w:lineRule="auto"/>
      <w:jc w:val="left"/>
    </w:pPr>
    <w:rPr>
      <w:rFonts w:ascii="Calibri" w:eastAsiaTheme="minorEastAsia" w:hAnsi="Calibri" w:cs="Arial"/>
      <w:sz w:val="22"/>
    </w:rPr>
  </w:style>
  <w:style w:type="character" w:customStyle="1" w:styleId="HeaderChar">
    <w:name w:val="Header Char"/>
    <w:basedOn w:val="DefaultParagraphFont"/>
    <w:link w:val="Header"/>
    <w:uiPriority w:val="99"/>
    <w:rsid w:val="00E4446C"/>
    <w:rPr>
      <w:rFonts w:ascii="Times New Roman" w:hAnsi="Times New Roman" w:cs="Times New Roman"/>
      <w:sz w:val="24"/>
      <w:lang w:val="fr-FR"/>
    </w:rPr>
  </w:style>
  <w:style w:type="character" w:customStyle="1" w:styleId="FooterChar">
    <w:name w:val="Footer Char"/>
    <w:basedOn w:val="DefaultParagraphFont"/>
    <w:link w:val="Footer"/>
    <w:uiPriority w:val="99"/>
    <w:rsid w:val="00E4446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4446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446C"/>
    <w:pPr>
      <w:spacing w:before="0"/>
      <w:jc w:val="right"/>
    </w:pPr>
    <w:rPr>
      <w:sz w:val="28"/>
    </w:rPr>
  </w:style>
  <w:style w:type="paragraph" w:customStyle="1" w:styleId="FooterSensitivity">
    <w:name w:val="Footer Sensitivity"/>
    <w:basedOn w:val="Normal"/>
    <w:rsid w:val="00E4446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4446C"/>
    <w:pPr>
      <w:tabs>
        <w:tab w:val="center" w:pos="4535"/>
        <w:tab w:val="right" w:pos="9071"/>
      </w:tabs>
      <w:spacing w:before="0"/>
    </w:pPr>
  </w:style>
  <w:style w:type="paragraph" w:customStyle="1" w:styleId="HeaderLandscape">
    <w:name w:val="HeaderLandscape"/>
    <w:basedOn w:val="Normal"/>
    <w:rsid w:val="00E4446C"/>
    <w:pPr>
      <w:tabs>
        <w:tab w:val="center" w:pos="7285"/>
        <w:tab w:val="right" w:pos="14003"/>
      </w:tabs>
      <w:spacing w:before="0"/>
    </w:pPr>
  </w:style>
  <w:style w:type="paragraph" w:styleId="Footer">
    <w:name w:val="footer"/>
    <w:basedOn w:val="Normal"/>
    <w:link w:val="FooterChar"/>
    <w:uiPriority w:val="99"/>
    <w:unhideWhenUsed/>
    <w:rsid w:val="00E4446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446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9d2af8f972e462a00cfbe118c44f09d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6e997e9b6355d42b66f3dc4679f9364"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E53188C-4E1A-48B7-9768-36B9D79BC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4.xml><?xml version="1.0" encoding="utf-8"?>
<ds:datastoreItem xmlns:ds="http://schemas.openxmlformats.org/officeDocument/2006/customXml" ds:itemID="{7220ED75-495F-44A3-B0C4-C816AE5C2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195</TotalTime>
  <Pages>6</Pages>
  <Words>1922</Words>
  <Characters>10959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12856</CharactersWithSpaces>
  <SharedDoc>false</SharedDoc>
  <HLinks>
    <vt:vector size="12" baseType="variant">
      <vt:variant>
        <vt:i4>7143534</vt:i4>
      </vt:variant>
      <vt:variant>
        <vt:i4>9</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71</cp:revision>
  <dcterms:created xsi:type="dcterms:W3CDTF">2026-07-27T15:21:00Z</dcterms:created>
  <dcterms:modified xsi:type="dcterms:W3CDTF">2026-08-14T09:58:00Z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